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556895</wp:posOffset>
            </wp:positionH>
            <wp:positionV relativeFrom="page">
              <wp:posOffset>327025</wp:posOffset>
            </wp:positionV>
            <wp:extent cx="64477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17145"/>
                    </a:xfrm>
                    <a:prstGeom prst="rect">
                      <a:avLst/>
                    </a:prstGeom>
                    <a:noFill/>
                  </pic:spPr>
                </pic:pic>
              </a:graphicData>
            </a:graphic>
          </wp:anchor>
        </w:drawing>
        <w:drawing>
          <wp:anchor simplePos="0" relativeHeight="251657728" behindDoc="1" locked="0" layoutInCell="0" allowOverlap="1">
            <wp:simplePos x="0" y="0"/>
            <wp:positionH relativeFrom="page">
              <wp:posOffset>556895</wp:posOffset>
            </wp:positionH>
            <wp:positionV relativeFrom="page">
              <wp:posOffset>361315</wp:posOffset>
            </wp:positionV>
            <wp:extent cx="64477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7145"/>
                    </a:xfrm>
                    <a:prstGeom prst="rect">
                      <a:avLst/>
                    </a:prstGeom>
                    <a:noFill/>
                  </pic:spPr>
                </pic:pic>
              </a:graphicData>
            </a:graphic>
          </wp:anchor>
        </w:drawing>
        <w:t>UNITED STATES</w:t>
      </w:r>
    </w:p>
    <w:p>
      <w:pPr>
        <w:spacing w:after="0" w:line="2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 10-Q</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30" w:lineRule="exact"/>
        <w:rPr>
          <w:sz w:val="24"/>
          <w:szCs w:val="24"/>
          <w:color w:val="auto"/>
        </w:rPr>
      </w:pPr>
    </w:p>
    <w:p>
      <w:pPr>
        <w:ind w:left="540" w:hanging="530"/>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8" w:lineRule="exact"/>
        <w:rPr>
          <w:sz w:val="24"/>
          <w:szCs w:val="24"/>
          <w:color w:val="auto"/>
        </w:rPr>
      </w:pPr>
    </w:p>
    <w:p>
      <w:pPr>
        <w:ind w:left="540"/>
        <w:spacing w:after="0"/>
        <w:tabs>
          <w:tab w:leader="none" w:pos="52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22225</wp:posOffset>
            </wp:positionV>
            <wp:extent cx="3113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26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or</w:t>
      </w:r>
    </w:p>
    <w:p>
      <w:pPr>
        <w:spacing w:after="0" w:line="271" w:lineRule="exact"/>
        <w:rPr>
          <w:sz w:val="24"/>
          <w:szCs w:val="24"/>
          <w:color w:val="auto"/>
        </w:rPr>
      </w:pPr>
    </w:p>
    <w:p>
      <w:pPr>
        <w:ind w:left="200" w:hanging="190"/>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5240" w:type="dxa"/>
            <w:vAlign w:val="bottom"/>
            <w:gridSpan w:val="3"/>
          </w:tcPr>
          <w:p>
            <w:pPr>
              <w:ind w:left="540"/>
              <w:spacing w:after="0"/>
              <w:rPr>
                <w:sz w:val="20"/>
                <w:szCs w:val="20"/>
                <w:color w:val="auto"/>
              </w:rPr>
            </w:pPr>
            <w:r>
              <w:rPr>
                <w:rFonts w:ascii="Arial" w:cs="Arial" w:eastAsia="Arial" w:hAnsi="Arial"/>
                <w:sz w:val="18"/>
                <w:szCs w:val="18"/>
                <w:color w:val="auto"/>
              </w:rPr>
              <w:t>For the transition period from</w:t>
            </w:r>
          </w:p>
        </w:tc>
        <w:tc>
          <w:tcPr>
            <w:tcW w:w="1300" w:type="dxa"/>
            <w:vAlign w:val="bottom"/>
          </w:tcPr>
          <w:p>
            <w:pPr>
              <w:ind w:left="540"/>
              <w:spacing w:after="0"/>
              <w:rPr>
                <w:sz w:val="20"/>
                <w:szCs w:val="20"/>
                <w:color w:val="auto"/>
              </w:rPr>
            </w:pPr>
            <w:r>
              <w:rPr>
                <w:rFonts w:ascii="Arial" w:cs="Arial" w:eastAsia="Arial" w:hAnsi="Arial"/>
                <w:sz w:val="18"/>
                <w:szCs w:val="18"/>
                <w:color w:val="auto"/>
              </w:rPr>
              <w:t>to</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96"/>
        </w:trPr>
        <w:tc>
          <w:tcPr>
            <w:tcW w:w="1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14"/>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14"/>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fiscal year, if</w:t>
            </w:r>
          </w:p>
        </w:tc>
      </w:tr>
      <w:tr>
        <w:trPr>
          <w:trHeight w:val="214"/>
        </w:trPr>
        <w:tc>
          <w:tcPr>
            <w:tcW w:w="1320" w:type="dxa"/>
            <w:vAlign w:val="bottom"/>
          </w:tcPr>
          <w:p>
            <w:pPr>
              <w:ind w:left="20"/>
              <w:spacing w:after="0"/>
              <w:rPr>
                <w:sz w:val="20"/>
                <w:szCs w:val="20"/>
                <w:color w:val="auto"/>
              </w:rPr>
            </w:pPr>
            <w:r>
              <w:rPr>
                <w:rFonts w:ascii="Arial" w:cs="Arial" w:eastAsia="Arial" w:hAnsi="Arial"/>
                <w:sz w:val="18"/>
                <w:szCs w:val="18"/>
                <w:color w:val="auto"/>
                <w:w w:val="96"/>
              </w:rPr>
              <w:t>Commission File</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w w:val="96"/>
              </w:rPr>
              <w:t>Exact Name of Registrants as Specified in their</w:t>
            </w:r>
          </w:p>
        </w:tc>
        <w:tc>
          <w:tcPr>
            <w:tcW w:w="1300" w:type="dxa"/>
            <w:vAlign w:val="bottom"/>
          </w:tcPr>
          <w:p>
            <w:pPr>
              <w:jc w:val="center"/>
              <w:ind w:left="151"/>
              <w:spacing w:after="0"/>
              <w:rPr>
                <w:sz w:val="20"/>
                <w:szCs w:val="20"/>
                <w:color w:val="auto"/>
              </w:rPr>
            </w:pPr>
            <w:r>
              <w:rPr>
                <w:rFonts w:ascii="Arial" w:cs="Arial" w:eastAsia="Arial" w:hAnsi="Arial"/>
                <w:sz w:val="18"/>
                <w:szCs w:val="18"/>
                <w:color w:val="auto"/>
                <w:w w:val="87"/>
              </w:rPr>
              <w:t>States of</w:t>
            </w:r>
          </w:p>
        </w:tc>
        <w:tc>
          <w:tcPr>
            <w:tcW w:w="1880" w:type="dxa"/>
            <w:vAlign w:val="bottom"/>
          </w:tcPr>
          <w:p>
            <w:pPr>
              <w:jc w:val="center"/>
              <w:ind w:left="191"/>
              <w:spacing w:after="0"/>
              <w:rPr>
                <w:sz w:val="20"/>
                <w:szCs w:val="20"/>
                <w:color w:val="auto"/>
              </w:rPr>
            </w:pPr>
            <w:r>
              <w:rPr>
                <w:rFonts w:ascii="Arial" w:cs="Arial" w:eastAsia="Arial" w:hAnsi="Arial"/>
                <w:sz w:val="18"/>
                <w:szCs w:val="18"/>
                <w:color w:val="auto"/>
                <w:w w:val="91"/>
              </w:rPr>
              <w:t>I.R.S. Employer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changed since last</w:t>
            </w:r>
          </w:p>
        </w:tc>
      </w:tr>
      <w:tr>
        <w:trPr>
          <w:trHeight w:val="235"/>
        </w:trPr>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No.</w:t>
            </w:r>
          </w:p>
        </w:tc>
        <w:tc>
          <w:tcPr>
            <w:tcW w:w="39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Charters, Address and Telephone Number</w:t>
            </w:r>
          </w:p>
        </w:tc>
        <w:tc>
          <w:tcPr>
            <w:tcW w:w="13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1"/>
              </w:rPr>
              <w:t>Incorporation</w:t>
            </w:r>
          </w:p>
        </w:tc>
        <w:tc>
          <w:tcPr>
            <w:tcW w:w="1880" w:type="dxa"/>
            <w:vAlign w:val="bottom"/>
            <w:tcBorders>
              <w:bottom w:val="single" w:sz="8" w:color="auto"/>
            </w:tcBorders>
          </w:tcPr>
          <w:p>
            <w:pPr>
              <w:jc w:val="center"/>
              <w:ind w:left="251"/>
              <w:spacing w:after="0"/>
              <w:rPr>
                <w:sz w:val="20"/>
                <w:szCs w:val="20"/>
                <w:color w:val="auto"/>
              </w:rPr>
            </w:pPr>
            <w:r>
              <w:rPr>
                <w:rFonts w:ascii="Arial" w:cs="Arial" w:eastAsia="Arial" w:hAnsi="Arial"/>
                <w:sz w:val="18"/>
                <w:szCs w:val="18"/>
                <w:color w:val="auto"/>
                <w:w w:val="93"/>
              </w:rPr>
              <w:t>Identification Nos.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report</w:t>
            </w:r>
          </w:p>
        </w:tc>
      </w:tr>
      <w:tr>
        <w:trPr>
          <w:trHeight w:val="227"/>
        </w:trPr>
        <w:tc>
          <w:tcPr>
            <w:tcW w:w="1320" w:type="dxa"/>
            <w:vAlign w:val="bottom"/>
          </w:tcPr>
          <w:p>
            <w:pPr>
              <w:ind w:left="20"/>
              <w:spacing w:after="0"/>
              <w:rPr>
                <w:sz w:val="20"/>
                <w:szCs w:val="20"/>
                <w:color w:val="auto"/>
              </w:rPr>
            </w:pPr>
            <w:r>
              <w:rPr>
                <w:rFonts w:ascii="Arial" w:cs="Arial" w:eastAsia="Arial" w:hAnsi="Arial"/>
                <w:sz w:val="18"/>
                <w:szCs w:val="18"/>
                <w:color w:val="auto"/>
              </w:rPr>
              <w:t>1-14201</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SEMPRA ENERGY</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33-0732627</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0"/>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(619)696-2034</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2"/>
        </w:trPr>
        <w:tc>
          <w:tcPr>
            <w:tcW w:w="1320" w:type="dxa"/>
            <w:vAlign w:val="bottom"/>
          </w:tcPr>
          <w:p>
            <w:pPr>
              <w:ind w:left="20"/>
              <w:spacing w:after="0"/>
              <w:rPr>
                <w:sz w:val="20"/>
                <w:szCs w:val="20"/>
                <w:color w:val="auto"/>
              </w:rPr>
            </w:pPr>
            <w:r>
              <w:rPr>
                <w:rFonts w:ascii="Arial" w:cs="Arial" w:eastAsia="Arial" w:hAnsi="Arial"/>
                <w:sz w:val="18"/>
                <w:szCs w:val="18"/>
                <w:color w:val="auto"/>
              </w:rPr>
              <w:t>1-3779</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GAS &amp; ELECTRIC COMPANY</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95-1184800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8326 Century Park Court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92123</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(619)696-2000</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2"/>
        </w:trPr>
        <w:tc>
          <w:tcPr>
            <w:tcW w:w="1320" w:type="dxa"/>
            <w:vAlign w:val="bottom"/>
          </w:tcPr>
          <w:p>
            <w:pPr>
              <w:ind w:left="20"/>
              <w:spacing w:after="0"/>
              <w:rPr>
                <w:sz w:val="20"/>
                <w:szCs w:val="20"/>
                <w:color w:val="auto"/>
              </w:rPr>
            </w:pPr>
            <w:r>
              <w:rPr>
                <w:rFonts w:ascii="Arial" w:cs="Arial" w:eastAsia="Arial" w:hAnsi="Arial"/>
                <w:sz w:val="18"/>
                <w:szCs w:val="18"/>
                <w:color w:val="auto"/>
              </w:rPr>
              <w:t>1-40</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PACIFIC ENTERPRISES</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94-0743670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(619)696-2020</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2"/>
        </w:trPr>
        <w:tc>
          <w:tcPr>
            <w:tcW w:w="1320" w:type="dxa"/>
            <w:vAlign w:val="bottom"/>
          </w:tcPr>
          <w:p>
            <w:pPr>
              <w:ind w:left="20"/>
              <w:spacing w:after="0"/>
              <w:rPr>
                <w:sz w:val="20"/>
                <w:szCs w:val="20"/>
                <w:color w:val="auto"/>
              </w:rPr>
            </w:pPr>
            <w:r>
              <w:rPr>
                <w:rFonts w:ascii="Arial" w:cs="Arial" w:eastAsia="Arial" w:hAnsi="Arial"/>
                <w:sz w:val="18"/>
                <w:szCs w:val="18"/>
                <w:color w:val="auto"/>
              </w:rPr>
              <w:t>1-1402</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SOUTHERN CALIFORNIA GAS COMPANY</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95-1240705</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555 West Fifth Street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Los Angeles, California 90013</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(213)244-1200</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20" w:right="140"/>
        <w:spacing w:after="0" w:line="260"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38" w:lineRule="exact"/>
        <w:rPr>
          <w:sz w:val="24"/>
          <w:szCs w:val="24"/>
          <w:color w:val="auto"/>
        </w:rPr>
      </w:pPr>
    </w:p>
    <w:p>
      <w:pPr>
        <w:ind w:left="6180"/>
        <w:spacing w:after="0"/>
        <w:tabs>
          <w:tab w:leader="none" w:pos="7000" w:val="left"/>
          <w:tab w:leader="none" w:pos="87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22225</wp:posOffset>
            </wp:positionV>
            <wp:extent cx="748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866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22225</wp:posOffset>
            </wp:positionV>
            <wp:extent cx="697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sectPr>
          <w:pgSz w:w="11900" w:h="16838" w:orient="portrait"/>
          <w:cols w:equalWidth="0" w:num="1">
            <w:col w:w="10160"/>
          </w:cols>
          <w:pgMar w:left="880" w:top="835" w:right="859" w:bottom="1440" w:gutter="0" w:footer="0" w:header="0"/>
        </w:sectPr>
      </w:pPr>
    </w:p>
    <w:bookmarkStart w:id="1" w:name="page2"/>
    <w:bookmarkEnd w:id="1"/>
    <w:p>
      <w:pPr>
        <w:ind w:right="360"/>
        <w:spacing w:after="0" w:line="260" w:lineRule="auto"/>
        <w:rPr>
          <w:sz w:val="20"/>
          <w:szCs w:val="20"/>
          <w:color w:val="auto"/>
        </w:rPr>
      </w:pPr>
      <w:r>
        <w:rPr>
          <w:rFonts w:ascii="Arial" w:cs="Arial" w:eastAsia="Arial" w:hAnsi="Arial"/>
          <w:sz w:val="18"/>
          <w:szCs w:val="18"/>
          <w:color w:val="auto"/>
        </w:rPr>
        <w:t>Indicate by check mark whether the registrants have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Sempra Energy</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X</w:t>
            </w: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Pacific Enterprises</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5752465</wp:posOffset>
            </wp:positionH>
            <wp:positionV relativeFrom="paragraph">
              <wp:posOffset>-492760</wp:posOffset>
            </wp:positionV>
            <wp:extent cx="671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-330835</wp:posOffset>
            </wp:positionV>
            <wp:extent cx="671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-169545</wp:posOffset>
            </wp:positionV>
            <wp:extent cx="671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-7620</wp:posOffset>
            </wp:positionV>
            <wp:extent cx="671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19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80" w:type="dxa"/>
            <w:vAlign w:val="bottom"/>
          </w:tcPr>
          <w:p>
            <w:pPr>
              <w:spacing w:after="0"/>
              <w:rPr>
                <w:sz w:val="18"/>
                <w:szCs w:val="18"/>
                <w:color w:val="auto"/>
              </w:rPr>
            </w:pPr>
          </w:p>
        </w:tc>
        <w:tc>
          <w:tcPr>
            <w:tcW w:w="1920" w:type="dxa"/>
            <w:vAlign w:val="bottom"/>
            <w:gridSpan w:val="2"/>
          </w:tcPr>
          <w:p>
            <w:pPr>
              <w:ind w:left="580"/>
              <w:spacing w:after="0"/>
              <w:rPr>
                <w:sz w:val="20"/>
                <w:szCs w:val="20"/>
                <w:color w:val="auto"/>
              </w:rPr>
            </w:pPr>
            <w:r>
              <w:rPr>
                <w:rFonts w:ascii="Arial" w:cs="Arial" w:eastAsia="Arial" w:hAnsi="Arial"/>
                <w:sz w:val="18"/>
                <w:szCs w:val="18"/>
                <w:color w:val="auto"/>
              </w:rPr>
              <w:t>Large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gridSpan w:val="2"/>
          </w:tcPr>
          <w:p>
            <w:pPr>
              <w:jc w:val="right"/>
              <w:ind w:right="71"/>
              <w:spacing w:after="0"/>
              <w:rPr>
                <w:sz w:val="20"/>
                <w:szCs w:val="20"/>
                <w:color w:val="auto"/>
              </w:rPr>
            </w:pPr>
            <w:r>
              <w:rPr>
                <w:rFonts w:ascii="Arial" w:cs="Arial" w:eastAsia="Arial" w:hAnsi="Arial"/>
                <w:sz w:val="18"/>
                <w:szCs w:val="18"/>
                <w:color w:val="auto"/>
              </w:rPr>
              <w:t>Smaller reporting</w:t>
            </w:r>
          </w:p>
        </w:tc>
      </w:tr>
      <w:tr>
        <w:trPr>
          <w:trHeight w:val="235"/>
        </w:trPr>
        <w:tc>
          <w:tcPr>
            <w:tcW w:w="2080" w:type="dxa"/>
            <w:vAlign w:val="bottom"/>
          </w:tcPr>
          <w:p>
            <w:pPr>
              <w:spacing w:after="0"/>
              <w:rPr>
                <w:sz w:val="20"/>
                <w:szCs w:val="20"/>
                <w:color w:val="auto"/>
              </w:rPr>
            </w:pPr>
          </w:p>
        </w:tc>
        <w:tc>
          <w:tcPr>
            <w:tcW w:w="19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accelerated filer</w:t>
            </w:r>
          </w:p>
        </w:tc>
        <w:tc>
          <w:tcPr>
            <w:tcW w:w="228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8"/>
                <w:szCs w:val="18"/>
                <w:color w:val="auto"/>
              </w:rPr>
              <w:t>Accelerated filer</w:t>
            </w:r>
          </w:p>
        </w:tc>
        <w:tc>
          <w:tcPr>
            <w:tcW w:w="2220" w:type="dxa"/>
            <w:vAlign w:val="bottom"/>
            <w:tcBorders>
              <w:bottom w:val="single" w:sz="8" w:color="auto"/>
            </w:tcBorders>
            <w:gridSpan w:val="3"/>
          </w:tcPr>
          <w:p>
            <w:pPr>
              <w:jc w:val="center"/>
              <w:ind w:left="251"/>
              <w:spacing w:after="0"/>
              <w:rPr>
                <w:sz w:val="20"/>
                <w:szCs w:val="20"/>
                <w:color w:val="auto"/>
              </w:rPr>
            </w:pPr>
            <w:r>
              <w:rPr>
                <w:rFonts w:ascii="Arial" w:cs="Arial" w:eastAsia="Arial" w:hAnsi="Arial"/>
                <w:sz w:val="18"/>
                <w:szCs w:val="18"/>
                <w:color w:val="auto"/>
                <w:w w:val="91"/>
              </w:rPr>
              <w:t>Non-accelerated filer</w:t>
            </w:r>
          </w:p>
        </w:tc>
        <w:tc>
          <w:tcPr>
            <w:tcW w:w="162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8"/>
                <w:szCs w:val="18"/>
                <w:color w:val="auto"/>
              </w:rPr>
              <w:t>company</w:t>
            </w: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Sempra Energy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X ]</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2080" w:type="dxa"/>
            <w:vAlign w:val="bottom"/>
          </w:tcPr>
          <w:p>
            <w:pPr>
              <w:ind w:left="260"/>
              <w:spacing w:after="0"/>
              <w:rPr>
                <w:sz w:val="20"/>
                <w:szCs w:val="20"/>
                <w:color w:val="auto"/>
              </w:rPr>
            </w:pPr>
            <w:r>
              <w:rPr>
                <w:rFonts w:ascii="Arial" w:cs="Arial" w:eastAsia="Arial" w:hAnsi="Arial"/>
                <w:sz w:val="18"/>
                <w:szCs w:val="18"/>
                <w:color w:val="auto"/>
              </w:rPr>
              <w:t>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r>
        <w:trPr>
          <w:trHeight w:val="241"/>
        </w:trPr>
        <w:tc>
          <w:tcPr>
            <w:tcW w:w="2080" w:type="dxa"/>
            <w:vAlign w:val="bottom"/>
          </w:tcPr>
          <w:p>
            <w:pPr>
              <w:spacing w:after="0"/>
              <w:rPr>
                <w:sz w:val="20"/>
                <w:szCs w:val="20"/>
                <w:color w:val="auto"/>
              </w:rPr>
            </w:pPr>
            <w:r>
              <w:rPr>
                <w:rFonts w:ascii="Arial" w:cs="Arial" w:eastAsia="Arial" w:hAnsi="Arial"/>
                <w:sz w:val="18"/>
                <w:szCs w:val="18"/>
                <w:color w:val="auto"/>
              </w:rPr>
              <w:t>Pacific Enterprises</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r>
        <w:trPr>
          <w:trHeight w:val="228"/>
        </w:trPr>
        <w:tc>
          <w:tcPr>
            <w:tcW w:w="208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2080" w:type="dxa"/>
            <w:vAlign w:val="bottom"/>
          </w:tcPr>
          <w:p>
            <w:pPr>
              <w:ind w:left="260"/>
              <w:spacing w:after="0"/>
              <w:rPr>
                <w:sz w:val="20"/>
                <w:szCs w:val="20"/>
                <w:color w:val="auto"/>
              </w:rPr>
            </w:pPr>
            <w:r>
              <w:rPr>
                <w:rFonts w:ascii="Arial" w:cs="Arial" w:eastAsia="Arial" w:hAnsi="Arial"/>
                <w:sz w:val="18"/>
                <w:szCs w:val="18"/>
                <w:color w:val="auto"/>
              </w:rPr>
              <w:t>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Sempra Energy</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Pacific Enterprises</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spacing w:after="0"/>
              <w:rPr>
                <w:sz w:val="20"/>
                <w:szCs w:val="20"/>
                <w:color w:val="auto"/>
              </w:rPr>
            </w:pPr>
            <w:r>
              <w:rPr>
                <w:rFonts w:ascii="Arial" w:cs="Arial" w:eastAsia="Arial" w:hAnsi="Arial"/>
                <w:sz w:val="18"/>
                <w:szCs w:val="18"/>
                <w:color w:val="auto"/>
                <w:w w:val="92"/>
              </w:rPr>
              <w:t>Common stock outstanding on July 24, 2009:</w:t>
            </w:r>
          </w:p>
        </w:tc>
        <w:tc>
          <w:tcPr>
            <w:tcW w:w="6780" w:type="dxa"/>
            <w:vAlign w:val="bottom"/>
          </w:tcPr>
          <w:p>
            <w:pPr>
              <w:spacing w:after="0"/>
              <w:rPr>
                <w:sz w:val="19"/>
                <w:szCs w:val="19"/>
                <w:color w:val="auto"/>
              </w:rPr>
            </w:pPr>
          </w:p>
        </w:tc>
      </w:tr>
      <w:tr>
        <w:trPr>
          <w:trHeight w:val="482"/>
        </w:trPr>
        <w:tc>
          <w:tcPr>
            <w:tcW w:w="3340" w:type="dxa"/>
            <w:vAlign w:val="bottom"/>
          </w:tcPr>
          <w:p>
            <w:pPr>
              <w:spacing w:after="0"/>
              <w:rPr>
                <w:sz w:val="20"/>
                <w:szCs w:val="20"/>
                <w:color w:val="auto"/>
              </w:rPr>
            </w:pPr>
            <w:r>
              <w:rPr>
                <w:rFonts w:ascii="Arial" w:cs="Arial" w:eastAsia="Arial" w:hAnsi="Arial"/>
                <w:sz w:val="18"/>
                <w:szCs w:val="18"/>
                <w:color w:val="auto"/>
              </w:rPr>
              <w:t>Sempra Energy</w:t>
            </w:r>
          </w:p>
        </w:tc>
        <w:tc>
          <w:tcPr>
            <w:tcW w:w="6780" w:type="dxa"/>
            <w:vAlign w:val="bottom"/>
          </w:tcPr>
          <w:p>
            <w:pPr>
              <w:ind w:left="100"/>
              <w:spacing w:after="0"/>
              <w:rPr>
                <w:sz w:val="20"/>
                <w:szCs w:val="20"/>
                <w:color w:val="auto"/>
              </w:rPr>
            </w:pPr>
            <w:r>
              <w:rPr>
                <w:rFonts w:ascii="Arial" w:cs="Arial" w:eastAsia="Arial" w:hAnsi="Arial"/>
                <w:sz w:val="18"/>
                <w:szCs w:val="18"/>
                <w:color w:val="auto"/>
              </w:rPr>
              <w:t>245,337,795 shares</w:t>
            </w:r>
          </w:p>
        </w:tc>
      </w:tr>
      <w:tr>
        <w:trPr>
          <w:trHeight w:val="241"/>
        </w:trPr>
        <w:tc>
          <w:tcPr>
            <w:tcW w:w="334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6780" w:type="dxa"/>
            <w:vAlign w:val="bottom"/>
          </w:tcPr>
          <w:p>
            <w:pPr>
              <w:ind w:left="10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41"/>
        </w:trPr>
        <w:tc>
          <w:tcPr>
            <w:tcW w:w="3340" w:type="dxa"/>
            <w:vAlign w:val="bottom"/>
          </w:tcPr>
          <w:p>
            <w:pPr>
              <w:spacing w:after="0"/>
              <w:rPr>
                <w:sz w:val="20"/>
                <w:szCs w:val="20"/>
                <w:color w:val="auto"/>
              </w:rPr>
            </w:pPr>
            <w:r>
              <w:rPr>
                <w:rFonts w:ascii="Arial" w:cs="Arial" w:eastAsia="Arial" w:hAnsi="Arial"/>
                <w:sz w:val="18"/>
                <w:szCs w:val="18"/>
                <w:color w:val="auto"/>
              </w:rPr>
              <w:t>Pacific Enterprises</w:t>
            </w:r>
          </w:p>
        </w:tc>
        <w:tc>
          <w:tcPr>
            <w:tcW w:w="6780" w:type="dxa"/>
            <w:vAlign w:val="bottom"/>
          </w:tcPr>
          <w:p>
            <w:pPr>
              <w:ind w:left="100"/>
              <w:spacing w:after="0"/>
              <w:rPr>
                <w:sz w:val="20"/>
                <w:szCs w:val="20"/>
                <w:color w:val="auto"/>
              </w:rPr>
            </w:pPr>
            <w:r>
              <w:rPr>
                <w:rFonts w:ascii="Arial" w:cs="Arial" w:eastAsia="Arial" w:hAnsi="Arial"/>
                <w:sz w:val="18"/>
                <w:szCs w:val="18"/>
                <w:color w:val="auto"/>
              </w:rPr>
              <w:t>Wholly owned by Sempra Energy</w:t>
            </w:r>
          </w:p>
        </w:tc>
      </w:tr>
      <w:tr>
        <w:trPr>
          <w:trHeight w:val="241"/>
        </w:trPr>
        <w:tc>
          <w:tcPr>
            <w:tcW w:w="334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6780" w:type="dxa"/>
            <w:vAlign w:val="bottom"/>
          </w:tcPr>
          <w:p>
            <w:pPr>
              <w:ind w:left="10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504"/>
        </w:trPr>
        <w:tc>
          <w:tcPr>
            <w:tcW w:w="334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r>
        <w:trPr>
          <w:trHeight w:val="34"/>
        </w:trPr>
        <w:tc>
          <w:tcPr>
            <w:tcW w:w="33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bl>
    <w:p>
      <w:pPr>
        <w:sectPr>
          <w:pgSz w:w="11900" w:h="16838" w:orient="portrait"/>
          <w:cols w:equalWidth="0" w:num="1">
            <w:col w:w="10120"/>
          </w:cols>
          <w:pgMar w:left="900" w:top="621" w:right="879" w:bottom="1440" w:gutter="0" w:footer="0" w:header="0"/>
        </w:sectPr>
      </w:pPr>
    </w:p>
    <w:bookmarkStart w:id="2" w:name="page3"/>
    <w:bookmarkEnd w:id="2"/>
    <w:p>
      <w:pPr>
        <w:ind w:left="1840"/>
        <w:spacing w:after="0"/>
        <w:rPr>
          <w:sz w:val="20"/>
          <w:szCs w:val="20"/>
          <w:color w:val="auto"/>
        </w:rPr>
      </w:pPr>
      <w:r>
        <w:rPr>
          <w:rFonts w:ascii="Arial" w:cs="Arial" w:eastAsia="Arial" w:hAnsi="Arial"/>
          <w:sz w:val="25"/>
          <w:szCs w:val="25"/>
          <w:color w:val="auto"/>
        </w:rPr>
        <w:t>SEMPRA ENERGY FORM 10-Q</w:t>
      </w:r>
    </w:p>
    <w:p>
      <w:pPr>
        <w:ind w:left="1840"/>
        <w:spacing w:after="0"/>
        <w:rPr>
          <w:sz w:val="20"/>
          <w:szCs w:val="20"/>
          <w:color w:val="auto"/>
        </w:rPr>
      </w:pPr>
      <w:r>
        <w:rPr>
          <w:rFonts w:ascii="Arial" w:cs="Arial" w:eastAsia="Arial" w:hAnsi="Arial"/>
          <w:sz w:val="25"/>
          <w:szCs w:val="25"/>
          <w:color w:val="auto"/>
        </w:rPr>
        <w:t>TABLE OF CONTENTS</w:t>
      </w:r>
    </w:p>
    <w:p>
      <w:pPr>
        <w:spacing w:after="0" w:line="18" w:lineRule="exact"/>
        <w:rPr>
          <w:sz w:val="20"/>
          <w:szCs w:val="20"/>
          <w:color w:val="auto"/>
        </w:rPr>
      </w:pPr>
    </w:p>
    <w:tbl>
      <w:tblPr>
        <w:tblLayout w:type="fixed"/>
        <w:tblInd w:w="1820" w:type="dxa"/>
        <w:tblCellMar>
          <w:top w:w="0" w:type="dxa"/>
          <w:left w:w="0" w:type="dxa"/>
          <w:bottom w:w="0" w:type="dxa"/>
          <w:right w:w="0" w:type="dxa"/>
        </w:tblCellMar>
      </w:tblPr>
      <w:tr>
        <w:trPr>
          <w:trHeight w:val="209"/>
        </w:trPr>
        <w:tc>
          <w:tcPr>
            <w:tcW w:w="10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6"/>
                <w:szCs w:val="16"/>
                <w:i w:val="1"/>
                <w:iCs w:val="1"/>
                <w:color w:val="auto"/>
              </w:rPr>
              <w:t>Page</w:t>
            </w: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47"/>
        </w:trPr>
        <w:tc>
          <w:tcPr>
            <w:tcW w:w="6500" w:type="dxa"/>
            <w:vAlign w:val="bottom"/>
            <w:tcBorders>
              <w:bottom w:val="single" w:sz="8" w:color="auto"/>
            </w:tcBorders>
            <w:gridSpan w:val="2"/>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07"/>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 FINANCIAL INFORMATION</w:t>
            </w:r>
          </w:p>
        </w:tc>
        <w:tc>
          <w:tcPr>
            <w:tcW w:w="1280" w:type="dxa"/>
            <w:vAlign w:val="bottom"/>
          </w:tcPr>
          <w:p>
            <w:pPr>
              <w:spacing w:after="0"/>
              <w:rPr>
                <w:sz w:val="17"/>
                <w:szCs w:val="17"/>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6"/>
                <w:szCs w:val="16"/>
                <w:color w:val="auto"/>
              </w:rPr>
              <w:t>Item 1.</w:t>
            </w:r>
          </w:p>
        </w:tc>
        <w:tc>
          <w:tcPr>
            <w:tcW w:w="5420" w:type="dxa"/>
            <w:vAlign w:val="bottom"/>
          </w:tcPr>
          <w:p>
            <w:pPr>
              <w:ind w:left="300"/>
              <w:spacing w:after="0"/>
              <w:rPr>
                <w:sz w:val="20"/>
                <w:szCs w:val="20"/>
                <w:color w:val="auto"/>
              </w:rPr>
            </w:pPr>
            <w:r>
              <w:rPr>
                <w:rFonts w:ascii="Arial" w:cs="Arial" w:eastAsia="Arial" w:hAnsi="Arial"/>
                <w:sz w:val="16"/>
                <w:szCs w:val="16"/>
                <w:color w:val="auto"/>
              </w:rPr>
              <w:t>Financial Statements</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208"/>
        </w:trPr>
        <w:tc>
          <w:tcPr>
            <w:tcW w:w="1080" w:type="dxa"/>
            <w:vAlign w:val="bottom"/>
          </w:tcPr>
          <w:p>
            <w:pPr>
              <w:ind w:left="20"/>
              <w:spacing w:after="0"/>
              <w:rPr>
                <w:sz w:val="20"/>
                <w:szCs w:val="20"/>
                <w:color w:val="auto"/>
              </w:rPr>
            </w:pPr>
            <w:r>
              <w:rPr>
                <w:rFonts w:ascii="Arial" w:cs="Arial" w:eastAsia="Arial" w:hAnsi="Arial"/>
                <w:sz w:val="16"/>
                <w:szCs w:val="16"/>
                <w:color w:val="auto"/>
              </w:rPr>
              <w:t>Item 2.</w:t>
            </w:r>
          </w:p>
        </w:tc>
        <w:tc>
          <w:tcPr>
            <w:tcW w:w="5420" w:type="dxa"/>
            <w:vAlign w:val="bottom"/>
          </w:tcPr>
          <w:p>
            <w:pPr>
              <w:ind w:left="300"/>
              <w:spacing w:after="0"/>
              <w:rPr>
                <w:sz w:val="20"/>
                <w:szCs w:val="20"/>
                <w:color w:val="auto"/>
              </w:rPr>
            </w:pPr>
            <w:r>
              <w:rPr>
                <w:rFonts w:ascii="Arial" w:cs="Arial" w:eastAsia="Arial" w:hAnsi="Arial"/>
                <w:sz w:val="16"/>
                <w:szCs w:val="16"/>
                <w:color w:val="auto"/>
              </w:rPr>
              <w:t>Management’s Discussion and Analysis of Financial Condition and</w:t>
            </w:r>
          </w:p>
        </w:tc>
        <w:tc>
          <w:tcPr>
            <w:tcW w:w="1280" w:type="dxa"/>
            <w:vAlign w:val="bottom"/>
          </w:tcPr>
          <w:p>
            <w:pPr>
              <w:spacing w:after="0"/>
              <w:rPr>
                <w:sz w:val="18"/>
                <w:szCs w:val="18"/>
                <w:color w:val="auto"/>
              </w:rPr>
            </w:pPr>
          </w:p>
        </w:tc>
      </w:tr>
      <w:tr>
        <w:trPr>
          <w:trHeight w:val="193"/>
        </w:trPr>
        <w:tc>
          <w:tcPr>
            <w:tcW w:w="1080" w:type="dxa"/>
            <w:vAlign w:val="bottom"/>
          </w:tcPr>
          <w:p>
            <w:pPr>
              <w:spacing w:after="0"/>
              <w:rPr>
                <w:sz w:val="16"/>
                <w:szCs w:val="16"/>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280" w:type="dxa"/>
            <w:vAlign w:val="bottom"/>
          </w:tcPr>
          <w:p>
            <w:pPr>
              <w:jc w:val="center"/>
              <w:spacing w:after="0"/>
              <w:rPr>
                <w:sz w:val="20"/>
                <w:szCs w:val="20"/>
                <w:color w:val="auto"/>
              </w:rPr>
            </w:pPr>
            <w:r>
              <w:rPr>
                <w:rFonts w:ascii="Arial" w:cs="Arial" w:eastAsia="Arial" w:hAnsi="Arial"/>
                <w:sz w:val="16"/>
                <w:szCs w:val="16"/>
                <w:color w:val="auto"/>
              </w:rPr>
              <w:t>66</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3.</w:t>
            </w:r>
          </w:p>
        </w:tc>
        <w:tc>
          <w:tcPr>
            <w:tcW w:w="5420" w:type="dxa"/>
            <w:vAlign w:val="bottom"/>
          </w:tcPr>
          <w:p>
            <w:pPr>
              <w:ind w:left="300"/>
              <w:spacing w:after="0"/>
              <w:rPr>
                <w:sz w:val="20"/>
                <w:szCs w:val="20"/>
                <w:color w:val="auto"/>
              </w:rPr>
            </w:pPr>
            <w:r>
              <w:rPr>
                <w:rFonts w:ascii="Arial" w:cs="Arial" w:eastAsia="Arial" w:hAnsi="Arial"/>
                <w:sz w:val="16"/>
                <w:szCs w:val="16"/>
                <w:color w:val="auto"/>
              </w:rPr>
              <w:t>Quantitative and Qualitative Disclosures About Market Risk</w:t>
            </w:r>
          </w:p>
        </w:tc>
        <w:tc>
          <w:tcPr>
            <w:tcW w:w="12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4.</w:t>
            </w:r>
          </w:p>
        </w:tc>
        <w:tc>
          <w:tcPr>
            <w:tcW w:w="5420" w:type="dxa"/>
            <w:vAlign w:val="bottom"/>
          </w:tcPr>
          <w:p>
            <w:pPr>
              <w:ind w:left="300"/>
              <w:spacing w:after="0"/>
              <w:rPr>
                <w:sz w:val="20"/>
                <w:szCs w:val="20"/>
                <w:color w:val="auto"/>
              </w:rPr>
            </w:pPr>
            <w:r>
              <w:rPr>
                <w:rFonts w:ascii="Arial" w:cs="Arial" w:eastAsia="Arial" w:hAnsi="Arial"/>
                <w:sz w:val="16"/>
                <w:szCs w:val="16"/>
                <w:color w:val="auto"/>
              </w:rPr>
              <w:t>Controls and Procedures</w:t>
            </w:r>
          </w:p>
        </w:tc>
        <w:tc>
          <w:tcPr>
            <w:tcW w:w="128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247"/>
        </w:trPr>
        <w:tc>
          <w:tcPr>
            <w:tcW w:w="6500" w:type="dxa"/>
            <w:vAlign w:val="bottom"/>
            <w:tcBorders>
              <w:bottom w:val="single" w:sz="8" w:color="auto"/>
            </w:tcBorders>
            <w:gridSpan w:val="2"/>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07"/>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 – OTHER INFORMATION</w:t>
            </w:r>
          </w:p>
        </w:tc>
        <w:tc>
          <w:tcPr>
            <w:tcW w:w="1280" w:type="dxa"/>
            <w:vAlign w:val="bottom"/>
          </w:tcPr>
          <w:p>
            <w:pPr>
              <w:spacing w:after="0"/>
              <w:rPr>
                <w:sz w:val="17"/>
                <w:szCs w:val="17"/>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6"/>
                <w:szCs w:val="16"/>
                <w:color w:val="auto"/>
              </w:rPr>
              <w:t>Item 1.</w:t>
            </w:r>
          </w:p>
        </w:tc>
        <w:tc>
          <w:tcPr>
            <w:tcW w:w="5420" w:type="dxa"/>
            <w:vAlign w:val="bottom"/>
          </w:tcPr>
          <w:p>
            <w:pPr>
              <w:ind w:left="300"/>
              <w:spacing w:after="0"/>
              <w:rPr>
                <w:sz w:val="20"/>
                <w:szCs w:val="20"/>
                <w:color w:val="auto"/>
              </w:rPr>
            </w:pPr>
            <w:r>
              <w:rPr>
                <w:rFonts w:ascii="Arial" w:cs="Arial" w:eastAsia="Arial" w:hAnsi="Arial"/>
                <w:sz w:val="16"/>
                <w:szCs w:val="16"/>
                <w:color w:val="auto"/>
              </w:rPr>
              <w:t>Legal Proceedings</w:t>
            </w:r>
          </w:p>
        </w:tc>
        <w:tc>
          <w:tcPr>
            <w:tcW w:w="128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1A.</w:t>
            </w:r>
          </w:p>
        </w:tc>
        <w:tc>
          <w:tcPr>
            <w:tcW w:w="5420" w:type="dxa"/>
            <w:vAlign w:val="bottom"/>
          </w:tcPr>
          <w:p>
            <w:pPr>
              <w:ind w:left="300"/>
              <w:spacing w:after="0"/>
              <w:rPr>
                <w:sz w:val="20"/>
                <w:szCs w:val="20"/>
                <w:color w:val="auto"/>
              </w:rPr>
            </w:pPr>
            <w:r>
              <w:rPr>
                <w:rFonts w:ascii="Arial" w:cs="Arial" w:eastAsia="Arial" w:hAnsi="Arial"/>
                <w:sz w:val="16"/>
                <w:szCs w:val="16"/>
                <w:color w:val="auto"/>
              </w:rPr>
              <w:t>Risk Factors</w:t>
            </w:r>
          </w:p>
        </w:tc>
        <w:tc>
          <w:tcPr>
            <w:tcW w:w="128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4.</w:t>
            </w:r>
          </w:p>
        </w:tc>
        <w:tc>
          <w:tcPr>
            <w:tcW w:w="5420" w:type="dxa"/>
            <w:vAlign w:val="bottom"/>
          </w:tcPr>
          <w:p>
            <w:pPr>
              <w:ind w:left="300"/>
              <w:spacing w:after="0"/>
              <w:rPr>
                <w:sz w:val="20"/>
                <w:szCs w:val="20"/>
                <w:color w:val="auto"/>
              </w:rPr>
            </w:pPr>
            <w:r>
              <w:rPr>
                <w:rFonts w:ascii="Arial" w:cs="Arial" w:eastAsia="Arial" w:hAnsi="Arial"/>
                <w:sz w:val="16"/>
                <w:szCs w:val="16"/>
                <w:color w:val="auto"/>
              </w:rPr>
              <w:t>Submission of Matters to a Vote of Security Holders</w:t>
            </w:r>
          </w:p>
        </w:tc>
        <w:tc>
          <w:tcPr>
            <w:tcW w:w="1280" w:type="dxa"/>
            <w:vAlign w:val="bottom"/>
          </w:tcPr>
          <w:p>
            <w:pPr>
              <w:jc w:val="center"/>
              <w:spacing w:after="0"/>
              <w:rPr>
                <w:sz w:val="20"/>
                <w:szCs w:val="20"/>
                <w:color w:val="auto"/>
              </w:rPr>
            </w:pPr>
            <w:r>
              <w:rPr>
                <w:rFonts w:ascii="Arial" w:cs="Arial" w:eastAsia="Arial" w:hAnsi="Arial"/>
                <w:sz w:val="16"/>
                <w:szCs w:val="16"/>
                <w:color w:val="auto"/>
              </w:rPr>
              <w:t>93</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6.</w:t>
            </w:r>
          </w:p>
        </w:tc>
        <w:tc>
          <w:tcPr>
            <w:tcW w:w="5420" w:type="dxa"/>
            <w:vAlign w:val="bottom"/>
          </w:tcPr>
          <w:p>
            <w:pPr>
              <w:ind w:left="300"/>
              <w:spacing w:after="0"/>
              <w:rPr>
                <w:sz w:val="20"/>
                <w:szCs w:val="20"/>
                <w:color w:val="auto"/>
              </w:rPr>
            </w:pPr>
            <w:r>
              <w:rPr>
                <w:rFonts w:ascii="Arial" w:cs="Arial" w:eastAsia="Arial" w:hAnsi="Arial"/>
                <w:sz w:val="16"/>
                <w:szCs w:val="16"/>
                <w:color w:val="auto"/>
              </w:rPr>
              <w:t>Exhibits</w:t>
            </w:r>
          </w:p>
        </w:tc>
        <w:tc>
          <w:tcPr>
            <w:tcW w:w="1280" w:type="dxa"/>
            <w:vAlign w:val="bottom"/>
          </w:tcPr>
          <w:p>
            <w:pPr>
              <w:jc w:val="center"/>
              <w:spacing w:after="0"/>
              <w:rPr>
                <w:sz w:val="20"/>
                <w:szCs w:val="20"/>
                <w:color w:val="auto"/>
              </w:rPr>
            </w:pPr>
            <w:r>
              <w:rPr>
                <w:rFonts w:ascii="Arial" w:cs="Arial" w:eastAsia="Arial" w:hAnsi="Arial"/>
                <w:sz w:val="16"/>
                <w:szCs w:val="16"/>
                <w:color w:val="auto"/>
              </w:rPr>
              <w:t>94</w:t>
            </w:r>
          </w:p>
        </w:tc>
      </w:tr>
      <w:tr>
        <w:trPr>
          <w:trHeight w:val="458"/>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Signatures</w:t>
            </w:r>
          </w:p>
        </w:tc>
        <w:tc>
          <w:tcPr>
            <w:tcW w:w="5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96</w:t>
            </w:r>
          </w:p>
        </w:tc>
      </w:tr>
    </w:tbl>
    <w:p>
      <w:pPr>
        <w:spacing w:after="0" w:line="200" w:lineRule="exact"/>
        <w:rPr>
          <w:sz w:val="20"/>
          <w:szCs w:val="20"/>
          <w:color w:val="auto"/>
        </w:rPr>
      </w:pPr>
    </w:p>
    <w:p>
      <w:pPr>
        <w:spacing w:after="0" w:line="273" w:lineRule="exact"/>
        <w:rPr>
          <w:sz w:val="20"/>
          <w:szCs w:val="20"/>
          <w:color w:val="auto"/>
        </w:rPr>
      </w:pPr>
    </w:p>
    <w:p>
      <w:pPr>
        <w:jc w:val="both"/>
        <w:ind w:right="160"/>
        <w:spacing w:after="0" w:line="277"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provides information only as to itself and its consolidated entities and not as to any other company.</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400"/>
          </w:cols>
          <w:pgMar w:left="240" w:top="175" w:right="25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t>INFORMATION REGARDING FORWARD-LOOKING STATEMENTS</w:t>
      </w:r>
    </w:p>
    <w:p>
      <w:pPr>
        <w:spacing w:after="0" w:line="74"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39"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47" w:lineRule="exact"/>
        <w:rPr>
          <w:sz w:val="20"/>
          <w:szCs w:val="20"/>
          <w:color w:val="auto"/>
        </w:rPr>
      </w:pPr>
    </w:p>
    <w:p>
      <w:pPr>
        <w:ind w:right="380"/>
        <w:spacing w:after="0" w:line="259" w:lineRule="auto"/>
        <w:rPr>
          <w:sz w:val="20"/>
          <w:szCs w:val="20"/>
          <w:color w:val="auto"/>
        </w:rPr>
      </w:pPr>
      <w:r>
        <w:rPr>
          <w:rFonts w:ascii="Arial" w:cs="Arial" w:eastAsia="Arial" w:hAnsi="Arial"/>
          <w:sz w:val="21"/>
          <w:szCs w:val="21"/>
          <w:color w:val="auto"/>
        </w:rPr>
        <w:t>Factors, among others, that could cause our actual results and future actions to differ materially from those described in forward-looking statements include</w:t>
      </w:r>
    </w:p>
    <w:p>
      <w:pPr>
        <w:spacing w:after="0" w:line="1" w:lineRule="exact"/>
        <w:rPr>
          <w:sz w:val="20"/>
          <w:szCs w:val="20"/>
          <w:color w:val="auto"/>
        </w:rPr>
      </w:pPr>
    </w:p>
    <w:p>
      <w:pPr>
        <w:ind w:left="180" w:right="1300" w:hanging="173"/>
        <w:spacing w:after="0" w:line="255" w:lineRule="auto"/>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local, regional, national and international economic, competitive, political, legislative and regulatory conditions and developments;</w:t>
      </w:r>
    </w:p>
    <w:p>
      <w:pPr>
        <w:jc w:val="both"/>
        <w:ind w:left="180" w:right="1460" w:hanging="173"/>
        <w:spacing w:after="0" w:line="263" w:lineRule="auto"/>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the United Kingdom and other countries;</w:t>
      </w:r>
    </w:p>
    <w:p>
      <w:pPr>
        <w:spacing w:after="0" w:line="2" w:lineRule="exact"/>
        <w:rPr>
          <w:rFonts w:ascii="Arial" w:cs="Arial" w:eastAsia="Arial" w:hAnsi="Arial"/>
          <w:sz w:val="20"/>
          <w:szCs w:val="20"/>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capital markets conditions and inflation, interest and exchange rates;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energy and trading markets, including the timing and extent of changes and volatility in commodity prices;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availability of electric power, natural gas and liquefied natural gas;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weather conditions and conservation efforts;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war and terrorist attacks;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business, regulatory, environmental and legal decisions and requirements;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status of deregulation of retail natural gas and electricity delivery;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timing and success of business development efforts;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resolution of litigation;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other uncertainties, all of which are difficult to predict and many of which are beyond our control.</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ectPr>
          <w:pgSz w:w="11900" w:h="16838" w:orient="portrait"/>
          <w:cols w:equalWidth="0" w:num="1">
            <w:col w:w="11420"/>
          </w:cols>
          <w:pgMar w:left="240" w:top="591" w:right="239"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PART I – FINANCIAL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5818505" cy="408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408305"/>
                    </a:xfrm>
                    <a:prstGeom prst="rect">
                      <a:avLst/>
                    </a:prstGeom>
                    <a:noFill/>
                  </pic:spPr>
                </pic:pic>
              </a:graphicData>
            </a:graphic>
          </wp:anchor>
        </w:drawing>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gridSpan w:val="2"/>
          </w:tcPr>
          <w:p>
            <w:pPr>
              <w:jc w:val="right"/>
              <w:ind w:right="2489"/>
              <w:spacing w:after="0"/>
              <w:rPr>
                <w:sz w:val="20"/>
                <w:szCs w:val="20"/>
                <w:color w:val="auto"/>
              </w:rPr>
            </w:pPr>
            <w:r>
              <w:rPr>
                <w:rFonts w:ascii="Arial" w:cs="Arial" w:eastAsia="Arial" w:hAnsi="Arial"/>
                <w:sz w:val="14"/>
                <w:szCs w:val="14"/>
                <w:i w:val="1"/>
                <w:iCs w:val="1"/>
                <w:color w:val="auto"/>
              </w:rPr>
              <w:t>(Dollars in millions, except per share amounts)</w:t>
            </w: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340" w:type="dxa"/>
            <w:vAlign w:val="bottom"/>
          </w:tcPr>
          <w:p>
            <w:pPr>
              <w:spacing w:after="0"/>
              <w:rPr>
                <w:sz w:val="17"/>
                <w:szCs w:val="17"/>
                <w:color w:val="auto"/>
              </w:rPr>
            </w:pPr>
          </w:p>
        </w:tc>
        <w:tc>
          <w:tcPr>
            <w:tcW w:w="246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4"/>
                <w:szCs w:val="14"/>
                <w:color w:val="auto"/>
              </w:rPr>
              <w:t>Three months ended June 30,</w:t>
            </w:r>
          </w:p>
        </w:tc>
        <w:tc>
          <w:tcPr>
            <w:tcW w:w="238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color w:val="auto"/>
              </w:rPr>
              <w:t>Six months ended June 30,</w:t>
            </w:r>
          </w:p>
        </w:tc>
      </w:tr>
      <w:tr>
        <w:trPr>
          <w:trHeight w:val="208"/>
        </w:trPr>
        <w:tc>
          <w:tcPr>
            <w:tcW w:w="5520" w:type="dxa"/>
            <w:vAlign w:val="bottom"/>
            <w:tcBorders>
              <w:bottom w:val="single" w:sz="8" w:color="auto"/>
            </w:tcBorders>
            <w:gridSpan w:val="2"/>
          </w:tcPr>
          <w:p>
            <w:pPr>
              <w:jc w:val="right"/>
              <w:ind w:right="369"/>
              <w:spacing w:after="0"/>
              <w:rPr>
                <w:sz w:val="20"/>
                <w:szCs w:val="20"/>
                <w:color w:val="auto"/>
              </w:rPr>
            </w:pPr>
            <w:r>
              <w:rPr>
                <w:rFonts w:ascii="Arial" w:cs="Arial" w:eastAsia="Arial" w:hAnsi="Arial"/>
                <w:sz w:val="14"/>
                <w:szCs w:val="14"/>
                <w:color w:val="auto"/>
              </w:rPr>
              <w:t>2009</w:t>
            </w:r>
          </w:p>
        </w:tc>
        <w:tc>
          <w:tcPr>
            <w:tcW w:w="12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2008*</w:t>
            </w: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2009</w:t>
            </w:r>
          </w:p>
        </w:tc>
        <w:tc>
          <w:tcPr>
            <w:tcW w:w="12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2008*</w:t>
            </w:r>
          </w:p>
        </w:tc>
      </w:tr>
      <w:tr>
        <w:trPr>
          <w:trHeight w:val="202"/>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20" w:type="dxa"/>
            <w:vAlign w:val="bottom"/>
            <w:gridSpan w:val="2"/>
          </w:tcPr>
          <w:p>
            <w:pPr>
              <w:jc w:val="right"/>
              <w:ind w:right="749"/>
              <w:spacing w:after="0"/>
              <w:rPr>
                <w:sz w:val="20"/>
                <w:szCs w:val="20"/>
                <w:color w:val="auto"/>
              </w:rPr>
            </w:pPr>
            <w:r>
              <w:rPr>
                <w:rFonts w:ascii="Arial" w:cs="Arial" w:eastAsia="Arial" w:hAnsi="Arial"/>
                <w:sz w:val="14"/>
                <w:szCs w:val="14"/>
                <w:color w:val="auto"/>
              </w:rPr>
              <w:t>(unaudited)</w:t>
            </w:r>
          </w:p>
        </w:tc>
        <w:tc>
          <w:tcPr>
            <w:tcW w:w="1240" w:type="dxa"/>
            <w:vAlign w:val="bottom"/>
          </w:tcPr>
          <w:p>
            <w:pPr>
              <w:spacing w:after="0"/>
              <w:rPr>
                <w:sz w:val="17"/>
                <w:szCs w:val="17"/>
                <w:color w:val="auto"/>
              </w:rPr>
            </w:pPr>
          </w:p>
        </w:tc>
      </w:tr>
    </w:tbl>
    <w:p>
      <w:pPr>
        <w:spacing w:after="0" w:line="27" w:lineRule="exact"/>
        <w:rPr>
          <w:sz w:val="20"/>
          <w:szCs w:val="20"/>
          <w:color w:val="auto"/>
        </w:rPr>
      </w:pPr>
    </w:p>
    <w:p>
      <w:pPr>
        <w:sectPr>
          <w:pgSz w:w="11900" w:h="16838" w:orient="portrait"/>
          <w:cols w:equalWidth="0" w:num="1">
            <w:col w:w="10219"/>
          </w:cols>
          <w:pgMar w:left="240" w:top="144" w:right="1440" w:bottom="1440" w:gutter="0" w:footer="0" w:header="0"/>
        </w:sectPr>
      </w:pPr>
    </w:p>
    <w:p>
      <w:pPr>
        <w:ind w:left="20"/>
        <w:spacing w:after="0"/>
        <w:rPr>
          <w:sz w:val="20"/>
          <w:szCs w:val="20"/>
          <w:color w:val="auto"/>
        </w:rPr>
      </w:pPr>
      <w:r>
        <w:rPr>
          <w:rFonts w:ascii="Arial" w:cs="Arial" w:eastAsia="Arial" w:hAnsi="Arial"/>
          <w:sz w:val="16"/>
          <w:szCs w:val="16"/>
          <w:color w:val="auto"/>
        </w:rPr>
        <w:t>REVENUES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Sempra Utilities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Sempra Global and parent</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revenues</w:t>
      </w:r>
    </w:p>
    <w:p>
      <w:pPr>
        <w:spacing w:after="0" w:line="30" w:lineRule="exact"/>
        <w:rPr>
          <w:sz w:val="20"/>
          <w:szCs w:val="20"/>
          <w:color w:val="auto"/>
        </w:rPr>
      </w:pPr>
    </w:p>
    <w:p>
      <w:pPr>
        <w:ind w:left="20" w:right="1480"/>
        <w:spacing w:after="0" w:line="279" w:lineRule="auto"/>
        <w:rPr>
          <w:sz w:val="20"/>
          <w:szCs w:val="20"/>
          <w:color w:val="auto"/>
        </w:rPr>
      </w:pPr>
      <w:r>
        <w:rPr>
          <w:rFonts w:ascii="Arial" w:cs="Arial" w:eastAsia="Arial" w:hAnsi="Arial"/>
          <w:sz w:val="16"/>
          <w:szCs w:val="16"/>
          <w:color w:val="auto"/>
        </w:rPr>
        <w:t>EXPENSES AND OTHER INCOME Sempra Utilities: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 of natural gas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 of electric fuel and purchased power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Sempra Global and parent:</w:t>
      </w:r>
    </w:p>
    <w:p>
      <w:pPr>
        <w:spacing w:after="0" w:line="30" w:lineRule="exact"/>
        <w:rPr>
          <w:sz w:val="20"/>
          <w:szCs w:val="20"/>
          <w:color w:val="auto"/>
        </w:rPr>
      </w:pPr>
    </w:p>
    <w:p>
      <w:pPr>
        <w:ind w:left="200"/>
        <w:spacing w:after="0" w:line="279" w:lineRule="auto"/>
        <w:rPr>
          <w:sz w:val="20"/>
          <w:szCs w:val="20"/>
          <w:color w:val="auto"/>
        </w:rPr>
      </w:pPr>
      <w:r>
        <w:rPr>
          <w:rFonts w:ascii="Arial" w:cs="Arial" w:eastAsia="Arial" w:hAnsi="Arial"/>
          <w:sz w:val="16"/>
          <w:szCs w:val="16"/>
          <w:color w:val="auto"/>
        </w:rPr>
        <w:t>Cost of natural gas, electric fuel and purchased power Other cost of sales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 and maintenance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Franchise fees and other taxes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Gains on sale of assets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 of long-lived assets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earnings:</w:t>
      </w:r>
    </w:p>
    <w:p>
      <w:pPr>
        <w:spacing w:after="0" w:line="30" w:lineRule="exact"/>
        <w:rPr>
          <w:sz w:val="20"/>
          <w:szCs w:val="20"/>
          <w:color w:val="auto"/>
        </w:rPr>
      </w:pPr>
    </w:p>
    <w:p>
      <w:pPr>
        <w:ind w:left="200" w:right="1580"/>
        <w:spacing w:after="0" w:line="279" w:lineRule="auto"/>
        <w:rPr>
          <w:sz w:val="20"/>
          <w:szCs w:val="20"/>
          <w:color w:val="auto"/>
        </w:rPr>
      </w:pPr>
      <w:r>
        <w:rPr>
          <w:rFonts w:ascii="Arial" w:cs="Arial" w:eastAsia="Arial" w:hAnsi="Arial"/>
          <w:sz w:val="16"/>
          <w:szCs w:val="16"/>
          <w:color w:val="auto"/>
        </w:rPr>
        <w:t>RBS Sempra Commodities LLP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30" w:lineRule="exact"/>
        <w:rPr>
          <w:sz w:val="20"/>
          <w:szCs w:val="20"/>
          <w:color w:val="auto"/>
        </w:rPr>
      </w:pPr>
    </w:p>
    <w:p>
      <w:pPr>
        <w:ind w:left="200" w:right="560" w:hanging="178"/>
        <w:spacing w:after="0" w:line="279" w:lineRule="auto"/>
        <w:rPr>
          <w:sz w:val="20"/>
          <w:szCs w:val="20"/>
          <w:color w:val="auto"/>
        </w:rPr>
      </w:pPr>
      <w:r>
        <w:rPr>
          <w:rFonts w:ascii="Arial" w:cs="Arial" w:eastAsia="Arial" w:hAnsi="Arial"/>
          <w:sz w:val="16"/>
          <w:szCs w:val="16"/>
          <w:color w:val="auto"/>
        </w:rPr>
        <w:t>Income before income taxes and equity earnings of certain unconsolidated subsidiaries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expense</w:t>
      </w:r>
    </w:p>
    <w:p>
      <w:pPr>
        <w:spacing w:after="0" w:line="44" w:lineRule="exact"/>
        <w:rPr>
          <w:sz w:val="20"/>
          <w:szCs w:val="20"/>
          <w:color w:val="auto"/>
        </w:rPr>
      </w:pPr>
    </w:p>
    <w:p>
      <w:pPr>
        <w:ind w:left="20" w:right="1600"/>
        <w:spacing w:after="0" w:line="279" w:lineRule="auto"/>
        <w:rPr>
          <w:sz w:val="20"/>
          <w:szCs w:val="20"/>
          <w:color w:val="auto"/>
        </w:rPr>
      </w:pPr>
      <w:r>
        <w:rPr>
          <w:rFonts w:ascii="Arial" w:cs="Arial" w:eastAsia="Arial" w:hAnsi="Arial"/>
          <w:sz w:val="16"/>
          <w:szCs w:val="16"/>
          <w:color w:val="auto"/>
        </w:rPr>
        <w:t>Equity earnings, net of income tax Net income</w:t>
      </w:r>
    </w:p>
    <w:p>
      <w:pPr>
        <w:spacing w:after="0" w:line="1" w:lineRule="exact"/>
        <w:rPr>
          <w:sz w:val="20"/>
          <w:szCs w:val="20"/>
          <w:color w:val="auto"/>
        </w:rPr>
      </w:pPr>
    </w:p>
    <w:p>
      <w:pPr>
        <w:ind w:left="20" w:right="60"/>
        <w:spacing w:after="0" w:line="309" w:lineRule="auto"/>
        <w:rPr>
          <w:sz w:val="20"/>
          <w:szCs w:val="20"/>
          <w:color w:val="auto"/>
        </w:rPr>
      </w:pPr>
      <w:r>
        <w:rPr>
          <w:rFonts w:ascii="Arial" w:cs="Arial" w:eastAsia="Arial" w:hAnsi="Arial"/>
          <w:sz w:val="16"/>
          <w:szCs w:val="16"/>
          <w:color w:val="auto"/>
        </w:rPr>
        <w:t>(Earnings) losses attributable to noncontrolling interests Preferred dividends of subsidiaries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w:t>
      </w:r>
    </w:p>
    <w:p>
      <w:pPr>
        <w:spacing w:after="0" w:line="325" w:lineRule="exact"/>
        <w:rPr>
          <w:sz w:val="20"/>
          <w:szCs w:val="20"/>
          <w:color w:val="auto"/>
        </w:rPr>
      </w:pPr>
    </w:p>
    <w:p>
      <w:pPr>
        <w:ind w:left="20" w:right="500"/>
        <w:spacing w:after="0" w:line="279" w:lineRule="auto"/>
        <w:rPr>
          <w:sz w:val="20"/>
          <w:szCs w:val="20"/>
          <w:color w:val="auto"/>
        </w:rPr>
      </w:pPr>
      <w:r>
        <w:rPr>
          <w:rFonts w:ascii="Arial" w:cs="Arial" w:eastAsia="Arial" w:hAnsi="Arial"/>
          <w:sz w:val="16"/>
          <w:szCs w:val="16"/>
          <w:color w:val="auto"/>
        </w:rPr>
        <w:t>Basic earnings per common share Weighted-average number of shares outstanding,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1,316</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1,887</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2,958</w:t>
            </w:r>
          </w:p>
        </w:tc>
        <w:tc>
          <w:tcPr>
            <w:tcW w:w="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4,177</w:t>
            </w:r>
          </w:p>
        </w:tc>
      </w:tr>
      <w:tr>
        <w:trPr>
          <w:trHeight w:val="217"/>
        </w:trPr>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616</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839</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r>
      <w:tr>
        <w:trPr>
          <w:trHeight w:val="205"/>
        </w:trPr>
        <w:tc>
          <w:tcPr>
            <w:tcW w:w="5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1,689</w:t>
            </w:r>
          </w:p>
        </w:tc>
        <w:tc>
          <w:tcPr>
            <w:tcW w:w="4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2,503</w:t>
            </w:r>
          </w:p>
        </w:tc>
        <w:tc>
          <w:tcPr>
            <w:tcW w:w="40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3,797</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5,773</w:t>
            </w:r>
          </w:p>
        </w:tc>
      </w:tr>
      <w:tr>
        <w:trPr>
          <w:trHeight w:val="643"/>
        </w:trPr>
        <w:tc>
          <w:tcPr>
            <w:tcW w:w="5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4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(784)</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(789)</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429"/>
        </w:trPr>
        <w:tc>
          <w:tcPr>
            <w:tcW w:w="5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(187)</w:t>
            </w:r>
          </w:p>
        </w:tc>
        <w:tc>
          <w:tcPr>
            <w:tcW w:w="4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(513)</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(589)</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(549)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109</w:t>
            </w:r>
          </w:p>
        </w:tc>
        <w:tc>
          <w:tcPr>
            <w:tcW w:w="40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4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9"/>
        </w:trPr>
        <w:tc>
          <w:tcPr>
            <w:tcW w:w="5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126</w:t>
            </w:r>
          </w:p>
        </w:tc>
        <w:tc>
          <w:tcPr>
            <w:tcW w:w="4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4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279</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70</w:t>
            </w:r>
          </w:p>
        </w:tc>
        <w:tc>
          <w:tcPr>
            <w:tcW w:w="4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73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419"/>
        </w:trPr>
        <w:tc>
          <w:tcPr>
            <w:tcW w:w="5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256</w:t>
            </w:r>
          </w:p>
        </w:tc>
        <w:tc>
          <w:tcPr>
            <w:tcW w:w="42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446</w:t>
            </w:r>
          </w:p>
        </w:tc>
        <w:tc>
          <w:tcPr>
            <w:tcW w:w="4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674</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7"/>
        </w:trPr>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5"/>
        </w:trPr>
        <w:tc>
          <w:tcPr>
            <w:tcW w:w="5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189</w:t>
            </w:r>
          </w:p>
        </w:tc>
        <w:tc>
          <w:tcPr>
            <w:tcW w:w="4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262</w:t>
            </w:r>
          </w:p>
        </w:tc>
        <w:tc>
          <w:tcPr>
            <w:tcW w:w="40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514</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4"/>
        </w:trPr>
        <w:tc>
          <w:tcPr>
            <w:tcW w:w="5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198</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244</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514</w:t>
            </w:r>
          </w:p>
        </w:tc>
        <w:tc>
          <w:tcPr>
            <w:tcW w:w="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83"/>
        </w:trPr>
        <w:tc>
          <w:tcPr>
            <w:tcW w:w="5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426"/>
        </w:trPr>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0.82</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0.99</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2.12</w:t>
            </w:r>
          </w:p>
        </w:tc>
        <w:tc>
          <w:tcPr>
            <w:tcW w:w="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83"/>
        </w:trPr>
        <w:tc>
          <w:tcPr>
            <w:tcW w:w="5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bl>
    <w:p>
      <w:pPr>
        <w:spacing w:after="0" w:line="229" w:lineRule="exact"/>
        <w:rPr>
          <w:sz w:val="20"/>
          <w:szCs w:val="20"/>
          <w:color w:val="auto"/>
        </w:rPr>
      </w:pPr>
    </w:p>
    <w:p>
      <w:pPr>
        <w:sectPr>
          <w:pgSz w:w="11900" w:h="16838" w:orient="portrait"/>
          <w:cols w:equalWidth="0" w:num="2">
            <w:col w:w="4040" w:space="300"/>
            <w:col w:w="5879"/>
          </w:cols>
          <w:pgMar w:left="240" w:top="144" w:right="1440"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340" w:type="dxa"/>
            <w:vAlign w:val="bottom"/>
            <w:vMerge w:val="restart"/>
          </w:tcPr>
          <w:p>
            <w:pPr>
              <w:ind w:left="200"/>
              <w:spacing w:after="0"/>
              <w:rPr>
                <w:sz w:val="20"/>
                <w:szCs w:val="20"/>
                <w:color w:val="auto"/>
              </w:rPr>
            </w:pPr>
            <w:r>
              <w:rPr>
                <w:rFonts w:ascii="Arial" w:cs="Arial" w:eastAsia="Arial" w:hAnsi="Arial"/>
                <w:sz w:val="16"/>
                <w:szCs w:val="16"/>
                <w:color w:val="auto"/>
              </w:rPr>
              <w:t>basic (thousands)</w:t>
            </w:r>
          </w:p>
        </w:tc>
        <w:tc>
          <w:tcPr>
            <w:tcW w:w="42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242,718</w:t>
            </w:r>
          </w:p>
        </w:tc>
        <w:tc>
          <w:tcPr>
            <w:tcW w:w="3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245,576</w:t>
            </w:r>
          </w:p>
        </w:tc>
        <w:tc>
          <w:tcPr>
            <w:tcW w:w="3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242,245</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252,100</w:t>
            </w:r>
          </w:p>
        </w:tc>
        <w:tc>
          <w:tcPr>
            <w:tcW w:w="0" w:type="dxa"/>
            <w:vAlign w:val="bottom"/>
          </w:tcPr>
          <w:p>
            <w:pPr>
              <w:spacing w:after="0"/>
              <w:rPr>
                <w:sz w:val="1"/>
                <w:szCs w:val="1"/>
                <w:color w:val="auto"/>
              </w:rPr>
            </w:pPr>
          </w:p>
        </w:tc>
      </w:tr>
      <w:tr>
        <w:trPr>
          <w:trHeight w:val="83"/>
        </w:trPr>
        <w:tc>
          <w:tcPr>
            <w:tcW w:w="43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4340" w:type="dxa"/>
            <w:vAlign w:val="bottom"/>
            <w:vMerge w:val="restart"/>
          </w:tcPr>
          <w:p>
            <w:pPr>
              <w:ind w:left="20"/>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0.80</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0.98</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83"/>
        </w:trPr>
        <w:tc>
          <w:tcPr>
            <w:tcW w:w="43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vMerge w:val="restart"/>
          </w:tcPr>
          <w:p>
            <w:pPr>
              <w:ind w:left="200"/>
              <w:spacing w:after="0"/>
              <w:rPr>
                <w:sz w:val="20"/>
                <w:szCs w:val="20"/>
                <w:color w:val="auto"/>
              </w:rPr>
            </w:pPr>
            <w:r>
              <w:rPr>
                <w:rFonts w:ascii="Arial" w:cs="Arial" w:eastAsia="Arial" w:hAnsi="Arial"/>
                <w:sz w:val="16"/>
                <w:szCs w:val="16"/>
                <w:color w:val="auto"/>
              </w:rPr>
              <w:t>diluted (thousands)</w:t>
            </w:r>
          </w:p>
        </w:tc>
        <w:tc>
          <w:tcPr>
            <w:tcW w:w="4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247,090</w:t>
            </w:r>
          </w:p>
        </w:tc>
        <w:tc>
          <w:tcPr>
            <w:tcW w:w="3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249,677</w:t>
            </w:r>
          </w:p>
        </w:tc>
        <w:tc>
          <w:tcPr>
            <w:tcW w:w="3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246,039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256,169</w:t>
            </w:r>
          </w:p>
        </w:tc>
        <w:tc>
          <w:tcPr>
            <w:tcW w:w="0" w:type="dxa"/>
            <w:vAlign w:val="bottom"/>
          </w:tcPr>
          <w:p>
            <w:pPr>
              <w:spacing w:after="0"/>
              <w:rPr>
                <w:sz w:val="1"/>
                <w:szCs w:val="1"/>
                <w:color w:val="auto"/>
              </w:rPr>
            </w:pPr>
          </w:p>
        </w:tc>
      </w:tr>
      <w:tr>
        <w:trPr>
          <w:trHeight w:val="83"/>
        </w:trPr>
        <w:tc>
          <w:tcPr>
            <w:tcW w:w="43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340" w:type="dxa"/>
            <w:vAlign w:val="bottom"/>
          </w:tcPr>
          <w:p>
            <w:pPr>
              <w:ind w:left="20"/>
              <w:spacing w:after="0"/>
              <w:rPr>
                <w:sz w:val="20"/>
                <w:szCs w:val="20"/>
                <w:color w:val="auto"/>
              </w:rPr>
            </w:pPr>
            <w:r>
              <w:rPr>
                <w:rFonts w:ascii="Arial" w:cs="Arial" w:eastAsia="Arial" w:hAnsi="Arial"/>
                <w:sz w:val="16"/>
                <w:szCs w:val="16"/>
                <w:color w:val="auto"/>
              </w:rPr>
              <w:t>Dividends declared per share of common stock</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0.39</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0.35</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0.78</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83"/>
        </w:trPr>
        <w:tc>
          <w:tcPr>
            <w:tcW w:w="43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SFAS 160 (ASC 810). See Notes to Condensed Consolidated Financial Statements.</w:t>
      </w:r>
    </w:p>
    <w:p>
      <w:pPr>
        <w:sectPr>
          <w:pgSz w:w="11900" w:h="16838" w:orient="portrait"/>
          <w:cols w:equalWidth="0" w:num="1">
            <w:col w:w="10219"/>
          </w:cols>
          <w:pgMar w:left="240" w:top="144" w:right="1440"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61"/>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Trade accounts receivable,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accounts and notes receivable,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Insurance receivable related to wildfire litigation (Note 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Investments and other 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Investment in RBS Sempra Commodities LLP</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investments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Goodwill and other intangible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investments and other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23,153</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16,865</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26,400</w:t>
            </w:r>
          </w:p>
        </w:tc>
      </w:tr>
      <w:tr>
        <w:trPr>
          <w:trHeight w:val="83"/>
        </w:trPr>
        <w:tc>
          <w:tcPr>
            <w:tcW w:w="66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Short-term debt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Dividends and interest payable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Reserve for wildfire litigation (Note 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Preferred stock of subsidiary</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 (50 million shares authorized; none issued)</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(750 million shares authorized; 245 million and 243 million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shares outstanding at June 30, 2009 and December 31, 2008, respectively;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6,559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compensation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02"/>
        </w:trPr>
        <w:tc>
          <w:tcPr>
            <w:tcW w:w="6660" w:type="dxa"/>
            <w:vAlign w:val="bottom"/>
          </w:tcPr>
          <w:p>
            <w:pPr>
              <w:ind w:left="380"/>
              <w:spacing w:after="0"/>
              <w:rPr>
                <w:sz w:val="20"/>
                <w:szCs w:val="20"/>
                <w:color w:val="auto"/>
              </w:rPr>
            </w:pPr>
            <w:r>
              <w:rPr>
                <w:rFonts w:ascii="Arial" w:cs="Arial" w:eastAsia="Arial" w:hAnsi="Arial"/>
                <w:sz w:val="16"/>
                <w:szCs w:val="16"/>
                <w:color w:val="auto"/>
              </w:rPr>
              <w:t>Total Sempra Energy shareholders' equity</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8,477</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 of subsidiaries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 noncontrolling interests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27,922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26,400</w:t>
            </w:r>
          </w:p>
        </w:tc>
      </w:tr>
      <w:tr>
        <w:trPr>
          <w:trHeight w:val="83"/>
        </w:trPr>
        <w:tc>
          <w:tcPr>
            <w:tcW w:w="66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 (ASC 810).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6660" w:type="dxa"/>
            <w:vAlign w:val="bottom"/>
          </w:tcPr>
          <w:p>
            <w:pPr>
              <w:spacing w:after="0"/>
              <w:rPr>
                <w:sz w:val="17"/>
                <w:szCs w:val="17"/>
                <w:color w:val="auto"/>
              </w:rPr>
            </w:pPr>
          </w:p>
        </w:tc>
        <w:tc>
          <w:tcPr>
            <w:tcW w:w="24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color w:val="auto"/>
              </w:rPr>
              <w:t>Six months ended June 30,</w:t>
            </w:r>
          </w:p>
        </w:tc>
      </w:tr>
      <w:tr>
        <w:trPr>
          <w:trHeight w:val="208"/>
        </w:trPr>
        <w:tc>
          <w:tcPr>
            <w:tcW w:w="6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514</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by operating activities: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Equity earnings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Gains on sale of assets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Write-off of long-lived assets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Fixed-price contracts and other derivatives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Other</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Distributions from RBS Sempra Commodities LLP</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375</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1,525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Expenditures for property, plant and equipment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Proceeds from sale of assets, net of cash sold</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Expenditures for investments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Distributions from investments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Purchases of nuclear decommissioning and other trust assets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Proceeds from sales by nuclear decommissioning and other trusts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notes receivable from unconsolidated affiliate</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dividends paid</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dividends paid by subsidiaries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Issuances of common stock</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increase in short-term debt, net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Issuances of long-term debt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1,108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Purchase of noncontrolling interest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487</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and cash equivalents, January 1</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Cash and cash equivalents, June 30</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818</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83"/>
        </w:trPr>
        <w:tc>
          <w:tcPr>
            <w:tcW w:w="66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 (ASC 810).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660" w:type="dxa"/>
            <w:vAlign w:val="bottom"/>
          </w:tcPr>
          <w:p>
            <w:pPr>
              <w:spacing w:after="0"/>
              <w:rPr>
                <w:sz w:val="17"/>
                <w:szCs w:val="17"/>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gridSpan w:val="2"/>
          </w:tcPr>
          <w:p>
            <w:pPr>
              <w:jc w:val="right"/>
              <w:ind w:right="441"/>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Interest payments, net of amounts capitalized</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141</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157</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Income tax payments, net</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140</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(103)</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98</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75"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565150</wp:posOffset>
            </wp:positionV>
            <wp:extent cx="5537835" cy="408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7835"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3860" w:type="dxa"/>
            <w:vAlign w:val="bottom"/>
          </w:tcPr>
          <w:p>
            <w:pPr>
              <w:spacing w:after="0"/>
              <w:rPr>
                <w:sz w:val="17"/>
                <w:szCs w:val="17"/>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Three months ended June 30,</w:t>
            </w:r>
          </w:p>
        </w:tc>
        <w:tc>
          <w:tcPr>
            <w:tcW w:w="23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Six months ended June 30,</w:t>
            </w:r>
          </w:p>
        </w:tc>
      </w:tr>
      <w:tr>
        <w:trPr>
          <w:trHeight w:val="208"/>
        </w:trPr>
        <w:tc>
          <w:tcPr>
            <w:tcW w:w="3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Electric</w:t>
            </w:r>
          </w:p>
        </w:tc>
        <w:tc>
          <w:tcPr>
            <w:tcW w:w="820" w:type="dxa"/>
            <w:vAlign w:val="bottom"/>
          </w:tcPr>
          <w:p>
            <w:pPr>
              <w:ind w:left="2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535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583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1,088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20"/>
        </w:trPr>
        <w:tc>
          <w:tcPr>
            <w:tcW w:w="3860" w:type="dxa"/>
            <w:vAlign w:val="bottom"/>
          </w:tcPr>
          <w:p>
            <w:pPr>
              <w:ind w:left="200"/>
              <w:spacing w:after="0"/>
              <w:rPr>
                <w:sz w:val="20"/>
                <w:szCs w:val="20"/>
                <w:color w:val="auto"/>
              </w:rPr>
            </w:pPr>
            <w:r>
              <w:rPr>
                <w:rFonts w:ascii="Arial" w:cs="Arial" w:eastAsia="Arial" w:hAnsi="Arial"/>
                <w:sz w:val="16"/>
                <w:szCs w:val="16"/>
                <w:color w:val="auto"/>
              </w:rPr>
              <w:t>Natural gas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275</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08"/>
        </w:trPr>
        <w:tc>
          <w:tcPr>
            <w:tcW w:w="3860" w:type="dxa"/>
            <w:vAlign w:val="bottom"/>
          </w:tcPr>
          <w:p>
            <w:pPr>
              <w:ind w:left="380"/>
              <w:spacing w:after="0"/>
              <w:rPr>
                <w:sz w:val="20"/>
                <w:szCs w:val="20"/>
                <w:color w:val="auto"/>
              </w:rPr>
            </w:pPr>
            <w:r>
              <w:rPr>
                <w:rFonts w:ascii="Arial" w:cs="Arial" w:eastAsia="Arial" w:hAnsi="Arial"/>
                <w:sz w:val="16"/>
                <w:szCs w:val="16"/>
                <w:color w:val="auto"/>
              </w:rPr>
              <w:t>Total operating revenues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631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754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1,363</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Cost of electric fuel and purchased power</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129</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220</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113</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124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232</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195</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413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158</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20"/>
        </w:trPr>
        <w:tc>
          <w:tcPr>
            <w:tcW w:w="38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8"/>
        </w:trPr>
        <w:tc>
          <w:tcPr>
            <w:tcW w:w="38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518</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642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1,075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113</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288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286</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171</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820" w:type="dxa"/>
            <w:vAlign w:val="bottom"/>
          </w:tcPr>
          <w:p>
            <w:pPr>
              <w:ind w:left="2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61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83"/>
        </w:trPr>
        <w:tc>
          <w:tcPr>
            <w:tcW w:w="38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SFAS 160 (ASC 810). See Notes to Condensed Consolidated Financial Statements.</w:t>
      </w:r>
    </w:p>
    <w:p>
      <w:pPr>
        <w:sectPr>
          <w:pgSz w:w="11900" w:h="16838" w:orient="portrait"/>
          <w:cols w:equalWidth="0" w:num="1">
            <w:col w:w="10219"/>
          </w:cols>
          <w:pgMar w:left="240" w:top="898"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61"/>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Insurance receivable related to wildfire litigation (Note 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taxes recoverable in rates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9,526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9,095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10,469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9,079</w:t>
            </w:r>
          </w:p>
        </w:tc>
      </w:tr>
      <w:tr>
        <w:trPr>
          <w:trHeight w:val="83"/>
        </w:trPr>
        <w:tc>
          <w:tcPr>
            <w:tcW w:w="66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0"/>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Reserve for wildfire litigation (Note 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Contingently redeemable preferred stock</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2"/>
        </w:trPr>
        <w:tc>
          <w:tcPr>
            <w:tcW w:w="6660" w:type="dxa"/>
            <w:vAlign w:val="bottom"/>
          </w:tcPr>
          <w:p>
            <w:pPr>
              <w:ind w:left="380"/>
              <w:spacing w:after="0"/>
              <w:rPr>
                <w:sz w:val="20"/>
                <w:szCs w:val="20"/>
                <w:color w:val="auto"/>
              </w:rPr>
            </w:pPr>
            <w:r>
              <w:rPr>
                <w:rFonts w:ascii="Arial" w:cs="Arial" w:eastAsia="Arial" w:hAnsi="Arial"/>
                <w:sz w:val="16"/>
                <w:szCs w:val="16"/>
                <w:color w:val="auto"/>
              </w:rPr>
              <w:t>Total SDG&amp;E shareholders' equity</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2,564</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2,542</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10,469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9,079</w:t>
            </w:r>
          </w:p>
        </w:tc>
      </w:tr>
      <w:tr>
        <w:trPr>
          <w:trHeight w:val="83"/>
        </w:trPr>
        <w:tc>
          <w:tcPr>
            <w:tcW w:w="66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 (ASC 810).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p>
      <w:pPr>
        <w:jc w:val="right"/>
        <w:ind w:right="1479"/>
        <w:spacing w:after="0"/>
        <w:rPr>
          <w:sz w:val="20"/>
          <w:szCs w:val="20"/>
          <w:color w:val="auto"/>
        </w:rPr>
      </w:pPr>
      <w:r>
        <w:rPr>
          <w:rFonts w:ascii="Arial" w:cs="Arial" w:eastAsia="Arial" w:hAnsi="Arial"/>
          <w:sz w:val="14"/>
          <w:szCs w:val="14"/>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13970</wp:posOffset>
            </wp:positionV>
            <wp:extent cx="1548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47" w:lineRule="exact"/>
        <w:rPr>
          <w:sz w:val="20"/>
          <w:szCs w:val="20"/>
          <w:color w:val="auto"/>
        </w:rPr>
      </w:pPr>
    </w:p>
    <w:p>
      <w:pPr>
        <w:ind w:left="7100"/>
        <w:spacing w:after="0"/>
        <w:tabs>
          <w:tab w:leader="none" w:pos="828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775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5960" cy="8255"/>
                    </a:xfrm>
                    <a:prstGeom prst="rect">
                      <a:avLst/>
                    </a:prstGeom>
                    <a:noFill/>
                  </pic:spPr>
                </pic:pic>
              </a:graphicData>
            </a:graphic>
          </wp:anchor>
        </w:drawing>
      </w:r>
    </w:p>
    <w:p>
      <w:pPr>
        <w:spacing w:after="0" w:line="47"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0219"/>
          </w:cols>
          <w:pgMar w:left="240" w:top="175" w:right="1440" w:bottom="1440" w:gutter="0" w:footer="0" w:header="0"/>
        </w:sectPr>
      </w:pPr>
    </w:p>
    <w:p>
      <w:pPr>
        <w:spacing w:after="0" w:line="37" w:lineRule="exact"/>
        <w:rPr>
          <w:sz w:val="20"/>
          <w:szCs w:val="20"/>
          <w:color w:val="auto"/>
        </w:rPr>
      </w:pPr>
    </w:p>
    <w:p>
      <w:pPr>
        <w:ind w:left="200" w:right="2440" w:hanging="178"/>
        <w:spacing w:after="0" w:line="279" w:lineRule="auto"/>
        <w:rPr>
          <w:sz w:val="20"/>
          <w:szCs w:val="20"/>
          <w:color w:val="auto"/>
        </w:rPr>
      </w:pPr>
      <w:r>
        <w:rPr>
          <w:rFonts w:ascii="Arial" w:cs="Arial" w:eastAsia="Arial" w:hAnsi="Arial"/>
          <w:sz w:val="16"/>
          <w:szCs w:val="16"/>
          <w:color w:val="auto"/>
        </w:rPr>
        <w:t>CASH FLOWS FROM OPERATING ACTIVITIES Net income</w:t>
      </w:r>
    </w:p>
    <w:p>
      <w:pPr>
        <w:spacing w:after="0" w:line="1" w:lineRule="exact"/>
        <w:rPr>
          <w:sz w:val="20"/>
          <w:szCs w:val="20"/>
          <w:color w:val="auto"/>
        </w:rPr>
      </w:pPr>
    </w:p>
    <w:p>
      <w:pPr>
        <w:ind w:left="380" w:right="1460" w:hanging="187"/>
        <w:spacing w:after="0" w:line="279"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and amortization</w:t>
      </w:r>
    </w:p>
    <w:p>
      <w:pPr>
        <w:spacing w:after="0" w:line="30" w:lineRule="exact"/>
        <w:rPr>
          <w:sz w:val="20"/>
          <w:szCs w:val="20"/>
          <w:color w:val="auto"/>
        </w:rPr>
      </w:pPr>
    </w:p>
    <w:p>
      <w:pPr>
        <w:ind w:left="560" w:right="1860"/>
        <w:spacing w:after="0" w:line="301" w:lineRule="auto"/>
        <w:rPr>
          <w:sz w:val="20"/>
          <w:szCs w:val="20"/>
          <w:color w:val="auto"/>
        </w:rPr>
      </w:pPr>
      <w:r>
        <w:rPr>
          <w:rFonts w:ascii="Arial" w:cs="Arial" w:eastAsia="Arial" w:hAnsi="Arial"/>
          <w:sz w:val="16"/>
          <w:szCs w:val="16"/>
          <w:color w:val="auto"/>
        </w:rPr>
        <w:t>Deferred income taxes and investment tax credits Fixed-price contracts and other derivatives Other</w:t>
      </w:r>
    </w:p>
    <w:p>
      <w:pPr>
        <w:spacing w:after="0" w:line="182" w:lineRule="exact"/>
        <w:rPr>
          <w:sz w:val="20"/>
          <w:szCs w:val="20"/>
          <w:color w:val="auto"/>
        </w:rPr>
      </w:pPr>
    </w:p>
    <w:p>
      <w:pPr>
        <w:ind w:left="200" w:right="2300"/>
        <w:spacing w:after="0" w:line="288" w:lineRule="auto"/>
        <w:rPr>
          <w:sz w:val="20"/>
          <w:szCs w:val="20"/>
          <w:color w:val="auto"/>
        </w:rPr>
      </w:pPr>
      <w:r>
        <w:rPr>
          <w:rFonts w:ascii="Arial" w:cs="Arial" w:eastAsia="Arial" w:hAnsi="Arial"/>
          <w:sz w:val="16"/>
          <w:szCs w:val="16"/>
          <w:color w:val="auto"/>
        </w:rPr>
        <w:t>Net change in other working capital components Changes in other assets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other liabilities</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45" w:lineRule="exact"/>
        <w:rPr>
          <w:sz w:val="20"/>
          <w:szCs w:val="20"/>
          <w:color w:val="auto"/>
        </w:rPr>
      </w:pPr>
    </w:p>
    <w:p>
      <w:pPr>
        <w:ind w:left="200" w:right="1760" w:hanging="178"/>
        <w:spacing w:after="0" w:line="281" w:lineRule="auto"/>
        <w:rPr>
          <w:sz w:val="20"/>
          <w:szCs w:val="20"/>
          <w:color w:val="auto"/>
        </w:rPr>
      </w:pPr>
      <w:r>
        <w:rPr>
          <w:rFonts w:ascii="Arial" w:cs="Arial" w:eastAsia="Arial" w:hAnsi="Arial"/>
          <w:sz w:val="16"/>
          <w:szCs w:val="16"/>
          <w:color w:val="auto"/>
        </w:rPr>
        <w:t>CASH FLOWS FROM INVESTING ACTIVITIES Expenditures for property, plant and equipment Expenditures for short-term investments Proceeds from sale of short-term investments Purchases of nuclear decommissioning trust assets Proceeds from sales by nuclear decommissioning trusts Decrease (increase) in loans to affiliates, net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Redemptions of preferred stock</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Issuances of long-term debt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financing activities</w:t>
      </w:r>
    </w:p>
    <w:p>
      <w:pPr>
        <w:spacing w:after="0" w:line="245" w:lineRule="exact"/>
        <w:rPr>
          <w:sz w:val="20"/>
          <w:szCs w:val="20"/>
          <w:color w:val="auto"/>
        </w:rPr>
      </w:pPr>
    </w:p>
    <w:p>
      <w:pPr>
        <w:ind w:left="20" w:right="2380"/>
        <w:spacing w:after="0" w:line="309" w:lineRule="auto"/>
        <w:rPr>
          <w:sz w:val="20"/>
          <w:szCs w:val="20"/>
          <w:color w:val="auto"/>
        </w:rPr>
      </w:pPr>
      <w:r>
        <w:rPr>
          <w:rFonts w:ascii="Arial" w:cs="Arial" w:eastAsia="Arial" w:hAnsi="Arial"/>
          <w:sz w:val="16"/>
          <w:szCs w:val="16"/>
          <w:color w:val="auto"/>
        </w:rPr>
        <w:t>Increase (decrease) in cash and cash equivalents Cash and cash equivalents, January 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June 30</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3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payments (refunds), net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643"/>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r>
    </w:tbl>
    <w:p>
      <w:pPr>
        <w:spacing w:after="0" w:line="200" w:lineRule="exact"/>
        <w:rPr>
          <w:sz w:val="20"/>
          <w:szCs w:val="20"/>
          <w:color w:val="auto"/>
        </w:rPr>
      </w:pPr>
    </w:p>
    <w:p>
      <w:pPr>
        <w:spacing w:after="0" w:line="244" w:lineRule="exact"/>
        <w:rPr>
          <w:sz w:val="20"/>
          <w:szCs w:val="20"/>
          <w:color w:val="auto"/>
        </w:rPr>
      </w:pPr>
    </w:p>
    <w:p>
      <w:pPr>
        <w:ind w:left="2060" w:hanging="1224"/>
        <w:spacing w:after="0"/>
        <w:tabs>
          <w:tab w:leader="none" w:pos="2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(428)</w:t>
      </w:r>
    </w:p>
    <w:p>
      <w:pPr>
        <w:spacing w:after="0" w:line="30" w:lineRule="exact"/>
        <w:rPr>
          <w:sz w:val="20"/>
          <w:szCs w:val="20"/>
          <w:color w:val="auto"/>
        </w:rPr>
      </w:pPr>
    </w:p>
    <w:p>
      <w:pPr>
        <w:ind w:left="2060" w:hanging="1224"/>
        <w:spacing w:after="0"/>
        <w:tabs>
          <w:tab w:leader="none" w:pos="2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(236)</w:t>
      </w:r>
    </w:p>
    <w:p>
      <w:pPr>
        <w:spacing w:after="0" w:line="30" w:lineRule="exact"/>
        <w:rPr>
          <w:sz w:val="20"/>
          <w:szCs w:val="20"/>
          <w:color w:val="auto"/>
        </w:rPr>
      </w:pPr>
    </w:p>
    <w:p>
      <w:pPr>
        <w:ind w:left="2200" w:hanging="1302"/>
        <w:spacing w:after="0"/>
        <w:tabs>
          <w:tab w:leader="none" w:pos="2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75</w:t>
      </w:r>
    </w:p>
    <w:p>
      <w:pPr>
        <w:spacing w:after="0" w:line="30" w:lineRule="exact"/>
        <w:rPr>
          <w:rFonts w:ascii="Arial" w:cs="Arial" w:eastAsia="Arial" w:hAnsi="Arial"/>
          <w:sz w:val="16"/>
          <w:szCs w:val="16"/>
          <w:color w:val="auto"/>
        </w:rPr>
      </w:pPr>
    </w:p>
    <w:p>
      <w:pPr>
        <w:ind w:left="2060" w:hanging="1135"/>
        <w:spacing w:after="0"/>
        <w:tabs>
          <w:tab w:leader="none" w:pos="2060" w:val="left"/>
        </w:tabs>
        <w:numPr>
          <w:ilvl w:val="1"/>
          <w:numId w:val="8"/>
        </w:numPr>
        <w:rPr>
          <w:rFonts w:ascii="Arial" w:cs="Arial" w:eastAsia="Arial" w:hAnsi="Arial"/>
          <w:sz w:val="16"/>
          <w:szCs w:val="16"/>
          <w:color w:val="auto"/>
        </w:rPr>
      </w:pPr>
      <w:r>
        <w:rPr>
          <w:rFonts w:ascii="Arial" w:cs="Arial" w:eastAsia="Arial" w:hAnsi="Arial"/>
          <w:sz w:val="16"/>
          <w:szCs w:val="16"/>
          <w:color w:val="auto"/>
        </w:rPr>
        <w:t>(173)</w:t>
      </w:r>
    </w:p>
    <w:p>
      <w:pPr>
        <w:spacing w:after="0" w:line="30"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175</w:t>
      </w:r>
    </w:p>
    <w:p>
      <w:pPr>
        <w:spacing w:after="0" w:line="30" w:lineRule="exact"/>
        <w:rPr>
          <w:sz w:val="20"/>
          <w:szCs w:val="20"/>
          <w:color w:val="auto"/>
        </w:rPr>
      </w:pPr>
    </w:p>
    <w:p>
      <w:pPr>
        <w:ind w:left="2140" w:hanging="1153"/>
        <w:spacing w:after="0"/>
        <w:tabs>
          <w:tab w:leader="none" w:pos="2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(24)</w:t>
      </w:r>
    </w:p>
    <w:p>
      <w:pPr>
        <w:spacing w:after="0" w:line="30"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1</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48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4" w:lineRule="exact"/>
        <w:rPr>
          <w:sz w:val="20"/>
          <w:szCs w:val="20"/>
          <w:color w:val="auto"/>
        </w:rPr>
      </w:pPr>
    </w:p>
    <w:p>
      <w:pPr>
        <w:ind w:left="2060" w:hanging="1224"/>
        <w:spacing w:after="0"/>
        <w:tabs>
          <w:tab w:leader="none" w:pos="2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48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358</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419"/>
        </w:trPr>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08"/>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83"/>
        </w:trPr>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640"/>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83"/>
        </w:trPr>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426"/>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83"/>
        </w:trPr>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5940" w:space="720"/>
            <w:col w:w="3559"/>
          </w:cols>
          <w:pgMar w:left="240" w:top="175"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5879" w:firstLine="1"/>
        <w:spacing w:after="0" w:line="335" w:lineRule="auto"/>
        <w:tabs>
          <w:tab w:leader="none" w:pos="115"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SFAS 160 (ASC 810). 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565150</wp:posOffset>
            </wp:positionV>
            <wp:extent cx="5537835" cy="408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7835"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3860" w:type="dxa"/>
            <w:vAlign w:val="bottom"/>
          </w:tcPr>
          <w:p>
            <w:pPr>
              <w:spacing w:after="0"/>
              <w:rPr>
                <w:sz w:val="17"/>
                <w:szCs w:val="17"/>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Three months ended June 30,</w:t>
            </w:r>
          </w:p>
        </w:tc>
        <w:tc>
          <w:tcPr>
            <w:tcW w:w="23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Six months ended June 30,</w:t>
            </w:r>
          </w:p>
        </w:tc>
      </w:tr>
      <w:tr>
        <w:trPr>
          <w:trHeight w:val="208"/>
        </w:trPr>
        <w:tc>
          <w:tcPr>
            <w:tcW w:w="3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40"/>
        </w:trPr>
        <w:tc>
          <w:tcPr>
            <w:tcW w:w="38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1,143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214</w:t>
            </w:r>
          </w:p>
        </w:tc>
        <w:tc>
          <w:tcPr>
            <w:tcW w:w="26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673</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669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266</w:t>
            </w:r>
          </w:p>
        </w:tc>
        <w:tc>
          <w:tcPr>
            <w:tcW w:w="26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265</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517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75</w:t>
            </w:r>
          </w:p>
        </w:tc>
        <w:tc>
          <w:tcPr>
            <w:tcW w:w="26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20"/>
        </w:trPr>
        <w:tc>
          <w:tcPr>
            <w:tcW w:w="38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38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579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1,041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1,389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115</w:t>
            </w:r>
          </w:p>
        </w:tc>
        <w:tc>
          <w:tcPr>
            <w:tcW w:w="26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225</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Preferred dividends of subsidiary</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820" w:type="dxa"/>
            <w:vAlign w:val="bottom"/>
          </w:tcPr>
          <w:p>
            <w:pPr>
              <w:ind w:left="2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61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119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83"/>
        </w:trPr>
        <w:tc>
          <w:tcPr>
            <w:tcW w:w="38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SFAS 160 (ASC 810). See Notes to Condensed Consolidated Financial Statements.</w:t>
      </w:r>
    </w:p>
    <w:p>
      <w:pPr>
        <w:sectPr>
          <w:pgSz w:w="11900" w:h="16838" w:orient="portrait"/>
          <w:cols w:equalWidth="0" w:num="1">
            <w:col w:w="10219"/>
          </w:cols>
          <w:pgMar w:left="240" w:top="898"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61"/>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8,975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8,816</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5,466</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7,907</w:t>
            </w:r>
          </w:p>
        </w:tc>
      </w:tr>
      <w:tr>
        <w:trPr>
          <w:trHeight w:val="83"/>
        </w:trPr>
        <w:tc>
          <w:tcPr>
            <w:tcW w:w="66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taxes refundable in rates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(600 million shares authorized; 84 million shares outstanding;</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2"/>
        </w:trPr>
        <w:tc>
          <w:tcPr>
            <w:tcW w:w="6660" w:type="dxa"/>
            <w:vAlign w:val="bottom"/>
          </w:tcPr>
          <w:p>
            <w:pPr>
              <w:ind w:left="380"/>
              <w:spacing w:after="0"/>
              <w:rPr>
                <w:sz w:val="20"/>
                <w:szCs w:val="20"/>
                <w:color w:val="auto"/>
              </w:rPr>
            </w:pPr>
            <w:r>
              <w:rPr>
                <w:rFonts w:ascii="Arial" w:cs="Arial" w:eastAsia="Arial" w:hAnsi="Arial"/>
                <w:sz w:val="16"/>
                <w:szCs w:val="16"/>
                <w:color w:val="auto"/>
              </w:rPr>
              <w:t>Total Pacific Enterprises shareholders' equity</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2,061</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7,907</w:t>
            </w:r>
          </w:p>
        </w:tc>
      </w:tr>
      <w:tr>
        <w:trPr>
          <w:trHeight w:val="83"/>
        </w:trPr>
        <w:tc>
          <w:tcPr>
            <w:tcW w:w="66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SFAS 160 (ASC 810).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p>
      <w:pPr>
        <w:jc w:val="right"/>
        <w:ind w:right="1479"/>
        <w:spacing w:after="0"/>
        <w:rPr>
          <w:sz w:val="20"/>
          <w:szCs w:val="20"/>
          <w:color w:val="auto"/>
        </w:rPr>
      </w:pPr>
      <w:r>
        <w:rPr>
          <w:rFonts w:ascii="Arial" w:cs="Arial" w:eastAsia="Arial" w:hAnsi="Arial"/>
          <w:sz w:val="14"/>
          <w:szCs w:val="14"/>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13970</wp:posOffset>
            </wp:positionV>
            <wp:extent cx="1548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47" w:lineRule="exact"/>
        <w:rPr>
          <w:sz w:val="20"/>
          <w:szCs w:val="20"/>
          <w:color w:val="auto"/>
        </w:rPr>
      </w:pPr>
    </w:p>
    <w:p>
      <w:pPr>
        <w:ind w:left="7100"/>
        <w:spacing w:after="0"/>
        <w:tabs>
          <w:tab w:leader="none" w:pos="828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775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5960" cy="8255"/>
                    </a:xfrm>
                    <a:prstGeom prst="rect">
                      <a:avLst/>
                    </a:prstGeom>
                    <a:noFill/>
                  </pic:spPr>
                </pic:pic>
              </a:graphicData>
            </a:graphic>
          </wp:anchor>
        </w:drawing>
      </w:r>
    </w:p>
    <w:p>
      <w:pPr>
        <w:spacing w:after="0" w:line="47"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0219"/>
          </w:cols>
          <w:pgMar w:left="240" w:top="175" w:right="1440" w:bottom="1440" w:gutter="0" w:footer="0" w:header="0"/>
        </w:sectPr>
      </w:pPr>
    </w:p>
    <w:p>
      <w:pPr>
        <w:spacing w:after="0" w:line="37" w:lineRule="exact"/>
        <w:rPr>
          <w:sz w:val="20"/>
          <w:szCs w:val="20"/>
          <w:color w:val="auto"/>
        </w:rPr>
      </w:pPr>
    </w:p>
    <w:p>
      <w:pPr>
        <w:ind w:left="200" w:right="2440" w:hanging="178"/>
        <w:spacing w:after="0" w:line="279" w:lineRule="auto"/>
        <w:rPr>
          <w:sz w:val="20"/>
          <w:szCs w:val="20"/>
          <w:color w:val="auto"/>
        </w:rPr>
      </w:pPr>
      <w:r>
        <w:rPr>
          <w:rFonts w:ascii="Arial" w:cs="Arial" w:eastAsia="Arial" w:hAnsi="Arial"/>
          <w:sz w:val="16"/>
          <w:szCs w:val="16"/>
          <w:color w:val="auto"/>
        </w:rPr>
        <w:t>CASH FLOWS FROM OPERATING ACTIVITIES Net income</w:t>
      </w:r>
    </w:p>
    <w:p>
      <w:pPr>
        <w:spacing w:after="0" w:line="1" w:lineRule="exact"/>
        <w:rPr>
          <w:sz w:val="20"/>
          <w:szCs w:val="20"/>
          <w:color w:val="auto"/>
        </w:rPr>
      </w:pPr>
    </w:p>
    <w:p>
      <w:pPr>
        <w:ind w:left="380" w:right="1460" w:hanging="187"/>
        <w:spacing w:after="0" w:line="279"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w:t>
      </w:r>
    </w:p>
    <w:p>
      <w:pPr>
        <w:spacing w:after="0" w:line="30" w:lineRule="exact"/>
        <w:rPr>
          <w:sz w:val="20"/>
          <w:szCs w:val="20"/>
          <w:color w:val="auto"/>
        </w:rPr>
      </w:pPr>
    </w:p>
    <w:p>
      <w:pPr>
        <w:ind w:left="560" w:right="1860"/>
        <w:spacing w:after="0" w:line="279" w:lineRule="auto"/>
        <w:rPr>
          <w:sz w:val="20"/>
          <w:szCs w:val="20"/>
          <w:color w:val="auto"/>
        </w:rPr>
      </w:pPr>
      <w:r>
        <w:rPr>
          <w:rFonts w:ascii="Arial" w:cs="Arial" w:eastAsia="Arial" w:hAnsi="Arial"/>
          <w:sz w:val="16"/>
          <w:szCs w:val="16"/>
          <w:color w:val="auto"/>
        </w:rPr>
        <w:t>Deferred income taxes and investment tax credits Other</w:t>
      </w:r>
    </w:p>
    <w:p>
      <w:pPr>
        <w:spacing w:after="0" w:line="1" w:lineRule="exact"/>
        <w:rPr>
          <w:sz w:val="20"/>
          <w:szCs w:val="20"/>
          <w:color w:val="auto"/>
        </w:rPr>
      </w:pPr>
    </w:p>
    <w:p>
      <w:pPr>
        <w:ind w:left="200" w:right="2300"/>
        <w:spacing w:after="0" w:line="288" w:lineRule="auto"/>
        <w:rPr>
          <w:sz w:val="20"/>
          <w:szCs w:val="20"/>
          <w:color w:val="auto"/>
        </w:rPr>
      </w:pPr>
      <w:r>
        <w:rPr>
          <w:rFonts w:ascii="Arial" w:cs="Arial" w:eastAsia="Arial" w:hAnsi="Arial"/>
          <w:sz w:val="16"/>
          <w:szCs w:val="16"/>
          <w:color w:val="auto"/>
        </w:rPr>
        <w:t>Net change in other working capital components Changes in other assets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other liabilities</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for property, plant and equipment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Decrease (increase) in loans to affiliates, net</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44" w:lineRule="exact"/>
        <w:rPr>
          <w:sz w:val="20"/>
          <w:szCs w:val="20"/>
          <w:color w:val="auto"/>
        </w:rPr>
      </w:pPr>
    </w:p>
    <w:p>
      <w:pPr>
        <w:jc w:val="right"/>
        <w:ind w:right="3020"/>
        <w:spacing w:after="0"/>
        <w:rPr>
          <w:sz w:val="20"/>
          <w:szCs w:val="20"/>
          <w:color w:val="auto"/>
        </w:rPr>
      </w:pPr>
      <w:r>
        <w:rPr>
          <w:rFonts w:ascii="Arial" w:cs="Arial" w:eastAsia="Arial" w:hAnsi="Arial"/>
          <w:sz w:val="16"/>
          <w:szCs w:val="16"/>
          <w:color w:val="auto"/>
        </w:rPr>
        <w:t>Preferred dividends paid by subsidiary</w:t>
      </w:r>
    </w:p>
    <w:p>
      <w:pPr>
        <w:spacing w:after="0" w:line="44" w:lineRule="exact"/>
        <w:rPr>
          <w:sz w:val="20"/>
          <w:szCs w:val="20"/>
          <w:color w:val="auto"/>
        </w:rPr>
      </w:pPr>
    </w:p>
    <w:p>
      <w:pPr>
        <w:jc w:val="right"/>
        <w:ind w:right="3020"/>
        <w:spacing w:after="0"/>
        <w:rPr>
          <w:sz w:val="20"/>
          <w:szCs w:val="20"/>
          <w:color w:val="auto"/>
        </w:rPr>
      </w:pPr>
      <w:r>
        <w:rPr>
          <w:rFonts w:ascii="Arial" w:cs="Arial" w:eastAsia="Arial" w:hAnsi="Arial"/>
          <w:sz w:val="16"/>
          <w:szCs w:val="16"/>
          <w:color w:val="auto"/>
        </w:rPr>
        <w:t>Net cash used in financing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cash and cash equivalents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January 1</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June 30</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3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payments, net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643"/>
        </w:trPr>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266</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4"/>
        </w:trPr>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bl>
    <w:p>
      <w:pPr>
        <w:spacing w:after="0" w:line="200" w:lineRule="exact"/>
        <w:rPr>
          <w:sz w:val="20"/>
          <w:szCs w:val="20"/>
          <w:color w:val="auto"/>
        </w:rPr>
      </w:pPr>
    </w:p>
    <w:p>
      <w:pPr>
        <w:spacing w:after="0" w:line="244" w:lineRule="exact"/>
        <w:rPr>
          <w:sz w:val="20"/>
          <w:szCs w:val="20"/>
          <w:color w:val="auto"/>
        </w:rPr>
      </w:pPr>
    </w:p>
    <w:p>
      <w:pPr>
        <w:ind w:left="2060" w:hanging="1224"/>
        <w:spacing w:after="0"/>
        <w:tabs>
          <w:tab w:leader="none" w:pos="2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(242)</w:t>
      </w:r>
    </w:p>
    <w:p>
      <w:pPr>
        <w:spacing w:after="0" w:line="30" w:lineRule="exact"/>
        <w:rPr>
          <w:sz w:val="20"/>
          <w:szCs w:val="20"/>
          <w:color w:val="auto"/>
        </w:rPr>
      </w:pPr>
    </w:p>
    <w:p>
      <w:pPr>
        <w:ind w:left="2140" w:hanging="1063"/>
        <w:spacing w:after="0"/>
        <w:tabs>
          <w:tab w:leader="none" w:pos="2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48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4" w:lineRule="exact"/>
        <w:rPr>
          <w:sz w:val="20"/>
          <w:szCs w:val="20"/>
          <w:color w:val="auto"/>
        </w:rPr>
      </w:pPr>
    </w:p>
    <w:p>
      <w:pPr>
        <w:ind w:left="2060" w:hanging="1224"/>
        <w:spacing w:after="0"/>
        <w:tabs>
          <w:tab w:leader="none" w:pos="2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48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60" w:hanging="947"/>
        <w:spacing w:after="0"/>
        <w:tabs>
          <w:tab w:leader="none" w:pos="2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(200)</w:t>
      </w:r>
    </w:p>
    <w:p>
      <w:pPr>
        <w:spacing w:after="0" w:line="30" w:lineRule="exact"/>
        <w:rPr>
          <w:sz w:val="20"/>
          <w:szCs w:val="20"/>
          <w:color w:val="auto"/>
        </w:rPr>
      </w:pPr>
    </w:p>
    <w:p>
      <w:pPr>
        <w:ind w:left="2240" w:hanging="1226"/>
        <w:spacing w:after="0"/>
        <w:tabs>
          <w:tab w:leader="none" w:pos="2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w:t>
      </w:r>
    </w:p>
    <w:p>
      <w:pPr>
        <w:spacing w:after="0" w:line="30" w:lineRule="exact"/>
        <w:rPr>
          <w:sz w:val="20"/>
          <w:szCs w:val="20"/>
          <w:color w:val="auto"/>
        </w:rPr>
      </w:pPr>
    </w:p>
    <w:p>
      <w:pPr>
        <w:ind w:left="2240" w:hanging="1226"/>
        <w:spacing w:after="0"/>
        <w:tabs>
          <w:tab w:leader="none" w:pos="2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48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4" w:lineRule="exact"/>
        <w:rPr>
          <w:sz w:val="20"/>
          <w:szCs w:val="20"/>
          <w:color w:val="auto"/>
        </w:rPr>
      </w:pPr>
    </w:p>
    <w:p>
      <w:pPr>
        <w:ind w:left="2060" w:hanging="1046"/>
        <w:spacing w:after="0"/>
        <w:tabs>
          <w:tab w:leader="none" w:pos="2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48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w:t>
            </w:r>
          </w:p>
        </w:tc>
        <w:tc>
          <w:tcPr>
            <w:tcW w:w="5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538</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640"/>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426"/>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5940" w:space="720"/>
            <w:col w:w="3559"/>
          </w:cols>
          <w:pgMar w:left="240" w:top="175"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380"/>
              <w:spacing w:after="0"/>
              <w:rPr>
                <w:sz w:val="20"/>
                <w:szCs w:val="20"/>
                <w:color w:val="auto"/>
              </w:rPr>
            </w:pPr>
            <w:r>
              <w:rPr>
                <w:rFonts w:ascii="Arial" w:cs="Arial" w:eastAsia="Arial" w:hAnsi="Arial"/>
                <w:sz w:val="16"/>
                <w:szCs w:val="16"/>
                <w:color w:val="auto"/>
              </w:rPr>
              <w:t>and equipment</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SFAS 160 (ASC 810). 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657215" cy="408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215"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4040" w:type="dxa"/>
            <w:vAlign w:val="bottom"/>
          </w:tcPr>
          <w:p>
            <w:pPr>
              <w:spacing w:after="0"/>
              <w:rPr>
                <w:sz w:val="17"/>
                <w:szCs w:val="17"/>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Three months ended June 30,</w:t>
            </w:r>
          </w:p>
        </w:tc>
        <w:tc>
          <w:tcPr>
            <w:tcW w:w="23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color w:val="auto"/>
              </w:rPr>
              <w:t>Six months ended June 30,</w:t>
            </w:r>
          </w:p>
        </w:tc>
      </w:tr>
      <w:tr>
        <w:trPr>
          <w:trHeight w:val="208"/>
        </w:trPr>
        <w:tc>
          <w:tcPr>
            <w:tcW w:w="4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2008</w:t>
            </w:r>
          </w:p>
        </w:tc>
      </w:tr>
      <w:tr>
        <w:trPr>
          <w:trHeight w:val="202"/>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40"/>
        </w:trPr>
        <w:tc>
          <w:tcPr>
            <w:tcW w:w="40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1,143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w:t>
            </w:r>
          </w:p>
        </w:tc>
      </w:tr>
      <w:tr>
        <w:trPr>
          <w:trHeight w:val="202"/>
        </w:trPr>
        <w:tc>
          <w:tcPr>
            <w:tcW w:w="40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404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673</w:t>
            </w:r>
          </w:p>
        </w:tc>
        <w:tc>
          <w:tcPr>
            <w:tcW w:w="28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669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14"/>
        </w:trPr>
        <w:tc>
          <w:tcPr>
            <w:tcW w:w="404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265</w:t>
            </w:r>
          </w:p>
        </w:tc>
        <w:tc>
          <w:tcPr>
            <w:tcW w:w="28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266</w:t>
            </w:r>
          </w:p>
        </w:tc>
        <w:tc>
          <w:tcPr>
            <w:tcW w:w="28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516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4"/>
        </w:trPr>
        <w:tc>
          <w:tcPr>
            <w:tcW w:w="404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20"/>
        </w:trPr>
        <w:tc>
          <w:tcPr>
            <w:tcW w:w="404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40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578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1,042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1,388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w:t>
            </w:r>
          </w:p>
        </w:tc>
      </w:tr>
      <w:tr>
        <w:trPr>
          <w:trHeight w:val="202"/>
        </w:trPr>
        <w:tc>
          <w:tcPr>
            <w:tcW w:w="40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116</w:t>
            </w:r>
          </w:p>
        </w:tc>
        <w:tc>
          <w:tcPr>
            <w:tcW w:w="28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226</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4"/>
        </w:trPr>
        <w:tc>
          <w:tcPr>
            <w:tcW w:w="40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40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2"/>
        </w:trPr>
        <w:tc>
          <w:tcPr>
            <w:tcW w:w="40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7"/>
                <w:szCs w:val="17"/>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2"/>
        </w:trPr>
        <w:tc>
          <w:tcPr>
            <w:tcW w:w="4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7"/>
                <w:szCs w:val="17"/>
                <w:color w:val="auto"/>
              </w:rPr>
            </w:pP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7"/>
                <w:szCs w:val="17"/>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20"/>
        </w:trPr>
        <w:tc>
          <w:tcPr>
            <w:tcW w:w="404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404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820" w:type="dxa"/>
            <w:vAlign w:val="bottom"/>
          </w:tcPr>
          <w:p>
            <w:pPr>
              <w:ind w:left="28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83"/>
        </w:trPr>
        <w:tc>
          <w:tcPr>
            <w:tcW w:w="404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8,973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8,814</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5,366</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7,434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7,351</w:t>
            </w:r>
          </w:p>
        </w:tc>
      </w:tr>
      <w:tr>
        <w:trPr>
          <w:trHeight w:val="83"/>
        </w:trPr>
        <w:tc>
          <w:tcPr>
            <w:tcW w:w="666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SHAREHOLDERS' EQUITY</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taxes refundable in rates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7,434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7,351</w:t>
            </w:r>
          </w:p>
        </w:tc>
      </w:tr>
      <w:tr>
        <w:trPr>
          <w:trHeight w:val="83"/>
        </w:trPr>
        <w:tc>
          <w:tcPr>
            <w:tcW w:w="666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60" w:type="dxa"/>
            <w:vAlign w:val="bottom"/>
          </w:tcPr>
          <w:p>
            <w:pPr>
              <w:spacing w:after="0"/>
              <w:rPr>
                <w:sz w:val="15"/>
                <w:szCs w:val="15"/>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Six months ended June 30,</w:t>
            </w:r>
          </w:p>
        </w:tc>
      </w:tr>
      <w:tr>
        <w:trPr>
          <w:trHeight w:val="208"/>
        </w:trPr>
        <w:tc>
          <w:tcPr>
            <w:tcW w:w="6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6"/>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125</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Depreciation</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Other</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Expenditures for property, plant and equipment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Increase in loans to affiliates, net</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dividends paid</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Preferred dividends paid</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bl>
    <w:p>
      <w:pPr>
        <w:spacing w:after="0" w:line="200" w:lineRule="exact"/>
        <w:rPr>
          <w:sz w:val="20"/>
          <w:szCs w:val="20"/>
          <w:color w:val="auto"/>
        </w:rPr>
      </w:pPr>
    </w:p>
    <w:p>
      <w:pPr>
        <w:sectPr>
          <w:pgSz w:w="11900" w:h="16838" w:orient="portrait"/>
          <w:cols w:equalWidth="0" w:num="1">
            <w:col w:w="10219"/>
          </w:cols>
          <w:pgMar w:left="240" w:top="175" w:right="1440"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cash and cash equivalents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January 1</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June 30</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w:t>
            </w:r>
          </w:p>
        </w:tc>
        <w:tc>
          <w:tcPr>
            <w:tcW w:w="5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538</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640"/>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5940" w:space="720"/>
            <w:col w:w="3559"/>
          </w:cols>
          <w:pgMar w:left="240" w:top="175"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Income tax payments, net</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380"/>
              <w:spacing w:after="0"/>
              <w:rPr>
                <w:sz w:val="20"/>
                <w:szCs w:val="20"/>
                <w:color w:val="auto"/>
              </w:rPr>
            </w:pPr>
            <w:r>
              <w:rPr>
                <w:rFonts w:ascii="Arial" w:cs="Arial" w:eastAsia="Arial" w:hAnsi="Arial"/>
                <w:sz w:val="16"/>
                <w:szCs w:val="16"/>
                <w:color w:val="auto"/>
              </w:rPr>
              <w:t>and equipment</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3"/>
          <w:szCs w:val="23"/>
          <w:color w:val="auto"/>
        </w:rPr>
        <w:t>SEMPRA ENERGY AND SUBSIDIARIES</w:t>
      </w:r>
    </w:p>
    <w:p>
      <w:pPr>
        <w:spacing w:after="0" w:line="3"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7247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PRINCIPLES OF CONSOLIDATION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33"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Sempra Energy's Condensed Consolidated Financial Statements include the accounts of Sempra Energy, a California-based Fortune 500 holding company, its consolidated subsidiaries, and a variable interest entity. Sempra Energy’s principal subsidiaries are:</w:t>
      </w:r>
    </w:p>
    <w:p>
      <w:pPr>
        <w:spacing w:after="0" w:line="2" w:lineRule="exact"/>
        <w:rPr>
          <w:sz w:val="20"/>
          <w:szCs w:val="20"/>
          <w:color w:val="auto"/>
        </w:rPr>
      </w:pPr>
    </w:p>
    <w:p>
      <w:pPr>
        <w:ind w:left="180" w:right="1780" w:hanging="173"/>
        <w:spacing w:after="0" w:line="259" w:lineRule="auto"/>
        <w:tabs>
          <w:tab w:leader="none" w:pos="1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San Diego Gas &amp; Electric Company (SDG&amp;E) and Southern California Gas Company (SoCalGas), which we collectively refer to as the Sempra Utilities; and</w:t>
      </w:r>
    </w:p>
    <w:p>
      <w:pPr>
        <w:spacing w:after="0" w:line="1" w:lineRule="exact"/>
        <w:rPr>
          <w:rFonts w:ascii="Arial" w:cs="Arial" w:eastAsia="Arial" w:hAnsi="Arial"/>
          <w:sz w:val="21"/>
          <w:szCs w:val="21"/>
          <w:color w:val="auto"/>
        </w:rPr>
      </w:pPr>
    </w:p>
    <w:p>
      <w:pPr>
        <w:ind w:left="180" w:right="1400" w:hanging="173"/>
        <w:spacing w:after="0" w:line="270" w:lineRule="auto"/>
        <w:tabs>
          <w:tab w:leader="none" w:pos="1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Sempra Global, which is the holding company for Sempra Commodities, Sempra Generation, Sempra Pipelines &amp; Storage, Sempra LNG and other, smaller businesses.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Sempra Energy uses the equity method to account for investments in affiliated companies over which we have the ability to exercise significant influence, but not control.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7"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SDG&amp;E's Condensed Consolidated Financial Statements include its accounts, the accounts of its sole subsidiary, SDG&amp;E Funding LLC, and the accounts of Otay Mesa Energy Center LLC (Otay Mesa VIE), a variable interest entity of which SDG&amp;E is the primary beneficiary, as discussed in Note 5 under "Variable Interest Entities." SDG&amp;E’s common stock is wholly owned by Enova Corporation, which is a wholly owned subsidiary of Sempra Energy. The activities of SDG&amp;E Funding LLC were substantially complete in 2007, and the entity was dissolved in 2008.</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Pacific Enterprises and SoCalGas</w:t>
      </w:r>
    </w:p>
    <w:p>
      <w:pPr>
        <w:spacing w:after="0" w:line="33" w:lineRule="exact"/>
        <w:rPr>
          <w:sz w:val="20"/>
          <w:szCs w:val="20"/>
          <w:color w:val="auto"/>
        </w:rPr>
      </w:pPr>
    </w:p>
    <w:p>
      <w:pPr>
        <w:ind w:right="280"/>
        <w:spacing w:after="0" w:line="250" w:lineRule="auto"/>
        <w:rPr>
          <w:sz w:val="20"/>
          <w:szCs w:val="20"/>
          <w:color w:val="auto"/>
        </w:rPr>
      </w:pPr>
      <w:r>
        <w:rPr>
          <w:rFonts w:ascii="Arial" w:cs="Arial" w:eastAsia="Arial" w:hAnsi="Arial"/>
          <w:sz w:val="21"/>
          <w:szCs w:val="21"/>
          <w:color w:val="auto"/>
        </w:rPr>
        <w:t>The Condensed Consolidated Financial Statements of Pacific Enterprises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52" w:lineRule="exact"/>
        <w:rPr>
          <w:sz w:val="20"/>
          <w:szCs w:val="20"/>
          <w:color w:val="auto"/>
        </w:rPr>
      </w:pPr>
    </w:p>
    <w:p>
      <w:pPr>
        <w:ind w:right="80"/>
        <w:spacing w:after="0" w:line="270" w:lineRule="auto"/>
        <w:rPr>
          <w:sz w:val="20"/>
          <w:szCs w:val="20"/>
          <w:color w:val="auto"/>
        </w:rPr>
      </w:pPr>
      <w:r>
        <w:rPr>
          <w:rFonts w:ascii="Arial" w:cs="Arial" w:eastAsia="Arial" w:hAnsi="Arial"/>
          <w:sz w:val="21"/>
          <w:szCs w:val="21"/>
          <w:color w:val="auto"/>
        </w:rPr>
        <w:t>PE's operations consist solely of those of SoCalGas and additional items (e.g., cash, intercompany accounts and equity) attributable to being a holding company for SoCalGas.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OF PRESENTATION</w:t>
      </w:r>
    </w:p>
    <w:p>
      <w:pPr>
        <w:spacing w:after="0" w:line="104" w:lineRule="exact"/>
        <w:rPr>
          <w:sz w:val="20"/>
          <w:szCs w:val="20"/>
          <w:color w:val="auto"/>
        </w:rPr>
      </w:pPr>
    </w:p>
    <w:p>
      <w:pPr>
        <w:ind w:right="340"/>
        <w:spacing w:after="0" w:line="284" w:lineRule="auto"/>
        <w:rPr>
          <w:sz w:val="20"/>
          <w:szCs w:val="20"/>
          <w:color w:val="auto"/>
        </w:rPr>
      </w:pPr>
      <w:r>
        <w:rPr>
          <w:rFonts w:ascii="Arial" w:cs="Arial" w:eastAsia="Arial" w:hAnsi="Arial"/>
          <w:sz w:val="19"/>
          <w:szCs w:val="19"/>
          <w:color w:val="auto"/>
        </w:rPr>
        <w:t>This is a combined report of Sempra Energy, SDG&amp;E, PE and SoCalGas. We provide separate information for SDG&amp;E, PE and SoCalGas as required.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each set of consolidated financial statements.</w:t>
      </w:r>
    </w:p>
    <w:p>
      <w:pPr>
        <w:spacing w:after="0" w:line="24"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We evaluated events and transactions that occurred after June 30, 2009 but before the issuance of these financial statements on July 31, 2009, and in the opinion of management, the accompanying statements reflect all</w:t>
      </w:r>
    </w:p>
    <w:p>
      <w:pPr>
        <w:sectPr>
          <w:pgSz w:w="11900" w:h="16838" w:orient="portrait"/>
          <w:cols w:equalWidth="0" w:num="1">
            <w:col w:w="11360"/>
          </w:cols>
          <w:pgMar w:left="240" w:top="144" w:right="299" w:bottom="1440" w:gutter="0" w:footer="0" w:header="0"/>
        </w:sectPr>
      </w:pPr>
    </w:p>
    <w:bookmarkStart w:id="22" w:name="page23"/>
    <w:bookmarkEnd w:id="22"/>
    <w:p>
      <w:pPr>
        <w:ind w:right="180"/>
        <w:spacing w:after="0" w:line="271" w:lineRule="auto"/>
        <w:rPr>
          <w:sz w:val="20"/>
          <w:szCs w:val="20"/>
          <w:color w:val="auto"/>
        </w:rPr>
      </w:pPr>
      <w:r>
        <w:rPr>
          <w:rFonts w:ascii="Arial" w:cs="Arial" w:eastAsia="Arial" w:hAnsi="Arial"/>
          <w:sz w:val="21"/>
          <w:szCs w:val="21"/>
          <w:color w:val="auto"/>
        </w:rPr>
        <w:t>adjustments necessary for a fair presentation. These adjustments are only of a normal, recurring nature, except as we discuss below in "Presentation of Preferred Securities" and in Note 2.</w:t>
      </w:r>
    </w:p>
    <w:p>
      <w:pPr>
        <w:spacing w:after="0" w:line="31" w:lineRule="exact"/>
        <w:rPr>
          <w:sz w:val="20"/>
          <w:szCs w:val="20"/>
          <w:color w:val="auto"/>
        </w:rPr>
      </w:pPr>
    </w:p>
    <w:p>
      <w:pPr>
        <w:jc w:val="both"/>
        <w:ind w:right="240"/>
        <w:spacing w:after="0" w:line="255" w:lineRule="auto"/>
        <w:rPr>
          <w:sz w:val="20"/>
          <w:szCs w:val="20"/>
          <w:color w:val="auto"/>
        </w:rPr>
      </w:pPr>
      <w:r>
        <w:rPr>
          <w:rFonts w:ascii="Arial" w:cs="Arial" w:eastAsia="Arial" w:hAnsi="Arial"/>
          <w:sz w:val="21"/>
          <w:szCs w:val="21"/>
          <w:color w:val="auto"/>
        </w:rPr>
        <w:t>You should read the information in this Quarterly Report in conjunction with our Annual Report on Form 10-K for the year ended December 31, 2008 (the Annual Report) and our Quarterly Report on Form 10-Q for the quarter ended March 31, 2009, which are combined reports for Sempra Energy, SDG&amp;E, PE and SoCalGas.</w:t>
      </w:r>
    </w:p>
    <w:p>
      <w:pPr>
        <w:spacing w:after="0" w:line="34" w:lineRule="exact"/>
        <w:rPr>
          <w:sz w:val="20"/>
          <w:szCs w:val="20"/>
          <w:color w:val="auto"/>
        </w:rPr>
      </w:pPr>
    </w:p>
    <w:p>
      <w:pPr>
        <w:ind w:right="100"/>
        <w:spacing w:after="0" w:line="255" w:lineRule="auto"/>
        <w:rPr>
          <w:sz w:val="20"/>
          <w:szCs w:val="20"/>
          <w:color w:val="auto"/>
        </w:rPr>
      </w:pPr>
      <w:r>
        <w:rPr>
          <w:rFonts w:ascii="Arial" w:cs="Arial" w:eastAsia="Arial" w:hAnsi="Arial"/>
          <w:sz w:val="21"/>
          <w:szCs w:val="21"/>
          <w:color w:val="auto"/>
        </w:rPr>
        <w:t>Our significant accounting policies are described in Note 1 of the Notes to Consolidated Financial Statements in the Annual Report. We follow the same accounting policies for interim reporting purposes, except for the adoption of new accounting standards as we discuss in Note 2.</w:t>
      </w:r>
    </w:p>
    <w:p>
      <w:pPr>
        <w:spacing w:after="0" w:line="47" w:lineRule="exact"/>
        <w:rPr>
          <w:sz w:val="20"/>
          <w:szCs w:val="20"/>
          <w:color w:val="auto"/>
        </w:rPr>
      </w:pPr>
    </w:p>
    <w:p>
      <w:pPr>
        <w:ind w:right="180"/>
        <w:spacing w:after="0" w:line="270" w:lineRule="auto"/>
        <w:rPr>
          <w:sz w:val="20"/>
          <w:szCs w:val="20"/>
          <w:color w:val="auto"/>
        </w:rPr>
      </w:pPr>
      <w:r>
        <w:rPr>
          <w:rFonts w:ascii="Arial" w:cs="Arial" w:eastAsia="Arial" w:hAnsi="Arial"/>
          <w:sz w:val="21"/>
          <w:szCs w:val="21"/>
          <w:color w:val="auto"/>
        </w:rPr>
        <w:t xml:space="preserve">The Sempra Utilities account for the economic effects of regulation on utility operations in accordance with Statement of Financial Accounting Standards (SFAS) 71, </w:t>
      </w:r>
      <w:r>
        <w:rPr>
          <w:rFonts w:ascii="Arial" w:cs="Arial" w:eastAsia="Arial" w:hAnsi="Arial"/>
          <w:sz w:val="21"/>
          <w:szCs w:val="21"/>
          <w:i w:val="1"/>
          <w:iCs w:val="1"/>
          <w:color w:val="auto"/>
        </w:rPr>
        <w:t>Accounting for the Effects of Certain Types of Regulation</w:t>
      </w:r>
      <w:r>
        <w:rPr>
          <w:rFonts w:ascii="Arial" w:cs="Arial" w:eastAsia="Arial" w:hAnsi="Arial"/>
          <w:sz w:val="21"/>
          <w:szCs w:val="21"/>
          <w:color w:val="auto"/>
        </w:rPr>
        <w:t xml:space="preserve"> (ASC 980).</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Presentation of Preferred Securities</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In connection with the adoption of SFAS 160, </w:t>
      </w:r>
      <w:r>
        <w:rPr>
          <w:rFonts w:ascii="Arial" w:cs="Arial" w:eastAsia="Arial" w:hAnsi="Arial"/>
          <w:sz w:val="20"/>
          <w:szCs w:val="20"/>
          <w:i w:val="1"/>
          <w:iCs w:val="1"/>
          <w:color w:val="auto"/>
        </w:rPr>
        <w:t>Noncontrolling Interests in Consolidated Financial Statements – an amendment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ARB No. 51 </w:t>
      </w:r>
      <w:r>
        <w:rPr>
          <w:rFonts w:ascii="Arial" w:cs="Arial" w:eastAsia="Arial" w:hAnsi="Arial"/>
          <w:sz w:val="20"/>
          <w:szCs w:val="20"/>
          <w:color w:val="auto"/>
        </w:rPr>
        <w:t>(SFAS 160) (ASC 810), as we discuss in Note 2, we evaluated the requirements of Emerging Issues Task Force (EITF)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Topic No. 98, </w:t>
      </w:r>
      <w:r>
        <w:rPr>
          <w:rFonts w:ascii="Arial" w:cs="Arial" w:eastAsia="Arial" w:hAnsi="Arial"/>
          <w:sz w:val="20"/>
          <w:szCs w:val="20"/>
          <w:i w:val="1"/>
          <w:iCs w:val="1"/>
          <w:color w:val="auto"/>
        </w:rPr>
        <w:t>Classification and Measurement of Redeemable Securities</w:t>
      </w:r>
      <w:r>
        <w:rPr>
          <w:rFonts w:ascii="Arial" w:cs="Arial" w:eastAsia="Arial" w:hAnsi="Arial"/>
          <w:sz w:val="20"/>
          <w:szCs w:val="20"/>
          <w:color w:val="auto"/>
        </w:rPr>
        <w:t xml:space="preserve"> (Topic D-98) (ASC 480), with respect to the presentation of preferred securities. In previously issued financial statements, SDG&amp;E classified certain preferred securities within the shareholders' equity section of the balance sheet. These preferred securities contain a contingent redemption feature that allows the holder to elect a majority of SDG&amp;E's board of directors if dividends are not paid for eight consecutive quarters. Because such a redemption triggering event is not solely within the control of SDG&amp;E, SDG&amp;E has concluded that these preferred securities should have been presented separate from and outside of shareholders' equity in a manner consistent with temporary equity defined in Topic D-98. Although SDG&amp;E believes that the effects are not material to the previously issued balance sheets, SDG&amp;E has corrected the classification of these amounts as of December 31, 2008 for comparability purposes. This change, which affects preferred securities totaling $79 million at both December 31, 2008 and June 30, 2009, affects only the balance sheet presentation of equity accounts and has no impact on earnings or on cash flows for any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7247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60" w:lineRule="exact"/>
        <w:rPr>
          <w:sz w:val="20"/>
          <w:szCs w:val="20"/>
          <w:color w:val="auto"/>
        </w:rPr>
      </w:pPr>
    </w:p>
    <w:p>
      <w:pPr>
        <w:jc w:val="both"/>
        <w:ind w:right="380"/>
        <w:spacing w:after="0" w:line="255" w:lineRule="auto"/>
        <w:rPr>
          <w:sz w:val="20"/>
          <w:szCs w:val="20"/>
          <w:color w:val="auto"/>
        </w:rPr>
      </w:pPr>
      <w:r>
        <w:rPr>
          <w:rFonts w:ascii="Arial" w:cs="Arial" w:eastAsia="Arial" w:hAnsi="Arial"/>
          <w:sz w:val="21"/>
          <w:szCs w:val="21"/>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 SDG&amp;E, PE AND SOCALGAS</w:t>
      </w:r>
    </w:p>
    <w:p>
      <w:pPr>
        <w:spacing w:after="0" w:line="108" w:lineRule="exact"/>
        <w:rPr>
          <w:sz w:val="20"/>
          <w:szCs w:val="20"/>
          <w:color w:val="auto"/>
        </w:rPr>
      </w:pPr>
    </w:p>
    <w:p>
      <w:pPr>
        <w:ind w:right="100"/>
        <w:spacing w:after="0" w:line="225" w:lineRule="auto"/>
        <w:rPr>
          <w:sz w:val="20"/>
          <w:szCs w:val="20"/>
          <w:color w:val="auto"/>
        </w:rPr>
      </w:pPr>
      <w:r>
        <w:rPr>
          <w:rFonts w:ascii="Arial" w:cs="Arial" w:eastAsia="Arial" w:hAnsi="Arial"/>
          <w:sz w:val="21"/>
          <w:szCs w:val="21"/>
          <w:b w:val="1"/>
          <w:bCs w:val="1"/>
          <w:i w:val="1"/>
          <w:iCs w:val="1"/>
          <w:color w:val="auto"/>
        </w:rPr>
        <w:t xml:space="preserve">SFAS 168, "The </w:t>
      </w:r>
      <w:r>
        <w:rPr>
          <w:rFonts w:ascii="Arial" w:cs="Arial" w:eastAsia="Arial" w:hAnsi="Arial"/>
          <w:sz w:val="21"/>
          <w:szCs w:val="21"/>
          <w:b w:val="1"/>
          <w:bCs w:val="1"/>
          <w:color w:val="auto"/>
        </w:rPr>
        <w:t>FASB Accounting Standards Codification</w:t>
      </w:r>
      <w:r>
        <w:rPr>
          <w:rFonts w:ascii="Arial" w:cs="Arial" w:eastAsia="Arial" w:hAnsi="Arial"/>
          <w:sz w:val="35"/>
          <w:szCs w:val="35"/>
          <w:b w:val="1"/>
          <w:bCs w:val="1"/>
          <w:color w:val="auto"/>
          <w:vertAlign w:val="superscript"/>
        </w:rPr>
        <w:t>TM</w:t>
      </w:r>
      <w:r>
        <w:rPr>
          <w:rFonts w:ascii="Arial" w:cs="Arial" w:eastAsia="Arial" w:hAnsi="Arial"/>
          <w:sz w:val="21"/>
          <w:szCs w:val="21"/>
          <w:b w:val="1"/>
          <w:bCs w:val="1"/>
          <w:i w:val="1"/>
          <w:iCs w:val="1"/>
          <w:color w:val="auto"/>
        </w:rPr>
        <w:t xml:space="preserve"> and the Hierarchy of Generally Accepted Accounting Principles —a replacement of FASB Statement No. 162" (SFAS 168): </w:t>
      </w:r>
      <w:r>
        <w:rPr>
          <w:rFonts w:ascii="Arial" w:cs="Arial" w:eastAsia="Arial" w:hAnsi="Arial"/>
          <w:sz w:val="21"/>
          <w:szCs w:val="21"/>
          <w:color w:val="auto"/>
        </w:rPr>
        <w:t>The Financial Accounting Standards Board (FASB)</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Accounting</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 xml:space="preserve">Standards Codification </w:t>
      </w:r>
      <w:r>
        <w:rPr>
          <w:rFonts w:ascii="Arial" w:cs="Arial" w:eastAsia="Arial" w:hAnsi="Arial"/>
          <w:sz w:val="21"/>
          <w:szCs w:val="21"/>
          <w:color w:val="auto"/>
        </w:rPr>
        <w:t>(ASC) (the Codification) becomes the official source of GAAP on July 1, 2009, and its use is effective for</w:t>
      </w:r>
      <w:r>
        <w:rPr>
          <w:rFonts w:ascii="Arial" w:cs="Arial" w:eastAsia="Arial" w:hAnsi="Arial"/>
          <w:sz w:val="21"/>
          <w:szCs w:val="21"/>
          <w:i w:val="1"/>
          <w:iCs w:val="1"/>
          <w:color w:val="auto"/>
        </w:rPr>
        <w:t xml:space="preserve"> </w:t>
      </w:r>
      <w:r>
        <w:rPr>
          <w:rFonts w:ascii="Arial" w:cs="Arial" w:eastAsia="Arial" w:hAnsi="Arial"/>
          <w:sz w:val="21"/>
          <w:szCs w:val="21"/>
          <w:color w:val="auto"/>
        </w:rPr>
        <w:t>periods ending after September 15, 2009. For convenience, we have provided references to the Codification throughout this Form 10-Q in addition to the current GAAP source reference.</w:t>
      </w:r>
    </w:p>
    <w:p>
      <w:pPr>
        <w:spacing w:after="0" w:line="67" w:lineRule="exact"/>
        <w:rPr>
          <w:sz w:val="20"/>
          <w:szCs w:val="20"/>
          <w:color w:val="auto"/>
        </w:rPr>
      </w:pPr>
    </w:p>
    <w:p>
      <w:pPr>
        <w:ind w:right="80"/>
        <w:spacing w:after="0" w:line="255" w:lineRule="auto"/>
        <w:rPr>
          <w:sz w:val="20"/>
          <w:szCs w:val="20"/>
          <w:color w:val="auto"/>
        </w:rPr>
      </w:pPr>
      <w:r>
        <w:rPr>
          <w:rFonts w:ascii="Arial" w:cs="Arial" w:eastAsia="Arial" w:hAnsi="Arial"/>
          <w:sz w:val="21"/>
          <w:szCs w:val="21"/>
          <w:b w:val="1"/>
          <w:bCs w:val="1"/>
          <w:i w:val="1"/>
          <w:iCs w:val="1"/>
          <w:color w:val="auto"/>
        </w:rPr>
        <w:t xml:space="preserve">SFAS 167, "Amendments to FASB Interpretation No. 46(R)" (SFAS 167): </w:t>
      </w:r>
      <w:r>
        <w:rPr>
          <w:rFonts w:ascii="Arial" w:cs="Arial" w:eastAsia="Arial" w:hAnsi="Arial"/>
          <w:sz w:val="21"/>
          <w:szCs w:val="21"/>
          <w:color w:val="auto"/>
        </w:rPr>
        <w:t>SFAS 167 (ASC 810) amends FASB Interpretation No.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46(R), </w:t>
      </w:r>
      <w:r>
        <w:rPr>
          <w:rFonts w:ascii="Arial" w:cs="Arial" w:eastAsia="Arial" w:hAnsi="Arial"/>
          <w:sz w:val="21"/>
          <w:szCs w:val="21"/>
          <w:i w:val="1"/>
          <w:iCs w:val="1"/>
          <w:color w:val="auto"/>
        </w:rPr>
        <w:t>Consolidation of Variable Interest Entities – an interpretation of ARB No.</w:t>
      </w:r>
      <w:r>
        <w:rPr>
          <w:rFonts w:ascii="Arial" w:cs="Arial" w:eastAsia="Arial" w:hAnsi="Arial"/>
          <w:sz w:val="21"/>
          <w:szCs w:val="21"/>
          <w:color w:val="auto"/>
        </w:rPr>
        <w:t xml:space="preserve"> 51 (FIN 46(R)) which provides consolidation guidance related to variable interest entities.</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SFAS 167 requires</w:t>
      </w:r>
    </w:p>
    <w:p>
      <w:pPr>
        <w:spacing w:after="0" w:line="40" w:lineRule="exact"/>
        <w:rPr>
          <w:sz w:val="20"/>
          <w:szCs w:val="20"/>
          <w:color w:val="auto"/>
        </w:rPr>
      </w:pPr>
    </w:p>
    <w:p>
      <w:pPr>
        <w:ind w:left="180" w:right="1480" w:hanging="173"/>
        <w:spacing w:after="0" w:line="270" w:lineRule="auto"/>
        <w:tabs>
          <w:tab w:leader="none" w:pos="1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 qualitative approach for identifying the primary beneficiary of a variable interest entity based on 1) the power to direct activities that most significantly impact the economic performance of</w:t>
      </w:r>
    </w:p>
    <w:p>
      <w:pPr>
        <w:sectPr>
          <w:pgSz w:w="11900" w:h="16838" w:orient="portrait"/>
          <w:cols w:equalWidth="0" w:num="1">
            <w:col w:w="11420"/>
          </w:cols>
          <w:pgMar w:left="240" w:top="118" w:right="239" w:bottom="1440" w:gutter="0" w:footer="0" w:header="0"/>
        </w:sectPr>
      </w:pPr>
    </w:p>
    <w:bookmarkStart w:id="23" w:name="page24"/>
    <w:bookmarkEnd w:id="23"/>
    <w:p>
      <w:pPr>
        <w:ind w:left="180"/>
        <w:spacing w:after="0"/>
        <w:rPr>
          <w:sz w:val="20"/>
          <w:szCs w:val="20"/>
          <w:color w:val="auto"/>
        </w:rPr>
      </w:pPr>
      <w:r>
        <w:rPr>
          <w:rFonts w:ascii="Arial" w:cs="Arial" w:eastAsia="Arial" w:hAnsi="Arial"/>
          <w:sz w:val="21"/>
          <w:szCs w:val="21"/>
          <w:color w:val="auto"/>
        </w:rPr>
        <w:t>the entity, and 2) the obligation to absorb losses or right to receive benefits that could be significant to the entity</w:t>
      </w:r>
    </w:p>
    <w:p>
      <w:pPr>
        <w:spacing w:after="0" w:line="40" w:lineRule="exact"/>
        <w:rPr>
          <w:sz w:val="20"/>
          <w:szCs w:val="20"/>
          <w:color w:val="auto"/>
        </w:rPr>
      </w:pPr>
    </w:p>
    <w:p>
      <w:pPr>
        <w:ind w:left="180" w:hanging="173"/>
        <w:spacing w:after="0"/>
        <w:tabs>
          <w:tab w:leader="none" w:pos="1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ongoing reassessments of whether an enterprise is the primary beneficiary of a variable interest entity</w:t>
      </w:r>
    </w:p>
    <w:p>
      <w:pPr>
        <w:spacing w:after="0" w:line="31" w:lineRule="exact"/>
        <w:rPr>
          <w:rFonts w:ascii="Arial" w:cs="Arial" w:eastAsia="Arial" w:hAnsi="Arial"/>
          <w:sz w:val="21"/>
          <w:szCs w:val="21"/>
          <w:color w:val="auto"/>
        </w:rPr>
      </w:pPr>
    </w:p>
    <w:p>
      <w:pPr>
        <w:jc w:val="both"/>
        <w:ind w:left="180" w:right="1380" w:hanging="173"/>
        <w:spacing w:after="0" w:line="252" w:lineRule="auto"/>
        <w:tabs>
          <w:tab w:leader="none" w:pos="1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separate disclosure by the primary beneficiary on the face of the balance sheet to identify 1) assets that can only be used to settle obligations of the variable interest entity, and 2) liabilities for which creditors do not have recourse to the primary beneficiary.</w:t>
      </w:r>
    </w:p>
    <w:p>
      <w:pPr>
        <w:spacing w:after="0" w:line="11" w:lineRule="exact"/>
        <w:rPr>
          <w:sz w:val="20"/>
          <w:szCs w:val="20"/>
          <w:color w:val="auto"/>
        </w:rPr>
      </w:pPr>
    </w:p>
    <w:p>
      <w:pPr>
        <w:ind w:right="140"/>
        <w:spacing w:after="0" w:line="270" w:lineRule="auto"/>
        <w:rPr>
          <w:sz w:val="20"/>
          <w:szCs w:val="20"/>
          <w:color w:val="auto"/>
        </w:rPr>
      </w:pPr>
      <w:r>
        <w:rPr>
          <w:rFonts w:ascii="Arial" w:cs="Arial" w:eastAsia="Arial" w:hAnsi="Arial"/>
          <w:sz w:val="21"/>
          <w:szCs w:val="21"/>
          <w:color w:val="auto"/>
        </w:rPr>
        <w:t>FAS 167 applies to us prospectively for the first quarter of 2010. We are in the process of evaluating the effects of this statement on our financial position and results of operations.</w:t>
      </w:r>
    </w:p>
    <w:p>
      <w:pPr>
        <w:spacing w:after="0" w:line="19"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b w:val="1"/>
          <w:bCs w:val="1"/>
          <w:i w:val="1"/>
          <w:iCs w:val="1"/>
          <w:color w:val="auto"/>
        </w:rPr>
        <w:t xml:space="preserve">SFAS 165, "Subsequent Events" (SFAS 165): </w:t>
      </w:r>
      <w:r>
        <w:rPr>
          <w:rFonts w:ascii="Arial" w:cs="Arial" w:eastAsia="Arial" w:hAnsi="Arial"/>
          <w:sz w:val="21"/>
          <w:szCs w:val="21"/>
          <w:color w:val="auto"/>
        </w:rPr>
        <w:t>SFAS 165 (ASC 855) requires management to evaluate events that occur after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balance sheet through the date that the financial statements are issued. The guidance is similar to current audit guidance and does not change the way we assess subsequent events. The statement requires that we disclose the date through which we evaluated subsequent events.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We adopted SFAS 165 on April 1, 2009 and provide the required disclosure in Note 1.</w:t>
      </w:r>
    </w:p>
    <w:p>
      <w:pPr>
        <w:spacing w:after="0" w:line="93"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b w:val="1"/>
          <w:bCs w:val="1"/>
          <w:i w:val="1"/>
          <w:iCs w:val="1"/>
          <w:color w:val="auto"/>
        </w:rPr>
        <w:t xml:space="preserve">SFAS 160, "Noncontrolling Interests in Consolidated Financial Statements – an amendment of ARB No. 51" (SFAS 160): </w:t>
      </w:r>
      <w:r>
        <w:rPr>
          <w:rFonts w:ascii="Arial" w:cs="Arial" w:eastAsia="Arial" w:hAnsi="Arial"/>
          <w:sz w:val="20"/>
          <w:szCs w:val="20"/>
          <w:color w:val="auto"/>
        </w:rPr>
        <w:t>SFAS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160 (ASC 810) amends Accounting Research Bulletin (ARB) No. 51,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 to establish accounting and reporting standards for ownership interests in subsidiaries held by parties other than the parent.</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SFAS 160 provides guidance on the following:</w:t>
      </w:r>
    </w:p>
    <w:p>
      <w:pPr>
        <w:spacing w:after="0" w:line="40" w:lineRule="exact"/>
        <w:rPr>
          <w:sz w:val="20"/>
          <w:szCs w:val="20"/>
          <w:color w:val="auto"/>
        </w:rPr>
      </w:pPr>
    </w:p>
    <w:p>
      <w:pPr>
        <w:ind w:left="180" w:hanging="173"/>
        <w:spacing w:after="0"/>
        <w:tabs>
          <w:tab w:leader="none" w:pos="180" w:val="left"/>
        </w:tabs>
        <w:numPr>
          <w:ilvl w:val="0"/>
          <w:numId w:val="24"/>
        </w:numPr>
        <w:rPr>
          <w:rFonts w:ascii="Arial" w:cs="Arial" w:eastAsia="Arial" w:hAnsi="Arial"/>
          <w:sz w:val="21"/>
          <w:szCs w:val="21"/>
          <w:color w:val="auto"/>
        </w:rPr>
      </w:pPr>
      <w:r>
        <w:rPr>
          <w:rFonts w:ascii="Arial" w:cs="Arial" w:eastAsia="Arial" w:hAnsi="Arial"/>
          <w:sz w:val="21"/>
          <w:szCs w:val="21"/>
          <w:color w:val="auto"/>
        </w:rPr>
        <w:t>how to report noncontrolling interests in a subsidiary in consolidated financial statements;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amount of consolidated net income attributable to the parent and to the noncontrolling interest; and</w:t>
      </w:r>
    </w:p>
    <w:p>
      <w:pPr>
        <w:spacing w:after="0" w:line="26" w:lineRule="exact"/>
        <w:rPr>
          <w:rFonts w:ascii="Arial" w:cs="Arial" w:eastAsia="Arial" w:hAnsi="Arial"/>
          <w:sz w:val="21"/>
          <w:szCs w:val="21"/>
          <w:color w:val="auto"/>
        </w:rPr>
      </w:pPr>
    </w:p>
    <w:p>
      <w:pPr>
        <w:ind w:left="180" w:right="1660" w:hanging="173"/>
        <w:spacing w:after="0" w:line="265" w:lineRule="auto"/>
        <w:tabs>
          <w:tab w:leader="none" w:pos="180" w:val="left"/>
        </w:tabs>
        <w:numPr>
          <w:ilvl w:val="0"/>
          <w:numId w:val="24"/>
        </w:numPr>
        <w:rPr>
          <w:rFonts w:ascii="Arial" w:cs="Arial" w:eastAsia="Arial" w:hAnsi="Arial"/>
          <w:sz w:val="21"/>
          <w:szCs w:val="21"/>
          <w:color w:val="auto"/>
        </w:rPr>
      </w:pPr>
      <w:r>
        <w:rPr>
          <w:rFonts w:ascii="Arial" w:cs="Arial" w:eastAsia="Arial" w:hAnsi="Arial"/>
          <w:sz w:val="21"/>
          <w:szCs w:val="21"/>
          <w:color w:val="auto"/>
        </w:rPr>
        <w:t>changes in a parent’s ownership interest and the valuation of retained noncontrolling equity investments when a subsidiary is deconsolidated.</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We adopted SFAS 160 on January 1, 2009, and the presentation and disclosure requirements must be applied retrospectively. Accordingly, Sempra Energy’s, SDG&amp;E’s and PE's condensed consolidated financial statements at December 31, 2008 and for the six months ended June 30, 2008 have been reclassified to conform to the new presentation. The adoption of SFAS 160 had no impact on SoCalGas’ financial statements. The pronouncement also requires disclosures that clearly identify and distinguish between the interest of the parent and the interests of the noncontrolling owners. We provide the required disclosure in Note 5.</w:t>
      </w:r>
    </w:p>
    <w:p>
      <w:pPr>
        <w:spacing w:after="0" w:line="44" w:lineRule="exact"/>
        <w:rPr>
          <w:sz w:val="20"/>
          <w:szCs w:val="20"/>
          <w:color w:val="auto"/>
        </w:rPr>
      </w:pPr>
    </w:p>
    <w:p>
      <w:pPr>
        <w:ind w:right="300"/>
        <w:spacing w:after="0" w:line="255" w:lineRule="auto"/>
        <w:rPr>
          <w:sz w:val="20"/>
          <w:szCs w:val="20"/>
          <w:color w:val="auto"/>
        </w:rPr>
      </w:pPr>
      <w:r>
        <w:rPr>
          <w:rFonts w:ascii="Arial" w:cs="Arial" w:eastAsia="Arial" w:hAnsi="Arial"/>
          <w:sz w:val="21"/>
          <w:szCs w:val="21"/>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21"/>
          <w:szCs w:val="21"/>
          <w:color w:val="auto"/>
        </w:rPr>
        <w:t>SFAS 161 (ASC 815) expands the disclosure requirements in SFAS 133,</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Accounting for Derivative Instruments and</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Hedging Activities (SFAS 133)</w:t>
      </w:r>
      <w:r>
        <w:rPr>
          <w:rFonts w:ascii="Arial" w:cs="Arial" w:eastAsia="Arial" w:hAnsi="Arial"/>
          <w:sz w:val="21"/>
          <w:szCs w:val="21"/>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SFAS 161 requires disclosures about the following:</w:t>
      </w:r>
    </w:p>
    <w:p>
      <w:pPr>
        <w:spacing w:after="0" w:line="31" w:lineRule="exact"/>
        <w:rPr>
          <w:sz w:val="20"/>
          <w:szCs w:val="20"/>
          <w:color w:val="auto"/>
        </w:rPr>
      </w:pPr>
    </w:p>
    <w:p>
      <w:pPr>
        <w:ind w:left="180" w:hanging="173"/>
        <w:spacing w:after="0"/>
        <w:tabs>
          <w:tab w:leader="none" w:pos="1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qualitative objectives and strategies for using derivatives;</w:t>
      </w:r>
    </w:p>
    <w:p>
      <w:pPr>
        <w:spacing w:after="0" w:line="39" w:lineRule="exact"/>
        <w:rPr>
          <w:rFonts w:ascii="Arial" w:cs="Arial" w:eastAsia="Arial" w:hAnsi="Arial"/>
          <w:sz w:val="21"/>
          <w:szCs w:val="21"/>
          <w:color w:val="auto"/>
        </w:rPr>
      </w:pPr>
    </w:p>
    <w:p>
      <w:pPr>
        <w:ind w:left="180" w:right="1600" w:hanging="173"/>
        <w:spacing w:after="0" w:line="257" w:lineRule="auto"/>
        <w:tabs>
          <w:tab w:leader="none" w:pos="1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quantitative disclosures of fair value amounts, and gains and losses on derivative instruments and related hedged items; and</w:t>
      </w:r>
    </w:p>
    <w:p>
      <w:pPr>
        <w:ind w:left="180" w:hanging="173"/>
        <w:spacing w:after="0"/>
        <w:tabs>
          <w:tab w:leader="none" w:pos="1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credit-risk-related contingent features in derivative agreements.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We adopted SFAS 161 prospectively on January 1, 2009. We provide the required disclosure in Note 7.</w:t>
      </w:r>
    </w:p>
    <w:p>
      <w:pPr>
        <w:spacing w:after="0" w:line="80" w:lineRule="exact"/>
        <w:rPr>
          <w:sz w:val="20"/>
          <w:szCs w:val="20"/>
          <w:color w:val="auto"/>
        </w:rPr>
      </w:pPr>
    </w:p>
    <w:p>
      <w:pPr>
        <w:spacing w:after="0" w:line="245" w:lineRule="auto"/>
        <w:rPr>
          <w:sz w:val="20"/>
          <w:szCs w:val="20"/>
          <w:color w:val="auto"/>
        </w:rPr>
      </w:pPr>
      <w:r>
        <w:rPr>
          <w:rFonts w:ascii="Arial" w:cs="Arial" w:eastAsia="Arial" w:hAnsi="Arial"/>
          <w:sz w:val="21"/>
          <w:szCs w:val="21"/>
          <w:b w:val="1"/>
          <w:bCs w:val="1"/>
          <w:i w:val="1"/>
          <w:iCs w:val="1"/>
          <w:color w:val="auto"/>
        </w:rPr>
        <w:t xml:space="preserve">FASB Staff Position (FSP) FAS 157-4, "Determining Fair Value When the Volume and Level of Activity for the Asset or Liability Have Significantly Decreased and Identifying Transactions That are Not Orderly" (FSP FAS 157-4): </w:t>
      </w:r>
      <w:r>
        <w:rPr>
          <w:rFonts w:ascii="Arial" w:cs="Arial" w:eastAsia="Arial" w:hAnsi="Arial"/>
          <w:sz w:val="21"/>
          <w:szCs w:val="21"/>
          <w:color w:val="auto"/>
        </w:rPr>
        <w:t>FSP FAS 157-4 (ASC 820)</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concerns the determination of fair values for assets and liabilities when there is no active market or where the prices used might represent distressed sales. Specifically, it reaffirms the need to use judgment to ascertain if a formerly active market has become inactive and in determining fair values when markets have become inactive. The FSP also outlines factors to be used to determine whether there has been a significant</w:t>
      </w:r>
    </w:p>
    <w:p>
      <w:pPr>
        <w:sectPr>
          <w:pgSz w:w="11900" w:h="16838" w:orient="portrait"/>
          <w:cols w:equalWidth="0" w:num="1">
            <w:col w:w="11420"/>
          </w:cols>
          <w:pgMar w:left="240" w:top="118" w:right="239" w:bottom="1440" w:gutter="0" w:footer="0" w:header="0"/>
        </w:sectPr>
      </w:pPr>
    </w:p>
    <w:bookmarkStart w:id="24" w:name="page25"/>
    <w:bookmarkEnd w:id="24"/>
    <w:p>
      <w:pPr>
        <w:ind w:right="340"/>
        <w:spacing w:after="0" w:line="271" w:lineRule="auto"/>
        <w:rPr>
          <w:sz w:val="20"/>
          <w:szCs w:val="20"/>
          <w:color w:val="auto"/>
        </w:rPr>
      </w:pPr>
      <w:r>
        <w:rPr>
          <w:rFonts w:ascii="Arial" w:cs="Arial" w:eastAsia="Arial" w:hAnsi="Arial"/>
          <w:sz w:val="21"/>
          <w:szCs w:val="21"/>
          <w:color w:val="auto"/>
        </w:rPr>
        <w:t>decrease in the volume and level of activity for the assets and liabilities when compared with normal market activity. We adopted FSP FAS 157-4 on April 1, 2009, and it did not affect our financial position or results of operations.</w:t>
      </w:r>
    </w:p>
    <w:p>
      <w:pPr>
        <w:spacing w:after="0" w:line="31" w:lineRule="exact"/>
        <w:rPr>
          <w:sz w:val="20"/>
          <w:szCs w:val="20"/>
          <w:color w:val="auto"/>
        </w:rPr>
      </w:pPr>
    </w:p>
    <w:p>
      <w:pPr>
        <w:ind w:right="60"/>
        <w:spacing w:after="0" w:line="250" w:lineRule="auto"/>
        <w:rPr>
          <w:sz w:val="20"/>
          <w:szCs w:val="20"/>
          <w:color w:val="auto"/>
        </w:rPr>
      </w:pPr>
      <w:r>
        <w:rPr>
          <w:rFonts w:ascii="Arial" w:cs="Arial" w:eastAsia="Arial" w:hAnsi="Arial"/>
          <w:sz w:val="21"/>
          <w:szCs w:val="21"/>
          <w:b w:val="1"/>
          <w:bCs w:val="1"/>
          <w:i w:val="1"/>
          <w:iCs w:val="1"/>
          <w:color w:val="auto"/>
        </w:rPr>
        <w:t xml:space="preserve">FSP FAS 107-1 and APB 28-1, "Interim Disclosures About Fair Value of Financial Instruments" (FSP FAS 107-1 and APB 28-1): </w:t>
      </w:r>
      <w:r>
        <w:rPr>
          <w:rFonts w:ascii="Arial" w:cs="Arial" w:eastAsia="Arial" w:hAnsi="Arial"/>
          <w:sz w:val="21"/>
          <w:szCs w:val="21"/>
          <w:color w:val="auto"/>
        </w:rPr>
        <w:t>FSP FAS 107-1 and APB 28-1 (ASC 820) requires disclosure about the carrying amount and fair value of financial instruments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interim periods. Prior to the issuance of this FSP, this disclosure was required only for annual periods. We adopted FSP FAS 107-1 and APB 28-1 on April 1, 2009 and provide the required disclosure in Note 8.</w:t>
      </w:r>
    </w:p>
    <w:p>
      <w:pPr>
        <w:spacing w:after="0" w:line="39" w:lineRule="exact"/>
        <w:rPr>
          <w:sz w:val="20"/>
          <w:szCs w:val="20"/>
          <w:color w:val="auto"/>
        </w:rPr>
      </w:pPr>
    </w:p>
    <w:p>
      <w:pPr>
        <w:spacing w:after="0" w:line="269" w:lineRule="auto"/>
        <w:rPr>
          <w:sz w:val="20"/>
          <w:szCs w:val="20"/>
          <w:color w:val="auto"/>
        </w:rPr>
      </w:pPr>
      <w:r>
        <w:rPr>
          <w:rFonts w:ascii="Arial" w:cs="Arial" w:eastAsia="Arial" w:hAnsi="Arial"/>
          <w:sz w:val="19"/>
          <w:szCs w:val="19"/>
          <w:b w:val="1"/>
          <w:bCs w:val="1"/>
          <w:i w:val="1"/>
          <w:iCs w:val="1"/>
          <w:color w:val="auto"/>
        </w:rPr>
        <w:t xml:space="preserve">FSP FAS 115-2 and FAS 124-2, "Recognition and Presentation of Other-Than-Temporary Impairments" (FSP FAS 115-2 and FAS 124-2): </w:t>
      </w:r>
      <w:r>
        <w:rPr>
          <w:rFonts w:ascii="Arial" w:cs="Arial" w:eastAsia="Arial" w:hAnsi="Arial"/>
          <w:sz w:val="19"/>
          <w:szCs w:val="19"/>
          <w:color w:val="auto"/>
        </w:rPr>
        <w:t>FSP FAS 115-2 and FAS 124-2 (ASC 320) establishes a new model for determining and recording other-than-temporary impairment for debt securities. The pronouncement also requires disclosure about the fair value of investments for interim periods. Prior to the issue of this FSP, this disclosure was required only for annual periods. We adopted FSP FAS 115-2 and FAS</w:t>
      </w:r>
    </w:p>
    <w:p>
      <w:pPr>
        <w:spacing w:after="0" w:line="3" w:lineRule="exact"/>
        <w:rPr>
          <w:sz w:val="20"/>
          <w:szCs w:val="20"/>
          <w:color w:val="auto"/>
        </w:rPr>
      </w:pPr>
    </w:p>
    <w:p>
      <w:pPr>
        <w:ind w:right="380"/>
        <w:spacing w:after="0" w:line="253" w:lineRule="auto"/>
        <w:rPr>
          <w:sz w:val="20"/>
          <w:szCs w:val="20"/>
          <w:color w:val="auto"/>
        </w:rPr>
      </w:pPr>
      <w:r>
        <w:rPr>
          <w:rFonts w:ascii="Arial" w:cs="Arial" w:eastAsia="Arial" w:hAnsi="Arial"/>
          <w:sz w:val="21"/>
          <w:szCs w:val="21"/>
          <w:color w:val="auto"/>
        </w:rPr>
        <w:t>124-2 on April 1, 2009, and it did not affect our financial position or results of operations. We provide the required disclosure in Note 8.</w:t>
      </w:r>
    </w:p>
    <w:p>
      <w:pPr>
        <w:spacing w:after="0" w:line="49"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b w:val="1"/>
          <w:bCs w:val="1"/>
          <w:i w:val="1"/>
          <w:iCs w:val="1"/>
          <w:color w:val="auto"/>
        </w:rPr>
        <w:t xml:space="preserve">FSP FAS 132(R)-1, "Employers’ Disclosures about Postretirement Benefit Plan Assets" (FSP FAS 132(R)-1): </w:t>
      </w:r>
      <w:r>
        <w:rPr>
          <w:rFonts w:ascii="Arial" w:cs="Arial" w:eastAsia="Arial" w:hAnsi="Arial"/>
          <w:sz w:val="19"/>
          <w:szCs w:val="19"/>
          <w:color w:val="auto"/>
        </w:rPr>
        <w:t>FSP FAS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132(R)-1 (ASC 715) requires annual disclosure about the assets held in postretirement benefit plans, including a breakdown by the level of the assets and a reconciliation of any change in Level 3 assets during the year. It requires disclosures about the following:</w:t>
      </w:r>
    </w:p>
    <w:p>
      <w:pPr>
        <w:spacing w:after="0" w:line="1" w:lineRule="exact"/>
        <w:rPr>
          <w:sz w:val="20"/>
          <w:szCs w:val="20"/>
          <w:color w:val="auto"/>
        </w:rPr>
      </w:pPr>
    </w:p>
    <w:p>
      <w:pPr>
        <w:ind w:left="180" w:hanging="173"/>
        <w:spacing w:after="0"/>
        <w:tabs>
          <w:tab w:leader="none" w:pos="1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valuation inputs, with detailed disclosure required about Level 3 assets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asset categories, broken down to relevant detail</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concentration of risk in plan assets</w:t>
      </w:r>
    </w:p>
    <w:p>
      <w:pPr>
        <w:spacing w:after="0" w:line="129"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FSP FAS 132(R)-1 applies to us prospectively for fiscal years ending after December 15, 2009. Early application is permitted. We are in the process of evaluating the effect of this statement on our financial statement disclosures and will include the additional disclosure in our 2009 annual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w:t>
      </w:r>
    </w:p>
    <w:p>
      <w:pPr>
        <w:spacing w:after="0" w:line="1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b w:val="1"/>
          <w:bCs w:val="1"/>
          <w:i w:val="1"/>
          <w:iCs w:val="1"/>
          <w:color w:val="auto"/>
        </w:rPr>
        <w:t xml:space="preserve">FSP EITF 03-6-1, "Determining Whether Instruments Granted in Share-Based Payment Transactions Are Participating Securities" (FSP EITF 03-6-1): </w:t>
      </w:r>
      <w:r>
        <w:rPr>
          <w:rFonts w:ascii="Arial" w:cs="Arial" w:eastAsia="Arial" w:hAnsi="Arial"/>
          <w:sz w:val="20"/>
          <w:szCs w:val="20"/>
          <w:color w:val="auto"/>
        </w:rPr>
        <w:t>FSP EITF 03-6-1 (ASC 260) states that unvested share-based payment awards that contain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nonforfeitable rights to dividends or dividend equivalents (whether paid or unpaid) are participating securities. As such, they are required to be included when computing earnings per share (EPS) under the two-class method described in SFAS 128, </w:t>
      </w:r>
      <w:r>
        <w:rPr>
          <w:rFonts w:ascii="Arial" w:cs="Arial" w:eastAsia="Arial" w:hAnsi="Arial"/>
          <w:sz w:val="20"/>
          <w:szCs w:val="20"/>
          <w:i w:val="1"/>
          <w:iCs w:val="1"/>
          <w:color w:val="auto"/>
        </w:rPr>
        <w:t>Earnings per</w:t>
      </w:r>
      <w:r>
        <w:rPr>
          <w:rFonts w:ascii="Arial" w:cs="Arial" w:eastAsia="Arial" w:hAnsi="Arial"/>
          <w:sz w:val="20"/>
          <w:szCs w:val="20"/>
          <w:color w:val="auto"/>
        </w:rPr>
        <w:t xml:space="preserve"> </w:t>
      </w:r>
      <w:r>
        <w:rPr>
          <w:rFonts w:ascii="Arial" w:cs="Arial" w:eastAsia="Arial" w:hAnsi="Arial"/>
          <w:sz w:val="20"/>
          <w:szCs w:val="20"/>
          <w:i w:val="1"/>
          <w:iCs w:val="1"/>
          <w:color w:val="auto"/>
        </w:rPr>
        <w:t>Share</w:t>
      </w:r>
      <w:r>
        <w:rPr>
          <w:rFonts w:ascii="Arial" w:cs="Arial" w:eastAsia="Arial" w:hAnsi="Arial"/>
          <w:sz w:val="20"/>
          <w:szCs w:val="20"/>
          <w:color w:val="auto"/>
        </w:rPr>
        <w:t>. All prior-period EPS data are to be adjusted retrospectively to conform with the provisions of this FSP. We adopted FSP EITF</w:t>
      </w:r>
      <w:r>
        <w:rPr>
          <w:rFonts w:ascii="Arial" w:cs="Arial" w:eastAsia="Arial" w:hAnsi="Arial"/>
          <w:sz w:val="20"/>
          <w:szCs w:val="20"/>
          <w:i w:val="1"/>
          <w:iCs w:val="1"/>
          <w:color w:val="auto"/>
        </w:rPr>
        <w:t xml:space="preserve"> </w:t>
      </w:r>
      <w:r>
        <w:rPr>
          <w:rFonts w:ascii="Arial" w:cs="Arial" w:eastAsia="Arial" w:hAnsi="Arial"/>
          <w:sz w:val="20"/>
          <w:szCs w:val="20"/>
          <w:color w:val="auto"/>
        </w:rPr>
        <w:t>03-6-1 on January 1, 2009, and it did not have a material effect on our EPS.</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21"/>
          <w:szCs w:val="21"/>
          <w:b w:val="1"/>
          <w:bCs w:val="1"/>
          <w:i w:val="1"/>
          <w:iCs w:val="1"/>
          <w:color w:val="auto"/>
        </w:rPr>
        <w:t xml:space="preserve">EITF Issue No. 08-6, "Equity Method Investment Accounting Considerations" (EITF 08-6): </w:t>
      </w:r>
      <w:r>
        <w:rPr>
          <w:rFonts w:ascii="Arial" w:cs="Arial" w:eastAsia="Arial" w:hAnsi="Arial"/>
          <w:sz w:val="21"/>
          <w:szCs w:val="21"/>
          <w:color w:val="auto"/>
        </w:rPr>
        <w:t>EITF 08-6 (ASC 323) clarifies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accounting and impairment considerations involving equity method investments. We adopted EITF 08-6 on January 1, 2009, and it did not have a material effect on our financial position or results of operations.</w:t>
      </w:r>
    </w:p>
    <w:p>
      <w:pPr>
        <w:spacing w:after="0" w:line="47" w:lineRule="exact"/>
        <w:rPr>
          <w:sz w:val="20"/>
          <w:szCs w:val="20"/>
          <w:color w:val="auto"/>
        </w:rPr>
      </w:pPr>
    </w:p>
    <w:p>
      <w:pPr>
        <w:jc w:val="both"/>
        <w:ind w:right="360"/>
        <w:spacing w:after="0" w:line="266" w:lineRule="auto"/>
        <w:rPr>
          <w:sz w:val="20"/>
          <w:szCs w:val="20"/>
          <w:color w:val="auto"/>
        </w:rPr>
      </w:pPr>
      <w:r>
        <w:rPr>
          <w:rFonts w:ascii="Arial" w:cs="Arial" w:eastAsia="Arial" w:hAnsi="Arial"/>
          <w:sz w:val="20"/>
          <w:szCs w:val="20"/>
          <w:b w:val="1"/>
          <w:bCs w:val="1"/>
          <w:i w:val="1"/>
          <w:iCs w:val="1"/>
          <w:color w:val="auto"/>
        </w:rPr>
        <w:t xml:space="preserve">EITF Issue No. 08-5, "Issuer’s Accounting for Liabilities Measured at Fair Value with a Third-Party Credit Enhancement" (EITF 08-5): </w:t>
      </w:r>
      <w:r>
        <w:rPr>
          <w:rFonts w:ascii="Arial" w:cs="Arial" w:eastAsia="Arial" w:hAnsi="Arial"/>
          <w:sz w:val="20"/>
          <w:szCs w:val="20"/>
          <w:color w:val="auto"/>
        </w:rPr>
        <w:t>EITF 08-5 (ASC 820) provides that an issuer of a liability with a third-party credit enhancement that is inseparable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the liability may not include the effect of the credit enhancement in the fair value measurement of the liability. We adopted EITF 08-5 on January 1, 2009, and it did not affect our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247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NOTE 3. RECENT EQUITY TRANSACTION</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PIPELINES &amp; STORAGE</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21"/>
          <w:szCs w:val="21"/>
          <w:color w:val="auto"/>
        </w:rPr>
        <w:t>Sempra Midstream, owned by Sempra Pipelines &amp; Storage, owned 60 percent of Mississippi Hub, LLC (Mississippi Hub) at December 31, 2008. On January 16, 2009, Sempra Midstream purchased the remaining 40-percent ownership interest of Mississippi Hub for $94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47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 AND SDG&amp;E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Available-for-Sale Securities</w:t>
      </w:r>
    </w:p>
    <w:p>
      <w:pPr>
        <w:spacing w:after="0" w:line="47"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During the six months ended June 30, 2008, Sempra Energy and SDG&amp;E purchased $252 million and $161 million, respectively, of SDG&amp;E's industrial development bonds, net of purchases and sales between Sempra Energy and SDG&amp;E as the cash flow needs of each entity changed. In December 2008, SDG&amp;E remarketed $237 million of these industrial development bonds. In June 2009, SDG&amp;E remarketed the remaining $176 million of these industrial development bonds at a fixed rate of 5.875 percent, maturing in 2034. At December 31, 2008, the $176 million of industrial development bonds, $24 million of which were held by SDG&amp;E, were classified as available-for-sale securities and included in Short-Term Investments on the Condensed Consolidated Balance Sheets. In the first six months of 2009, SDG&amp;E purchased $152 million of the bonds from Sempra Energy prior to their remarketing. We discuss these bonds further in Note 6 of the Notes to Consolidated Fin ancial Statements in the Annual Report.</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COMMODITIES</w:t>
      </w:r>
    </w:p>
    <w:p>
      <w:pPr>
        <w:spacing w:after="0" w:line="104" w:lineRule="exact"/>
        <w:rPr>
          <w:sz w:val="20"/>
          <w:szCs w:val="20"/>
          <w:color w:val="auto"/>
        </w:rPr>
      </w:pPr>
    </w:p>
    <w:p>
      <w:pPr>
        <w:ind w:right="280"/>
        <w:spacing w:after="0" w:line="324" w:lineRule="auto"/>
        <w:rPr>
          <w:sz w:val="20"/>
          <w:szCs w:val="20"/>
          <w:color w:val="auto"/>
        </w:rPr>
      </w:pPr>
      <w:r>
        <w:rPr>
          <w:rFonts w:ascii="Arial" w:cs="Arial" w:eastAsia="Arial" w:hAnsi="Arial"/>
          <w:sz w:val="19"/>
          <w:szCs w:val="19"/>
          <w:color w:val="auto"/>
        </w:rPr>
        <w:t>On April 1, 2008, Sempra Energy and The Royal Bank of Scotland (RBS) completed the formation of RBS Sempra Commodities LLP (RBS Sempra Commodities), a limited liability partnership formed in the United Kingdom to own and operate the</w:t>
      </w:r>
    </w:p>
    <w:p>
      <w:pPr>
        <w:sectPr>
          <w:pgSz w:w="11900" w:h="16838" w:orient="portrait"/>
          <w:cols w:equalWidth="0" w:num="1">
            <w:col w:w="11420"/>
          </w:cols>
          <w:pgMar w:left="240" w:top="118" w:right="239" w:bottom="0" w:gutter="0" w:footer="0" w:header="0"/>
        </w:sectPr>
      </w:pPr>
    </w:p>
    <w:bookmarkStart w:id="25" w:name="page26"/>
    <w:bookmarkEnd w:id="25"/>
    <w:p>
      <w:pPr>
        <w:jc w:val="both"/>
        <w:ind w:right="180"/>
        <w:spacing w:after="0" w:line="255" w:lineRule="auto"/>
        <w:rPr>
          <w:sz w:val="20"/>
          <w:szCs w:val="20"/>
          <w:color w:val="auto"/>
        </w:rPr>
      </w:pPr>
      <w:r>
        <w:rPr>
          <w:rFonts w:ascii="Arial" w:cs="Arial" w:eastAsia="Arial" w:hAnsi="Arial"/>
          <w:sz w:val="21"/>
          <w:szCs w:val="21"/>
          <w:color w:val="auto"/>
        </w:rPr>
        <w:t>commodities-marketing businesses previously operated through wholly owned subsidiaries of Sempra Energy. We account for our investment in RBS Sempra Commodities under the equity method, and our share of partnership earnings is reported in the Sempra Commodities segment.</w:t>
      </w:r>
    </w:p>
    <w:p>
      <w:pPr>
        <w:spacing w:after="0" w:line="4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For the three months and six months ended June 30, 2009, we had $126 million and $279 million of pretax equity earnings, respectively, from RBS Sempra Commodities. Pretax equity earnings from RBS Sempra Commodities were $146 million for both the three and six months ended June 30, 2008. The partnership income that is distributable to us on an annual basis is computed on the partnership's basis of accounting, International Financial Reporting Standards (IFRS) as adopted by the European Union. For the three months and six months ended June 30, 2009, this distributable income, on an IFRS basis, was $102 million and $216 million, respectively. For both the three and six months ended June 30, 2008, the distributable income, on an IFRS basis, was $165 million. In the first quarter of 2009, we received the remaining distribution of 2008 partnership income of $305 million, and an additional $70 million in the second quarter of 2009 to fund estimated tax payments as pr ovided in the partnership agreement.</w:t>
      </w:r>
    </w:p>
    <w:p>
      <w:pPr>
        <w:spacing w:after="0" w:line="21" w:lineRule="exact"/>
        <w:rPr>
          <w:sz w:val="20"/>
          <w:szCs w:val="20"/>
          <w:color w:val="auto"/>
        </w:rPr>
      </w:pPr>
    </w:p>
    <w:p>
      <w:pPr>
        <w:jc w:val="both"/>
        <w:ind w:right="120"/>
        <w:spacing w:after="0" w:line="255" w:lineRule="auto"/>
        <w:rPr>
          <w:sz w:val="20"/>
          <w:szCs w:val="20"/>
          <w:color w:val="auto"/>
        </w:rPr>
      </w:pPr>
      <w:r>
        <w:rPr>
          <w:rFonts w:ascii="Arial" w:cs="Arial" w:eastAsia="Arial" w:hAnsi="Arial"/>
          <w:sz w:val="21"/>
          <w:szCs w:val="21"/>
          <w:color w:val="auto"/>
        </w:rPr>
        <w:t>We have indemnified the partnership for certain litigation and tax liabilities related to the businesses purchased by the partnership. We recorded these obligations at a fair value of $5 million on April 1, 2008, the date we formed the partnership, and they are being amortized over 4 years.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We provide information regarding the Sempra Commodities segment in Note 11.</w:t>
      </w:r>
    </w:p>
    <w:p>
      <w:pPr>
        <w:sectPr>
          <w:pgSz w:w="11900" w:h="16838" w:orient="portrait"/>
          <w:cols w:equalWidth="0" w:num="1">
            <w:col w:w="11360"/>
          </w:cols>
          <w:pgMar w:left="240" w:top="118" w:right="299" w:bottom="1440" w:gutter="0" w:footer="0" w:header="0"/>
        </w:sectPr>
      </w:pPr>
    </w:p>
    <w:bookmarkStart w:id="26" w:name="page27"/>
    <w:bookmarkEnd w:id="26"/>
    <w:p>
      <w:pPr>
        <w:spacing w:after="0"/>
        <w:rPr>
          <w:sz w:val="20"/>
          <w:szCs w:val="20"/>
          <w:color w:val="auto"/>
        </w:rPr>
      </w:pPr>
      <w:r>
        <w:rPr>
          <w:rFonts w:ascii="Arial" w:cs="Arial" w:eastAsia="Arial" w:hAnsi="Arial"/>
          <w:sz w:val="21"/>
          <w:szCs w:val="21"/>
          <w:color w:val="auto"/>
        </w:rPr>
        <w:t>The following table shows summarized financial information for RBS Sempra Commodities (on a GAAP basis):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3"/>
          </w:tcPr>
          <w:p>
            <w:pPr>
              <w:jc w:val="right"/>
              <w:ind w:right="161"/>
              <w:spacing w:after="0"/>
              <w:rPr>
                <w:sz w:val="20"/>
                <w:szCs w:val="20"/>
                <w:color w:val="auto"/>
              </w:rPr>
            </w:pPr>
            <w:r>
              <w:rPr>
                <w:rFonts w:ascii="Arial" w:cs="Arial" w:eastAsia="Arial" w:hAnsi="Arial"/>
                <w:sz w:val="14"/>
                <w:szCs w:val="14"/>
                <w:color w:val="auto"/>
              </w:rPr>
              <w:t>Three months ended June 30,</w:t>
            </w:r>
          </w:p>
        </w:tc>
        <w:tc>
          <w:tcPr>
            <w:tcW w:w="260" w:type="dxa"/>
            <w:vAlign w:val="bottom"/>
          </w:tcPr>
          <w:p>
            <w:pPr>
              <w:spacing w:after="0"/>
              <w:rPr>
                <w:sz w:val="14"/>
                <w:szCs w:val="14"/>
                <w:color w:val="auto"/>
              </w:rPr>
            </w:pPr>
          </w:p>
        </w:tc>
        <w:tc>
          <w:tcPr>
            <w:tcW w:w="2220" w:type="dxa"/>
            <w:vAlign w:val="bottom"/>
            <w:gridSpan w:val="3"/>
          </w:tcPr>
          <w:p>
            <w:pPr>
              <w:jc w:val="right"/>
              <w:ind w:right="281"/>
              <w:spacing w:after="0"/>
              <w:rPr>
                <w:sz w:val="20"/>
                <w:szCs w:val="20"/>
                <w:color w:val="auto"/>
              </w:rPr>
            </w:pPr>
            <w:r>
              <w:rPr>
                <w:rFonts w:ascii="Arial" w:cs="Arial" w:eastAsia="Arial" w:hAnsi="Arial"/>
                <w:sz w:val="14"/>
                <w:szCs w:val="14"/>
                <w:color w:val="auto"/>
              </w:rPr>
              <w:t>Six months ended June 30,</w:t>
            </w:r>
          </w:p>
        </w:tc>
      </w:tr>
      <w:tr>
        <w:trPr>
          <w:trHeight w:val="20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Gross revenues and fee income</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367</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538</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876</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4"/>
        </w:trPr>
        <w:tc>
          <w:tcPr>
            <w:tcW w:w="2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4"/>
        </w:trPr>
        <w:tc>
          <w:tcPr>
            <w:tcW w:w="270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7"/>
        </w:trPr>
        <w:tc>
          <w:tcPr>
            <w:tcW w:w="2700" w:type="dxa"/>
            <w:vAlign w:val="bottom"/>
          </w:tcPr>
          <w:p>
            <w:pPr>
              <w:ind w:left="20"/>
              <w:spacing w:after="0"/>
              <w:rPr>
                <w:sz w:val="20"/>
                <w:szCs w:val="20"/>
                <w:color w:val="auto"/>
              </w:rPr>
            </w:pPr>
            <w:r>
              <w:rPr>
                <w:rFonts w:ascii="Arial" w:cs="Arial" w:eastAsia="Arial" w:hAnsi="Arial"/>
                <w:sz w:val="16"/>
                <w:szCs w:val="16"/>
                <w:color w:val="auto"/>
              </w:rPr>
              <w:t>Partnership net income</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83"/>
        </w:trPr>
        <w:tc>
          <w:tcPr>
            <w:tcW w:w="2700" w:type="dxa"/>
            <w:vAlign w:val="bottom"/>
            <w:shd w:val="clear" w:color="auto" w:fill="DFDFDF"/>
          </w:tcPr>
          <w:p>
            <w:pPr>
              <w:spacing w:after="0"/>
              <w:rPr>
                <w:sz w:val="7"/>
                <w:szCs w:val="7"/>
                <w:color w:val="auto"/>
              </w:rPr>
            </w:pPr>
          </w:p>
        </w:tc>
        <w:tc>
          <w:tcPr>
            <w:tcW w:w="40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PIPELINES &amp; STORAGE</w:t>
      </w:r>
    </w:p>
    <w:p>
      <w:pPr>
        <w:spacing w:after="0" w:line="104" w:lineRule="exact"/>
        <w:rPr>
          <w:sz w:val="20"/>
          <w:szCs w:val="20"/>
          <w:color w:val="auto"/>
        </w:rPr>
      </w:pPr>
    </w:p>
    <w:p>
      <w:pPr>
        <w:ind w:right="200"/>
        <w:spacing w:after="0" w:line="250" w:lineRule="auto"/>
        <w:rPr>
          <w:sz w:val="20"/>
          <w:szCs w:val="20"/>
          <w:color w:val="auto"/>
        </w:rPr>
      </w:pPr>
      <w:r>
        <w:rPr>
          <w:rFonts w:ascii="Arial" w:cs="Arial" w:eastAsia="Arial" w:hAnsi="Arial"/>
          <w:sz w:val="21"/>
          <w:szCs w:val="21"/>
          <w:color w:val="auto"/>
        </w:rPr>
        <w:t>In the three and six months ended June 30, 2009, Sempra Pipelines &amp; Storage contributed $188 million and $213 million, respectively, to Rockies Express, a joint venture for the development of the Rockies Express Pipeline. Sempra Pipelines &amp; Storage contributed $150 million in the first quarter of 2008. We discuss this investment in Note 4 of the Notes to Consolidated Financial Statements in the Annual Report.</w:t>
      </w:r>
    </w:p>
    <w:p>
      <w:pPr>
        <w:spacing w:after="0" w:line="3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Sempra Pipelines &amp; Storage owns 43 percent of two Argentine natural gas utility holding companies, Sodigas Pampeana and Sodigas Sur. The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officially closed the arbitration proceedings and awarded us compensation of $172 million, which includes interest up to the award date. In January 2008, Argentina filed an action at the ICSID seeking to annul the award. O n March 5, 2009, the ICSID ordered Argentina to place $75 million in escrow within 120 days, as tangible evidence of its preparedness to comply in good faith, as a condition of a continued stay in the annulment case. Argentina has not complied with the escrow order. Sempra Pipelines &amp; Storage has requested the ICSID to remove the stay. We will not recognize the ICSID award until collectibility is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47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VARIABLE INTEREST ENTITIES</w:t>
      </w:r>
    </w:p>
    <w:p>
      <w:pPr>
        <w:spacing w:after="0" w:line="104" w:lineRule="exact"/>
        <w:rPr>
          <w:sz w:val="20"/>
          <w:szCs w:val="20"/>
          <w:color w:val="auto"/>
        </w:rPr>
      </w:pPr>
    </w:p>
    <w:p>
      <w:pPr>
        <w:ind w:right="160"/>
        <w:spacing w:after="0" w:line="250" w:lineRule="auto"/>
        <w:rPr>
          <w:sz w:val="20"/>
          <w:szCs w:val="20"/>
          <w:color w:val="auto"/>
        </w:rPr>
      </w:pPr>
      <w:r>
        <w:rPr>
          <w:rFonts w:ascii="Arial" w:cs="Arial" w:eastAsia="Arial" w:hAnsi="Arial"/>
          <w:sz w:val="21"/>
          <w:szCs w:val="21"/>
          <w:color w:val="auto"/>
        </w:rPr>
        <w:t>FIN 46(R) (ASC 810) requires an enterprise to consolidate a variable interest entity (VIE), as defined in FIN 46(R), if the company is the primary beneficiary of the VIE’s activities. Our determination of whether we are the primary beneficiary is based upon qualitative and quantitative analyses, which assess</w:t>
      </w:r>
    </w:p>
    <w:p>
      <w:pPr>
        <w:spacing w:after="0" w:line="1" w:lineRule="exact"/>
        <w:rPr>
          <w:sz w:val="20"/>
          <w:szCs w:val="20"/>
          <w:color w:val="auto"/>
        </w:rPr>
      </w:pPr>
    </w:p>
    <w:p>
      <w:pPr>
        <w:ind w:left="180" w:hanging="173"/>
        <w:spacing w:after="0"/>
        <w:tabs>
          <w:tab w:leader="none" w:pos="1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purpose and design of the VIE;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nature of the VIE's risks and the risks we absorb; and</w:t>
      </w:r>
    </w:p>
    <w:p>
      <w:pPr>
        <w:spacing w:after="0" w:line="39" w:lineRule="exact"/>
        <w:rPr>
          <w:rFonts w:ascii="Arial" w:cs="Arial" w:eastAsia="Arial" w:hAnsi="Arial"/>
          <w:sz w:val="21"/>
          <w:szCs w:val="21"/>
          <w:color w:val="auto"/>
        </w:rPr>
      </w:pPr>
    </w:p>
    <w:p>
      <w:pPr>
        <w:ind w:left="180" w:right="1400" w:hanging="173"/>
        <w:spacing w:after="0" w:line="265" w:lineRule="auto"/>
        <w:tabs>
          <w:tab w:leader="none" w:pos="1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whether the variable interest holders will absorb a majority of the VIE's expected losses or receive a majority of its expected residual returns (or both).</w:t>
      </w:r>
    </w:p>
    <w:p>
      <w:pPr>
        <w:spacing w:after="0" w:line="78" w:lineRule="exact"/>
        <w:rPr>
          <w:sz w:val="20"/>
          <w:szCs w:val="20"/>
          <w:color w:val="auto"/>
        </w:rPr>
      </w:pPr>
    </w:p>
    <w:p>
      <w:pPr>
        <w:ind w:right="140"/>
        <w:spacing w:after="0" w:line="255" w:lineRule="auto"/>
        <w:rPr>
          <w:sz w:val="20"/>
          <w:szCs w:val="20"/>
          <w:color w:val="auto"/>
        </w:rPr>
      </w:pPr>
      <w:r>
        <w:rPr>
          <w:rFonts w:ascii="Arial" w:cs="Arial" w:eastAsia="Arial" w:hAnsi="Arial"/>
          <w:sz w:val="21"/>
          <w:szCs w:val="21"/>
          <w:color w:val="auto"/>
        </w:rPr>
        <w:t>SDG&amp;E has a 10-year agreement to purchase power to be generated at the Otay Mesa Energy Center (OMEC), a 573-megawatt (MW) generating facility. Commissioning activities commenced in July 2009, and SDG&amp;E expects the facility to be in commercial operation in the fourth quarter of 2009.</w:t>
      </w:r>
    </w:p>
    <w:p>
      <w:pPr>
        <w:spacing w:after="0" w:line="34"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As defined in FIN 46(R), the facility owner, Otay Mesa Energy Center LLC (OMEC LLC), is a VIE (Otay Mesa VIE), of which SDG&amp;E is the primary beneficiary. Accordingly, Sempra Energy and SDG&amp;E have consolidated Otay Mesa VIE. SDG&amp;E has no OMEC LLC voting rights and does not operate OMEC.</w:t>
      </w:r>
    </w:p>
    <w:p>
      <w:pPr>
        <w:sectPr>
          <w:pgSz w:w="11900" w:h="16838" w:orient="portrait"/>
          <w:cols w:equalWidth="0" w:num="1">
            <w:col w:w="11420"/>
          </w:cols>
          <w:pgMar w:left="240" w:top="118" w:right="239" w:bottom="1440" w:gutter="0" w:footer="0" w:header="0"/>
        </w:sectPr>
      </w:pPr>
    </w:p>
    <w:bookmarkStart w:id="27" w:name="page28"/>
    <w:bookmarkEnd w:id="27"/>
    <w:p>
      <w:pPr>
        <w:ind w:right="160"/>
        <w:spacing w:after="0" w:line="250" w:lineRule="auto"/>
        <w:rPr>
          <w:sz w:val="20"/>
          <w:szCs w:val="20"/>
          <w:color w:val="auto"/>
        </w:rPr>
      </w:pPr>
      <w:r>
        <w:rPr>
          <w:rFonts w:ascii="Arial" w:cs="Arial" w:eastAsia="Arial" w:hAnsi="Arial"/>
          <w:sz w:val="21"/>
          <w:szCs w:val="21"/>
          <w:color w:val="auto"/>
        </w:rPr>
        <w:t>Otay Mesa VIE's equity of $158 million at June 30, 2009 and $128 million at December 31, 2008 is included on the Condensed Consolidated Balance Sheets in Other Noncontrolling Interests for Sempra Energy and in Noncontrolling Interest for SDG&amp;E. We provide additional information about Otay Mesa VIE in Note 1 of the Notes to Consolidated Financial Statements in the Annual Report.</w:t>
      </w:r>
    </w:p>
    <w:p>
      <w:pPr>
        <w:spacing w:after="0" w:line="53"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OMEC LLC has a project finance credit facility with third party lenders, secured by its assets, that provides for up to $377 million for the construction of OMEC. SDG&amp;E is not a party to the credit agreement and does not have any additional implicit or explicit financial responsibility to Otay Mesa VIE. The loan matures in April 2019. Borrowings under the facility bear interest at rates varying with market rates. OMEC LLC had $316 million of outstanding borrowings under this facility at June 30, 2009. In addition, OMEC LLC has entered into interest-rate swap agreements to moderate its exposure to interest-rate changes on this facility. We provide additional information concerning the interest-rate swaps in Note 7.</w:t>
      </w:r>
    </w:p>
    <w:p>
      <w:pPr>
        <w:spacing w:after="0" w:line="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Contracts under which SDG&amp;E acquires power from generation facilities otherwise unrelated to SDG&amp;E could also result in a requirement for SDG&amp;E to consolidate the entity that owns the facility. In accordance with FIN 46(R), SDG&amp;E continues the process of determining if it has any such situations and, if so, gathering the information that would be needed to perform the consolidation. However, such information has not been made available to us and an evaluation of variable interests has not been completed for these entities that are grandfathered pursuant to FIN 46(R). The effects of any required consolidation are not expected to significantly affect the financial position, results of operations or liquidity of SDG&amp;E.</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PENSION AND OTHER POSTRETIREMENT BENEFITS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three tables provide the components of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240020" cy="272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40020" cy="27241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3380" w:type="dxa"/>
            <w:vAlign w:val="bottom"/>
          </w:tcPr>
          <w:p>
            <w:pPr>
              <w:spacing w:after="0"/>
              <w:rPr>
                <w:sz w:val="17"/>
                <w:szCs w:val="17"/>
                <w:color w:val="auto"/>
              </w:rPr>
            </w:pPr>
          </w:p>
        </w:tc>
        <w:tc>
          <w:tcPr>
            <w:tcW w:w="21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Pension Benefits</w:t>
            </w: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Other Postretirement Benefits</w:t>
            </w:r>
          </w:p>
        </w:tc>
      </w:tr>
      <w:tr>
        <w:trPr>
          <w:trHeight w:val="194"/>
        </w:trPr>
        <w:tc>
          <w:tcPr>
            <w:tcW w:w="3380" w:type="dxa"/>
            <w:vAlign w:val="bottom"/>
          </w:tcPr>
          <w:p>
            <w:pPr>
              <w:spacing w:after="0"/>
              <w:rPr>
                <w:sz w:val="16"/>
                <w:szCs w:val="16"/>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June 30,</w:t>
            </w: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Three months ended June 30,</w:t>
            </w:r>
          </w:p>
        </w:tc>
      </w:tr>
      <w:tr>
        <w:trPr>
          <w:trHeight w:val="221"/>
        </w:trPr>
        <w:tc>
          <w:tcPr>
            <w:tcW w:w="3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(40)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21</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83"/>
        </w:trPr>
        <w:tc>
          <w:tcPr>
            <w:tcW w:w="3380" w:type="dxa"/>
            <w:vAlign w:val="bottom"/>
            <w:shd w:val="clear" w:color="auto" w:fill="000000"/>
          </w:tcPr>
          <w:p>
            <w:pPr>
              <w:spacing w:after="0"/>
              <w:rPr>
                <w:sz w:val="7"/>
                <w:szCs w:val="7"/>
                <w:color w:val="auto"/>
              </w:rPr>
            </w:pPr>
          </w:p>
        </w:tc>
        <w:tc>
          <w:tcPr>
            <w:tcW w:w="2120" w:type="dxa"/>
            <w:vAlign w:val="bottom"/>
            <w:gridSpan w:val="3"/>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260" w:type="dxa"/>
            <w:vAlign w:val="bottom"/>
            <w:gridSpan w:val="3"/>
            <w:shd w:val="clear" w:color="auto" w:fill="000000"/>
          </w:tcPr>
          <w:p>
            <w:pPr>
              <w:spacing w:after="0"/>
              <w:rPr>
                <w:sz w:val="7"/>
                <w:szCs w:val="7"/>
                <w:color w:val="auto"/>
              </w:rPr>
            </w:pPr>
          </w:p>
        </w:tc>
      </w:tr>
      <w:tr>
        <w:trPr>
          <w:trHeight w:val="195"/>
        </w:trPr>
        <w:tc>
          <w:tcPr>
            <w:tcW w:w="338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Six months ended June 30,</w:t>
            </w:r>
          </w:p>
        </w:tc>
      </w:tr>
      <w:tr>
        <w:trPr>
          <w:trHeight w:val="221"/>
        </w:trPr>
        <w:tc>
          <w:tcPr>
            <w:tcW w:w="3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85</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(70)</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(80)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83"/>
        </w:trPr>
        <w:tc>
          <w:tcPr>
            <w:tcW w:w="33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bl>
    <w:p>
      <w:pPr>
        <w:sectPr>
          <w:pgSz w:w="11900" w:h="16838" w:orient="portrait"/>
          <w:cols w:equalWidth="0" w:num="1">
            <w:col w:w="11360"/>
          </w:cols>
          <w:pgMar w:left="240" w:top="118" w:right="299" w:bottom="1440" w:gutter="0" w:footer="0" w:header="0"/>
        </w:sectPr>
      </w:pPr>
    </w:p>
    <w:bookmarkStart w:id="28" w:name="page29"/>
    <w:bookmarkEnd w:id="2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582295</wp:posOffset>
            </wp:positionV>
            <wp:extent cx="5240020" cy="272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40020" cy="272415"/>
                    </a:xfrm>
                    <a:prstGeom prst="rect">
                      <a:avLst/>
                    </a:prstGeom>
                    <a:noFill/>
                  </pic:spPr>
                </pic:pic>
              </a:graphicData>
            </a:graphic>
          </wp:anchor>
        </w:drawing>
        <w:t>NET PERIODIC BENEFIT COST -- SDG&amp;E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Pension Benefits</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Other Postretirement Benefits</w:t>
            </w:r>
          </w:p>
        </w:tc>
      </w:tr>
      <w:tr>
        <w:trPr>
          <w:trHeight w:val="194"/>
        </w:trPr>
        <w:tc>
          <w:tcPr>
            <w:tcW w:w="3380" w:type="dxa"/>
            <w:vAlign w:val="bottom"/>
          </w:tcPr>
          <w:p>
            <w:pPr>
              <w:spacing w:after="0"/>
              <w:rPr>
                <w:sz w:val="16"/>
                <w:szCs w:val="16"/>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June 30,</w:t>
            </w: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Three months ended June 30,</w:t>
            </w:r>
          </w:p>
        </w:tc>
      </w:tr>
      <w:tr>
        <w:trPr>
          <w:trHeight w:val="208"/>
        </w:trPr>
        <w:tc>
          <w:tcPr>
            <w:tcW w:w="3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(11)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3"/>
        </w:trPr>
        <w:tc>
          <w:tcPr>
            <w:tcW w:w="3380" w:type="dxa"/>
            <w:vAlign w:val="bottom"/>
            <w:shd w:val="clear" w:color="auto" w:fill="000000"/>
          </w:tcPr>
          <w:p>
            <w:pPr>
              <w:spacing w:after="0"/>
              <w:rPr>
                <w:sz w:val="7"/>
                <w:szCs w:val="7"/>
                <w:color w:val="auto"/>
              </w:rPr>
            </w:pPr>
          </w:p>
        </w:tc>
        <w:tc>
          <w:tcPr>
            <w:tcW w:w="2120" w:type="dxa"/>
            <w:vAlign w:val="bottom"/>
            <w:gridSpan w:val="3"/>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260" w:type="dxa"/>
            <w:vAlign w:val="bottom"/>
            <w:gridSpan w:val="3"/>
            <w:shd w:val="clear" w:color="auto" w:fill="000000"/>
          </w:tcPr>
          <w:p>
            <w:pPr>
              <w:spacing w:after="0"/>
              <w:rPr>
                <w:sz w:val="7"/>
                <w:szCs w:val="7"/>
                <w:color w:val="auto"/>
              </w:rPr>
            </w:pPr>
          </w:p>
        </w:tc>
      </w:tr>
      <w:tr>
        <w:trPr>
          <w:trHeight w:val="195"/>
        </w:trPr>
        <w:tc>
          <w:tcPr>
            <w:tcW w:w="338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Six months ended June 30,</w:t>
            </w:r>
          </w:p>
        </w:tc>
      </w:tr>
      <w:tr>
        <w:trPr>
          <w:trHeight w:val="208"/>
        </w:trPr>
        <w:tc>
          <w:tcPr>
            <w:tcW w:w="3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(23)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4220" w:type="dxa"/>
            <w:vAlign w:val="bottom"/>
            <w:gridSpan w:val="2"/>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r>
        <w:trPr>
          <w:trHeight w:val="268"/>
        </w:trPr>
        <w:tc>
          <w:tcPr>
            <w:tcW w:w="4220" w:type="dxa"/>
            <w:vAlign w:val="bottom"/>
            <w:tcBorders>
              <w:bottom w:val="single" w:sz="8" w:color="auto"/>
            </w:tcBorders>
            <w:gridSpan w:val="2"/>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07"/>
        </w:trPr>
        <w:tc>
          <w:tcPr>
            <w:tcW w:w="4220" w:type="dxa"/>
            <w:vAlign w:val="bottom"/>
            <w:gridSpan w:val="2"/>
            <w:shd w:val="clear" w:color="auto" w:fill="C0C0C0"/>
          </w:tcPr>
          <w:p>
            <w:pPr>
              <w:ind w:left="20"/>
              <w:spacing w:after="0"/>
              <w:rPr>
                <w:sz w:val="20"/>
                <w:szCs w:val="20"/>
                <w:color w:val="auto"/>
              </w:rPr>
            </w:pPr>
            <w:r>
              <w:rPr>
                <w:rFonts w:ascii="Arial" w:cs="Arial" w:eastAsia="Arial" w:hAnsi="Arial"/>
                <w:sz w:val="16"/>
                <w:szCs w:val="16"/>
                <w:b w:val="1"/>
                <w:bCs w:val="1"/>
                <w:color w:val="auto"/>
              </w:rPr>
              <w:t>NET PERIODIC BENEFIT COST -- SOCALGAS</w:t>
            </w:r>
          </w:p>
        </w:tc>
        <w:tc>
          <w:tcPr>
            <w:tcW w:w="38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r>
      <w:tr>
        <w:trPr>
          <w:trHeight w:val="202"/>
        </w:trPr>
        <w:tc>
          <w:tcPr>
            <w:tcW w:w="3380" w:type="dxa"/>
            <w:vAlign w:val="bottom"/>
            <w:shd w:val="clear" w:color="auto" w:fill="C0C0C0"/>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r>
      <w:tr>
        <w:trPr>
          <w:trHeight w:val="195"/>
        </w:trPr>
        <w:tc>
          <w:tcPr>
            <w:tcW w:w="338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Pension Benefits</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Other Postretirement Benefits</w:t>
            </w:r>
          </w:p>
        </w:tc>
      </w:tr>
      <w:tr>
        <w:trPr>
          <w:trHeight w:val="194"/>
        </w:trPr>
        <w:tc>
          <w:tcPr>
            <w:tcW w:w="3380" w:type="dxa"/>
            <w:vAlign w:val="bottom"/>
          </w:tcPr>
          <w:p>
            <w:pPr>
              <w:spacing w:after="0"/>
              <w:rPr>
                <w:sz w:val="16"/>
                <w:szCs w:val="16"/>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June 30,</w:t>
            </w: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Three months ended June 30,</w:t>
            </w:r>
          </w:p>
        </w:tc>
      </w:tr>
      <w:tr>
        <w:trPr>
          <w:trHeight w:val="208"/>
        </w:trPr>
        <w:tc>
          <w:tcPr>
            <w:tcW w:w="3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(25)</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credit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723"/>
              <w:spacing w:after="0"/>
              <w:rPr>
                <w:sz w:val="20"/>
                <w:szCs w:val="20"/>
                <w:color w:val="auto"/>
              </w:rPr>
            </w:pPr>
            <w:r>
              <w:rPr>
                <w:rFonts w:ascii="Arial" w:cs="Arial" w:eastAsia="Arial" w:hAnsi="Arial"/>
                <w:sz w:val="16"/>
                <w:szCs w:val="16"/>
                <w:color w:val="auto"/>
              </w:rPr>
              <w:t>- $</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3380" w:type="dxa"/>
            <w:vAlign w:val="bottom"/>
            <w:shd w:val="clear" w:color="auto" w:fill="000000"/>
          </w:tcPr>
          <w:p>
            <w:pPr>
              <w:spacing w:after="0"/>
              <w:rPr>
                <w:sz w:val="7"/>
                <w:szCs w:val="7"/>
                <w:color w:val="auto"/>
              </w:rPr>
            </w:pPr>
          </w:p>
        </w:tc>
        <w:tc>
          <w:tcPr>
            <w:tcW w:w="2120" w:type="dxa"/>
            <w:vAlign w:val="bottom"/>
            <w:gridSpan w:val="3"/>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260" w:type="dxa"/>
            <w:vAlign w:val="bottom"/>
            <w:gridSpan w:val="3"/>
            <w:shd w:val="clear" w:color="auto" w:fill="000000"/>
          </w:tcPr>
          <w:p>
            <w:pPr>
              <w:spacing w:after="0"/>
              <w:rPr>
                <w:sz w:val="7"/>
                <w:szCs w:val="7"/>
                <w:color w:val="auto"/>
              </w:rPr>
            </w:pPr>
          </w:p>
        </w:tc>
      </w:tr>
      <w:tr>
        <w:trPr>
          <w:trHeight w:val="195"/>
        </w:trPr>
        <w:tc>
          <w:tcPr>
            <w:tcW w:w="338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color w:val="auto"/>
              </w:rPr>
              <w:t>Six months ended June 30,</w:t>
            </w:r>
          </w:p>
        </w:tc>
      </w:tr>
      <w:tr>
        <w:trPr>
          <w:trHeight w:val="208"/>
        </w:trPr>
        <w:tc>
          <w:tcPr>
            <w:tcW w:w="3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49</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(51)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83"/>
        </w:trPr>
        <w:tc>
          <w:tcPr>
            <w:tcW w:w="33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925" w:right="1440"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Future Payments</w:t>
      </w:r>
    </w:p>
    <w:p>
      <w:pPr>
        <w:spacing w:after="0" w:line="33" w:lineRule="exact"/>
        <w:rPr>
          <w:sz w:val="20"/>
          <w:szCs w:val="20"/>
          <w:color w:val="auto"/>
        </w:rPr>
      </w:pPr>
    </w:p>
    <w:p>
      <w:pPr>
        <w:ind w:right="120"/>
        <w:spacing w:after="0" w:line="270" w:lineRule="auto"/>
        <w:rPr>
          <w:sz w:val="20"/>
          <w:szCs w:val="20"/>
          <w:color w:val="auto"/>
        </w:rPr>
      </w:pPr>
      <w:r>
        <w:rPr>
          <w:rFonts w:ascii="Arial" w:cs="Arial" w:eastAsia="Arial" w:hAnsi="Arial"/>
          <w:sz w:val="21"/>
          <w:szCs w:val="21"/>
          <w:color w:val="auto"/>
        </w:rPr>
        <w:t>The following table shows our year-to-date contributions to our pension and other postretirement benefit plans and the amounts we expect to contribute in 2009: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4"/>
                <w:szCs w:val="14"/>
                <w:color w:val="auto"/>
              </w:rPr>
              <w:t>Sempra Energy</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Consolidated</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SDG&amp;E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SoCalGas</w:t>
            </w:r>
          </w:p>
        </w:tc>
      </w:tr>
      <w:tr>
        <w:trPr>
          <w:trHeight w:val="208"/>
        </w:trPr>
        <w:tc>
          <w:tcPr>
            <w:tcW w:w="3040" w:type="dxa"/>
            <w:vAlign w:val="bottom"/>
          </w:tcPr>
          <w:p>
            <w:pPr>
              <w:ind w:left="20"/>
              <w:spacing w:after="0"/>
              <w:rPr>
                <w:sz w:val="20"/>
                <w:szCs w:val="20"/>
                <w:color w:val="auto"/>
              </w:rPr>
            </w:pPr>
            <w:r>
              <w:rPr>
                <w:rFonts w:ascii="Arial" w:cs="Arial" w:eastAsia="Arial" w:hAnsi="Arial"/>
                <w:sz w:val="16"/>
                <w:szCs w:val="16"/>
                <w:color w:val="auto"/>
              </w:rPr>
              <w:t>Contributions through June 30, 2009:</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3040" w:type="dxa"/>
            <w:vAlign w:val="bottom"/>
          </w:tcPr>
          <w:p>
            <w:pPr>
              <w:ind w:left="200"/>
              <w:spacing w:after="0"/>
              <w:rPr>
                <w:sz w:val="20"/>
                <w:szCs w:val="20"/>
                <w:color w:val="auto"/>
              </w:rPr>
            </w:pPr>
            <w:r>
              <w:rPr>
                <w:rFonts w:ascii="Arial" w:cs="Arial" w:eastAsia="Arial" w:hAnsi="Arial"/>
                <w:sz w:val="16"/>
                <w:szCs w:val="16"/>
                <w:color w:val="auto"/>
              </w:rPr>
              <w:t>Pension plans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040" w:type="dxa"/>
            <w:vAlign w:val="bottom"/>
          </w:tcPr>
          <w:p>
            <w:pPr>
              <w:ind w:left="200"/>
              <w:spacing w:after="0"/>
              <w:rPr>
                <w:sz w:val="20"/>
                <w:szCs w:val="20"/>
                <w:color w:val="auto"/>
              </w:rPr>
            </w:pPr>
            <w:r>
              <w:rPr>
                <w:rFonts w:ascii="Arial" w:cs="Arial" w:eastAsia="Arial" w:hAnsi="Arial"/>
                <w:sz w:val="16"/>
                <w:szCs w:val="16"/>
                <w:color w:val="auto"/>
              </w:rPr>
              <w:t>Other postretirement benefit plans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3040" w:type="dxa"/>
            <w:vAlign w:val="bottom"/>
          </w:tcPr>
          <w:p>
            <w:pPr>
              <w:ind w:left="20"/>
              <w:spacing w:after="0"/>
              <w:rPr>
                <w:sz w:val="20"/>
                <w:szCs w:val="20"/>
                <w:color w:val="auto"/>
              </w:rPr>
            </w:pPr>
            <w:r>
              <w:rPr>
                <w:rFonts w:ascii="Arial" w:cs="Arial" w:eastAsia="Arial" w:hAnsi="Arial"/>
                <w:sz w:val="16"/>
                <w:szCs w:val="16"/>
                <w:color w:val="auto"/>
              </w:rPr>
              <w:t>Total expected contributions in 2009:</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3040" w:type="dxa"/>
            <w:vAlign w:val="bottom"/>
          </w:tcPr>
          <w:p>
            <w:pPr>
              <w:ind w:left="200"/>
              <w:spacing w:after="0"/>
              <w:rPr>
                <w:sz w:val="20"/>
                <w:szCs w:val="20"/>
                <w:color w:val="auto"/>
              </w:rPr>
            </w:pPr>
            <w:r>
              <w:rPr>
                <w:rFonts w:ascii="Arial" w:cs="Arial" w:eastAsia="Arial" w:hAnsi="Arial"/>
                <w:sz w:val="16"/>
                <w:szCs w:val="16"/>
                <w:color w:val="auto"/>
              </w:rPr>
              <w:t>Pension plans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161</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3040" w:type="dxa"/>
            <w:vAlign w:val="bottom"/>
          </w:tcPr>
          <w:p>
            <w:pPr>
              <w:ind w:left="200"/>
              <w:spacing w:after="0"/>
              <w:rPr>
                <w:sz w:val="20"/>
                <w:szCs w:val="20"/>
                <w:color w:val="auto"/>
              </w:rPr>
            </w:pPr>
            <w:r>
              <w:rPr>
                <w:rFonts w:ascii="Arial" w:cs="Arial" w:eastAsia="Arial" w:hAnsi="Arial"/>
                <w:sz w:val="16"/>
                <w:szCs w:val="16"/>
                <w:color w:val="auto"/>
              </w:rPr>
              <w:t>Other postretirement benefit plans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3"/>
        </w:trPr>
        <w:tc>
          <w:tcPr>
            <w:tcW w:w="3040" w:type="dxa"/>
            <w:vAlign w:val="bottom"/>
            <w:shd w:val="clear" w:color="auto" w:fill="DFDFDF"/>
          </w:tcPr>
          <w:p>
            <w:pPr>
              <w:spacing w:after="0"/>
              <w:rPr>
                <w:sz w:val="7"/>
                <w:szCs w:val="7"/>
                <w:color w:val="auto"/>
              </w:rPr>
            </w:pPr>
          </w:p>
        </w:tc>
        <w:tc>
          <w:tcPr>
            <w:tcW w:w="48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06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EARNINGS PER SHARE</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The following table provides the per share computations for our earnings for the three and six months ended June 30, 2009 and 2008. Basic EPS is calculated by dividing earnings attributable to common stock by the weighted-average number of common shares outstanding for the period. Diluted EPS includes the potential dilution of common stock equivalent shares that would occur if securities or other contracts to issue common stock were exercised or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5640070" cy="272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0070" cy="272415"/>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PER SHARE COMPUTATIONS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 except per share amounts; shares 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7"/>
        </w:trPr>
        <w:tc>
          <w:tcPr>
            <w:tcW w:w="3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color w:val="auto"/>
              </w:rPr>
              <w:t>Three months ended June 30,</w:t>
            </w: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color w:val="auto"/>
              </w:rPr>
              <w:t>Six months ended June 30,</w:t>
            </w:r>
          </w:p>
        </w:tc>
      </w:tr>
      <w:tr>
        <w:trPr>
          <w:trHeight w:val="208"/>
        </w:trPr>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r>
      <w:tr>
        <w:trPr>
          <w:trHeight w:val="208"/>
        </w:trPr>
        <w:tc>
          <w:tcPr>
            <w:tcW w:w="348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3480" w:type="dxa"/>
            <w:vAlign w:val="bottom"/>
          </w:tcPr>
          <w:p>
            <w:pPr>
              <w:ind w:left="200"/>
              <w:spacing w:after="0"/>
              <w:rPr>
                <w:sz w:val="20"/>
                <w:szCs w:val="20"/>
                <w:color w:val="auto"/>
              </w:rPr>
            </w:pPr>
            <w:r>
              <w:rPr>
                <w:rFonts w:ascii="Arial" w:cs="Arial" w:eastAsia="Arial" w:hAnsi="Arial"/>
                <w:sz w:val="16"/>
                <w:szCs w:val="16"/>
                <w:color w:val="auto"/>
              </w:rPr>
              <w:t>Earnings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198</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244</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514</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429"/>
        </w:trPr>
        <w:tc>
          <w:tcPr>
            <w:tcW w:w="348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3480" w:type="dxa"/>
            <w:vAlign w:val="bottom"/>
          </w:tcPr>
          <w:p>
            <w:pPr>
              <w:ind w:left="200"/>
              <w:spacing w:after="0"/>
              <w:rPr>
                <w:sz w:val="20"/>
                <w:szCs w:val="20"/>
                <w:color w:val="auto"/>
              </w:rPr>
            </w:pPr>
            <w:r>
              <w:rPr>
                <w:rFonts w:ascii="Arial" w:cs="Arial" w:eastAsia="Arial" w:hAnsi="Arial"/>
                <w:sz w:val="16"/>
                <w:szCs w:val="16"/>
                <w:color w:val="auto"/>
              </w:rPr>
              <w:t>Weighted-average common shares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3480" w:type="dxa"/>
            <w:vAlign w:val="bottom"/>
          </w:tcPr>
          <w:p>
            <w:pPr>
              <w:ind w:left="380"/>
              <w:spacing w:after="0"/>
              <w:rPr>
                <w:sz w:val="20"/>
                <w:szCs w:val="20"/>
                <w:color w:val="auto"/>
              </w:rPr>
            </w:pPr>
            <w:r>
              <w:rPr>
                <w:rFonts w:ascii="Arial" w:cs="Arial" w:eastAsia="Arial" w:hAnsi="Arial"/>
                <w:sz w:val="16"/>
                <w:szCs w:val="16"/>
                <w:color w:val="auto"/>
              </w:rPr>
              <w:t>outstanding for basic EPS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242,718</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245,576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242,245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252,100</w:t>
            </w:r>
          </w:p>
        </w:tc>
      </w:tr>
      <w:tr>
        <w:trPr>
          <w:trHeight w:val="228"/>
        </w:trPr>
        <w:tc>
          <w:tcPr>
            <w:tcW w:w="3480" w:type="dxa"/>
            <w:vAlign w:val="bottom"/>
          </w:tcPr>
          <w:p>
            <w:pPr>
              <w:ind w:left="200"/>
              <w:spacing w:after="0"/>
              <w:rPr>
                <w:sz w:val="20"/>
                <w:szCs w:val="20"/>
                <w:color w:val="auto"/>
              </w:rPr>
            </w:pPr>
            <w:r>
              <w:rPr>
                <w:rFonts w:ascii="Arial" w:cs="Arial" w:eastAsia="Arial" w:hAnsi="Arial"/>
                <w:sz w:val="16"/>
                <w:szCs w:val="16"/>
                <w:color w:val="auto"/>
              </w:rPr>
              <w:t>Dilutive effect of stock options, restricted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3480" w:type="dxa"/>
            <w:vAlign w:val="bottom"/>
          </w:tcPr>
          <w:p>
            <w:pPr>
              <w:ind w:left="380"/>
              <w:spacing w:after="0"/>
              <w:rPr>
                <w:sz w:val="20"/>
                <w:szCs w:val="20"/>
                <w:color w:val="auto"/>
              </w:rPr>
            </w:pPr>
            <w:r>
              <w:rPr>
                <w:rFonts w:ascii="Arial" w:cs="Arial" w:eastAsia="Arial" w:hAnsi="Arial"/>
                <w:sz w:val="16"/>
                <w:szCs w:val="16"/>
                <w:color w:val="auto"/>
              </w:rPr>
              <w:t>stock awards and restricted stock units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4,372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4,069</w:t>
            </w:r>
          </w:p>
        </w:tc>
      </w:tr>
      <w:tr>
        <w:trPr>
          <w:trHeight w:val="228"/>
        </w:trPr>
        <w:tc>
          <w:tcPr>
            <w:tcW w:w="3480" w:type="dxa"/>
            <w:vAlign w:val="bottom"/>
          </w:tcPr>
          <w:p>
            <w:pPr>
              <w:ind w:left="200"/>
              <w:spacing w:after="0"/>
              <w:rPr>
                <w:sz w:val="20"/>
                <w:szCs w:val="20"/>
                <w:color w:val="auto"/>
              </w:rPr>
            </w:pPr>
            <w:r>
              <w:rPr>
                <w:rFonts w:ascii="Arial" w:cs="Arial" w:eastAsia="Arial" w:hAnsi="Arial"/>
                <w:sz w:val="16"/>
                <w:szCs w:val="16"/>
                <w:color w:val="auto"/>
              </w:rPr>
              <w:t>Weighted-average common shares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3480" w:type="dxa"/>
            <w:vAlign w:val="bottom"/>
          </w:tcPr>
          <w:p>
            <w:pPr>
              <w:ind w:left="380"/>
              <w:spacing w:after="0"/>
              <w:rPr>
                <w:sz w:val="20"/>
                <w:szCs w:val="20"/>
                <w:color w:val="auto"/>
              </w:rPr>
            </w:pPr>
            <w:r>
              <w:rPr>
                <w:rFonts w:ascii="Arial" w:cs="Arial" w:eastAsia="Arial" w:hAnsi="Arial"/>
                <w:sz w:val="16"/>
                <w:szCs w:val="16"/>
                <w:color w:val="auto"/>
              </w:rPr>
              <w:t>outstanding for diluted EPS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247,090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249,677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246,039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256,169</w:t>
            </w:r>
          </w:p>
        </w:tc>
      </w:tr>
      <w:tr>
        <w:trPr>
          <w:trHeight w:val="429"/>
        </w:trPr>
        <w:tc>
          <w:tcPr>
            <w:tcW w:w="348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4"/>
        </w:trPr>
        <w:tc>
          <w:tcPr>
            <w:tcW w:w="3480" w:type="dxa"/>
            <w:vAlign w:val="bottom"/>
          </w:tcPr>
          <w:p>
            <w:pPr>
              <w:ind w:left="20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0.82</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0.99</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3480" w:type="dxa"/>
            <w:vAlign w:val="bottom"/>
          </w:tcPr>
          <w:p>
            <w:pPr>
              <w:ind w:left="20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0.80</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0.98</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83"/>
        </w:trPr>
        <w:tc>
          <w:tcPr>
            <w:tcW w:w="3480" w:type="dxa"/>
            <w:vAlign w:val="bottom"/>
            <w:shd w:val="clear" w:color="auto" w:fill="3F3F3F"/>
          </w:tcPr>
          <w:p>
            <w:pPr>
              <w:spacing w:after="0"/>
              <w:rPr>
                <w:sz w:val="7"/>
                <w:szCs w:val="7"/>
                <w:color w:val="auto"/>
              </w:rPr>
            </w:pPr>
          </w:p>
        </w:tc>
        <w:tc>
          <w:tcPr>
            <w:tcW w:w="240" w:type="dxa"/>
            <w:vAlign w:val="bottom"/>
            <w:shd w:val="clear" w:color="auto" w:fill="3F3F3F"/>
          </w:tcPr>
          <w:p>
            <w:pPr>
              <w:spacing w:after="0"/>
              <w:rPr>
                <w:sz w:val="7"/>
                <w:szCs w:val="7"/>
                <w:color w:val="auto"/>
              </w:rPr>
            </w:pPr>
          </w:p>
        </w:tc>
        <w:tc>
          <w:tcPr>
            <w:tcW w:w="1080" w:type="dxa"/>
            <w:vAlign w:val="bottom"/>
            <w:shd w:val="clear" w:color="auto" w:fill="3F3F3F"/>
          </w:tcPr>
          <w:p>
            <w:pPr>
              <w:spacing w:after="0"/>
              <w:rPr>
                <w:sz w:val="7"/>
                <w:szCs w:val="7"/>
                <w:color w:val="auto"/>
              </w:rPr>
            </w:pPr>
          </w:p>
        </w:tc>
        <w:tc>
          <w:tcPr>
            <w:tcW w:w="340" w:type="dxa"/>
            <w:vAlign w:val="bottom"/>
            <w:shd w:val="clear" w:color="auto" w:fill="3F3F3F"/>
          </w:tcPr>
          <w:p>
            <w:pPr>
              <w:spacing w:after="0"/>
              <w:rPr>
                <w:sz w:val="7"/>
                <w:szCs w:val="7"/>
                <w:color w:val="auto"/>
              </w:rPr>
            </w:pPr>
          </w:p>
        </w:tc>
        <w:tc>
          <w:tcPr>
            <w:tcW w:w="1020" w:type="dxa"/>
            <w:vAlign w:val="bottom"/>
            <w:shd w:val="clear" w:color="auto" w:fill="3F3F3F"/>
          </w:tcPr>
          <w:p>
            <w:pPr>
              <w:spacing w:after="0"/>
              <w:rPr>
                <w:sz w:val="7"/>
                <w:szCs w:val="7"/>
                <w:color w:val="auto"/>
              </w:rPr>
            </w:pPr>
          </w:p>
        </w:tc>
        <w:tc>
          <w:tcPr>
            <w:tcW w:w="320" w:type="dxa"/>
            <w:vAlign w:val="bottom"/>
            <w:shd w:val="clear" w:color="auto" w:fill="3F3F3F"/>
          </w:tcPr>
          <w:p>
            <w:pPr>
              <w:spacing w:after="0"/>
              <w:rPr>
                <w:sz w:val="7"/>
                <w:szCs w:val="7"/>
                <w:color w:val="auto"/>
              </w:rPr>
            </w:pPr>
          </w:p>
        </w:tc>
        <w:tc>
          <w:tcPr>
            <w:tcW w:w="1040" w:type="dxa"/>
            <w:vAlign w:val="bottom"/>
            <w:shd w:val="clear" w:color="auto" w:fill="3F3F3F"/>
          </w:tcPr>
          <w:p>
            <w:pPr>
              <w:spacing w:after="0"/>
              <w:rPr>
                <w:sz w:val="7"/>
                <w:szCs w:val="7"/>
                <w:color w:val="auto"/>
              </w:rPr>
            </w:pPr>
          </w:p>
        </w:tc>
        <w:tc>
          <w:tcPr>
            <w:tcW w:w="320" w:type="dxa"/>
            <w:vAlign w:val="bottom"/>
            <w:shd w:val="clear" w:color="auto" w:fill="3F3F3F"/>
          </w:tcPr>
          <w:p>
            <w:pPr>
              <w:spacing w:after="0"/>
              <w:rPr>
                <w:sz w:val="7"/>
                <w:szCs w:val="7"/>
                <w:color w:val="auto"/>
              </w:rPr>
            </w:pPr>
          </w:p>
        </w:tc>
        <w:tc>
          <w:tcPr>
            <w:tcW w:w="1040" w:type="dxa"/>
            <w:vAlign w:val="bottom"/>
            <w:shd w:val="clear" w:color="auto" w:fill="3F3F3F"/>
          </w:tcPr>
          <w:p>
            <w:pPr>
              <w:spacing w:after="0"/>
              <w:rPr>
                <w:sz w:val="7"/>
                <w:szCs w:val="7"/>
                <w:color w:val="auto"/>
              </w:rPr>
            </w:pPr>
          </w:p>
        </w:tc>
      </w:tr>
    </w:tbl>
    <w:p>
      <w:pPr>
        <w:spacing w:after="0" w:line="2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The dilution from common stock options is based on the treasury stock method. Under this method, proceeds based on the exercise price plus unearned compensation and windfall tax benefits or tax shortfalls, as defined by SFAS 123 (revised 2004), </w:t>
      </w:r>
      <w:r>
        <w:rPr>
          <w:rFonts w:ascii="Arial" w:cs="Arial" w:eastAsia="Arial" w:hAnsi="Arial"/>
          <w:sz w:val="19"/>
          <w:szCs w:val="19"/>
          <w:i w:val="1"/>
          <w:iCs w:val="1"/>
          <w:color w:val="auto"/>
        </w:rPr>
        <w:t>Share-Based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Payment </w:t>
      </w:r>
      <w:r>
        <w:rPr>
          <w:rFonts w:ascii="Arial" w:cs="Arial" w:eastAsia="Arial" w:hAnsi="Arial"/>
          <w:sz w:val="19"/>
          <w:szCs w:val="19"/>
          <w:color w:val="auto"/>
        </w:rPr>
        <w:t>(SFAS 123(R)) (ASC 718), are assumed to be used to repurchase shares on the open market at the average market price for</w:t>
      </w:r>
      <w:r>
        <w:rPr>
          <w:rFonts w:ascii="Arial" w:cs="Arial" w:eastAsia="Arial" w:hAnsi="Arial"/>
          <w:sz w:val="19"/>
          <w:szCs w:val="19"/>
          <w:i w:val="1"/>
          <w:iCs w:val="1"/>
          <w:color w:val="auto"/>
        </w:rPr>
        <w:t xml:space="preserve"> </w:t>
      </w:r>
      <w:r>
        <w:rPr>
          <w:rFonts w:ascii="Arial" w:cs="Arial" w:eastAsia="Arial" w:hAnsi="Arial"/>
          <w:sz w:val="19"/>
          <w:szCs w:val="19"/>
          <w:color w:val="auto"/>
        </w:rPr>
        <w:t>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stock options for which the exercise price for common stock was greater than the average market price during the period. We had 1,506,783 and 801,684 of such stock options outstanding during the three months ended June 30, 2009 and 2008, respectively, and 2,250,061 and 1,485,542 of such stock options outstanding during the six months ended June 30, 2009 and 2008, respectively.</w:t>
      </w:r>
    </w:p>
    <w:p>
      <w:pPr>
        <w:sectPr>
          <w:pgSz w:w="11900" w:h="16838" w:orient="portrait"/>
          <w:cols w:equalWidth="0" w:num="1">
            <w:col w:w="11360"/>
          </w:cols>
          <w:pgMar w:left="240" w:top="324" w:right="299" w:bottom="1440" w:gutter="0" w:footer="0" w:header="0"/>
        </w:sectPr>
      </w:pPr>
    </w:p>
    <w:bookmarkStart w:id="30" w:name="page31"/>
    <w:bookmarkEnd w:id="30"/>
    <w:p>
      <w:pPr>
        <w:ind w:right="420"/>
        <w:spacing w:after="0" w:line="266" w:lineRule="auto"/>
        <w:rPr>
          <w:sz w:val="20"/>
          <w:szCs w:val="20"/>
          <w:color w:val="auto"/>
        </w:rPr>
      </w:pPr>
      <w:r>
        <w:rPr>
          <w:rFonts w:ascii="Arial" w:cs="Arial" w:eastAsia="Arial" w:hAnsi="Arial"/>
          <w:sz w:val="20"/>
          <w:szCs w:val="20"/>
          <w:color w:val="auto"/>
        </w:rPr>
        <w:t>We had 33,889 and 710,113 stock options outstanding during the three months ended June 30, 2009 and 2008, respectively, that were antidilutive because of the unearned compensation and windfall tax benefits included in the assumed proceeds under the treasury stock method and 862,027 such antidilutive stock options during the six months ended June 30, 2009. We had no such antidilutive stock options outstanding during the six months ended June 30, 2008.</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 dilution from unvested restricted stock awards and units is also based on the treasury stock method. Assumed proceeds equal to the unearned compensation and windfall tax benefits or tax shortfalls related to the awards, as defined by SFAS 123(R), are assumed to be used to repurchase shares on the open market at the average market price for the period.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We had no antidilutive restricted stock awards and units outstanding during the three months or six months ended June 30, 2009. We had 371,714 and 462,056 restricted stock awards and units outstanding that were antidilutive during the three months and six months ended June 30, 2008,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SHARE-BASED COMPENSATION</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We discuss our share-based compensation plans in Note 10 of the Notes to Consolidated Financial Statements in the Annual Report. We recorded share-based compensation expense, net of income taxes, of $11 million and $14 million for the six months ended June 30, 2009 and 2008, respectively. Pursuant to our share-based compensation plans, we granted 918,200 non-qualified stock options, 37,200 restricted stock awards and 907,700 restricted stock units during the six months ended June 30, 2009, primarily in January 2009.</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CAPITALIZED FINANCING COSTS</w:t>
      </w:r>
    </w:p>
    <w:p>
      <w:pPr>
        <w:spacing w:after="0" w:line="104" w:lineRule="exact"/>
        <w:rPr>
          <w:sz w:val="20"/>
          <w:szCs w:val="20"/>
          <w:color w:val="auto"/>
        </w:rPr>
      </w:pPr>
    </w:p>
    <w:p>
      <w:pPr>
        <w:ind w:right="360"/>
        <w:spacing w:after="0" w:line="255" w:lineRule="auto"/>
        <w:rPr>
          <w:sz w:val="20"/>
          <w:szCs w:val="20"/>
          <w:color w:val="auto"/>
        </w:rPr>
      </w:pPr>
      <w:r>
        <w:rPr>
          <w:rFonts w:ascii="Arial" w:cs="Arial" w:eastAsia="Arial" w:hAnsi="Arial"/>
          <w:sz w:val="21"/>
          <w:szCs w:val="21"/>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and six months ended June 30,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5061585" cy="272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1585" cy="272415"/>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CAPITALIZED FINANCING COSTS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3100" w:type="dxa"/>
            <w:vAlign w:val="bottom"/>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color w:val="auto"/>
              </w:rPr>
              <w:t>Six months ended June 30,</w:t>
            </w:r>
          </w:p>
        </w:tc>
      </w:tr>
      <w:tr>
        <w:trPr>
          <w:trHeight w:val="208"/>
        </w:trPr>
        <w:tc>
          <w:tcPr>
            <w:tcW w:w="3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2008</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debt</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9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equity</w:t>
            </w: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0"/>
        </w:trPr>
        <w:tc>
          <w:tcPr>
            <w:tcW w:w="3100" w:type="dxa"/>
            <w:vAlign w:val="bottom"/>
          </w:tcPr>
          <w:p>
            <w:pPr>
              <w:ind w:left="200"/>
              <w:spacing w:after="0"/>
              <w:rPr>
                <w:sz w:val="20"/>
                <w:szCs w:val="20"/>
                <w:color w:val="auto"/>
              </w:rPr>
            </w:pPr>
            <w:r>
              <w:rPr>
                <w:rFonts w:ascii="Arial" w:cs="Arial" w:eastAsia="Arial" w:hAnsi="Arial"/>
                <w:sz w:val="16"/>
                <w:szCs w:val="16"/>
                <w:color w:val="auto"/>
              </w:rPr>
              <w:t>Other capitalized financing costs</w:t>
            </w: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3100" w:type="dxa"/>
            <w:vAlign w:val="bottom"/>
          </w:tcPr>
          <w:p>
            <w:pPr>
              <w:ind w:left="380"/>
              <w:spacing w:after="0"/>
              <w:rPr>
                <w:sz w:val="20"/>
                <w:szCs w:val="20"/>
                <w:color w:val="auto"/>
              </w:rPr>
            </w:pPr>
            <w:r>
              <w:rPr>
                <w:rFonts w:ascii="Arial" w:cs="Arial" w:eastAsia="Arial" w:hAnsi="Arial"/>
                <w:sz w:val="16"/>
                <w:szCs w:val="16"/>
                <w:color w:val="auto"/>
              </w:rPr>
              <w:t>Total SDG&amp;E</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4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4"/>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debt</w:t>
            </w: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equity</w:t>
            </w: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3100" w:type="dxa"/>
            <w:vAlign w:val="bottom"/>
          </w:tcPr>
          <w:p>
            <w:pPr>
              <w:ind w:left="380"/>
              <w:spacing w:after="0"/>
              <w:rPr>
                <w:sz w:val="20"/>
                <w:szCs w:val="20"/>
                <w:color w:val="auto"/>
              </w:rPr>
            </w:pPr>
            <w:r>
              <w:rPr>
                <w:rFonts w:ascii="Arial" w:cs="Arial" w:eastAsia="Arial" w:hAnsi="Arial"/>
                <w:sz w:val="16"/>
                <w:szCs w:val="16"/>
                <w:color w:val="auto"/>
              </w:rPr>
              <w:t>Total SoCalGas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4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Sempra Global:</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3100" w:type="dxa"/>
            <w:vAlign w:val="bottom"/>
          </w:tcPr>
          <w:p>
            <w:pPr>
              <w:ind w:left="200"/>
              <w:spacing w:after="0"/>
              <w:rPr>
                <w:sz w:val="20"/>
                <w:szCs w:val="20"/>
                <w:color w:val="auto"/>
              </w:rPr>
            </w:pPr>
            <w:r>
              <w:rPr>
                <w:rFonts w:ascii="Arial" w:cs="Arial" w:eastAsia="Arial" w:hAnsi="Arial"/>
                <w:sz w:val="16"/>
                <w:szCs w:val="16"/>
                <w:color w:val="auto"/>
              </w:rPr>
              <w:t>Capitalized financing costs</w:t>
            </w: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Total Sempra Energy Consolidated</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39</w:t>
            </w:r>
          </w:p>
        </w:tc>
        <w:tc>
          <w:tcPr>
            <w:tcW w:w="9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83"/>
        </w:trPr>
        <w:tc>
          <w:tcPr>
            <w:tcW w:w="31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r>
    </w:tbl>
    <w:p>
      <w:pPr>
        <w:sectPr>
          <w:pgSz w:w="11900" w:h="16838" w:orient="portrait"/>
          <w:cols w:equalWidth="0" w:num="1">
            <w:col w:w="11380"/>
          </w:cols>
          <w:pgMar w:left="240" w:top="118" w:right="279"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a reconciliation of net income to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946140" cy="272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46140" cy="27241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2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color w:val="auto"/>
              </w:rPr>
              <w:t>Three months ended June 30,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4"/>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w w:val="99"/>
              </w:rPr>
              <w:t>Share-</w:t>
            </w:r>
          </w:p>
        </w:tc>
        <w:tc>
          <w:tcPr>
            <w:tcW w:w="18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41"/>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7"/>
                <w:szCs w:val="17"/>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holders'</w:t>
            </w:r>
          </w:p>
        </w:tc>
        <w:tc>
          <w:tcPr>
            <w:tcW w:w="180" w:type="dxa"/>
            <w:vAlign w:val="bottom"/>
          </w:tcPr>
          <w:p>
            <w:pPr>
              <w:spacing w:after="0"/>
              <w:rPr>
                <w:sz w:val="18"/>
                <w:szCs w:val="18"/>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color w:val="auto"/>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Equity</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20"/>
              <w:spacing w:after="0"/>
              <w:rPr>
                <w:sz w:val="20"/>
                <w:szCs w:val="20"/>
                <w:color w:val="auto"/>
              </w:rPr>
            </w:pPr>
            <w:r>
              <w:rPr>
                <w:rFonts w:ascii="Arial" w:cs="Arial" w:eastAsia="Arial" w:hAnsi="Arial"/>
                <w:sz w:val="16"/>
                <w:szCs w:val="16"/>
                <w:color w:val="auto"/>
                <w:w w:val="98"/>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254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20"/>
              <w:spacing w:after="0"/>
              <w:rPr>
                <w:sz w:val="20"/>
                <w:szCs w:val="20"/>
                <w:color w:val="auto"/>
              </w:rPr>
            </w:pPr>
            <w:r>
              <w:rPr>
                <w:rFonts w:ascii="Arial" w:cs="Arial" w:eastAsia="Arial" w:hAnsi="Arial"/>
                <w:sz w:val="16"/>
                <w:szCs w:val="16"/>
                <w:color w:val="auto"/>
                <w:w w:val="98"/>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Shareholders' equity of Sempra Energy Consolidated, SDG&amp;E, PE or SoCalGas as indicated in left margin.</w:t>
      </w:r>
    </w:p>
    <w:p>
      <w:pPr>
        <w:sectPr>
          <w:pgSz w:w="11900" w:h="16838" w:orient="portrait"/>
          <w:cols w:equalWidth="0" w:num="1">
            <w:col w:w="10219"/>
          </w:cols>
          <w:pgMar w:left="240" w:top="415"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954395" cy="272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54395" cy="272415"/>
                    </a:xfrm>
                    <a:prstGeom prst="rect">
                      <a:avLst/>
                    </a:prstGeom>
                    <a:noFill/>
                  </pic:spPr>
                </pic:pic>
              </a:graphicData>
            </a:graphic>
          </wp:anchor>
        </w:drawing>
        <w:t>COMPREHENSIVE INCOME (Continued)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2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color w:val="auto"/>
              </w:rPr>
              <w:t>Six months ended June 30,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4"/>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w w:val="99"/>
              </w:rPr>
              <w:t>Share-</w:t>
            </w:r>
          </w:p>
        </w:tc>
        <w:tc>
          <w:tcPr>
            <w:tcW w:w="18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holders'</w:t>
            </w:r>
          </w:p>
        </w:tc>
        <w:tc>
          <w:tcPr>
            <w:tcW w:w="180" w:type="dxa"/>
            <w:vAlign w:val="bottom"/>
          </w:tcPr>
          <w:p>
            <w:pPr>
              <w:spacing w:after="0"/>
              <w:rPr>
                <w:sz w:val="18"/>
                <w:szCs w:val="18"/>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8"/>
                <w:szCs w:val="18"/>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8"/>
                <w:szCs w:val="18"/>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color w:val="auto"/>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Equity</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20"/>
              <w:spacing w:after="0"/>
              <w:rPr>
                <w:sz w:val="20"/>
                <w:szCs w:val="20"/>
                <w:color w:val="auto"/>
              </w:rPr>
            </w:pPr>
            <w:r>
              <w:rPr>
                <w:rFonts w:ascii="Arial" w:cs="Arial" w:eastAsia="Arial" w:hAnsi="Arial"/>
                <w:sz w:val="16"/>
                <w:szCs w:val="16"/>
                <w:color w:val="auto"/>
                <w:w w:val="91"/>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514</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254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92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Arial" w:cs="Arial" w:eastAsia="Arial" w:hAnsi="Arial"/>
                <w:sz w:val="16"/>
                <w:szCs w:val="16"/>
                <w:color w:val="auto"/>
                <w:w w:val="91"/>
              </w:rPr>
              <w:t>(3)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92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20"/>
              <w:spacing w:after="0"/>
              <w:rPr>
                <w:sz w:val="20"/>
                <w:szCs w:val="20"/>
                <w:color w:val="auto"/>
              </w:rPr>
            </w:pPr>
            <w:r>
              <w:rPr>
                <w:rFonts w:ascii="Arial" w:cs="Arial" w:eastAsia="Arial" w:hAnsi="Arial"/>
                <w:sz w:val="16"/>
                <w:szCs w:val="16"/>
                <w:color w:val="auto"/>
                <w:w w:val="91"/>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629</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27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Arial" w:cs="Arial" w:eastAsia="Arial" w:hAnsi="Arial"/>
                <w:sz w:val="16"/>
                <w:szCs w:val="16"/>
                <w:color w:val="auto"/>
                <w:w w:val="91"/>
              </w:rPr>
              <w:t>(3)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24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122</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124</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127</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Shareholders' equity of Sempra Energy Consolidated, SDG&amp;E, PE or SoCalGas as indicated in left margin.</w:t>
      </w:r>
    </w:p>
    <w:p>
      <w:pPr>
        <w:sectPr>
          <w:pgSz w:w="11900" w:h="16838" w:orient="portrait"/>
          <w:cols w:equalWidth="0" w:num="1">
            <w:col w:w="10219"/>
          </w:cols>
          <w:pgMar w:left="240" w:top="416" w:right="1440" w:bottom="1440" w:gutter="0" w:footer="0" w:header="0"/>
        </w:sectPr>
      </w:pPr>
    </w:p>
    <w:bookmarkStart w:id="33" w:name="page34"/>
    <w:bookmarkEnd w:id="33"/>
    <w:p>
      <w:pPr>
        <w:spacing w:after="0"/>
        <w:rPr>
          <w:sz w:val="20"/>
          <w:szCs w:val="20"/>
          <w:color w:val="auto"/>
        </w:rPr>
      </w:pPr>
      <w:r>
        <w:rPr>
          <w:rFonts w:ascii="Arial" w:cs="Arial" w:eastAsia="Arial" w:hAnsi="Arial"/>
          <w:sz w:val="21"/>
          <w:szCs w:val="21"/>
          <w:color w:val="auto"/>
        </w:rPr>
        <w:t>The amounts for comprehensive income in the tables above are net of income tax expense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928995" cy="272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28995" cy="272415"/>
                    </a:xfrm>
                    <a:prstGeom prst="rect">
                      <a:avLst/>
                    </a:prstGeom>
                    <a:noFill/>
                  </pic:spPr>
                </pic:pic>
              </a:graphicData>
            </a:graphic>
          </wp:anchor>
        </w:drawing>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(BENEFIT) ASSOCIATED WITH OTHER COMPREHENSIVE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25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4"/>
                <w:szCs w:val="14"/>
                <w:color w:val="auto"/>
              </w:rPr>
              <w:t>Three months ended June 30,</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4"/>
        </w:trPr>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23"/>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2008</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w w:val="99"/>
              </w:rPr>
              <w:t>Share-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263"/>
              <w:spacing w:after="0"/>
              <w:rPr>
                <w:sz w:val="20"/>
                <w:szCs w:val="20"/>
                <w:color w:val="auto"/>
              </w:rPr>
            </w:pPr>
            <w:r>
              <w:rPr>
                <w:rFonts w:ascii="Arial" w:cs="Arial" w:eastAsia="Arial" w:hAnsi="Arial"/>
                <w:sz w:val="14"/>
                <w:szCs w:val="14"/>
                <w:color w:val="auto"/>
                <w:w w:val="98"/>
              </w:rPr>
              <w:t>Non-</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rPr>
              <w:t>holders'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263"/>
              <w:spacing w:after="0"/>
              <w:rPr>
                <w:sz w:val="20"/>
                <w:szCs w:val="20"/>
                <w:color w:val="auto"/>
              </w:rPr>
            </w:pPr>
            <w:r>
              <w:rPr>
                <w:rFonts w:ascii="Arial" w:cs="Arial" w:eastAsia="Arial" w:hAnsi="Arial"/>
                <w:sz w:val="14"/>
                <w:szCs w:val="14"/>
                <w:color w:val="auto"/>
              </w:rPr>
              <w:t>controlling</w:t>
            </w:r>
          </w:p>
        </w:tc>
        <w:tc>
          <w:tcPr>
            <w:tcW w:w="880" w:type="dxa"/>
            <w:vAlign w:val="bottom"/>
          </w:tcPr>
          <w:p>
            <w:pPr>
              <w:jc w:val="center"/>
              <w:ind w:right="143"/>
              <w:spacing w:after="0"/>
              <w:rPr>
                <w:sz w:val="20"/>
                <w:szCs w:val="20"/>
                <w:color w:val="auto"/>
              </w:rPr>
            </w:pPr>
            <w:r>
              <w:rPr>
                <w:rFonts w:ascii="Arial" w:cs="Arial" w:eastAsia="Arial" w:hAnsi="Arial"/>
                <w:sz w:val="14"/>
                <w:szCs w:val="14"/>
                <w:color w:val="auto"/>
                <w:w w:val="96"/>
              </w:rPr>
              <w:t>Total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83"/>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Equity</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7"/>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680"/>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900" w:type="dxa"/>
            <w:vAlign w:val="bottom"/>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00" w:type="dxa"/>
            <w:vAlign w:val="bottom"/>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2320" w:type="dxa"/>
            <w:vAlign w:val="bottom"/>
            <w:gridSpan w:val="4"/>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195"/>
        </w:trPr>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color w:val="auto"/>
              </w:rPr>
              <w:t>Six months ended June 30,</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23"/>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2008</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w w:val="99"/>
              </w:rPr>
              <w:t>Share-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263"/>
              <w:spacing w:after="0"/>
              <w:rPr>
                <w:sz w:val="20"/>
                <w:szCs w:val="20"/>
                <w:color w:val="auto"/>
              </w:rPr>
            </w:pPr>
            <w:r>
              <w:rPr>
                <w:rFonts w:ascii="Arial" w:cs="Arial" w:eastAsia="Arial" w:hAnsi="Arial"/>
                <w:sz w:val="14"/>
                <w:szCs w:val="14"/>
                <w:color w:val="auto"/>
                <w:w w:val="98"/>
              </w:rPr>
              <w:t>Non-</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color w:val="auto"/>
              </w:rPr>
              <w:t>Non-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rPr>
              <w:t>holders'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263"/>
              <w:spacing w:after="0"/>
              <w:rPr>
                <w:sz w:val="20"/>
                <w:szCs w:val="20"/>
                <w:color w:val="auto"/>
              </w:rPr>
            </w:pPr>
            <w:r>
              <w:rPr>
                <w:rFonts w:ascii="Arial" w:cs="Arial" w:eastAsia="Arial" w:hAnsi="Arial"/>
                <w:sz w:val="14"/>
                <w:szCs w:val="14"/>
                <w:color w:val="auto"/>
              </w:rPr>
              <w:t>controlling</w:t>
            </w:r>
          </w:p>
        </w:tc>
        <w:tc>
          <w:tcPr>
            <w:tcW w:w="880" w:type="dxa"/>
            <w:vAlign w:val="bottom"/>
          </w:tcPr>
          <w:p>
            <w:pPr>
              <w:jc w:val="center"/>
              <w:ind w:right="143"/>
              <w:spacing w:after="0"/>
              <w:rPr>
                <w:sz w:val="20"/>
                <w:szCs w:val="20"/>
                <w:color w:val="auto"/>
              </w:rPr>
            </w:pPr>
            <w:r>
              <w:rPr>
                <w:rFonts w:ascii="Arial" w:cs="Arial" w:eastAsia="Arial" w:hAnsi="Arial"/>
                <w:sz w:val="14"/>
                <w:szCs w:val="14"/>
                <w:color w:val="auto"/>
                <w:w w:val="96"/>
              </w:rPr>
              <w:t>Total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83"/>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Equity</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7"/>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900" w:type="dxa"/>
            <w:vAlign w:val="bottom"/>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900" w:type="dxa"/>
            <w:vAlign w:val="bottom"/>
          </w:tcPr>
          <w:p>
            <w:pPr>
              <w:ind w:left="8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2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Shareholders' equity of Sempra Energy Consolidated, SDG&amp;E, PE or SoCalGas as indicated in left margin.</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SHAREHOLDERS’ EQUITY AND NONCONTROLLING INTERESTS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Sempra Energy, SDG&amp;E and PE account for noncontrolling interests in their Condensed Consolidated Financial Statements under SFAS 160, as discussed in Note 2. The following two tables provide a reconciliation of Sempra Energy and SDG&amp;E shareholders’ equity and noncontrolling interests for the six months ended June 30, 2009 and 2008. There were no changes in the equity of PE's noncontrolling interests in the three- or six-month periods of 2009 or 2008.</w:t>
      </w:r>
    </w:p>
    <w:p>
      <w:pPr>
        <w:sectPr>
          <w:pgSz w:w="11900" w:h="16838" w:orient="portrait"/>
          <w:cols w:equalWidth="0" w:num="1">
            <w:col w:w="11200"/>
          </w:cols>
          <w:pgMar w:left="240" w:top="118" w:right="459" w:bottom="1440" w:gutter="0" w:footer="0" w:header="0"/>
        </w:sectPr>
      </w:pPr>
    </w:p>
    <w:bookmarkStart w:id="34" w:name="page35"/>
    <w:bookmarkEnd w:id="3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4916805" cy="272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16805" cy="272415"/>
                    </a:xfrm>
                    <a:prstGeom prst="rect">
                      <a:avLst/>
                    </a:prstGeom>
                    <a:noFill/>
                  </pic:spPr>
                </pic:pic>
              </a:graphicData>
            </a:graphic>
          </wp:anchor>
        </w:drawing>
        <w:t>SHAREHOLDERS' EQUITY AND NONCONTROLLING INTERESTS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102"/>
              <w:spacing w:after="0"/>
              <w:rPr>
                <w:sz w:val="20"/>
                <w:szCs w:val="20"/>
                <w:color w:val="auto"/>
              </w:rPr>
            </w:pPr>
            <w:r>
              <w:rPr>
                <w:rFonts w:ascii="Arial" w:cs="Arial" w:eastAsia="Arial" w:hAnsi="Arial"/>
                <w:sz w:val="14"/>
                <w:szCs w:val="14"/>
                <w:color w:val="auto"/>
              </w:rPr>
              <w:t>Shareholders'</w:t>
            </w:r>
          </w:p>
        </w:tc>
        <w:tc>
          <w:tcPr>
            <w:tcW w:w="22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20"/>
        </w:trPr>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color w:val="auto"/>
                <w:w w:val="97"/>
              </w:rPr>
              <w:t>Equity</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182"/>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Equity</w:t>
            </w:r>
          </w:p>
        </w:tc>
      </w:tr>
      <w:tr>
        <w:trPr>
          <w:trHeight w:val="208"/>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at December 31, 2008</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7,969</w:t>
            </w: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8,309</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629</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Purchase of noncontrolling interest in subsidiary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8"/>
                <w:szCs w:val="18"/>
                <w:color w:val="auto"/>
              </w:rPr>
            </w:pPr>
          </w:p>
        </w:tc>
      </w:tr>
      <w:tr>
        <w:trPr>
          <w:trHeight w:val="214"/>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Tax benefit related to share-based compensation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released from ESOP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June 30, 2009</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8,477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8,732</w:t>
            </w:r>
          </w:p>
        </w:tc>
        <w:tc>
          <w:tcPr>
            <w:tcW w:w="40" w:type="dxa"/>
            <w:vAlign w:val="bottom"/>
          </w:tcPr>
          <w:p>
            <w:pPr>
              <w:spacing w:after="0"/>
              <w:rPr>
                <w:sz w:val="17"/>
                <w:szCs w:val="17"/>
                <w:color w:val="auto"/>
              </w:rPr>
            </w:pPr>
          </w:p>
        </w:tc>
      </w:tr>
      <w:tr>
        <w:trPr>
          <w:trHeight w:val="83"/>
        </w:trPr>
        <w:tc>
          <w:tcPr>
            <w:tcW w:w="3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320" w:type="dxa"/>
            <w:vAlign w:val="bottom"/>
            <w:gridSpan w:val="2"/>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00" w:type="dxa"/>
            <w:vAlign w:val="bottom"/>
            <w:gridSpan w:val="2"/>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2007</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8,339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8,587</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473</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8"/>
                <w:szCs w:val="18"/>
                <w:color w:val="auto"/>
              </w:rPr>
            </w:pPr>
          </w:p>
        </w:tc>
      </w:tr>
      <w:tr>
        <w:trPr>
          <w:trHeight w:val="214"/>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Tax benefit related to share-based compensation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(1,002)</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released from ESOP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June 30, 2008</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7,683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309</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7,992</w:t>
            </w:r>
          </w:p>
        </w:tc>
        <w:tc>
          <w:tcPr>
            <w:tcW w:w="40" w:type="dxa"/>
            <w:vAlign w:val="bottom"/>
          </w:tcPr>
          <w:p>
            <w:pPr>
              <w:spacing w:after="0"/>
              <w:rPr>
                <w:sz w:val="17"/>
                <w:szCs w:val="17"/>
                <w:color w:val="auto"/>
              </w:rPr>
            </w:pPr>
          </w:p>
        </w:tc>
      </w:tr>
      <w:tr>
        <w:trPr>
          <w:trHeight w:val="83"/>
        </w:trPr>
        <w:tc>
          <w:tcPr>
            <w:tcW w:w="5000" w:type="dxa"/>
            <w:vAlign w:val="bottom"/>
            <w:gridSpan w:val="4"/>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268"/>
        </w:trPr>
        <w:tc>
          <w:tcPr>
            <w:tcW w:w="5000" w:type="dxa"/>
            <w:vAlign w:val="bottom"/>
            <w:tcBorders>
              <w:bottom w:val="single" w:sz="8" w:color="auto"/>
            </w:tcBorders>
            <w:gridSpan w:val="4"/>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07"/>
        </w:trPr>
        <w:tc>
          <w:tcPr>
            <w:tcW w:w="5000" w:type="dxa"/>
            <w:vAlign w:val="bottom"/>
            <w:gridSpan w:val="4"/>
            <w:shd w:val="clear" w:color="auto" w:fill="C0C0C0"/>
          </w:tcPr>
          <w:p>
            <w:pPr>
              <w:ind w:left="20"/>
              <w:spacing w:after="0"/>
              <w:rPr>
                <w:sz w:val="20"/>
                <w:szCs w:val="20"/>
                <w:color w:val="auto"/>
              </w:rPr>
            </w:pPr>
            <w:r>
              <w:rPr>
                <w:rFonts w:ascii="Arial" w:cs="Arial" w:eastAsia="Arial" w:hAnsi="Arial"/>
                <w:sz w:val="16"/>
                <w:szCs w:val="16"/>
                <w:b w:val="1"/>
                <w:bCs w:val="1"/>
                <w:color w:val="auto"/>
              </w:rPr>
              <w:t>SHAREHOLDERS' EQUITY AND NONCONTROLLING INTEREST</w:t>
            </w:r>
          </w:p>
        </w:tc>
        <w:tc>
          <w:tcPr>
            <w:tcW w:w="2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r>
      <w:tr>
        <w:trPr>
          <w:trHeight w:val="202"/>
        </w:trPr>
        <w:tc>
          <w:tcPr>
            <w:tcW w:w="3460" w:type="dxa"/>
            <w:vAlign w:val="bottom"/>
            <w:shd w:val="clear" w:color="auto" w:fill="C0C0C0"/>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42"/>
              <w:spacing w:after="0"/>
              <w:rPr>
                <w:sz w:val="20"/>
                <w:szCs w:val="20"/>
                <w:color w:val="auto"/>
              </w:rPr>
            </w:pPr>
            <w:r>
              <w:rPr>
                <w:rFonts w:ascii="Arial" w:cs="Arial" w:eastAsia="Arial" w:hAnsi="Arial"/>
                <w:sz w:val="14"/>
                <w:szCs w:val="14"/>
                <w:color w:val="auto"/>
              </w:rPr>
              <w:t>SDG&amp;E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22"/>
              <w:spacing w:after="0"/>
              <w:rPr>
                <w:sz w:val="20"/>
                <w:szCs w:val="20"/>
                <w:color w:val="auto"/>
              </w:rPr>
            </w:pPr>
            <w:r>
              <w:rPr>
                <w:rFonts w:ascii="Arial" w:cs="Arial" w:eastAsia="Arial" w:hAnsi="Arial"/>
                <w:sz w:val="14"/>
                <w:szCs w:val="14"/>
                <w:color w:val="auto"/>
              </w:rPr>
              <w:t>Shareholders'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220"/>
        </w:trPr>
        <w:tc>
          <w:tcPr>
            <w:tcW w:w="3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color w:val="auto"/>
              </w:rPr>
              <w:t>Equity</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Interest</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208"/>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2008</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2,542</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June 30, 2009</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2,564</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2,722</w:t>
            </w:r>
          </w:p>
        </w:tc>
        <w:tc>
          <w:tcPr>
            <w:tcW w:w="40" w:type="dxa"/>
            <w:vAlign w:val="bottom"/>
          </w:tcPr>
          <w:p>
            <w:pPr>
              <w:spacing w:after="0"/>
              <w:rPr>
                <w:sz w:val="17"/>
                <w:szCs w:val="17"/>
                <w:color w:val="auto"/>
              </w:rPr>
            </w:pPr>
          </w:p>
        </w:tc>
      </w:tr>
      <w:tr>
        <w:trPr>
          <w:trHeight w:val="83"/>
        </w:trPr>
        <w:tc>
          <w:tcPr>
            <w:tcW w:w="3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2007</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2,200</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40" w:type="dxa"/>
            <w:vAlign w:val="bottom"/>
            <w:tcBorders>
              <w:bottom w:val="single" w:sz="8" w:color="auto"/>
            </w:tcBorders>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June 30, 2008</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2,335</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2,529</w:t>
            </w:r>
          </w:p>
        </w:tc>
        <w:tc>
          <w:tcPr>
            <w:tcW w:w="40" w:type="dxa"/>
            <w:vAlign w:val="bottom"/>
          </w:tcPr>
          <w:p>
            <w:pPr>
              <w:spacing w:after="0"/>
              <w:rPr>
                <w:sz w:val="17"/>
                <w:szCs w:val="17"/>
                <w:color w:val="auto"/>
              </w:rPr>
            </w:pPr>
          </w:p>
        </w:tc>
      </w:tr>
      <w:tr>
        <w:trPr>
          <w:trHeight w:val="83"/>
        </w:trPr>
        <w:tc>
          <w:tcPr>
            <w:tcW w:w="3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416" w:right="1440" w:bottom="1440" w:gutter="0" w:footer="0" w:header="0"/>
        </w:sectPr>
      </w:pPr>
    </w:p>
    <w:bookmarkStart w:id="35" w:name="page36"/>
    <w:bookmarkEnd w:id="35"/>
    <w:p>
      <w:pPr>
        <w:spacing w:after="0"/>
        <w:rPr>
          <w:sz w:val="20"/>
          <w:szCs w:val="20"/>
          <w:color w:val="auto"/>
        </w:rPr>
      </w:pPr>
      <w:r>
        <w:rPr>
          <w:rFonts w:ascii="Arial" w:cs="Arial" w:eastAsia="Arial" w:hAnsi="Arial"/>
          <w:sz w:val="21"/>
          <w:szCs w:val="21"/>
          <w:b w:val="1"/>
          <w:bCs w:val="1"/>
          <w:color w:val="auto"/>
        </w:rPr>
        <w:t>TRANSACTIONS WITH AFFILIATES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47" w:lineRule="exact"/>
        <w:rPr>
          <w:sz w:val="20"/>
          <w:szCs w:val="20"/>
          <w:color w:val="auto"/>
        </w:rPr>
      </w:pPr>
    </w:p>
    <w:p>
      <w:pPr>
        <w:ind w:right="240"/>
        <w:spacing w:after="0" w:line="284" w:lineRule="auto"/>
        <w:rPr>
          <w:sz w:val="20"/>
          <w:szCs w:val="20"/>
          <w:color w:val="auto"/>
        </w:rPr>
      </w:pPr>
      <w:r>
        <w:rPr>
          <w:rFonts w:ascii="Arial" w:cs="Arial" w:eastAsia="Arial" w:hAnsi="Arial"/>
          <w:sz w:val="19"/>
          <w:szCs w:val="19"/>
          <w:color w:val="auto"/>
        </w:rPr>
        <w:t>Sempra Pipelines &amp; Storage has a U.S. dollar-denominated loan to Camuzzi Gas del Sur S.A., an affiliate of Sempra Pipelines &amp; Storage’s Argentine investments, which we discuss in Note 4 of the Notes to Consolidated Financial Statements in the Annual Report. The balance outstanding was $26 million at June 30, 2009. The loan was due in June 2009 and bears interest at a variable rate of 7.99% as of June 30, 2009. The loan is fully reserved at June 30, 2009, and an extension of the loan term is pending.</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from Unconsolidated Affiliates</w:t>
      </w:r>
    </w:p>
    <w:p>
      <w:pPr>
        <w:spacing w:after="0" w:line="47" w:lineRule="exact"/>
        <w:rPr>
          <w:sz w:val="20"/>
          <w:szCs w:val="20"/>
          <w:color w:val="auto"/>
        </w:rPr>
      </w:pPr>
    </w:p>
    <w:p>
      <w:pPr>
        <w:ind w:right="100"/>
        <w:spacing w:after="0" w:line="250" w:lineRule="auto"/>
        <w:rPr>
          <w:sz w:val="20"/>
          <w:szCs w:val="20"/>
          <w:color w:val="auto"/>
        </w:rPr>
      </w:pPr>
      <w:r>
        <w:rPr>
          <w:rFonts w:ascii="Arial" w:cs="Arial" w:eastAsia="Arial" w:hAnsi="Arial"/>
          <w:sz w:val="21"/>
          <w:szCs w:val="21"/>
          <w:color w:val="auto"/>
        </w:rPr>
        <w:t>Sempra Pipelines &amp; Storage has a note payable, bearing interest at 6.73%, due to Chilquinta Energía Finance Co. LLC, an unconsolidated affiliate. The balance outstanding was $100 million at June 30, 2009. The note is secured by Sempra Pipelines &amp; Storage’s investments in Chilquinta Energía S.A. and Luz del Sur S.A.A., which we discuss in Note 4 of the Notes to Consolidated Financial Statements in the Annual Report.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47"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Sempra Energy, SDG&amp;E and SoCalGas provide certain services to each other, and are charged an allocable share of the cost of such services. Amounts due to/from affiliates are as follows:</w:t>
      </w:r>
    </w:p>
    <w:p>
      <w:pPr>
        <w:sectPr>
          <w:pgSz w:w="11900" w:h="16838" w:orient="portrait"/>
          <w:cols w:equalWidth="0" w:num="1">
            <w:col w:w="11340"/>
          </w:cols>
          <w:pgMar w:left="240" w:top="415"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078730" cy="272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78730" cy="272415"/>
                    </a:xfrm>
                    <a:prstGeom prst="rect">
                      <a:avLst/>
                    </a:prstGeom>
                    <a:noFill/>
                  </pic:spPr>
                </pic:pic>
              </a:graphicData>
            </a:graphic>
          </wp:anchor>
        </w:drawing>
        <w:t>AMOUNTS DUE TO AND FROM AFFILIATES AT SDG&amp;E, PE AND SOCALGAS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p>
      <w:pPr>
        <w:jc w:val="right"/>
        <w:ind w:right="2379"/>
        <w:spacing w:after="0"/>
        <w:tabs>
          <w:tab w:leader="none" w:pos="880" w:val="left"/>
        </w:tabs>
        <w:rPr>
          <w:sz w:val="20"/>
          <w:szCs w:val="20"/>
          <w:color w:val="auto"/>
        </w:rPr>
      </w:pPr>
      <w:r>
        <w:rPr>
          <w:rFonts w:ascii="Arial" w:cs="Arial" w:eastAsia="Arial" w:hAnsi="Arial"/>
          <w:sz w:val="14"/>
          <w:szCs w:val="14"/>
          <w:color w:val="auto"/>
        </w:rPr>
        <w:t>June 30,</w:t>
      </w:r>
      <w:r>
        <w:rPr>
          <w:sz w:val="20"/>
          <w:szCs w:val="20"/>
          <w:color w:val="auto"/>
        </w:rPr>
        <w:tab/>
      </w:r>
      <w:r>
        <w:rPr>
          <w:rFonts w:ascii="Arial" w:cs="Arial" w:eastAsia="Arial" w:hAnsi="Arial"/>
          <w:sz w:val="14"/>
          <w:szCs w:val="14"/>
          <w:color w:val="auto"/>
        </w:rPr>
        <w:t>December 31,</w:t>
      </w:r>
    </w:p>
    <w:p>
      <w:pPr>
        <w:spacing w:after="0" w:line="53" w:lineRule="exact"/>
        <w:rPr>
          <w:sz w:val="20"/>
          <w:szCs w:val="20"/>
          <w:color w:val="auto"/>
        </w:rPr>
      </w:pPr>
    </w:p>
    <w:p>
      <w:pPr>
        <w:ind w:left="5980"/>
        <w:spacing w:after="0"/>
        <w:tabs>
          <w:tab w:leader="none" w:pos="718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13970</wp:posOffset>
            </wp:positionV>
            <wp:extent cx="5078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78730" cy="8255"/>
                    </a:xfrm>
                    <a:prstGeom prst="rect">
                      <a:avLst/>
                    </a:prstGeom>
                    <a:noFill/>
                  </pic:spPr>
                </pic:pic>
              </a:graphicData>
            </a:graphic>
          </wp:anchor>
        </w:drawing>
      </w:r>
    </w:p>
    <w:p>
      <w:pPr>
        <w:sectPr>
          <w:pgSz w:w="11900" w:h="16838" w:orient="portrait"/>
          <w:cols w:equalWidth="0" w:num="1">
            <w:col w:w="10199"/>
          </w:cols>
          <w:pgMar w:left="260" w:top="416" w:right="1440"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Sempra Energy</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SoCalGas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various affiliates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SoCalGas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(from) Sempra Energy*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Noncurrent:</w:t>
      </w:r>
    </w:p>
    <w:p>
      <w:pPr>
        <w:spacing w:after="0" w:line="30" w:lineRule="exact"/>
        <w:rPr>
          <w:sz w:val="20"/>
          <w:szCs w:val="20"/>
          <w:color w:val="auto"/>
        </w:rPr>
      </w:pPr>
    </w:p>
    <w:p>
      <w:pPr>
        <w:jc w:val="center"/>
        <w:ind w:left="180"/>
        <w:spacing w:after="0" w:line="396" w:lineRule="auto"/>
        <w:rPr>
          <w:sz w:val="20"/>
          <w:szCs w:val="20"/>
          <w:color w:val="auto"/>
        </w:rPr>
      </w:pPr>
      <w:r>
        <w:rPr>
          <w:rFonts w:ascii="Arial" w:cs="Arial" w:eastAsia="Arial" w:hAnsi="Arial"/>
          <w:sz w:val="16"/>
          <w:szCs w:val="16"/>
          <w:color w:val="auto"/>
        </w:rPr>
        <w:t>Promissory note due from Sempra Energy, variable rate based on short-term commercial paper rates (0.22% at June 30, 2009)</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Pacific Enterprises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SDG&amp;E</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affiliate</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SDG&amp;E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(from) Sempra Energy*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Noncurrent:</w:t>
      </w:r>
    </w:p>
    <w:p>
      <w:pPr>
        <w:spacing w:after="0" w:line="30" w:lineRule="exact"/>
        <w:rPr>
          <w:sz w:val="20"/>
          <w:szCs w:val="20"/>
          <w:color w:val="auto"/>
        </w:rPr>
      </w:pPr>
    </w:p>
    <w:p>
      <w:pPr>
        <w:jc w:val="center"/>
        <w:ind w:left="180"/>
        <w:spacing w:after="0" w:line="396" w:lineRule="auto"/>
        <w:rPr>
          <w:sz w:val="20"/>
          <w:szCs w:val="20"/>
          <w:color w:val="auto"/>
        </w:rPr>
      </w:pPr>
      <w:r>
        <w:rPr>
          <w:rFonts w:ascii="Arial" w:cs="Arial" w:eastAsia="Arial" w:hAnsi="Arial"/>
          <w:sz w:val="16"/>
          <w:szCs w:val="16"/>
          <w:color w:val="auto"/>
        </w:rPr>
        <w:t>Promissory note due from Sempra Energy, variable rate based on short-term commercial paper rates (0.22% at June 30, 2009)</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SDG&amp;E</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SDG&amp;E</w:t>
      </w: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9525</wp:posOffset>
            </wp:positionV>
            <wp:extent cx="507873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7873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3"/>
        </w:trPr>
        <w:tc>
          <w:tcPr>
            <w:tcW w:w="540" w:type="dxa"/>
            <w:vAlign w:val="bottom"/>
            <w:shd w:val="clear" w:color="auto" w:fill="000000"/>
          </w:tcPr>
          <w:p>
            <w:pPr>
              <w:spacing w:after="0"/>
              <w:rPr>
                <w:sz w:val="7"/>
                <w:szCs w:val="7"/>
                <w:color w:val="auto"/>
              </w:rPr>
            </w:pPr>
          </w:p>
        </w:tc>
        <w:tc>
          <w:tcPr>
            <w:tcW w:w="1220" w:type="dxa"/>
            <w:vAlign w:val="bottom"/>
            <w:gridSpan w:val="2"/>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423"/>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439"/>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3"/>
        </w:trPr>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060" w:val="left"/>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3 $</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54813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813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423"/>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4"/>
        </w:trPr>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111</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439"/>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880" w:val="left"/>
          <w:tab w:leader="none" w:pos="2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517 $</w:t>
      </w:r>
      <w:r>
        <w:rPr>
          <w:sz w:val="20"/>
          <w:szCs w:val="20"/>
          <w:color w:val="auto"/>
        </w:rPr>
        <w:tab/>
      </w:r>
      <w:r>
        <w:rPr>
          <w:rFonts w:ascii="Arial" w:cs="Arial" w:eastAsia="Arial" w:hAnsi="Arial"/>
          <w:sz w:val="15"/>
          <w:szCs w:val="15"/>
          <w:color w:val="auto"/>
        </w:rPr>
        <w:t>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54813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813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5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423"/>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83"/>
        </w:trPr>
        <w:tc>
          <w:tcPr>
            <w:tcW w:w="5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436"/>
        </w:trPr>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90" w:lineRule="exact"/>
        <w:rPr>
          <w:sz w:val="20"/>
          <w:szCs w:val="20"/>
          <w:color w:val="auto"/>
        </w:rPr>
      </w:pPr>
    </w:p>
    <w:p>
      <w:pPr>
        <w:sectPr>
          <w:pgSz w:w="11900" w:h="16838" w:orient="portrait"/>
          <w:cols w:equalWidth="0" w:num="2">
            <w:col w:w="4840" w:space="700"/>
            <w:col w:w="4659"/>
          </w:cols>
          <w:pgMar w:left="260" w:top="416" w:right="1440" w:bottom="1440" w:gutter="0" w:footer="0" w:header="0"/>
          <w:type w:val="continuous"/>
        </w:sectPr>
      </w:pPr>
    </w:p>
    <w:p>
      <w:pPr>
        <w:jc w:val="both"/>
        <w:ind w:left="300" w:right="2579" w:hanging="190"/>
        <w:spacing w:after="0" w:line="259" w:lineRule="auto"/>
        <w:tabs>
          <w:tab w:leader="none" w:pos="300" w:val="left"/>
        </w:tabs>
        <w:numPr>
          <w:ilvl w:val="0"/>
          <w:numId w:val="28"/>
        </w:numPr>
        <w:rPr>
          <w:rFonts w:ascii="Arial" w:cs="Arial" w:eastAsia="Arial" w:hAnsi="Arial"/>
          <w:sz w:val="16"/>
          <w:szCs w:val="16"/>
          <w:color w:val="auto"/>
        </w:rPr>
      </w:pPr>
      <w:r>
        <w:rPr>
          <w:rFonts w:ascii="Arial" w:cs="Arial" w:eastAsia="Arial" w:hAnsi="Arial"/>
          <w:sz w:val="14"/>
          <w:szCs w:val="14"/>
          <w:i w:val="1"/>
          <w:iCs w:val="1"/>
          <w:color w:val="auto"/>
        </w:rPr>
        <w:t>SDG&amp;E, PE and SoCalGas are included in the consolidated income tax return of Sempra Energy and are allocated income tax expense from Sempra Energy in an amount equal to that which would result from the companies' having always filed a separate return.</w:t>
      </w:r>
    </w:p>
    <w:p>
      <w:pPr>
        <w:sectPr>
          <w:pgSz w:w="11900" w:h="16838" w:orient="portrait"/>
          <w:cols w:equalWidth="0" w:num="1">
            <w:col w:w="10199"/>
          </w:cols>
          <w:pgMar w:left="260" w:top="416"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1"/>
          <w:szCs w:val="21"/>
          <w:color w:val="auto"/>
        </w:rPr>
        <w:t>Revenues from unconsolidated affiliates at the Sempra Utilities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4347210" cy="272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7210" cy="272415"/>
                    </a:xfrm>
                    <a:prstGeom prst="rect">
                      <a:avLst/>
                    </a:prstGeom>
                    <a:noFill/>
                  </pic:spPr>
                </pic:pic>
              </a:graphicData>
            </a:graphic>
          </wp:anchor>
        </w:drawing>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 FROM UNCONSOLIDATED AFFILIATES AT THE SEMPRA UTILITIES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7"/>
        </w:trPr>
        <w:tc>
          <w:tcPr>
            <w:tcW w:w="1980" w:type="dxa"/>
            <w:vAlign w:val="bottom"/>
          </w:tcPr>
          <w:p>
            <w:pPr>
              <w:spacing w:after="0"/>
              <w:rPr>
                <w:sz w:val="17"/>
                <w:szCs w:val="17"/>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w:t>
            </w:r>
          </w:p>
        </w:tc>
        <w:tc>
          <w:tcPr>
            <w:tcW w:w="300" w:type="dxa"/>
            <w:vAlign w:val="bottom"/>
            <w:tcBorders>
              <w:bottom w:val="single" w:sz="8" w:color="auto"/>
            </w:tcBorders>
          </w:tcPr>
          <w:p>
            <w:pPr>
              <w:spacing w:after="0"/>
              <w:rPr>
                <w:sz w:val="17"/>
                <w:szCs w:val="17"/>
                <w:color w:val="auto"/>
              </w:rPr>
            </w:pPr>
          </w:p>
        </w:tc>
      </w:tr>
      <w:tr>
        <w:trPr>
          <w:trHeight w:val="208"/>
        </w:trPr>
        <w:tc>
          <w:tcPr>
            <w:tcW w:w="1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8"/>
                <w:szCs w:val="18"/>
                <w:color w:val="auto"/>
              </w:rPr>
            </w:pPr>
          </w:p>
        </w:tc>
      </w:tr>
      <w:tr>
        <w:trPr>
          <w:trHeight w:val="208"/>
        </w:trPr>
        <w:tc>
          <w:tcPr>
            <w:tcW w:w="1980" w:type="dxa"/>
            <w:vAlign w:val="bottom"/>
          </w:tcPr>
          <w:p>
            <w:pPr>
              <w:ind w:left="20"/>
              <w:spacing w:after="0"/>
              <w:rPr>
                <w:sz w:val="20"/>
                <w:szCs w:val="20"/>
                <w:color w:val="auto"/>
              </w:rPr>
            </w:pPr>
            <w:r>
              <w:rPr>
                <w:rFonts w:ascii="Arial" w:cs="Arial" w:eastAsia="Arial" w:hAnsi="Arial"/>
                <w:sz w:val="16"/>
                <w:szCs w:val="16"/>
                <w:color w:val="auto"/>
              </w:rPr>
              <w:t>SDG&amp;E</w:t>
            </w:r>
          </w:p>
        </w:tc>
        <w:tc>
          <w:tcPr>
            <w:tcW w:w="900" w:type="dxa"/>
            <w:vAlign w:val="bottom"/>
          </w:tcPr>
          <w:p>
            <w:pPr>
              <w:jc w:val="right"/>
              <w:ind w:right="726"/>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020" w:type="dxa"/>
            <w:vAlign w:val="bottom"/>
          </w:tcPr>
          <w:p>
            <w:pPr>
              <w:jc w:val="right"/>
              <w:ind w:right="824"/>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94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1980" w:type="dxa"/>
            <w:vAlign w:val="bottom"/>
          </w:tcPr>
          <w:p>
            <w:pPr>
              <w:ind w:left="20"/>
              <w:spacing w:after="0"/>
              <w:rPr>
                <w:sz w:val="20"/>
                <w:szCs w:val="20"/>
                <w:color w:val="auto"/>
              </w:rPr>
            </w:pPr>
            <w:r>
              <w:rPr>
                <w:rFonts w:ascii="Arial" w:cs="Arial" w:eastAsia="Arial" w:hAnsi="Arial"/>
                <w:sz w:val="16"/>
                <w:szCs w:val="16"/>
                <w:color w:val="auto"/>
              </w:rPr>
              <w:t>SoCalGas</w:t>
            </w: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8</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15</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83"/>
        </w:trPr>
        <w:tc>
          <w:tcPr>
            <w:tcW w:w="198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47"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Several of our business units engage in transactions with RBS Sempra Commodities. Amounts in our Condensed Consolidated Financial Statements related to these transactions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5375910" cy="272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75910" cy="272415"/>
                    </a:xfrm>
                    <a:prstGeom prst="rect">
                      <a:avLst/>
                    </a:prstGeom>
                    <a:noFill/>
                  </pic:spPr>
                </pic:pic>
              </a:graphicData>
            </a:graphic>
          </wp:anchor>
        </w:drawing>
      </w:r>
    </w:p>
    <w:p>
      <w:pPr>
        <w:spacing w:after="0" w:line="311" w:lineRule="exact"/>
        <w:rPr>
          <w:sz w:val="20"/>
          <w:szCs w:val="20"/>
          <w:color w:val="auto"/>
        </w:rPr>
      </w:pPr>
    </w:p>
    <w:p>
      <w:pPr>
        <w:ind w:left="20" w:right="4600"/>
        <w:spacing w:after="0" w:line="292" w:lineRule="auto"/>
        <w:rPr>
          <w:sz w:val="20"/>
          <w:szCs w:val="20"/>
          <w:color w:val="auto"/>
        </w:rPr>
      </w:pPr>
      <w:r>
        <w:rPr>
          <w:rFonts w:ascii="Arial" w:cs="Arial" w:eastAsia="Arial" w:hAnsi="Arial"/>
          <w:sz w:val="16"/>
          <w:szCs w:val="16"/>
          <w:b w:val="1"/>
          <w:bCs w:val="1"/>
          <w:color w:val="auto"/>
        </w:rPr>
        <w:t xml:space="preserve">AMOUNTS RECORDED FOR TRANSACTIONS WITH RBS SEMPRA COMMODITIES </w:t>
      </w:r>
      <w:r>
        <w:rPr>
          <w:rFonts w:ascii="Arial" w:cs="Arial" w:eastAsia="Arial" w:hAnsi="Arial"/>
          <w:sz w:val="14"/>
          <w:szCs w:val="14"/>
          <w:i w:val="1"/>
          <w:iCs w:val="1"/>
          <w:color w:val="auto"/>
        </w:rPr>
        <w:t>(Dollars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320" w:type="dxa"/>
            <w:vAlign w:val="bottom"/>
          </w:tcPr>
          <w:p>
            <w:pPr>
              <w:spacing w:after="0"/>
              <w:rPr>
                <w:sz w:val="14"/>
                <w:szCs w:val="14"/>
                <w:color w:val="auto"/>
              </w:rPr>
            </w:pPr>
          </w:p>
        </w:tc>
        <w:tc>
          <w:tcPr>
            <w:tcW w:w="2260" w:type="dxa"/>
            <w:vAlign w:val="bottom"/>
            <w:gridSpan w:val="3"/>
          </w:tcPr>
          <w:p>
            <w:pPr>
              <w:jc w:val="right"/>
              <w:ind w:right="2"/>
              <w:spacing w:after="0"/>
              <w:rPr>
                <w:sz w:val="20"/>
                <w:szCs w:val="20"/>
                <w:color w:val="auto"/>
              </w:rPr>
            </w:pPr>
            <w:r>
              <w:rPr>
                <w:rFonts w:ascii="Arial" w:cs="Arial" w:eastAsia="Arial" w:hAnsi="Arial"/>
                <w:sz w:val="14"/>
                <w:szCs w:val="14"/>
                <w:color w:val="auto"/>
              </w:rPr>
              <w:t>Six months ended June 30,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SoCalGas</w:t>
            </w:r>
          </w:p>
        </w:tc>
        <w:tc>
          <w:tcPr>
            <w:tcW w:w="94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2</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940" w:type="dxa"/>
            <w:vAlign w:val="bottom"/>
          </w:tcPr>
          <w:p>
            <w:pPr>
              <w:spacing w:after="0"/>
              <w:rPr>
                <w:sz w:val="18"/>
                <w:szCs w:val="18"/>
                <w:color w:val="auto"/>
              </w:rPr>
            </w:pP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2</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980" w:type="dxa"/>
            <w:vAlign w:val="bottom"/>
          </w:tcPr>
          <w:p>
            <w:pPr>
              <w:spacing w:after="0"/>
              <w:rPr>
                <w:sz w:val="18"/>
                <w:szCs w:val="18"/>
                <w:color w:val="auto"/>
              </w:rPr>
            </w:pP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940" w:type="dxa"/>
            <w:vAlign w:val="bottom"/>
          </w:tcPr>
          <w:p>
            <w:pPr>
              <w:spacing w:after="0"/>
              <w:rPr>
                <w:sz w:val="18"/>
                <w:szCs w:val="18"/>
                <w:color w:val="auto"/>
              </w:rPr>
            </w:pP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8</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(29)</w:t>
            </w:r>
          </w:p>
        </w:tc>
        <w:tc>
          <w:tcPr>
            <w:tcW w:w="980" w:type="dxa"/>
            <w:vAlign w:val="bottom"/>
          </w:tcPr>
          <w:p>
            <w:pPr>
              <w:spacing w:after="0"/>
              <w:rPr>
                <w:sz w:val="18"/>
                <w:szCs w:val="18"/>
                <w:color w:val="auto"/>
              </w:rPr>
            </w:pP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3220" w:type="dxa"/>
            <w:vAlign w:val="bottom"/>
            <w:vMerge w:val="restart"/>
          </w:tcPr>
          <w:p>
            <w:pPr>
              <w:ind w:left="380"/>
              <w:spacing w:after="0"/>
              <w:rPr>
                <w:sz w:val="20"/>
                <w:szCs w:val="20"/>
                <w:color w:val="auto"/>
              </w:rPr>
            </w:pPr>
            <w:r>
              <w:rPr>
                <w:rFonts w:ascii="Arial" w:cs="Arial" w:eastAsia="Arial" w:hAnsi="Arial"/>
                <w:sz w:val="16"/>
                <w:szCs w:val="16"/>
                <w:color w:val="auto"/>
              </w:rPr>
              <w:t>Total revenues</w:t>
            </w:r>
          </w:p>
        </w:tc>
        <w:tc>
          <w:tcPr>
            <w:tcW w:w="94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10</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(23)</w:t>
            </w: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83"/>
        </w:trPr>
        <w:tc>
          <w:tcPr>
            <w:tcW w:w="3220" w:type="dxa"/>
            <w:vAlign w:val="bottom"/>
            <w:vMerge w:val="continue"/>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2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SoCalGas</w:t>
            </w:r>
          </w:p>
        </w:tc>
        <w:tc>
          <w:tcPr>
            <w:tcW w:w="94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1</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w:t>
            </w: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5"/>
        </w:trPr>
        <w:tc>
          <w:tcPr>
            <w:tcW w:w="3220" w:type="dxa"/>
            <w:vAlign w:val="bottom"/>
          </w:tcPr>
          <w:p>
            <w:pPr>
              <w:ind w:left="380"/>
              <w:spacing w:after="0"/>
              <w:rPr>
                <w:sz w:val="20"/>
                <w:szCs w:val="20"/>
                <w:color w:val="auto"/>
              </w:rPr>
            </w:pPr>
            <w:r>
              <w:rPr>
                <w:rFonts w:ascii="Arial" w:cs="Arial" w:eastAsia="Arial" w:hAnsi="Arial"/>
                <w:sz w:val="16"/>
                <w:szCs w:val="16"/>
                <w:color w:val="auto"/>
              </w:rPr>
              <w:t>Total cost of natural gas</w:t>
            </w:r>
          </w:p>
        </w:tc>
        <w:tc>
          <w:tcPr>
            <w:tcW w:w="94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83"/>
        </w:trPr>
        <w:tc>
          <w:tcPr>
            <w:tcW w:w="3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220" w:type="dxa"/>
            <w:vAlign w:val="bottom"/>
            <w:gridSpan w:val="2"/>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17"/>
        </w:trPr>
        <w:tc>
          <w:tcPr>
            <w:tcW w:w="3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June 30,</w:t>
            </w:r>
          </w:p>
        </w:tc>
        <w:tc>
          <w:tcPr>
            <w:tcW w:w="4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20"/>
        </w:trPr>
        <w:tc>
          <w:tcPr>
            <w:tcW w:w="3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20" w:type="dxa"/>
            <w:vAlign w:val="bottom"/>
            <w:gridSpan w:val="3"/>
          </w:tcPr>
          <w:p>
            <w:pPr>
              <w:ind w:left="20"/>
              <w:spacing w:after="0"/>
              <w:rPr>
                <w:sz w:val="20"/>
                <w:szCs w:val="20"/>
                <w:color w:val="auto"/>
              </w:rPr>
            </w:pPr>
            <w:r>
              <w:rPr>
                <w:rFonts w:ascii="Arial" w:cs="Arial" w:eastAsia="Arial" w:hAnsi="Arial"/>
                <w:sz w:val="16"/>
                <w:szCs w:val="16"/>
                <w:color w:val="auto"/>
              </w:rPr>
              <w:t>Fixed price contracts and other derivatives - Net Asset (Liability):</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5"/>
        </w:trPr>
        <w:tc>
          <w:tcPr>
            <w:tcW w:w="3220" w:type="dxa"/>
            <w:vAlign w:val="bottom"/>
            <w:vMerge w:val="restart"/>
          </w:tcPr>
          <w:p>
            <w:pPr>
              <w:ind w:left="380"/>
              <w:spacing w:after="0"/>
              <w:rPr>
                <w:sz w:val="20"/>
                <w:szCs w:val="20"/>
                <w:color w:val="auto"/>
              </w:rPr>
            </w:pPr>
            <w:r>
              <w:rPr>
                <w:rFonts w:ascii="Arial" w:cs="Arial" w:eastAsia="Arial" w:hAnsi="Arial"/>
                <w:sz w:val="16"/>
                <w:szCs w:val="16"/>
                <w:color w:val="auto"/>
              </w:rPr>
              <w:t>Total</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3"/>
        </w:trPr>
        <w:tc>
          <w:tcPr>
            <w:tcW w:w="32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20" w:type="dxa"/>
            <w:vAlign w:val="bottom"/>
          </w:tcPr>
          <w:p>
            <w:pPr>
              <w:ind w:left="20"/>
              <w:spacing w:after="0"/>
              <w:rPr>
                <w:sz w:val="20"/>
                <w:szCs w:val="20"/>
                <w:color w:val="auto"/>
              </w:rPr>
            </w:pPr>
            <w:r>
              <w:rPr>
                <w:rFonts w:ascii="Arial" w:cs="Arial" w:eastAsia="Arial" w:hAnsi="Arial"/>
                <w:sz w:val="16"/>
                <w:szCs w:val="16"/>
                <w:color w:val="auto"/>
              </w:rPr>
              <w:t>Due to unconsolidated affiliates: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8"/>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3220" w:type="dxa"/>
            <w:vAlign w:val="bottom"/>
            <w:vMerge w:val="restart"/>
          </w:tcPr>
          <w:p>
            <w:pPr>
              <w:ind w:left="380"/>
              <w:spacing w:after="0"/>
              <w:rPr>
                <w:sz w:val="20"/>
                <w:szCs w:val="20"/>
                <w:color w:val="auto"/>
              </w:rPr>
            </w:pPr>
            <w:r>
              <w:rPr>
                <w:rFonts w:ascii="Arial" w:cs="Arial" w:eastAsia="Arial" w:hAnsi="Arial"/>
                <w:sz w:val="16"/>
                <w:szCs w:val="16"/>
                <w:color w:val="auto"/>
              </w:rPr>
              <w:t>Total</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83"/>
        </w:trPr>
        <w:tc>
          <w:tcPr>
            <w:tcW w:w="32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20" w:type="dxa"/>
            <w:vAlign w:val="bottom"/>
          </w:tcPr>
          <w:p>
            <w:pPr>
              <w:ind w:left="20"/>
              <w:spacing w:after="0"/>
              <w:rPr>
                <w:sz w:val="20"/>
                <w:szCs w:val="20"/>
                <w:color w:val="auto"/>
              </w:rPr>
            </w:pPr>
            <w:r>
              <w:rPr>
                <w:rFonts w:ascii="Arial" w:cs="Arial" w:eastAsia="Arial" w:hAnsi="Arial"/>
                <w:sz w:val="16"/>
                <w:szCs w:val="16"/>
                <w:color w:val="auto"/>
              </w:rPr>
              <w:t>Due from unconsolidated affiliates: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8"/>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Parent and other</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3220" w:type="dxa"/>
            <w:vAlign w:val="bottom"/>
          </w:tcPr>
          <w:p>
            <w:pPr>
              <w:ind w:left="380"/>
              <w:spacing w:after="0"/>
              <w:rPr>
                <w:sz w:val="20"/>
                <w:szCs w:val="20"/>
                <w:color w:val="auto"/>
              </w:rPr>
            </w:pPr>
            <w:r>
              <w:rPr>
                <w:rFonts w:ascii="Arial" w:cs="Arial" w:eastAsia="Arial" w:hAnsi="Arial"/>
                <w:sz w:val="16"/>
                <w:szCs w:val="16"/>
                <w:color w:val="auto"/>
              </w:rPr>
              <w:t>Total</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83"/>
        </w:trPr>
        <w:tc>
          <w:tcPr>
            <w:tcW w:w="3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20" w:right="2480" w:hanging="190"/>
        <w:spacing w:after="0" w:line="259"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4"/>
          <w:szCs w:val="14"/>
          <w:i w:val="1"/>
          <w:iCs w:val="1"/>
          <w:color w:val="auto"/>
        </w:rPr>
        <w:t>Includes $4 million loss and $1 million gain for the three months and six months ended June 30, 2009, respectively, and $18 million loss for both the three months and six months ended June 30, 2008, related to a marketing agreement with RBS Sempra Commodities which is subject to mark-to-market accounting. Under this agreement, which extends for five years beginning September 1, 2009, RBS Sempra Commodities will market natural gas that Sempra LNG purchases and does not sell under other contracts.</w:t>
      </w:r>
    </w:p>
    <w:p>
      <w:pPr>
        <w:sectPr>
          <w:pgSz w:w="11900" w:h="16838" w:orient="portrait"/>
          <w:cols w:equalWidth="0" w:num="1">
            <w:col w:w="10880"/>
          </w:cols>
          <w:pgMar w:left="240" w:top="118" w:right="77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i w:val="1"/>
          <w:iCs w:val="1"/>
          <w:color w:val="auto"/>
        </w:rPr>
        <w:t>Revenue from Unconsolidated Affiliates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For the six months ended June 30, 2008, Sempra Commodities recorded $55 million of revenue from unconsolidated affiliates.</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WRITE-OFF OF LONG-LIVED ASSETS</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In the second quarter of 2009, we recorded a write-off of $132 million related to certain assets at Sempra Pipelines &amp; Storage’s Liberty Gas Storage natural gas storage facility. We discuss this write-off in Note 10.</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 NET</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Other Income,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5682615" cy="272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2615" cy="272415"/>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INCOME,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4300" w:type="dxa"/>
            <w:vAlign w:val="bottom"/>
          </w:tcPr>
          <w:p>
            <w:pPr>
              <w:spacing w:after="0"/>
              <w:rPr>
                <w:sz w:val="17"/>
                <w:szCs w:val="17"/>
                <w:color w:val="auto"/>
              </w:rPr>
            </w:pPr>
          </w:p>
        </w:tc>
        <w:tc>
          <w:tcPr>
            <w:tcW w:w="2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Three months ended June 30,</w:t>
            </w: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Six months ended June 30,</w:t>
            </w:r>
          </w:p>
        </w:tc>
      </w:tr>
      <w:tr>
        <w:trPr>
          <w:trHeight w:val="208"/>
        </w:trPr>
        <w:tc>
          <w:tcPr>
            <w:tcW w:w="4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2008*</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Investment gains**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Gain on interest-rate swaps (Otay Mesa VIE)</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5"/>
        </w:trPr>
        <w:tc>
          <w:tcPr>
            <w:tcW w:w="4300" w:type="dxa"/>
            <w:vAlign w:val="bottom"/>
          </w:tcPr>
          <w:p>
            <w:pPr>
              <w:ind w:left="460"/>
              <w:spacing w:after="0"/>
              <w:rPr>
                <w:sz w:val="20"/>
                <w:szCs w:val="20"/>
                <w:color w:val="auto"/>
              </w:rPr>
            </w:pPr>
            <w:r>
              <w:rPr>
                <w:rFonts w:ascii="Arial" w:cs="Arial" w:eastAsia="Arial" w:hAnsi="Arial"/>
                <w:sz w:val="16"/>
                <w:szCs w:val="16"/>
                <w:color w:val="auto"/>
              </w:rPr>
              <w:t>Total</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83"/>
        </w:trPr>
        <w:tc>
          <w:tcPr>
            <w:tcW w:w="43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Gain on interest-rate swaps (Otay Mesa VIE)</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300" w:type="dxa"/>
            <w:vAlign w:val="bottom"/>
          </w:tcPr>
          <w:p>
            <w:pPr>
              <w:ind w:left="460"/>
              <w:spacing w:after="0"/>
              <w:rPr>
                <w:sz w:val="20"/>
                <w:szCs w:val="20"/>
                <w:color w:val="auto"/>
              </w:rPr>
            </w:pPr>
            <w:r>
              <w:rPr>
                <w:rFonts w:ascii="Arial" w:cs="Arial" w:eastAsia="Arial" w:hAnsi="Arial"/>
                <w:sz w:val="16"/>
                <w:szCs w:val="16"/>
                <w:color w:val="auto"/>
              </w:rPr>
              <w:t>Total</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83"/>
        </w:trPr>
        <w:tc>
          <w:tcPr>
            <w:tcW w:w="43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SoCalGas and PE: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300" w:type="dxa"/>
            <w:vAlign w:val="bottom"/>
          </w:tcPr>
          <w:p>
            <w:pPr>
              <w:ind w:left="460"/>
              <w:spacing w:after="0"/>
              <w:rPr>
                <w:sz w:val="20"/>
                <w:szCs w:val="20"/>
                <w:color w:val="auto"/>
              </w:rPr>
            </w:pPr>
            <w:r>
              <w:rPr>
                <w:rFonts w:ascii="Arial" w:cs="Arial" w:eastAsia="Arial" w:hAnsi="Arial"/>
                <w:sz w:val="16"/>
                <w:szCs w:val="16"/>
                <w:color w:val="auto"/>
              </w:rPr>
              <w:t>Total at SoCalGas</w:t>
            </w: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4300" w:type="dxa"/>
            <w:vAlign w:val="bottom"/>
          </w:tcPr>
          <w:p>
            <w:pPr>
              <w:ind w:left="20"/>
              <w:spacing w:after="0"/>
              <w:rPr>
                <w:sz w:val="20"/>
                <w:szCs w:val="20"/>
                <w:color w:val="auto"/>
              </w:rPr>
            </w:pPr>
            <w:r>
              <w:rPr>
                <w:rFonts w:ascii="Arial" w:cs="Arial" w:eastAsia="Arial" w:hAnsi="Arial"/>
                <w:sz w:val="16"/>
                <w:szCs w:val="16"/>
                <w:color w:val="auto"/>
              </w:rPr>
              <w:t>Additional at PE: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4300" w:type="dxa"/>
            <w:vAlign w:val="bottom"/>
          </w:tcPr>
          <w:p>
            <w:pPr>
              <w:ind w:left="160"/>
              <w:spacing w:after="0"/>
              <w:rPr>
                <w:sz w:val="20"/>
                <w:szCs w:val="20"/>
                <w:color w:val="auto"/>
              </w:rPr>
            </w:pPr>
            <w:r>
              <w:rPr>
                <w:rFonts w:ascii="Arial" w:cs="Arial" w:eastAsia="Arial" w:hAnsi="Arial"/>
                <w:sz w:val="16"/>
                <w:szCs w:val="16"/>
                <w:color w:val="auto"/>
              </w:rPr>
              <w:t>Sundry, net</w:t>
            </w: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4300" w:type="dxa"/>
            <w:vAlign w:val="bottom"/>
          </w:tcPr>
          <w:p>
            <w:pPr>
              <w:ind w:left="460"/>
              <w:spacing w:after="0"/>
              <w:rPr>
                <w:sz w:val="20"/>
                <w:szCs w:val="20"/>
                <w:color w:val="auto"/>
              </w:rPr>
            </w:pPr>
            <w:r>
              <w:rPr>
                <w:rFonts w:ascii="Arial" w:cs="Arial" w:eastAsia="Arial" w:hAnsi="Arial"/>
                <w:sz w:val="16"/>
                <w:szCs w:val="16"/>
                <w:color w:val="auto"/>
              </w:rPr>
              <w:t>Total at PE</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43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460" w:right="2240" w:hanging="439"/>
        <w:spacing w:after="0" w:line="279" w:lineRule="auto"/>
        <w:tabs>
          <w:tab w:leader="none" w:pos="4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Sempra Energy Consolidated, SDG&amp;E, and PE have been adjusted for the retrospective adoption of SFAS 160 (ASC 810).</w:t>
      </w:r>
    </w:p>
    <w:p>
      <w:pPr>
        <w:spacing w:after="0" w:line="1" w:lineRule="exact"/>
        <w:rPr>
          <w:sz w:val="20"/>
          <w:szCs w:val="20"/>
          <w:color w:val="auto"/>
        </w:rPr>
      </w:pPr>
    </w:p>
    <w:p>
      <w:pPr>
        <w:ind w:left="460" w:right="2260" w:hanging="439"/>
        <w:spacing w:after="0" w:line="279" w:lineRule="auto"/>
        <w:tabs>
          <w:tab w:leader="none" w:pos="4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460" w:right="2080" w:hanging="439"/>
        <w:spacing w:after="0" w:line="295" w:lineRule="auto"/>
        <w:tabs>
          <w:tab w:leader="none" w:pos="46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six months ended June 30, 2008 includes a $16 million cash payment received for the early termination of a capacity agreement for the Cameron LNG receipt terminal.</w:t>
      </w:r>
    </w:p>
    <w:p>
      <w:pPr>
        <w:sectPr>
          <w:pgSz w:w="11900" w:h="16838" w:orient="portrait"/>
          <w:cols w:equalWidth="0" w:num="1">
            <w:col w:w="10900"/>
          </w:cols>
          <w:pgMar w:left="240" w:top="122" w:right="759" w:bottom="1440" w:gutter="0" w:footer="0" w:header="0"/>
        </w:sectPr>
      </w:pPr>
    </w:p>
    <w:bookmarkStart w:id="39" w:name="page40"/>
    <w:bookmarkEnd w:id="39"/>
    <w:p>
      <w:pPr>
        <w:spacing w:after="0"/>
        <w:rPr>
          <w:sz w:val="20"/>
          <w:szCs w:val="20"/>
          <w:color w:val="auto"/>
        </w:rPr>
      </w:pPr>
      <w:r>
        <w:rPr>
          <w:rFonts w:ascii="Arial" w:cs="Arial" w:eastAsia="Arial" w:hAnsi="Arial"/>
          <w:sz w:val="21"/>
          <w:szCs w:val="21"/>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4993640" cy="272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3640" cy="272415"/>
                    </a:xfrm>
                    <a:prstGeom prst="rect">
                      <a:avLst/>
                    </a:prstGeom>
                    <a:noFill/>
                  </pic:spPr>
                </pic:pic>
              </a:graphicData>
            </a:graphic>
          </wp:anchor>
        </w:drawing>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7"/>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color w:val="auto"/>
              </w:rPr>
              <w:t>Six months ended June 30,</w:t>
            </w:r>
          </w:p>
        </w:tc>
        <w:tc>
          <w:tcPr>
            <w:tcW w:w="1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6"/>
                <w:szCs w:val="16"/>
                <w:color w:val="auto"/>
              </w:rPr>
            </w:pP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Effective</w:t>
            </w:r>
          </w:p>
        </w:tc>
        <w:tc>
          <w:tcPr>
            <w:tcW w:w="340" w:type="dxa"/>
            <w:vAlign w:val="bottom"/>
          </w:tcPr>
          <w:p>
            <w:pPr>
              <w:spacing w:after="0"/>
              <w:rPr>
                <w:sz w:val="16"/>
                <w:szCs w:val="16"/>
                <w:color w:val="auto"/>
              </w:rPr>
            </w:pP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3"/>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Income</w:t>
            </w:r>
          </w:p>
        </w:tc>
        <w:tc>
          <w:tcPr>
            <w:tcW w:w="340" w:type="dxa"/>
            <w:vAlign w:val="bottom"/>
          </w:tcPr>
          <w:p>
            <w:pPr>
              <w:spacing w:after="0"/>
              <w:rPr>
                <w:sz w:val="15"/>
                <w:szCs w:val="15"/>
                <w:color w:val="auto"/>
              </w:rPr>
            </w:pP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color w:val="auto"/>
                <w:w w:val="99"/>
              </w:rPr>
              <w:t>Tax Rate*</w:t>
            </w:r>
          </w:p>
        </w:tc>
        <w:tc>
          <w:tcPr>
            <w:tcW w:w="340" w:type="dxa"/>
            <w:vAlign w:val="bottom"/>
            <w:tcBorders>
              <w:bottom w:val="single" w:sz="8" w:color="auto"/>
            </w:tcBorders>
          </w:tcPr>
          <w:p>
            <w:pPr>
              <w:spacing w:after="0"/>
              <w:rPr>
                <w:sz w:val="19"/>
                <w:szCs w:val="19"/>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199</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329</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88</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8"/>
                <w:szCs w:val="18"/>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76</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77</w:t>
            </w: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73</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76</w:t>
            </w: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600" w:type="dxa"/>
            <w:vAlign w:val="bottom"/>
            <w:gridSpan w:val="4"/>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r>
      <w:tr>
        <w:trPr>
          <w:trHeight w:val="409"/>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Three months ended June 30,</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6"/>
                <w:szCs w:val="16"/>
                <w:color w:val="auto"/>
              </w:rPr>
            </w:pP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Effective</w:t>
            </w:r>
          </w:p>
        </w:tc>
        <w:tc>
          <w:tcPr>
            <w:tcW w:w="340" w:type="dxa"/>
            <w:vAlign w:val="bottom"/>
          </w:tcPr>
          <w:p>
            <w:pPr>
              <w:spacing w:after="0"/>
              <w:rPr>
                <w:sz w:val="16"/>
                <w:szCs w:val="16"/>
                <w:color w:val="auto"/>
              </w:rPr>
            </w:pP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3"/>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Income</w:t>
            </w:r>
          </w:p>
        </w:tc>
        <w:tc>
          <w:tcPr>
            <w:tcW w:w="340" w:type="dxa"/>
            <w:vAlign w:val="bottom"/>
          </w:tcPr>
          <w:p>
            <w:pPr>
              <w:spacing w:after="0"/>
              <w:rPr>
                <w:sz w:val="15"/>
                <w:szCs w:val="15"/>
                <w:color w:val="auto"/>
              </w:rPr>
            </w:pP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color w:val="auto"/>
                <w:w w:val="99"/>
              </w:rPr>
              <w:t>Tax Rate*</w:t>
            </w:r>
          </w:p>
        </w:tc>
        <w:tc>
          <w:tcPr>
            <w:tcW w:w="340" w:type="dxa"/>
            <w:vAlign w:val="bottom"/>
            <w:tcBorders>
              <w:bottom w:val="single" w:sz="8" w:color="auto"/>
            </w:tcBorders>
          </w:tcPr>
          <w:p>
            <w:pPr>
              <w:spacing w:after="0"/>
              <w:rPr>
                <w:sz w:val="19"/>
                <w:szCs w:val="19"/>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90</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202</w:t>
            </w: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28</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35</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8"/>
                <w:szCs w:val="18"/>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40</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18"/>
                <w:szCs w:val="18"/>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37</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80" w:right="3560" w:hanging="259"/>
        <w:spacing w:after="0" w:line="295" w:lineRule="auto"/>
        <w:tabs>
          <w:tab w:leader="none" w:pos="28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Sempra Energy Consolidated, SDG&amp;E and PE have been adjusted for the retrospective adoption of SFAS 160 (ASC 810).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the effective income tax rate for the first six months of 2009 was due to:</w:t>
      </w:r>
    </w:p>
    <w:p>
      <w:pPr>
        <w:spacing w:after="0" w:line="80" w:lineRule="exact"/>
        <w:rPr>
          <w:sz w:val="20"/>
          <w:szCs w:val="20"/>
          <w:color w:val="auto"/>
        </w:rPr>
      </w:pPr>
    </w:p>
    <w:p>
      <w:pPr>
        <w:ind w:left="180" w:hanging="173"/>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higher pretax income in countries with lower statutory rates;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lower income tax expense related to Mexican currency translation and inflation adjustments;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favorable impact of the resolution of prior years' income tax issues.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the effective income tax rate for the three months ended June 30, 2009 was due to:</w:t>
      </w:r>
    </w:p>
    <w:p>
      <w:pPr>
        <w:spacing w:after="0" w:line="80" w:lineRule="exact"/>
        <w:rPr>
          <w:sz w:val="20"/>
          <w:szCs w:val="20"/>
          <w:color w:val="auto"/>
        </w:rPr>
      </w:pPr>
    </w:p>
    <w:p>
      <w:pPr>
        <w:ind w:left="180" w:hanging="173"/>
        <w:spacing w:after="0"/>
        <w:tabs>
          <w:tab w:leader="none" w:pos="1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lower income tax expense related to Mexican currency translation and inflation adjustments;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favorable impact of the resolution of prior years' income tax issues.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decrease in the effective income tax rate for the three months ended June 30, 2009 was due to $10 million favorable effect from the resolution of prior years' income tax issues in the second quarter of 2009.</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87" w:lineRule="exact"/>
        <w:rPr>
          <w:sz w:val="20"/>
          <w:szCs w:val="20"/>
          <w:color w:val="auto"/>
        </w:rPr>
      </w:pPr>
    </w:p>
    <w:p>
      <w:pPr>
        <w:ind w:right="640"/>
        <w:spacing w:after="0" w:line="270" w:lineRule="auto"/>
        <w:rPr>
          <w:sz w:val="20"/>
          <w:szCs w:val="20"/>
          <w:color w:val="auto"/>
        </w:rPr>
      </w:pPr>
      <w:r>
        <w:rPr>
          <w:rFonts w:ascii="Arial" w:cs="Arial" w:eastAsia="Arial" w:hAnsi="Arial"/>
          <w:sz w:val="21"/>
          <w:szCs w:val="21"/>
          <w:color w:val="auto"/>
        </w:rPr>
        <w:t>The decreases in the effective income tax rates for both PE and SoCalGas for the first six months of 2009 were due to higher deductions for self-developed software costs.</w:t>
      </w:r>
    </w:p>
    <w:p>
      <w:pPr>
        <w:sectPr>
          <w:pgSz w:w="11900" w:h="16838" w:orient="portrait"/>
          <w:cols w:equalWidth="0" w:num="1">
            <w:col w:w="11340"/>
          </w:cols>
          <w:pgMar w:left="240" w:top="415" w:right="319" w:bottom="1440" w:gutter="0" w:footer="0" w:header="0"/>
        </w:sectPr>
      </w:pPr>
    </w:p>
    <w:bookmarkStart w:id="40" w:name="page41"/>
    <w:bookmarkEnd w:id="40"/>
    <w:p>
      <w:pPr>
        <w:ind w:right="80"/>
        <w:spacing w:after="0" w:line="325" w:lineRule="auto"/>
        <w:rPr>
          <w:sz w:val="20"/>
          <w:szCs w:val="20"/>
          <w:color w:val="auto"/>
        </w:rPr>
      </w:pPr>
      <w:r>
        <w:rPr>
          <w:rFonts w:ascii="Arial" w:cs="Arial" w:eastAsia="Arial" w:hAnsi="Arial"/>
          <w:sz w:val="19"/>
          <w:szCs w:val="19"/>
          <w:color w:val="auto"/>
        </w:rPr>
        <w:t>The decrease in the effective income tax rate for SoCalGas for the three months ended June 30, 2009 was due to higher deductions for self-developed software costs, partially offset by lower deductions allowed for depreciation authorized for ratemaking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191135</wp:posOffset>
            </wp:positionV>
            <wp:extent cx="7247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COMMITTED LINES OF CREDIT</w:t>
      </w:r>
    </w:p>
    <w:p>
      <w:pPr>
        <w:spacing w:after="0" w:line="91" w:lineRule="exact"/>
        <w:rPr>
          <w:sz w:val="20"/>
          <w:szCs w:val="20"/>
          <w:color w:val="auto"/>
        </w:rPr>
      </w:pPr>
    </w:p>
    <w:p>
      <w:pPr>
        <w:ind w:right="60"/>
        <w:spacing w:after="0" w:line="250" w:lineRule="auto"/>
        <w:rPr>
          <w:sz w:val="20"/>
          <w:szCs w:val="20"/>
          <w:color w:val="auto"/>
        </w:rPr>
      </w:pPr>
      <w:r>
        <w:rPr>
          <w:rFonts w:ascii="Arial" w:cs="Arial" w:eastAsia="Arial" w:hAnsi="Arial"/>
          <w:sz w:val="21"/>
          <w:szCs w:val="21"/>
          <w:color w:val="auto"/>
        </w:rPr>
        <w:t>At June 30, 2009, Sempra Energy had $4.3 billion in committed lines of credit to provide liquidity and to support commercial paper and variable-rate demand notes, the major components of which are detailed below. Available unused credit on these lines at June 30, 2009 was $3.6 billion. We discuss the terms of our credit agreements in Note 6 of the Notes to Consolidated Financial Statements in the Annual Report.</w:t>
      </w:r>
    </w:p>
    <w:p>
      <w:pPr>
        <w:spacing w:after="0" w:line="5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These amounts exclude lines of credit associated with Sempra Commodities, some of which we continue to guarantee, as we discuss below in "RBS Sempra Commodities." RBS has replaced Sempra Energy as guarantor on all uncommitted lines of credit associated with Sempra Commodities. To the extent that Sempra Energy's credit support arrangements, including Sempra Commodities' committed facilities, have not been terminated or replaced, RBS has indemnified Sempra Energy for any claims or losses arising in connection with those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3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Sempra Global has a $2.5 billion, three-year syndicated revolving credit agreement expiring in 2011. At June 30, 2009, Sempra Global had letters of credit of $34 million outstanding and no outstanding borrowings under the facility. The facility provides support for $366 million of commercial paper outstanding at June 30, 2009. At June 30, 2009, $200 million of the commercial paper outstanding has been classified as long-term debt based on management’s intent and ability to maintain this level of borrowing on a long-term basis either supported by this credit facility or by issuing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7" w:lineRule="exact"/>
        <w:rPr>
          <w:sz w:val="20"/>
          <w:szCs w:val="20"/>
          <w:color w:val="auto"/>
        </w:rPr>
      </w:pPr>
    </w:p>
    <w:p>
      <w:pPr>
        <w:ind w:right="240"/>
        <w:spacing w:after="0" w:line="270" w:lineRule="auto"/>
        <w:rPr>
          <w:sz w:val="20"/>
          <w:szCs w:val="20"/>
          <w:color w:val="auto"/>
        </w:rPr>
      </w:pPr>
      <w:r>
        <w:rPr>
          <w:rFonts w:ascii="Arial" w:cs="Arial" w:eastAsia="Arial" w:hAnsi="Arial"/>
          <w:sz w:val="21"/>
          <w:szCs w:val="21"/>
          <w:color w:val="auto"/>
        </w:rPr>
        <w:t>Sempra Generation has a $1 billion, three-year syndicated revolving credit agreement expiring in 2011. At June 30, 2009, Sempra Generation had no outstanding borrowings under the facility.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47" w:lineRule="exact"/>
        <w:rPr>
          <w:sz w:val="20"/>
          <w:szCs w:val="20"/>
          <w:color w:val="auto"/>
        </w:rPr>
      </w:pPr>
    </w:p>
    <w:p>
      <w:pPr>
        <w:ind w:right="220"/>
        <w:spacing w:after="0" w:line="266" w:lineRule="auto"/>
        <w:rPr>
          <w:sz w:val="20"/>
          <w:szCs w:val="20"/>
          <w:color w:val="auto"/>
        </w:rPr>
      </w:pPr>
      <w:r>
        <w:rPr>
          <w:rFonts w:ascii="Arial" w:cs="Arial" w:eastAsia="Arial" w:hAnsi="Arial"/>
          <w:sz w:val="20"/>
          <w:szCs w:val="20"/>
          <w:color w:val="auto"/>
        </w:rPr>
        <w:t>SDG&amp;E and SoCalGas have a combined $800 million, three-year syndicated revolving credit agreement expiring in 2011. The agreement permits each utility to individually borrow up to $600 million, subject to a combined limit of $800 million. At June 30, 2009, SDG&amp;E and SoCalGas had no outstanding borrowings under this facility. SDG&amp;E had $25 million of outstanding letters of credit and $237 million of variable-rate demand notes outstanding supported by this facility at June 30, 2009.</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RBS is obligated to provide RBS Sempra Commodities with all growth capital, working-capital requirements and credit support. However, as a transitional measure, we continue to provide back-up guarantees for a portion of RBS Sempra Commodities’ trading obligations and for certain credit facilities with third party lenders pending novation (legal transfer) of the remaining trading obligations to RBS. Some of these back-up guarantees may continue for a prolonged period of time. RBS, which is controlled by the government of the United Kingdom, has fully indemnified us for any claims or losses in connection with these arrangements.</w:t>
      </w:r>
    </w:p>
    <w:p>
      <w:pPr>
        <w:spacing w:after="0" w:line="29"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RBS Sempra Commodities’ net trading liabilities supported by Sempra Energy’s guarantees at June 30, 2009 were $790 million, consisting of guaranteed trading obligations net of collateral. The amount of guaranteed net trading liabilities varies from day to day with the value of the trading obligations and related collateral.</w:t>
      </w:r>
    </w:p>
    <w:p>
      <w:pPr>
        <w:spacing w:after="0" w:line="47" w:lineRule="exact"/>
        <w:rPr>
          <w:sz w:val="20"/>
          <w:szCs w:val="20"/>
          <w:color w:val="auto"/>
        </w:rPr>
      </w:pPr>
    </w:p>
    <w:p>
      <w:pPr>
        <w:ind w:right="200"/>
        <w:spacing w:after="0" w:line="270" w:lineRule="auto"/>
        <w:rPr>
          <w:sz w:val="20"/>
          <w:szCs w:val="20"/>
          <w:color w:val="auto"/>
        </w:rPr>
      </w:pPr>
      <w:r>
        <w:rPr>
          <w:rFonts w:ascii="Arial" w:cs="Arial" w:eastAsia="Arial" w:hAnsi="Arial"/>
          <w:sz w:val="21"/>
          <w:szCs w:val="21"/>
          <w:color w:val="auto"/>
        </w:rPr>
        <w:t>Sempra Energy also has guaranteed $344 million of $1.72 billion of RBS Sempra Commodities' commitments under an additional credit facility expiring September 29, 2010. Extensions of credit under the committed facility, which</w:t>
      </w:r>
    </w:p>
    <w:p>
      <w:pPr>
        <w:sectPr>
          <w:pgSz w:w="11900" w:h="16838" w:orient="portrait"/>
          <w:cols w:equalWidth="0" w:num="1">
            <w:col w:w="11380"/>
          </w:cols>
          <w:pgMar w:left="240" w:top="118" w:right="279" w:bottom="1440" w:gutter="0" w:footer="0" w:header="0"/>
        </w:sectPr>
      </w:pPr>
    </w:p>
    <w:bookmarkStart w:id="41" w:name="page42"/>
    <w:bookmarkEnd w:id="41"/>
    <w:p>
      <w:pPr>
        <w:ind w:right="20"/>
        <w:spacing w:after="0" w:line="250" w:lineRule="auto"/>
        <w:rPr>
          <w:sz w:val="20"/>
          <w:szCs w:val="20"/>
          <w:color w:val="auto"/>
        </w:rPr>
      </w:pPr>
      <w:r>
        <w:rPr>
          <w:rFonts w:ascii="Arial" w:cs="Arial" w:eastAsia="Arial" w:hAnsi="Arial"/>
          <w:sz w:val="21"/>
          <w:szCs w:val="21"/>
          <w:color w:val="auto"/>
        </w:rPr>
        <w:t>total $1 billion at June 30, 2009, are limited to and secured by a borrowing base consisting of receivables, inventories and other joint venture assets that are valued at varying percentages of current market value. At June 30, 2009, the gross market value of the borrowing base assets was $2.8 billion. The facility will be reduced and end as the borrowing base assets are transferred to RBS as established by the joint venture agreement.</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GUARANTEES</w:t>
      </w:r>
    </w:p>
    <w:p>
      <w:pPr>
        <w:spacing w:after="0" w:line="104" w:lineRule="exact"/>
        <w:rPr>
          <w:sz w:val="20"/>
          <w:szCs w:val="20"/>
          <w:color w:val="auto"/>
        </w:rPr>
      </w:pPr>
    </w:p>
    <w:p>
      <w:pPr>
        <w:jc w:val="both"/>
        <w:ind w:right="120"/>
        <w:spacing w:after="0" w:line="262" w:lineRule="auto"/>
        <w:rPr>
          <w:sz w:val="20"/>
          <w:szCs w:val="20"/>
          <w:color w:val="auto"/>
        </w:rPr>
      </w:pPr>
      <w:r>
        <w:rPr>
          <w:rFonts w:ascii="Arial" w:cs="Arial" w:eastAsia="Arial" w:hAnsi="Arial"/>
          <w:sz w:val="20"/>
          <w:szCs w:val="20"/>
          <w:color w:val="auto"/>
        </w:rPr>
        <w:t>Sempra Energy, Conoco Phillips (Conoco) and Kinder Morgan Energy Partners, L.P. (KMP) currently hold 25 percent, 24 percent and 51 percent ownership interests, respectively, in Rockies Express. Rockies Express is constructing a natural gas pipeline to link natural gas producing areas in the Rocky Mountain region to the upper Midwest and the eastern United States. Rockies Express has a $2 billion, five-year credit facility expiring in 2011 that provides for revolving extensions of credit that are guaranteed by Sempra Energy, Conoco and KMP in proportion to their respective ownership percentages.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Borrowings under the facility bear interest at rates varying with market rates plus a margin that varies with the credit ratings of the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lowest-rated guarantor. The facility requires each guarantor to comply with various financial and other covenants comparable to</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those contained in its senior unsecured credit facilities. In the case of Sempra Energy, the primary requirement is that we maintain 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ratio of total indebtedness to total capitalization (as defined in the facility) of no more than 65 percent at the end of each quarter.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Rockies Express had $1.9 billion of outstanding borrowings under this facility at June 30, 2009. In addition, Rockies Express had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$600 million of floating rate notes outstanding at June 30, 2009 and maturing in August 2009 that are guaranteed by Sempra Energy,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Conoco and KMP in proportion to their respective ownership percentages. The fair value to us of these guarantees is negligible.</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WEIGHTED AVERAGE INTEREST RATES</w:t>
      </w:r>
    </w:p>
    <w:p>
      <w:pPr>
        <w:spacing w:after="0" w:line="104" w:lineRule="exact"/>
        <w:rPr>
          <w:sz w:val="20"/>
          <w:szCs w:val="20"/>
          <w:color w:val="auto"/>
        </w:rPr>
      </w:pPr>
    </w:p>
    <w:p>
      <w:pPr>
        <w:ind w:right="1020"/>
        <w:spacing w:after="0" w:line="270" w:lineRule="auto"/>
        <w:rPr>
          <w:sz w:val="20"/>
          <w:szCs w:val="20"/>
          <w:color w:val="auto"/>
        </w:rPr>
      </w:pPr>
      <w:r>
        <w:rPr>
          <w:rFonts w:ascii="Arial" w:cs="Arial" w:eastAsia="Arial" w:hAnsi="Arial"/>
          <w:sz w:val="21"/>
          <w:szCs w:val="21"/>
          <w:color w:val="auto"/>
        </w:rPr>
        <w:t>At June 30, 2009, the weighted average interest rate on the total short-term debt outstanding at Sempra Energy, including commercial paper borrowings classified as long-term, was 1.36 percent.</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LONG-TERM DEBT</w:t>
      </w:r>
    </w:p>
    <w:p>
      <w:pPr>
        <w:spacing w:after="0" w:line="104" w:lineRule="exact"/>
        <w:rPr>
          <w:sz w:val="20"/>
          <w:szCs w:val="20"/>
          <w:color w:val="auto"/>
        </w:rPr>
      </w:pPr>
    </w:p>
    <w:p>
      <w:pPr>
        <w:ind w:right="340"/>
        <w:spacing w:after="0" w:line="270" w:lineRule="auto"/>
        <w:rPr>
          <w:sz w:val="20"/>
          <w:szCs w:val="20"/>
          <w:color w:val="auto"/>
        </w:rPr>
      </w:pPr>
      <w:r>
        <w:rPr>
          <w:rFonts w:ascii="Arial" w:cs="Arial" w:eastAsia="Arial" w:hAnsi="Arial"/>
          <w:sz w:val="21"/>
          <w:szCs w:val="21"/>
          <w:color w:val="auto"/>
        </w:rPr>
        <w:t>In May 2009, Sempra Energy publicly offered and sold $750 million of 6.50-percent notes, maturing in 2016. Also in May 2009, SDG&amp;E publicly offered and sold $300 million of 6.00-percent first mortgage bonds, maturing in 2039.</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INTEREST-RATE SWAPS</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We discuss our fair value interest-rate swaps and interest-rate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60" w:lineRule="exact"/>
        <w:rPr>
          <w:sz w:val="20"/>
          <w:szCs w:val="20"/>
          <w:color w:val="auto"/>
        </w:rPr>
      </w:pPr>
    </w:p>
    <w:p>
      <w:pPr>
        <w:jc w:val="both"/>
        <w:ind w:right="220"/>
        <w:spacing w:after="0" w:line="255" w:lineRule="auto"/>
        <w:rPr>
          <w:sz w:val="20"/>
          <w:szCs w:val="20"/>
          <w:color w:val="auto"/>
        </w:rPr>
      </w:pPr>
      <w:r>
        <w:rPr>
          <w:rFonts w:ascii="Arial" w:cs="Arial" w:eastAsia="Arial" w:hAnsi="Arial"/>
          <w:sz w:val="21"/>
          <w:szCs w:val="21"/>
          <w:color w:val="auto"/>
        </w:rPr>
        <w:t>On January 1, 2009, we adopted SFAS 161 as discussed in Note 2. The adoption of SFAS 161 had no impact on our consolidated financial statements, but requires additional disclosures, which we provide below. Comparative disclosures for periods prior to the date of adoption are not required and we have not provided them.</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use derivative instruments primarily to manage exposures arising in the normal course of business. These exposures are commodity market risk and benchmark interest rate risk.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ectPr>
          <w:pgSz w:w="11900" w:h="16838" w:orient="portrait"/>
          <w:cols w:equalWidth="0" w:num="1">
            <w:col w:w="11400"/>
          </w:cols>
          <w:pgMar w:left="240" w:top="118" w:right="259" w:bottom="1440" w:gutter="0" w:footer="0" w:header="0"/>
        </w:sectPr>
      </w:pPr>
    </w:p>
    <w:bookmarkStart w:id="42" w:name="page43"/>
    <w:bookmarkEnd w:id="42"/>
    <w:p>
      <w:pPr>
        <w:ind w:right="60"/>
        <w:spacing w:after="0" w:line="285" w:lineRule="auto"/>
        <w:rPr>
          <w:sz w:val="20"/>
          <w:szCs w:val="20"/>
          <w:color w:val="auto"/>
        </w:rPr>
      </w:pPr>
      <w:r>
        <w:rPr>
          <w:rFonts w:ascii="Arial" w:cs="Arial" w:eastAsia="Arial" w:hAnsi="Arial"/>
          <w:sz w:val="19"/>
          <w:szCs w:val="19"/>
          <w:color w:val="auto"/>
        </w:rPr>
        <w:t>All derivatives are recorded at fair value on the Condensed Consolidated Balance Sheets. Each derivative is designated as 1) a cash flow hedge, 2) a fair value hedge, or 3) is undesignated. Depending on the applicability of hedge accounting and, for the Sempra Utilities, the requirement to pass impacts through to customers, the impact of derivative instruments may be offset in other comprehensive income (cash flow hedge), on the balance sheet (fair value hedges and regulatory offsets), or recognized in earnings.</w:t>
      </w:r>
    </w:p>
    <w:p>
      <w:pPr>
        <w:spacing w:after="0" w:line="262" w:lineRule="exact"/>
        <w:rPr>
          <w:sz w:val="20"/>
          <w:szCs w:val="20"/>
          <w:color w:val="auto"/>
        </w:rPr>
      </w:pPr>
    </w:p>
    <w:p>
      <w:pPr>
        <w:ind w:right="200"/>
        <w:spacing w:after="0" w:line="324" w:lineRule="auto"/>
        <w:rPr>
          <w:sz w:val="20"/>
          <w:szCs w:val="20"/>
          <w:color w:val="auto"/>
        </w:rPr>
      </w:pPr>
      <w:r>
        <w:rPr>
          <w:rFonts w:ascii="Arial" w:cs="Arial" w:eastAsia="Arial" w:hAnsi="Arial"/>
          <w:sz w:val="19"/>
          <w:szCs w:val="19"/>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HEDGE ACCOUNTING</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We may designate a derivative as a cash flow hedging instrument if it effectively converts anticipated revenues or expenses to a fixed dollar amount. We may utilize cash flow hedge accounting for derivative commodity instruments and interest-rate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25" w:lineRule="exact"/>
        <w:rPr>
          <w:sz w:val="20"/>
          <w:szCs w:val="20"/>
          <w:color w:val="auto"/>
        </w:rPr>
      </w:pPr>
    </w:p>
    <w:p>
      <w:pPr>
        <w:jc w:val="both"/>
        <w:ind w:right="160"/>
        <w:spacing w:after="0" w:line="266" w:lineRule="auto"/>
        <w:rPr>
          <w:sz w:val="20"/>
          <w:szCs w:val="20"/>
          <w:color w:val="auto"/>
        </w:rPr>
      </w:pPr>
      <w:r>
        <w:rPr>
          <w:rFonts w:ascii="Arial" w:cs="Arial" w:eastAsia="Arial" w:hAnsi="Arial"/>
          <w:sz w:val="20"/>
          <w:szCs w:val="20"/>
          <w:color w:val="auto"/>
        </w:rPr>
        <w:t>We may designate an interest-rate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ENERGY DERIVATIVES</w:t>
      </w:r>
    </w:p>
    <w:p>
      <w:pPr>
        <w:spacing w:after="0" w:line="91" w:lineRule="exact"/>
        <w:rPr>
          <w:sz w:val="20"/>
          <w:szCs w:val="20"/>
          <w:color w:val="auto"/>
        </w:rPr>
      </w:pPr>
    </w:p>
    <w:p>
      <w:pPr>
        <w:ind w:right="280"/>
        <w:spacing w:after="0" w:line="255" w:lineRule="auto"/>
        <w:rPr>
          <w:sz w:val="20"/>
          <w:szCs w:val="20"/>
          <w:color w:val="auto"/>
        </w:rPr>
      </w:pPr>
      <w:r>
        <w:rPr>
          <w:rFonts w:ascii="Arial" w:cs="Arial" w:eastAsia="Arial" w:hAnsi="Arial"/>
          <w:sz w:val="21"/>
          <w:szCs w:val="21"/>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34" w:lineRule="exact"/>
        <w:rPr>
          <w:sz w:val="20"/>
          <w:szCs w:val="20"/>
          <w:color w:val="auto"/>
        </w:rPr>
      </w:pPr>
    </w:p>
    <w:p>
      <w:pPr>
        <w:ind w:left="180" w:right="1360" w:hanging="173"/>
        <w:spacing w:after="0" w:line="271"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Sempra Utilities use natural gas energy derivatives, on their customers' behalf, with the objective of managing price risk and lowering natural gas costs. These derivatives include fixed price natural gas positions, options and basis risk instruments. These transaction programs are governed by risk management and transacting activity plans that have been filed with and approved by the California Public Utilities Commission (CPUC). Natural gas derivative activities are recorded as commodity costs. Commodity costs are offset by regulatory account balances and are recovered in rates. Net commodity cost impacts on the Condensed Consolidated Statements of Operations are reflected in Cost of Electric Fuel and Purchased Power or in Cost of Natural Gas.</w:t>
      </w:r>
    </w:p>
    <w:p>
      <w:pPr>
        <w:spacing w:after="0" w:line="1" w:lineRule="exact"/>
        <w:rPr>
          <w:rFonts w:ascii="Arial" w:cs="Arial" w:eastAsia="Arial" w:hAnsi="Arial"/>
          <w:sz w:val="19"/>
          <w:szCs w:val="19"/>
          <w:color w:val="auto"/>
        </w:rPr>
      </w:pPr>
    </w:p>
    <w:p>
      <w:pPr>
        <w:ind w:left="180" w:right="1420" w:hanging="173"/>
        <w:spacing w:after="0" w:line="247"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SDG&amp;E is allocated and may purchase congestion revenue rights (CRRs), which serve to reduce electricity transmission risk on behalf of customers. Unrealized gains and losses do not impact earnings, as they are offset by regulatory account balances. Realized gains and losses associated with CRRs are recorded in Cost of Electric Fuel and Purchased Power on the Condensed Consolidated Statements of Operations. We provide further discussion in Note 8.</w:t>
      </w:r>
    </w:p>
    <w:p>
      <w:pPr>
        <w:spacing w:after="0" w:line="3" w:lineRule="exact"/>
        <w:rPr>
          <w:rFonts w:ascii="Arial" w:cs="Arial" w:eastAsia="Arial" w:hAnsi="Arial"/>
          <w:sz w:val="21"/>
          <w:szCs w:val="21"/>
          <w:color w:val="auto"/>
        </w:rPr>
      </w:pPr>
    </w:p>
    <w:p>
      <w:pPr>
        <w:ind w:left="180" w:right="1280" w:hanging="173"/>
        <w:spacing w:after="0" w:line="247" w:lineRule="auto"/>
        <w:tabs>
          <w:tab w:leader="none" w:pos="1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Sempra Generation uses natural gas and electricity instruments to market and optimize the earnings of their power generation fleet. Gains and losses associated with these derivatives are recognized in Sempra Global and Parent Revenues or in Cost of Natural Gas, Electric Fuel and Purchased Power on the Condensed Consolidated Statements of Operations.</w:t>
      </w:r>
    </w:p>
    <w:p>
      <w:pPr>
        <w:spacing w:after="0" w:line="2" w:lineRule="exact"/>
        <w:rPr>
          <w:rFonts w:ascii="Arial" w:cs="Arial" w:eastAsia="Arial" w:hAnsi="Arial"/>
          <w:sz w:val="21"/>
          <w:szCs w:val="21"/>
          <w:color w:val="auto"/>
        </w:rPr>
      </w:pPr>
    </w:p>
    <w:p>
      <w:pPr>
        <w:jc w:val="both"/>
        <w:ind w:left="180" w:right="1500" w:hanging="173"/>
        <w:spacing w:after="0" w:line="282" w:lineRule="auto"/>
        <w:tabs>
          <w:tab w:leader="none" w:pos="1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Sempra LNG and Sempra Pipelines &amp; Storage use natural gas derivatives to market and optimize the earnings of the liquefied natural gas (LNG) business and Sempra Pipelines &amp; Storage's natural gas storage and transportation assets. Sempra LNG derivatives are undesignated and their impact on earnings is recorded in Sempra Global and Parent Revenues on the Condensed Consolidated Statements of Operations. Sempra Pipelines &amp; Storage</w:t>
      </w:r>
    </w:p>
    <w:p>
      <w:pPr>
        <w:sectPr>
          <w:pgSz w:w="11900" w:h="16838" w:orient="portrait"/>
          <w:cols w:equalWidth="0" w:num="1">
            <w:col w:w="11380"/>
          </w:cols>
          <w:pgMar w:left="240" w:top="118" w:right="279" w:bottom="1440" w:gutter="0" w:footer="0" w:header="0"/>
        </w:sectPr>
      </w:pPr>
    </w:p>
    <w:bookmarkStart w:id="43" w:name="page44"/>
    <w:bookmarkEnd w:id="43"/>
    <w:p>
      <w:pPr>
        <w:ind w:left="180" w:right="1400"/>
        <w:spacing w:after="0" w:line="255" w:lineRule="auto"/>
        <w:rPr>
          <w:sz w:val="20"/>
          <w:szCs w:val="20"/>
          <w:color w:val="auto"/>
        </w:rPr>
      </w:pPr>
      <w:r>
        <w:rPr>
          <w:rFonts w:ascii="Arial" w:cs="Arial" w:eastAsia="Arial" w:hAnsi="Arial"/>
          <w:sz w:val="21"/>
          <w:szCs w:val="21"/>
          <w:color w:val="auto"/>
        </w:rPr>
        <w:t>derivatives are either designated as cash flow hedges or are undesignated. The impacts on earnings are recognized in Sempra Global and Parent Revenues or in Cost of Natural Gas, Electric Fuel and Purchased Power on the Condensed Consolidated Statements of Operations.</w:t>
      </w:r>
    </w:p>
    <w:p>
      <w:pPr>
        <w:spacing w:after="0" w:line="88"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From time to time, our various businesses, including the Sempra Utilities, may use other energy derivatives to hedge exposures such as the price of vehicle fuel. These derivatives are typically accounted for as cash flow hedges.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We summarize net commodity derivative volumes as of June 30, 2009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Business Unit and Commodity</w:t>
            </w:r>
          </w:p>
        </w:tc>
        <w:tc>
          <w:tcPr>
            <w:tcW w:w="244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color w:val="auto"/>
              </w:rPr>
              <w:t>Volume</w:t>
            </w:r>
          </w:p>
        </w:tc>
      </w:tr>
      <w:tr>
        <w:trPr>
          <w:trHeight w:val="221"/>
        </w:trPr>
        <w:tc>
          <w:tcPr>
            <w:tcW w:w="362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440" w:type="dxa"/>
            <w:vAlign w:val="bottom"/>
          </w:tcPr>
          <w:p>
            <w:pPr>
              <w:spacing w:after="0"/>
              <w:rPr>
                <w:sz w:val="19"/>
                <w:szCs w:val="19"/>
                <w:color w:val="auto"/>
              </w:rPr>
            </w:pPr>
          </w:p>
        </w:tc>
      </w:tr>
      <w:tr>
        <w:trPr>
          <w:trHeight w:val="228"/>
        </w:trPr>
        <w:tc>
          <w:tcPr>
            <w:tcW w:w="3620" w:type="dxa"/>
            <w:vAlign w:val="bottom"/>
          </w:tcPr>
          <w:p>
            <w:pPr>
              <w:ind w:left="400"/>
              <w:spacing w:after="0"/>
              <w:rPr>
                <w:sz w:val="20"/>
                <w:szCs w:val="20"/>
                <w:color w:val="auto"/>
              </w:rPr>
            </w:pPr>
            <w:r>
              <w:rPr>
                <w:rFonts w:ascii="Arial" w:cs="Arial" w:eastAsia="Arial" w:hAnsi="Arial"/>
                <w:sz w:val="16"/>
                <w:szCs w:val="16"/>
                <w:color w:val="auto"/>
              </w:rPr>
              <w:t>SDG&amp;E:</w:t>
            </w:r>
          </w:p>
        </w:tc>
        <w:tc>
          <w:tcPr>
            <w:tcW w:w="2440" w:type="dxa"/>
            <w:vAlign w:val="bottom"/>
          </w:tcPr>
          <w:p>
            <w:pPr>
              <w:spacing w:after="0"/>
              <w:rPr>
                <w:sz w:val="19"/>
                <w:szCs w:val="19"/>
                <w:color w:val="auto"/>
              </w:rPr>
            </w:pPr>
          </w:p>
        </w:tc>
      </w:tr>
      <w:tr>
        <w:trPr>
          <w:trHeight w:val="214"/>
        </w:trPr>
        <w:tc>
          <w:tcPr>
            <w:tcW w:w="3620" w:type="dxa"/>
            <w:vAlign w:val="bottom"/>
          </w:tcPr>
          <w:p>
            <w:pPr>
              <w:ind w:left="680"/>
              <w:spacing w:after="0"/>
              <w:rPr>
                <w:sz w:val="20"/>
                <w:szCs w:val="20"/>
                <w:color w:val="auto"/>
              </w:rPr>
            </w:pPr>
            <w:r>
              <w:rPr>
                <w:rFonts w:ascii="Arial" w:cs="Arial" w:eastAsia="Arial" w:hAnsi="Arial"/>
                <w:sz w:val="16"/>
                <w:szCs w:val="16"/>
                <w:color w:val="auto"/>
              </w:rPr>
              <w:t>Natural gas</w:t>
            </w:r>
          </w:p>
        </w:tc>
        <w:tc>
          <w:tcPr>
            <w:tcW w:w="2440" w:type="dxa"/>
            <w:vAlign w:val="bottom"/>
          </w:tcPr>
          <w:p>
            <w:pPr>
              <w:jc w:val="right"/>
              <w:ind w:right="361"/>
              <w:spacing w:after="0"/>
              <w:rPr>
                <w:sz w:val="20"/>
                <w:szCs w:val="20"/>
                <w:color w:val="auto"/>
              </w:rPr>
            </w:pPr>
            <w:r>
              <w:rPr>
                <w:rFonts w:ascii="Arial" w:cs="Arial" w:eastAsia="Arial" w:hAnsi="Arial"/>
                <w:sz w:val="16"/>
                <w:szCs w:val="16"/>
                <w:color w:val="auto"/>
              </w:rPr>
              <w:t>26 million MMBtu *</w:t>
            </w:r>
          </w:p>
        </w:tc>
      </w:tr>
      <w:tr>
        <w:trPr>
          <w:trHeight w:val="214"/>
        </w:trPr>
        <w:tc>
          <w:tcPr>
            <w:tcW w:w="3620" w:type="dxa"/>
            <w:vAlign w:val="bottom"/>
          </w:tcPr>
          <w:p>
            <w:pPr>
              <w:ind w:left="680"/>
              <w:spacing w:after="0"/>
              <w:rPr>
                <w:sz w:val="20"/>
                <w:szCs w:val="20"/>
                <w:color w:val="auto"/>
              </w:rPr>
            </w:pPr>
            <w:r>
              <w:rPr>
                <w:rFonts w:ascii="Arial" w:cs="Arial" w:eastAsia="Arial" w:hAnsi="Arial"/>
                <w:sz w:val="16"/>
                <w:szCs w:val="16"/>
                <w:color w:val="auto"/>
              </w:rPr>
              <w:t>Congestion revenue rights</w:t>
            </w:r>
          </w:p>
        </w:tc>
        <w:tc>
          <w:tcPr>
            <w:tcW w:w="2440" w:type="dxa"/>
            <w:vAlign w:val="bottom"/>
          </w:tcPr>
          <w:p>
            <w:pPr>
              <w:jc w:val="right"/>
              <w:ind w:right="301"/>
              <w:spacing w:after="0"/>
              <w:rPr>
                <w:sz w:val="20"/>
                <w:szCs w:val="20"/>
                <w:color w:val="auto"/>
              </w:rPr>
            </w:pPr>
            <w:r>
              <w:rPr>
                <w:rFonts w:ascii="Arial" w:cs="Arial" w:eastAsia="Arial" w:hAnsi="Arial"/>
                <w:sz w:val="16"/>
                <w:szCs w:val="16"/>
                <w:color w:val="auto"/>
              </w:rPr>
              <w:t>11 million MWh **</w:t>
            </w:r>
          </w:p>
        </w:tc>
      </w:tr>
      <w:tr>
        <w:trPr>
          <w:trHeight w:val="228"/>
        </w:trPr>
        <w:tc>
          <w:tcPr>
            <w:tcW w:w="3620" w:type="dxa"/>
            <w:vAlign w:val="bottom"/>
          </w:tcPr>
          <w:p>
            <w:pPr>
              <w:ind w:left="400"/>
              <w:spacing w:after="0"/>
              <w:rPr>
                <w:sz w:val="20"/>
                <w:szCs w:val="20"/>
                <w:color w:val="auto"/>
              </w:rPr>
            </w:pPr>
            <w:r>
              <w:rPr>
                <w:rFonts w:ascii="Arial" w:cs="Arial" w:eastAsia="Arial" w:hAnsi="Arial"/>
                <w:sz w:val="16"/>
                <w:szCs w:val="16"/>
                <w:color w:val="auto"/>
              </w:rPr>
              <w:t>SoCalGas - natural gas</w:t>
            </w:r>
          </w:p>
        </w:tc>
        <w:tc>
          <w:tcPr>
            <w:tcW w:w="2440" w:type="dxa"/>
            <w:vAlign w:val="bottom"/>
          </w:tcPr>
          <w:p>
            <w:pPr>
              <w:jc w:val="right"/>
              <w:ind w:right="461"/>
              <w:spacing w:after="0"/>
              <w:rPr>
                <w:sz w:val="20"/>
                <w:szCs w:val="20"/>
                <w:color w:val="auto"/>
              </w:rPr>
            </w:pPr>
            <w:r>
              <w:rPr>
                <w:rFonts w:ascii="Arial" w:cs="Arial" w:eastAsia="Arial" w:hAnsi="Arial"/>
                <w:sz w:val="16"/>
                <w:szCs w:val="16"/>
                <w:color w:val="auto"/>
              </w:rPr>
              <w:t>3 million MMBtu</w:t>
            </w:r>
          </w:p>
        </w:tc>
      </w:tr>
      <w:tr>
        <w:trPr>
          <w:trHeight w:val="455"/>
        </w:trPr>
        <w:tc>
          <w:tcPr>
            <w:tcW w:w="362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2440" w:type="dxa"/>
            <w:vAlign w:val="bottom"/>
          </w:tcPr>
          <w:p>
            <w:pPr>
              <w:spacing w:after="0"/>
              <w:rPr>
                <w:sz w:val="24"/>
                <w:szCs w:val="24"/>
                <w:color w:val="auto"/>
              </w:rPr>
            </w:pPr>
          </w:p>
        </w:tc>
      </w:tr>
      <w:tr>
        <w:trPr>
          <w:trHeight w:val="228"/>
        </w:trPr>
        <w:tc>
          <w:tcPr>
            <w:tcW w:w="3620" w:type="dxa"/>
            <w:vAlign w:val="bottom"/>
          </w:tcPr>
          <w:p>
            <w:pPr>
              <w:ind w:left="400"/>
              <w:spacing w:after="0"/>
              <w:rPr>
                <w:sz w:val="20"/>
                <w:szCs w:val="20"/>
                <w:color w:val="auto"/>
              </w:rPr>
            </w:pPr>
            <w:r>
              <w:rPr>
                <w:rFonts w:ascii="Arial" w:cs="Arial" w:eastAsia="Arial" w:hAnsi="Arial"/>
                <w:sz w:val="16"/>
                <w:szCs w:val="16"/>
                <w:color w:val="auto"/>
              </w:rPr>
              <w:t>Sempra LNG - natural gas</w:t>
            </w:r>
          </w:p>
        </w:tc>
        <w:tc>
          <w:tcPr>
            <w:tcW w:w="2440" w:type="dxa"/>
            <w:vAlign w:val="bottom"/>
          </w:tcPr>
          <w:p>
            <w:pPr>
              <w:jc w:val="right"/>
              <w:ind w:right="461"/>
              <w:spacing w:after="0"/>
              <w:rPr>
                <w:sz w:val="20"/>
                <w:szCs w:val="20"/>
                <w:color w:val="auto"/>
              </w:rPr>
            </w:pPr>
            <w:r>
              <w:rPr>
                <w:rFonts w:ascii="Arial" w:cs="Arial" w:eastAsia="Arial" w:hAnsi="Arial"/>
                <w:sz w:val="16"/>
                <w:szCs w:val="16"/>
                <w:color w:val="auto"/>
              </w:rPr>
              <w:t>9 million MMBtu</w:t>
            </w:r>
          </w:p>
        </w:tc>
      </w:tr>
      <w:tr>
        <w:trPr>
          <w:trHeight w:val="231"/>
        </w:trPr>
        <w:tc>
          <w:tcPr>
            <w:tcW w:w="3620" w:type="dxa"/>
            <w:vAlign w:val="bottom"/>
          </w:tcPr>
          <w:p>
            <w:pPr>
              <w:ind w:left="400"/>
              <w:spacing w:after="0"/>
              <w:rPr>
                <w:sz w:val="20"/>
                <w:szCs w:val="20"/>
                <w:color w:val="auto"/>
              </w:rPr>
            </w:pPr>
            <w:r>
              <w:rPr>
                <w:rFonts w:ascii="Arial" w:cs="Arial" w:eastAsia="Arial" w:hAnsi="Arial"/>
                <w:sz w:val="16"/>
                <w:szCs w:val="16"/>
                <w:color w:val="auto"/>
              </w:rPr>
              <w:t>Sempra Generation - electric power</w:t>
            </w:r>
          </w:p>
        </w:tc>
        <w:tc>
          <w:tcPr>
            <w:tcW w:w="2440" w:type="dxa"/>
            <w:vAlign w:val="bottom"/>
          </w:tcPr>
          <w:p>
            <w:pPr>
              <w:jc w:val="right"/>
              <w:ind w:right="461"/>
              <w:spacing w:after="0"/>
              <w:rPr>
                <w:sz w:val="20"/>
                <w:szCs w:val="20"/>
                <w:color w:val="auto"/>
              </w:rPr>
            </w:pPr>
            <w:r>
              <w:rPr>
                <w:rFonts w:ascii="Arial" w:cs="Arial" w:eastAsia="Arial" w:hAnsi="Arial"/>
                <w:sz w:val="16"/>
                <w:szCs w:val="16"/>
                <w:color w:val="auto"/>
              </w:rPr>
              <w:t>1 million MWh</w:t>
            </w:r>
          </w:p>
        </w:tc>
      </w:tr>
      <w:tr>
        <w:trPr>
          <w:trHeight w:val="83"/>
        </w:trPr>
        <w:tc>
          <w:tcPr>
            <w:tcW w:w="3620" w:type="dxa"/>
            <w:vAlign w:val="bottom"/>
            <w:shd w:val="clear" w:color="auto" w:fill="DFDFDF"/>
          </w:tcPr>
          <w:p>
            <w:pPr>
              <w:spacing w:after="0"/>
              <w:rPr>
                <w:sz w:val="7"/>
                <w:szCs w:val="7"/>
                <w:color w:val="auto"/>
              </w:rPr>
            </w:pPr>
          </w:p>
        </w:tc>
        <w:tc>
          <w:tcPr>
            <w:tcW w:w="244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60" w:right="8260" w:firstLine="53"/>
        <w:spacing w:after="0" w:line="335" w:lineRule="auto"/>
        <w:tabs>
          <w:tab w:leader="none" w:pos="398"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Million British thermal units (of natural gas) </w:t>
      </w:r>
      <w:r>
        <w:rPr>
          <w:rFonts w:ascii="Arial" w:cs="Arial" w:eastAsia="Arial" w:hAnsi="Arial"/>
          <w:sz w:val="14"/>
          <w:szCs w:val="14"/>
          <w:color w:val="auto"/>
        </w:rPr>
        <w:t xml:space="preserve">** </w:t>
      </w:r>
      <w:r>
        <w:rPr>
          <w:rFonts w:ascii="Arial" w:cs="Arial" w:eastAsia="Arial" w:hAnsi="Arial"/>
          <w:sz w:val="14"/>
          <w:szCs w:val="14"/>
          <w:i w:val="1"/>
          <w:iCs w:val="1"/>
          <w:color w:val="auto"/>
        </w:rPr>
        <w:t>Megawatt hours</w:t>
      </w:r>
    </w:p>
    <w:p>
      <w:pPr>
        <w:spacing w:after="0" w:line="168"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In addition to the amounts noted above, we frequently use commodity derivatives to manage risks associated with the physical locations of our customers, assets and other contractual obligations, such as natural gas purchases.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INTEREST-RATE DERIVATIVES</w:t>
      </w:r>
    </w:p>
    <w:p>
      <w:pPr>
        <w:spacing w:after="0" w:line="91"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We are exposed to interest-rate changes primarily as a result of our current and expected use of financing. We periodically enter into interest-rate derivative agreements intended to moderate our exposure to interest-rate changes and to lower our overall costs of borrowing. We utilize fixed-to-floating interest-rate swaps, which are typically designated as fair-value hedges, as a means to achieve our targeted level of variable-rate debt as a percent of total debt. In addition, we utilize floating-to-fixed interest-rate derivatives, which are typically designated as cash flow hedges, to lock in interest rates in anticipation of future financings.</w:t>
      </w:r>
    </w:p>
    <w:p>
      <w:pPr>
        <w:spacing w:after="0" w:line="29"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Interest-rate derivatives are utilized by the Sempra Utilities as well as by other Sempra Energy subsidiaries. Although the Sempra Utilities generally recover borrowing costs in rates over time, and the use of interest-rate derivatives is subject to certain regulatory constraints, the impact of interest-rate derivatives may not be recovered from customers as timely as described above with regard to natural gas derivatives. Accordingly, interest-rate derivatives are generally accounted for as hedges at the Sempra Utilities, as at the rest of Sempra Energy's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The net notional amount of our interest-rate derivatives as of June 30, 2009 was: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762"/>
              <w:spacing w:after="0"/>
              <w:rPr>
                <w:sz w:val="20"/>
                <w:szCs w:val="20"/>
                <w:color w:val="auto"/>
              </w:rPr>
            </w:pPr>
            <w:r>
              <w:rPr>
                <w:rFonts w:ascii="Arial" w:cs="Arial" w:eastAsia="Arial" w:hAnsi="Arial"/>
                <w:sz w:val="14"/>
                <w:szCs w:val="14"/>
                <w:color w:val="auto"/>
              </w:rPr>
              <w:t>June 30, 2009</w:t>
            </w:r>
          </w:p>
        </w:tc>
      </w:tr>
      <w:tr>
        <w:trPr>
          <w:trHeight w:val="19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Notional Debt</w:t>
            </w: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Maturities</w:t>
            </w:r>
          </w:p>
        </w:tc>
      </w:tr>
      <w:tr>
        <w:trPr>
          <w:trHeight w:val="208"/>
        </w:trPr>
        <w:tc>
          <w:tcPr>
            <w:tcW w:w="37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52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215-355</w:t>
            </w:r>
          </w:p>
        </w:tc>
        <w:tc>
          <w:tcPr>
            <w:tcW w:w="1080" w:type="dxa"/>
            <w:vAlign w:val="bottom"/>
          </w:tcPr>
          <w:p>
            <w:pPr>
              <w:jc w:val="right"/>
              <w:spacing w:after="0"/>
              <w:rPr>
                <w:sz w:val="20"/>
                <w:szCs w:val="20"/>
                <w:color w:val="auto"/>
              </w:rPr>
            </w:pPr>
            <w:r>
              <w:rPr>
                <w:rFonts w:ascii="Arial" w:cs="Arial" w:eastAsia="Arial" w:hAnsi="Arial"/>
                <w:sz w:val="16"/>
                <w:szCs w:val="16"/>
                <w:color w:val="auto"/>
              </w:rPr>
              <w:t>2009-2019</w:t>
            </w:r>
          </w:p>
        </w:tc>
      </w:tr>
      <w:tr>
        <w:trPr>
          <w:trHeight w:val="214"/>
        </w:trPr>
        <w:tc>
          <w:tcPr>
            <w:tcW w:w="3760" w:type="dxa"/>
            <w:vAlign w:val="bottom"/>
          </w:tcPr>
          <w:p>
            <w:pPr>
              <w:ind w:left="20"/>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285-375</w:t>
            </w:r>
          </w:p>
        </w:tc>
        <w:tc>
          <w:tcPr>
            <w:tcW w:w="108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7"/>
        </w:trPr>
        <w:tc>
          <w:tcPr>
            <w:tcW w:w="3760" w:type="dxa"/>
            <w:vAlign w:val="bottom"/>
          </w:tcPr>
          <w:p>
            <w:pPr>
              <w:ind w:left="2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150</w:t>
            </w:r>
          </w:p>
        </w:tc>
        <w:tc>
          <w:tcPr>
            <w:tcW w:w="108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83"/>
        </w:trPr>
        <w:tc>
          <w:tcPr>
            <w:tcW w:w="3760" w:type="dxa"/>
            <w:vAlign w:val="bottom"/>
            <w:shd w:val="clear" w:color="auto" w:fill="DFDFDF"/>
          </w:tcPr>
          <w:p>
            <w:pPr>
              <w:spacing w:after="0"/>
              <w:rPr>
                <w:sz w:val="7"/>
                <w:szCs w:val="7"/>
                <w:color w:val="auto"/>
              </w:rPr>
            </w:pPr>
          </w:p>
        </w:tc>
        <w:tc>
          <w:tcPr>
            <w:tcW w:w="52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Otay Mesa VIE. All of SDG&amp;E's interest-rate derivatives relate to Otay Mesa VIE.</w:t>
      </w:r>
    </w:p>
    <w:p>
      <w:pPr>
        <w:sectPr>
          <w:pgSz w:w="11900" w:h="16838" w:orient="portrait"/>
          <w:cols w:equalWidth="0" w:num="1">
            <w:col w:w="11360"/>
          </w:cols>
          <w:pgMar w:left="240" w:top="118" w:right="299" w:bottom="1440" w:gutter="0" w:footer="0" w:header="0"/>
        </w:sectPr>
      </w:pPr>
    </w:p>
    <w:bookmarkStart w:id="44" w:name="page45"/>
    <w:bookmarkEnd w:id="44"/>
    <w:p>
      <w:pPr>
        <w:spacing w:after="0"/>
        <w:rPr>
          <w:sz w:val="20"/>
          <w:szCs w:val="20"/>
          <w:color w:val="auto"/>
        </w:rPr>
      </w:pPr>
      <w:r>
        <w:rPr>
          <w:rFonts w:ascii="Arial" w:cs="Arial" w:eastAsia="Arial" w:hAnsi="Arial"/>
          <w:sz w:val="21"/>
          <w:szCs w:val="21"/>
          <w:b w:val="1"/>
          <w:bCs w:val="1"/>
          <w:color w:val="auto"/>
        </w:rPr>
        <w:t>FINANCIAL STATEMENT PRESENTATION</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following table provides the fair values of derivative instruments, without consideration of margin deposits held or posted, on the Condensed Consolidated Balance Sheets 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5911850" cy="272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1850" cy="272415"/>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4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 2009</w:t>
            </w: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89"/>
        </w:trPr>
        <w:tc>
          <w:tcPr>
            <w:tcW w:w="4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Deferred</w:t>
            </w:r>
          </w:p>
        </w:tc>
      </w:tr>
      <w:tr>
        <w:trPr>
          <w:trHeight w:val="201"/>
        </w:trPr>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credits</w:t>
            </w:r>
          </w:p>
        </w:tc>
      </w:tr>
      <w:tr>
        <w:trPr>
          <w:trHeight w:val="201"/>
        </w:trPr>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and other</w:t>
            </w:r>
          </w:p>
        </w:tc>
      </w:tr>
      <w:tr>
        <w:trPr>
          <w:trHeight w:val="201"/>
        </w:trPr>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liabilities:</w:t>
            </w:r>
          </w:p>
        </w:tc>
      </w:tr>
      <w:tr>
        <w:trPr>
          <w:trHeight w:val="201"/>
        </w:trPr>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7"/>
                <w:szCs w:val="17"/>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7"/>
                <w:szCs w:val="17"/>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Fixed-price</w:t>
            </w:r>
          </w:p>
        </w:tc>
      </w:tr>
      <w:tr>
        <w:trPr>
          <w:trHeight w:val="201"/>
        </w:trPr>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7"/>
                <w:szCs w:val="17"/>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7"/>
                <w:szCs w:val="17"/>
                <w:color w:val="auto"/>
              </w:rPr>
            </w:pPr>
          </w:p>
        </w:tc>
        <w:tc>
          <w:tcPr>
            <w:tcW w:w="940" w:type="dxa"/>
            <w:vAlign w:val="bottom"/>
          </w:tcPr>
          <w:p>
            <w:pPr>
              <w:jc w:val="center"/>
              <w:ind w:right="162"/>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contracts</w:t>
            </w:r>
          </w:p>
        </w:tc>
      </w:tr>
      <w:tr>
        <w:trPr>
          <w:trHeight w:val="201"/>
        </w:trPr>
        <w:tc>
          <w:tcPr>
            <w:tcW w:w="4100" w:type="dxa"/>
            <w:vAlign w:val="bottom"/>
          </w:tcPr>
          <w:p>
            <w:pPr>
              <w:ind w:left="20"/>
              <w:spacing w:after="0"/>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7"/>
                <w:szCs w:val="17"/>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7"/>
                <w:szCs w:val="17"/>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7"/>
                <w:szCs w:val="17"/>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and other</w:t>
            </w:r>
          </w:p>
        </w:tc>
      </w:tr>
      <w:tr>
        <w:trPr>
          <w:trHeight w:val="207"/>
        </w:trPr>
        <w:tc>
          <w:tcPr>
            <w:tcW w:w="41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under SFAS 133</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derivatives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Sundry</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derivatives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derivatives</w:t>
            </w: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10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35</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00" w:type="dxa"/>
            <w:vAlign w:val="bottom"/>
          </w:tcPr>
          <w:p>
            <w:pPr>
              <w:ind w:left="26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4100" w:type="dxa"/>
            <w:vAlign w:val="bottom"/>
          </w:tcPr>
          <w:p>
            <w:pPr>
              <w:ind w:left="26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41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410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41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417"/>
        </w:trPr>
        <w:tc>
          <w:tcPr>
            <w:tcW w:w="4100" w:type="dxa"/>
            <w:vAlign w:val="bottom"/>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1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under SFAS 133</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410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21</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8"/>
        </w:trPr>
        <w:tc>
          <w:tcPr>
            <w:tcW w:w="4100" w:type="dxa"/>
            <w:vAlign w:val="bottom"/>
          </w:tcPr>
          <w:p>
            <w:pPr>
              <w:ind w:left="26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52</w:t>
            </w:r>
          </w:p>
        </w:tc>
        <w:tc>
          <w:tcPr>
            <w:tcW w:w="340" w:type="dxa"/>
            <w:vAlign w:val="bottom"/>
          </w:tcPr>
          <w:p>
            <w:pPr>
              <w:spacing w:after="0"/>
              <w:rPr>
                <w:sz w:val="19"/>
                <w:szCs w:val="19"/>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28"/>
        </w:trPr>
        <w:tc>
          <w:tcPr>
            <w:tcW w:w="4100" w:type="dxa"/>
            <w:vAlign w:val="bottom"/>
          </w:tcPr>
          <w:p>
            <w:pPr>
              <w:ind w:left="4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8"/>
        </w:trPr>
        <w:tc>
          <w:tcPr>
            <w:tcW w:w="4100" w:type="dxa"/>
            <w:vAlign w:val="bottom"/>
          </w:tcPr>
          <w:p>
            <w:pPr>
              <w:ind w:left="26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9"/>
                <w:szCs w:val="19"/>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4100" w:type="dxa"/>
            <w:vAlign w:val="bottom"/>
          </w:tcPr>
          <w:p>
            <w:pPr>
              <w:ind w:left="4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4100" w:type="dxa"/>
            <w:vAlign w:val="bottom"/>
          </w:tcPr>
          <w:p>
            <w:pPr>
              <w:ind w:left="26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54</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83"/>
        </w:trPr>
        <w:tc>
          <w:tcPr>
            <w:tcW w:w="41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410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8"/>
        </w:trPr>
        <w:tc>
          <w:tcPr>
            <w:tcW w:w="4100" w:type="dxa"/>
            <w:vAlign w:val="bottom"/>
          </w:tcPr>
          <w:p>
            <w:pPr>
              <w:ind w:left="26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9"/>
                <w:szCs w:val="19"/>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4100" w:type="dxa"/>
            <w:vAlign w:val="bottom"/>
          </w:tcPr>
          <w:p>
            <w:pPr>
              <w:ind w:left="4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4100" w:type="dxa"/>
            <w:vAlign w:val="bottom"/>
          </w:tcPr>
          <w:p>
            <w:pPr>
              <w:ind w:left="26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83"/>
        </w:trPr>
        <w:tc>
          <w:tcPr>
            <w:tcW w:w="41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4100" w:type="dxa"/>
            <w:vAlign w:val="bottom"/>
          </w:tcPr>
          <w:p>
            <w:pPr>
              <w:ind w:left="26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100" w:type="dxa"/>
            <w:vAlign w:val="bottom"/>
          </w:tcPr>
          <w:p>
            <w:pPr>
              <w:ind w:left="4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100" w:type="dxa"/>
            <w:vAlign w:val="bottom"/>
          </w:tcPr>
          <w:p>
            <w:pPr>
              <w:ind w:left="26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410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60" w:hanging="239"/>
        <w:spacing w:after="0"/>
        <w:tabs>
          <w:tab w:leader="none" w:pos="26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1160"/>
          </w:cols>
          <w:pgMar w:left="240" w:top="1165" w:right="49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The effects of derivative instruments designated as hedges under SFAS 133 on the Condensed Consolidated Statements of</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Operations for the three and six months ended June 30,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5580380" cy="272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0380" cy="272415"/>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2920" w:type="dxa"/>
            <w:vAlign w:val="bottom"/>
          </w:tcPr>
          <w:p>
            <w:pPr>
              <w:spacing w:after="0"/>
              <w:rPr>
                <w:sz w:val="17"/>
                <w:szCs w:val="17"/>
                <w:color w:val="auto"/>
              </w:rPr>
            </w:pPr>
          </w:p>
        </w:tc>
        <w:tc>
          <w:tcPr>
            <w:tcW w:w="2800" w:type="dxa"/>
            <w:vAlign w:val="bottom"/>
            <w:tcBorders>
              <w:bottom w:val="single" w:sz="8" w:color="auto"/>
            </w:tcBorders>
            <w:gridSpan w:val="3"/>
          </w:tcPr>
          <w:p>
            <w:pPr>
              <w:jc w:val="center"/>
              <w:ind w:left="66"/>
              <w:spacing w:after="0"/>
              <w:rPr>
                <w:sz w:val="20"/>
                <w:szCs w:val="20"/>
                <w:color w:val="auto"/>
              </w:rPr>
            </w:pPr>
            <w:r>
              <w:rPr>
                <w:rFonts w:ascii="Arial" w:cs="Arial" w:eastAsia="Arial" w:hAnsi="Arial"/>
                <w:sz w:val="14"/>
                <w:szCs w:val="14"/>
                <w:color w:val="auto"/>
              </w:rPr>
              <w:t>Three months ended June 30, 2009</w:t>
            </w:r>
          </w:p>
        </w:tc>
        <w:tc>
          <w:tcPr>
            <w:tcW w:w="3080" w:type="dxa"/>
            <w:vAlign w:val="bottom"/>
            <w:tcBorders>
              <w:bottom w:val="single" w:sz="8" w:color="auto"/>
            </w:tcBorders>
            <w:gridSpan w:val="3"/>
          </w:tcPr>
          <w:p>
            <w:pPr>
              <w:jc w:val="center"/>
              <w:ind w:left="67"/>
              <w:spacing w:after="0"/>
              <w:rPr>
                <w:sz w:val="20"/>
                <w:szCs w:val="20"/>
                <w:color w:val="auto"/>
              </w:rPr>
            </w:pPr>
            <w:r>
              <w:rPr>
                <w:rFonts w:ascii="Arial" w:cs="Arial" w:eastAsia="Arial" w:hAnsi="Arial"/>
                <w:sz w:val="14"/>
                <w:szCs w:val="14"/>
                <w:color w:val="auto"/>
              </w:rPr>
              <w:t>Six months ended June 30, 2009</w:t>
            </w:r>
          </w:p>
        </w:tc>
      </w:tr>
      <w:tr>
        <w:trPr>
          <w:trHeight w:val="189"/>
        </w:trPr>
        <w:tc>
          <w:tcPr>
            <w:tcW w:w="2920" w:type="dxa"/>
            <w:vAlign w:val="bottom"/>
          </w:tcPr>
          <w:p>
            <w:pPr>
              <w:spacing w:after="0"/>
              <w:rPr>
                <w:sz w:val="16"/>
                <w:szCs w:val="16"/>
                <w:color w:val="auto"/>
              </w:rPr>
            </w:pPr>
          </w:p>
        </w:tc>
        <w:tc>
          <w:tcPr>
            <w:tcW w:w="2260" w:type="dxa"/>
            <w:vAlign w:val="bottom"/>
            <w:gridSpan w:val="2"/>
          </w:tcPr>
          <w:p>
            <w:pPr>
              <w:jc w:val="center"/>
              <w:ind w:left="606"/>
              <w:spacing w:after="0"/>
              <w:rPr>
                <w:sz w:val="20"/>
                <w:szCs w:val="20"/>
                <w:color w:val="auto"/>
              </w:rPr>
            </w:pPr>
            <w:r>
              <w:rPr>
                <w:rFonts w:ascii="Arial" w:cs="Arial" w:eastAsia="Arial" w:hAnsi="Arial"/>
                <w:sz w:val="14"/>
                <w:szCs w:val="14"/>
                <w:color w:val="auto"/>
              </w:rPr>
              <w:t>Gain (loss) on derivative</w:t>
            </w:r>
          </w:p>
        </w:tc>
        <w:tc>
          <w:tcPr>
            <w:tcW w:w="540" w:type="dxa"/>
            <w:vAlign w:val="bottom"/>
          </w:tcPr>
          <w:p>
            <w:pPr>
              <w:spacing w:after="0"/>
              <w:rPr>
                <w:sz w:val="16"/>
                <w:szCs w:val="16"/>
                <w:color w:val="auto"/>
              </w:rPr>
            </w:pPr>
          </w:p>
        </w:tc>
        <w:tc>
          <w:tcPr>
            <w:tcW w:w="2400" w:type="dxa"/>
            <w:vAlign w:val="bottom"/>
            <w:gridSpan w:val="2"/>
          </w:tcPr>
          <w:p>
            <w:pPr>
              <w:jc w:val="center"/>
              <w:ind w:left="747"/>
              <w:spacing w:after="0"/>
              <w:rPr>
                <w:sz w:val="20"/>
                <w:szCs w:val="20"/>
                <w:color w:val="auto"/>
              </w:rPr>
            </w:pPr>
            <w:r>
              <w:rPr>
                <w:rFonts w:ascii="Arial" w:cs="Arial" w:eastAsia="Arial" w:hAnsi="Arial"/>
                <w:sz w:val="14"/>
                <w:szCs w:val="14"/>
                <w:color w:val="auto"/>
              </w:rPr>
              <w:t>Gain (loss) on derivative</w:t>
            </w:r>
          </w:p>
        </w:tc>
        <w:tc>
          <w:tcPr>
            <w:tcW w:w="680" w:type="dxa"/>
            <w:vAlign w:val="bottom"/>
          </w:tcPr>
          <w:p>
            <w:pPr>
              <w:spacing w:after="0"/>
              <w:rPr>
                <w:sz w:val="16"/>
                <w:szCs w:val="16"/>
                <w:color w:val="auto"/>
              </w:rPr>
            </w:pPr>
          </w:p>
        </w:tc>
      </w:tr>
      <w:tr>
        <w:trPr>
          <w:trHeight w:val="207"/>
        </w:trPr>
        <w:tc>
          <w:tcPr>
            <w:tcW w:w="2920" w:type="dxa"/>
            <w:vAlign w:val="bottom"/>
          </w:tcPr>
          <w:p>
            <w:pPr>
              <w:spacing w:after="0"/>
              <w:rPr>
                <w:sz w:val="17"/>
                <w:szCs w:val="17"/>
                <w:color w:val="auto"/>
              </w:rPr>
            </w:pPr>
          </w:p>
        </w:tc>
        <w:tc>
          <w:tcPr>
            <w:tcW w:w="2260" w:type="dxa"/>
            <w:vAlign w:val="bottom"/>
            <w:tcBorders>
              <w:bottom w:val="single" w:sz="8" w:color="auto"/>
            </w:tcBorders>
            <w:gridSpan w:val="2"/>
          </w:tcPr>
          <w:p>
            <w:pPr>
              <w:jc w:val="center"/>
              <w:ind w:left="626"/>
              <w:spacing w:after="0"/>
              <w:rPr>
                <w:sz w:val="20"/>
                <w:szCs w:val="20"/>
                <w:color w:val="auto"/>
              </w:rPr>
            </w:pPr>
            <w:r>
              <w:rPr>
                <w:rFonts w:ascii="Arial" w:cs="Arial" w:eastAsia="Arial" w:hAnsi="Arial"/>
                <w:sz w:val="14"/>
                <w:szCs w:val="14"/>
                <w:color w:val="auto"/>
              </w:rPr>
              <w:t>recognized in earnings</w:t>
            </w:r>
          </w:p>
        </w:tc>
        <w:tc>
          <w:tcPr>
            <w:tcW w:w="5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jc w:val="center"/>
              <w:ind w:left="747"/>
              <w:spacing w:after="0"/>
              <w:rPr>
                <w:sz w:val="20"/>
                <w:szCs w:val="20"/>
                <w:color w:val="auto"/>
              </w:rPr>
            </w:pPr>
            <w:r>
              <w:rPr>
                <w:rFonts w:ascii="Arial" w:cs="Arial" w:eastAsia="Arial" w:hAnsi="Arial"/>
                <w:sz w:val="14"/>
                <w:szCs w:val="14"/>
                <w:color w:val="auto"/>
              </w:rPr>
              <w:t>recognized in earnings</w:t>
            </w:r>
          </w:p>
        </w:tc>
        <w:tc>
          <w:tcPr>
            <w:tcW w:w="680" w:type="dxa"/>
            <w:vAlign w:val="bottom"/>
            <w:tcBorders>
              <w:bottom w:val="single" w:sz="8" w:color="auto"/>
            </w:tcBorders>
          </w:tcPr>
          <w:p>
            <w:pPr>
              <w:spacing w:after="0"/>
              <w:rPr>
                <w:sz w:val="17"/>
                <w:szCs w:val="17"/>
                <w:color w:val="auto"/>
              </w:rPr>
            </w:pPr>
          </w:p>
        </w:tc>
      </w:tr>
      <w:tr>
        <w:trPr>
          <w:trHeight w:val="194"/>
        </w:trPr>
        <w:tc>
          <w:tcPr>
            <w:tcW w:w="2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Location</w:t>
            </w: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Amount</w:t>
            </w:r>
          </w:p>
        </w:tc>
        <w:tc>
          <w:tcPr>
            <w:tcW w:w="18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color w:val="auto"/>
              </w:rPr>
              <w:t>Location</w:t>
            </w: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w w:val="99"/>
              </w:rPr>
              <w:t>Amount</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92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16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340" w:type="dxa"/>
            <w:vAlign w:val="bottom"/>
            <w:gridSpan w:val="2"/>
          </w:tcPr>
          <w:p>
            <w:pPr>
              <w:jc w:val="right"/>
              <w:ind w:right="267"/>
              <w:spacing w:after="0"/>
              <w:rPr>
                <w:sz w:val="20"/>
                <w:szCs w:val="20"/>
                <w:color w:val="auto"/>
              </w:rPr>
            </w:pPr>
            <w:r>
              <w:rPr>
                <w:rFonts w:ascii="Arial" w:cs="Arial" w:eastAsia="Arial" w:hAnsi="Arial"/>
                <w:sz w:val="16"/>
                <w:szCs w:val="16"/>
                <w:color w:val="auto"/>
              </w:rPr>
              <w:t>(1) Other Income, Net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3"/>
        </w:trPr>
        <w:tc>
          <w:tcPr>
            <w:tcW w:w="2920" w:type="dxa"/>
            <w:vAlign w:val="bottom"/>
            <w:shd w:val="clear" w:color="auto" w:fill="DFDFDF"/>
          </w:tcPr>
          <w:p>
            <w:pPr>
              <w:spacing w:after="0"/>
              <w:rPr>
                <w:sz w:val="7"/>
                <w:szCs w:val="7"/>
                <w:color w:val="auto"/>
              </w:rPr>
            </w:pPr>
          </w:p>
        </w:tc>
        <w:tc>
          <w:tcPr>
            <w:tcW w:w="168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180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680" w:type="dxa"/>
            <w:vAlign w:val="bottom"/>
            <w:shd w:val="clear" w:color="auto" w:fill="DFDFDF"/>
          </w:tcPr>
          <w:p>
            <w:pPr>
              <w:spacing w:after="0"/>
              <w:rPr>
                <w:sz w:val="7"/>
                <w:szCs w:val="7"/>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920" w:type="dxa"/>
            <w:vAlign w:val="bottom"/>
          </w:tcPr>
          <w:p>
            <w:pPr>
              <w:ind w:left="300"/>
              <w:spacing w:after="0"/>
              <w:rPr>
                <w:sz w:val="20"/>
                <w:szCs w:val="20"/>
                <w:color w:val="auto"/>
              </w:rPr>
            </w:pPr>
            <w:r>
              <w:rPr>
                <w:rFonts w:ascii="Arial" w:cs="Arial" w:eastAsia="Arial" w:hAnsi="Arial"/>
                <w:sz w:val="16"/>
                <w:szCs w:val="16"/>
                <w:color w:val="auto"/>
              </w:rPr>
              <w:t>Interest-rate instrument*</w:t>
            </w:r>
          </w:p>
        </w:tc>
        <w:tc>
          <w:tcPr>
            <w:tcW w:w="16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800" w:type="dxa"/>
            <w:vAlign w:val="bottom"/>
          </w:tcPr>
          <w:p>
            <w:pPr>
              <w:jc w:val="right"/>
              <w:ind w:right="267"/>
              <w:spacing w:after="0"/>
              <w:rPr>
                <w:sz w:val="20"/>
                <w:szCs w:val="20"/>
                <w:color w:val="auto"/>
              </w:rPr>
            </w:pPr>
            <w:r>
              <w:rPr>
                <w:rFonts w:ascii="Arial" w:cs="Arial" w:eastAsia="Arial" w:hAnsi="Arial"/>
                <w:sz w:val="16"/>
                <w:szCs w:val="16"/>
                <w:color w:val="auto"/>
              </w:rPr>
              <w:t>- Other Income, Net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3"/>
        </w:trPr>
        <w:tc>
          <w:tcPr>
            <w:tcW w:w="2920" w:type="dxa"/>
            <w:vAlign w:val="bottom"/>
            <w:shd w:val="clear" w:color="auto" w:fill="DFDFDF"/>
          </w:tcPr>
          <w:p>
            <w:pPr>
              <w:spacing w:after="0"/>
              <w:rPr>
                <w:sz w:val="7"/>
                <w:szCs w:val="7"/>
                <w:color w:val="auto"/>
              </w:rPr>
            </w:pPr>
          </w:p>
        </w:tc>
        <w:tc>
          <w:tcPr>
            <w:tcW w:w="168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180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6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right="1700" w:hanging="80"/>
        <w:spacing w:after="0" w:line="295" w:lineRule="auto"/>
        <w:tabs>
          <w:tab w:leader="none" w:pos="3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interest-rate swap agreements are exactly offset by changes in the fair value of the underlying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5588635" cy="272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8635" cy="27241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Three months ended June 30, 2009</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89"/>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Amount of pretax</w:t>
            </w:r>
          </w:p>
        </w:tc>
        <w:tc>
          <w:tcPr>
            <w:tcW w:w="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gain (loss)</w:t>
            </w:r>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on derivative</w:t>
            </w:r>
          </w:p>
        </w:tc>
        <w:tc>
          <w:tcPr>
            <w:tcW w:w="280" w:type="dxa"/>
            <w:vAlign w:val="bottom"/>
          </w:tcPr>
          <w:p>
            <w:pPr>
              <w:spacing w:after="0"/>
              <w:rPr>
                <w:sz w:val="17"/>
                <w:szCs w:val="17"/>
                <w:color w:val="auto"/>
              </w:rPr>
            </w:pPr>
          </w:p>
        </w:tc>
        <w:tc>
          <w:tcPr>
            <w:tcW w:w="3020" w:type="dxa"/>
            <w:vAlign w:val="bottom"/>
            <w:gridSpan w:val="2"/>
          </w:tcPr>
          <w:p>
            <w:pPr>
              <w:ind w:left="840"/>
              <w:spacing w:after="0"/>
              <w:rPr>
                <w:sz w:val="20"/>
                <w:szCs w:val="20"/>
                <w:color w:val="auto"/>
              </w:rPr>
            </w:pPr>
            <w:r>
              <w:rPr>
                <w:rFonts w:ascii="Arial" w:cs="Arial" w:eastAsia="Arial" w:hAnsi="Arial"/>
                <w:sz w:val="14"/>
                <w:szCs w:val="14"/>
                <w:color w:val="auto"/>
              </w:rPr>
              <w:t>Gain (loss) reclassified from AOCI</w:t>
            </w:r>
          </w:p>
        </w:tc>
        <w:tc>
          <w:tcPr>
            <w:tcW w:w="820" w:type="dxa"/>
            <w:vAlign w:val="bottom"/>
          </w:tcPr>
          <w:p>
            <w:pPr>
              <w:spacing w:after="0"/>
              <w:rPr>
                <w:sz w:val="17"/>
                <w:szCs w:val="17"/>
                <w:color w:val="auto"/>
              </w:rPr>
            </w:pPr>
          </w:p>
        </w:tc>
      </w:tr>
      <w:tr>
        <w:trPr>
          <w:trHeight w:val="213"/>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recognized in OCI</w:t>
            </w:r>
          </w:p>
        </w:tc>
        <w:tc>
          <w:tcPr>
            <w:tcW w:w="280" w:type="dxa"/>
            <w:vAlign w:val="bottom"/>
          </w:tcPr>
          <w:p>
            <w:pPr>
              <w:spacing w:after="0"/>
              <w:rPr>
                <w:sz w:val="18"/>
                <w:szCs w:val="18"/>
                <w:color w:val="auto"/>
              </w:rPr>
            </w:pPr>
          </w:p>
        </w:tc>
        <w:tc>
          <w:tcPr>
            <w:tcW w:w="302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rPr>
              <w:t>into earnings (effective portion)</w:t>
            </w:r>
          </w:p>
        </w:tc>
        <w:tc>
          <w:tcPr>
            <w:tcW w:w="820" w:type="dxa"/>
            <w:vAlign w:val="bottom"/>
            <w:tcBorders>
              <w:bottom w:val="single" w:sz="8" w:color="auto"/>
            </w:tcBorders>
          </w:tcPr>
          <w:p>
            <w:pPr>
              <w:spacing w:after="0"/>
              <w:rPr>
                <w:sz w:val="18"/>
                <w:szCs w:val="18"/>
                <w:color w:val="auto"/>
              </w:rPr>
            </w:pPr>
          </w:p>
        </w:tc>
      </w:tr>
      <w:tr>
        <w:trPr>
          <w:trHeight w:val="189"/>
        </w:trPr>
        <w:tc>
          <w:tcPr>
            <w:tcW w:w="2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 portion)</w:t>
            </w: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Location</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Revenues: Sempra Global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and Parent</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2960" w:type="dxa"/>
            <w:vAlign w:val="bottom"/>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2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2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44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r>
        <w:trPr>
          <w:trHeight w:val="409"/>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Six months ended June 30, 2009</w:t>
            </w: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9"/>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Amount of pretax</w:t>
            </w:r>
          </w:p>
        </w:tc>
        <w:tc>
          <w:tcPr>
            <w:tcW w:w="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gain (loss)</w:t>
            </w:r>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on derivative</w:t>
            </w:r>
          </w:p>
        </w:tc>
        <w:tc>
          <w:tcPr>
            <w:tcW w:w="280" w:type="dxa"/>
            <w:vAlign w:val="bottom"/>
          </w:tcPr>
          <w:p>
            <w:pPr>
              <w:spacing w:after="0"/>
              <w:rPr>
                <w:sz w:val="17"/>
                <w:szCs w:val="17"/>
                <w:color w:val="auto"/>
              </w:rPr>
            </w:pPr>
          </w:p>
        </w:tc>
        <w:tc>
          <w:tcPr>
            <w:tcW w:w="3020" w:type="dxa"/>
            <w:vAlign w:val="bottom"/>
            <w:gridSpan w:val="2"/>
          </w:tcPr>
          <w:p>
            <w:pPr>
              <w:ind w:left="840"/>
              <w:spacing w:after="0"/>
              <w:rPr>
                <w:sz w:val="20"/>
                <w:szCs w:val="20"/>
                <w:color w:val="auto"/>
              </w:rPr>
            </w:pPr>
            <w:r>
              <w:rPr>
                <w:rFonts w:ascii="Arial" w:cs="Arial" w:eastAsia="Arial" w:hAnsi="Arial"/>
                <w:sz w:val="14"/>
                <w:szCs w:val="14"/>
                <w:color w:val="auto"/>
              </w:rPr>
              <w:t>Gain (loss) reclassified from AOCI</w:t>
            </w:r>
          </w:p>
        </w:tc>
        <w:tc>
          <w:tcPr>
            <w:tcW w:w="820" w:type="dxa"/>
            <w:vAlign w:val="bottom"/>
          </w:tcPr>
          <w:p>
            <w:pPr>
              <w:spacing w:after="0"/>
              <w:rPr>
                <w:sz w:val="17"/>
                <w:szCs w:val="17"/>
                <w:color w:val="auto"/>
              </w:rPr>
            </w:pPr>
          </w:p>
        </w:tc>
      </w:tr>
      <w:tr>
        <w:trPr>
          <w:trHeight w:val="213"/>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recognized in OCI</w:t>
            </w:r>
          </w:p>
        </w:tc>
        <w:tc>
          <w:tcPr>
            <w:tcW w:w="280" w:type="dxa"/>
            <w:vAlign w:val="bottom"/>
          </w:tcPr>
          <w:p>
            <w:pPr>
              <w:spacing w:after="0"/>
              <w:rPr>
                <w:sz w:val="18"/>
                <w:szCs w:val="18"/>
                <w:color w:val="auto"/>
              </w:rPr>
            </w:pPr>
          </w:p>
        </w:tc>
        <w:tc>
          <w:tcPr>
            <w:tcW w:w="302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rPr>
              <w:t>into earnings (effective portion)</w:t>
            </w:r>
          </w:p>
        </w:tc>
        <w:tc>
          <w:tcPr>
            <w:tcW w:w="820" w:type="dxa"/>
            <w:vAlign w:val="bottom"/>
            <w:tcBorders>
              <w:bottom w:val="single" w:sz="8" w:color="auto"/>
            </w:tcBorders>
          </w:tcPr>
          <w:p>
            <w:pPr>
              <w:spacing w:after="0"/>
              <w:rPr>
                <w:sz w:val="18"/>
                <w:szCs w:val="18"/>
                <w:color w:val="auto"/>
              </w:rPr>
            </w:pPr>
          </w:p>
        </w:tc>
      </w:tr>
      <w:tr>
        <w:trPr>
          <w:trHeight w:val="189"/>
        </w:trPr>
        <w:tc>
          <w:tcPr>
            <w:tcW w:w="2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 portion)</w:t>
            </w: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Location</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Revenues: Sempra Global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and Parent</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Equity Earnings: RBS</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Sempra Commodities LLP</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5"/>
        </w:trPr>
        <w:tc>
          <w:tcPr>
            <w:tcW w:w="2960" w:type="dxa"/>
            <w:vAlign w:val="bottom"/>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2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2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44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44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bl>
    <w:p>
      <w:pPr>
        <w:sectPr>
          <w:pgSz w:w="11900" w:h="16838" w:orient="portrait"/>
          <w:cols w:equalWidth="0" w:num="1">
            <w:col w:w="10480"/>
          </w:cols>
          <w:pgMar w:left="240" w:top="118" w:right="1179" w:bottom="1440" w:gutter="0" w:footer="0" w:header="0"/>
        </w:sectPr>
      </w:pPr>
    </w:p>
    <w:bookmarkStart w:id="46" w:name="page47"/>
    <w:bookmarkEnd w:id="46"/>
    <w:p>
      <w:pPr>
        <w:ind w:right="100"/>
        <w:spacing w:after="0" w:line="246" w:lineRule="auto"/>
        <w:rPr>
          <w:sz w:val="20"/>
          <w:szCs w:val="20"/>
          <w:color w:val="auto"/>
        </w:rPr>
      </w:pPr>
      <w:r>
        <w:rPr>
          <w:rFonts w:ascii="Arial" w:cs="Arial" w:eastAsia="Arial" w:hAnsi="Arial"/>
          <w:sz w:val="21"/>
          <w:szCs w:val="21"/>
          <w:color w:val="auto"/>
        </w:rPr>
        <w:t>Sempra Energy expects that losses of $9 million, which are net of income tax benefit, that are currently recorded in Accumulated Other Comprehensive Income (Loss) related to these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 For all forecasted transactions, the maximum term over which we are hedging exposures to the variability of cash flows, excluding interest payments on variable-rate debt, is 36 months at June 30, 2009.</w:t>
      </w:r>
    </w:p>
    <w:p>
      <w:pPr>
        <w:spacing w:after="0" w:line="56" w:lineRule="exact"/>
        <w:rPr>
          <w:sz w:val="20"/>
          <w:szCs w:val="20"/>
          <w:color w:val="auto"/>
        </w:rPr>
      </w:pPr>
    </w:p>
    <w:p>
      <w:pPr>
        <w:jc w:val="both"/>
        <w:ind w:right="200"/>
        <w:spacing w:after="0" w:line="255" w:lineRule="auto"/>
        <w:rPr>
          <w:sz w:val="20"/>
          <w:szCs w:val="20"/>
          <w:color w:val="auto"/>
        </w:rPr>
      </w:pPr>
      <w:r>
        <w:rPr>
          <w:rFonts w:ascii="Arial" w:cs="Arial" w:eastAsia="Arial" w:hAnsi="Arial"/>
          <w:sz w:val="21"/>
          <w:szCs w:val="21"/>
          <w:color w:val="auto"/>
        </w:rPr>
        <w:t>SDG&amp;E and SoCalGas expect that gains of a negligible amount and losses of $3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pacing w:after="0" w:line="195" w:lineRule="exact"/>
        <w:rPr>
          <w:sz w:val="20"/>
          <w:szCs w:val="20"/>
          <w:color w:val="auto"/>
        </w:rPr>
      </w:pPr>
    </w:p>
    <w:p>
      <w:pPr>
        <w:ind w:right="700"/>
        <w:spacing w:after="0" w:line="270" w:lineRule="auto"/>
        <w:rPr>
          <w:sz w:val="20"/>
          <w:szCs w:val="20"/>
          <w:color w:val="auto"/>
        </w:rPr>
      </w:pPr>
      <w:r>
        <w:rPr>
          <w:rFonts w:ascii="Arial" w:cs="Arial" w:eastAsia="Arial" w:hAnsi="Arial"/>
          <w:sz w:val="21"/>
          <w:szCs w:val="21"/>
          <w:color w:val="auto"/>
        </w:rPr>
        <w:t>The effects of derivative instruments not designated as hedging instruments under SFAS 133 on the Condensed Consolidated Statements of Operations for the three and six months ended June 30,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5861050" cy="272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1050" cy="27241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7"/>
        </w:trPr>
        <w:tc>
          <w:tcPr>
            <w:tcW w:w="3000" w:type="dxa"/>
            <w:vAlign w:val="bottom"/>
          </w:tcPr>
          <w:p>
            <w:pPr>
              <w:spacing w:after="0"/>
              <w:rPr>
                <w:sz w:val="17"/>
                <w:szCs w:val="17"/>
                <w:color w:val="auto"/>
              </w:rPr>
            </w:pPr>
          </w:p>
        </w:tc>
        <w:tc>
          <w:tcPr>
            <w:tcW w:w="4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Gain (loss) on derivative recognized in earnings</w:t>
            </w: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89"/>
        </w:trPr>
        <w:tc>
          <w:tcPr>
            <w:tcW w:w="30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Three months ended</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Six months ended</w:t>
            </w:r>
          </w:p>
        </w:tc>
      </w:tr>
      <w:tr>
        <w:trPr>
          <w:trHeight w:val="180"/>
        </w:trPr>
        <w:tc>
          <w:tcPr>
            <w:tcW w:w="30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Location</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June 30, 2009</w:t>
            </w:r>
          </w:p>
        </w:tc>
        <w:tc>
          <w:tcPr>
            <w:tcW w:w="1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June 30, 2009</w:t>
            </w: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300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31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not subject</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
              <w:spacing w:after="0"/>
              <w:rPr>
                <w:sz w:val="20"/>
                <w:szCs w:val="20"/>
                <w:color w:val="auto"/>
              </w:rPr>
            </w:pPr>
            <w:r>
              <w:rPr>
                <w:rFonts w:ascii="Arial" w:cs="Arial" w:eastAsia="Arial" w:hAnsi="Arial"/>
                <w:sz w:val="16"/>
                <w:szCs w:val="16"/>
                <w:color w:val="auto"/>
              </w:rPr>
              <w:t>Revenues: Sempra Global and Parent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not subject</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340" w:type="dxa"/>
            <w:vAlign w:val="bottom"/>
          </w:tcPr>
          <w:p>
            <w:pPr>
              <w:spacing w:after="0"/>
              <w:rPr>
                <w:sz w:val="18"/>
                <w:szCs w:val="18"/>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Electric Fuel</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0"/>
              <w:spacing w:after="0"/>
              <w:rPr>
                <w:sz w:val="20"/>
                <w:szCs w:val="20"/>
                <w:color w:val="auto"/>
              </w:rPr>
            </w:pPr>
            <w:r>
              <w:rPr>
                <w:rFonts w:ascii="Arial" w:cs="Arial" w:eastAsia="Arial" w:hAnsi="Arial"/>
                <w:sz w:val="16"/>
                <w:szCs w:val="16"/>
                <w:color w:val="auto"/>
              </w:rPr>
              <w:t>and Purchased Power</w:t>
            </w:r>
          </w:p>
        </w:tc>
        <w:tc>
          <w:tcPr>
            <w:tcW w:w="340" w:type="dxa"/>
            <w:vAlign w:val="bottom"/>
          </w:tcPr>
          <w:p>
            <w:pPr>
              <w:spacing w:after="0"/>
              <w:rPr>
                <w:sz w:val="18"/>
                <w:szCs w:val="18"/>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43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3000" w:type="dxa"/>
            <w:vAlign w:val="bottom"/>
          </w:tcPr>
          <w:p>
            <w:pPr>
              <w:ind w:left="300"/>
              <w:spacing w:after="0"/>
              <w:rPr>
                <w:sz w:val="20"/>
                <w:szCs w:val="20"/>
                <w:color w:val="auto"/>
              </w:rPr>
            </w:pPr>
            <w:r>
              <w:rPr>
                <w:rFonts w:ascii="Arial" w:cs="Arial" w:eastAsia="Arial" w:hAnsi="Arial"/>
                <w:sz w:val="16"/>
                <w:szCs w:val="16"/>
                <w:color w:val="auto"/>
              </w:rPr>
              <w:t>Total</w:t>
            </w:r>
          </w:p>
        </w:tc>
        <w:tc>
          <w:tcPr>
            <w:tcW w:w="3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62</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83"/>
        </w:trPr>
        <w:tc>
          <w:tcPr>
            <w:tcW w:w="3000" w:type="dxa"/>
            <w:vAlign w:val="bottom"/>
            <w:shd w:val="clear" w:color="auto" w:fill="000000"/>
          </w:tcPr>
          <w:p>
            <w:pPr>
              <w:spacing w:after="0"/>
              <w:rPr>
                <w:sz w:val="7"/>
                <w:szCs w:val="7"/>
                <w:color w:val="auto"/>
              </w:rPr>
            </w:pPr>
          </w:p>
        </w:tc>
        <w:tc>
          <w:tcPr>
            <w:tcW w:w="31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3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300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31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Electric Fuel</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0"/>
              <w:spacing w:after="0"/>
              <w:rPr>
                <w:sz w:val="20"/>
                <w:szCs w:val="20"/>
                <w:color w:val="auto"/>
              </w:rPr>
            </w:pPr>
            <w:r>
              <w:rPr>
                <w:rFonts w:ascii="Arial" w:cs="Arial" w:eastAsia="Arial" w:hAnsi="Arial"/>
                <w:sz w:val="16"/>
                <w:szCs w:val="16"/>
                <w:color w:val="auto"/>
              </w:rPr>
              <w:t>and Purchased Power</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w:t>
            </w: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3000" w:type="dxa"/>
            <w:vAlign w:val="bottom"/>
          </w:tcPr>
          <w:p>
            <w:pPr>
              <w:ind w:left="300"/>
              <w:spacing w:after="0"/>
              <w:rPr>
                <w:sz w:val="20"/>
                <w:szCs w:val="20"/>
                <w:color w:val="auto"/>
              </w:rPr>
            </w:pPr>
            <w:r>
              <w:rPr>
                <w:rFonts w:ascii="Arial" w:cs="Arial" w:eastAsia="Arial" w:hAnsi="Arial"/>
                <w:sz w:val="16"/>
                <w:szCs w:val="16"/>
                <w:color w:val="auto"/>
              </w:rPr>
              <w:t>Total</w:t>
            </w:r>
          </w:p>
        </w:tc>
        <w:tc>
          <w:tcPr>
            <w:tcW w:w="3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83"/>
        </w:trPr>
        <w:tc>
          <w:tcPr>
            <w:tcW w:w="3000" w:type="dxa"/>
            <w:vAlign w:val="bottom"/>
            <w:shd w:val="clear" w:color="auto" w:fill="000000"/>
          </w:tcPr>
          <w:p>
            <w:pPr>
              <w:spacing w:after="0"/>
              <w:rPr>
                <w:sz w:val="7"/>
                <w:szCs w:val="7"/>
                <w:color w:val="auto"/>
              </w:rPr>
            </w:pPr>
          </w:p>
        </w:tc>
        <w:tc>
          <w:tcPr>
            <w:tcW w:w="31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3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7"/>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3000" w:type="dxa"/>
            <w:vAlign w:val="bottom"/>
            <w:shd w:val="clear" w:color="auto" w:fill="DFDFDF"/>
          </w:tcPr>
          <w:p>
            <w:pPr>
              <w:spacing w:after="0"/>
              <w:rPr>
                <w:sz w:val="7"/>
                <w:szCs w:val="7"/>
                <w:color w:val="auto"/>
              </w:rPr>
            </w:pPr>
          </w:p>
        </w:tc>
        <w:tc>
          <w:tcPr>
            <w:tcW w:w="316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c>
          <w:tcPr>
            <w:tcW w:w="1340" w:type="dxa"/>
            <w:vAlign w:val="bottom"/>
            <w:shd w:val="clear" w:color="auto" w:fill="DFDFDF"/>
          </w:tcPr>
          <w:p>
            <w:pPr>
              <w:spacing w:after="0"/>
              <w:rPr>
                <w:sz w:val="7"/>
                <w:szCs w:val="7"/>
                <w:color w:val="auto"/>
              </w:rPr>
            </w:pPr>
          </w:p>
        </w:tc>
        <w:tc>
          <w:tcPr>
            <w:tcW w:w="660" w:type="dxa"/>
            <w:vAlign w:val="bottom"/>
            <w:shd w:val="clear" w:color="auto" w:fill="DFDFDF"/>
          </w:tcPr>
          <w:p>
            <w:pPr>
              <w:spacing w:after="0"/>
              <w:rPr>
                <w:sz w:val="7"/>
                <w:szCs w:val="7"/>
                <w:color w:val="auto"/>
              </w:rPr>
            </w:pPr>
          </w:p>
        </w:tc>
        <w:tc>
          <w:tcPr>
            <w:tcW w:w="74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hanging="80"/>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Related to Otay Mesa VIE. Sempra Energy Consolidated also includes additional instruments.</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CONTINGENT FEATURES</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For Sempra Energy and SDG&amp;E, certain of our derivative instruments contain credit limits which vary depending upon our credit rating. Generally, these provisions, if applicable, may reduce our credit limit if a specified credit rating agency reduces our rating. In certain cases, if our credit rating were to fall below investment grade, the counterparty to these derivative liability instruments could request immediate payment or demand immediate and ongoing full collateralization.</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For Sempra Energy, the total fair value of this group of derivative instruments in a net liability position at June 30, 2009 is</w:t>
      </w:r>
    </w:p>
    <w:p>
      <w:pPr>
        <w:spacing w:after="0" w:line="18" w:lineRule="exact"/>
        <w:rPr>
          <w:sz w:val="20"/>
          <w:szCs w:val="20"/>
          <w:color w:val="auto"/>
        </w:rPr>
      </w:pPr>
    </w:p>
    <w:p>
      <w:pPr>
        <w:ind w:right="440"/>
        <w:spacing w:after="0" w:line="253" w:lineRule="auto"/>
        <w:rPr>
          <w:sz w:val="20"/>
          <w:szCs w:val="20"/>
          <w:color w:val="auto"/>
        </w:rPr>
      </w:pPr>
      <w:r>
        <w:rPr>
          <w:rFonts w:ascii="Arial" w:cs="Arial" w:eastAsia="Arial" w:hAnsi="Arial"/>
          <w:sz w:val="21"/>
          <w:szCs w:val="21"/>
          <w:color w:val="auto"/>
        </w:rPr>
        <w:t>$21 million. The aggregate fair value of assets that are already posted as collateral at June 30, 2009 is $6 million. As of June 30, 2009, if both the credit ratings of Sempra Energy and SDG&amp;E were reduced below</w:t>
      </w:r>
    </w:p>
    <w:p>
      <w:pPr>
        <w:sectPr>
          <w:pgSz w:w="11900" w:h="16838" w:orient="portrait"/>
          <w:cols w:equalWidth="0" w:num="1">
            <w:col w:w="11420"/>
          </w:cols>
          <w:pgMar w:left="240" w:top="118" w:right="239" w:bottom="1440" w:gutter="0" w:footer="0" w:header="0"/>
        </w:sectPr>
      </w:pPr>
    </w:p>
    <w:bookmarkStart w:id="47" w:name="page48"/>
    <w:bookmarkEnd w:id="47"/>
    <w:p>
      <w:pPr>
        <w:ind w:right="20"/>
        <w:spacing w:after="0" w:line="271" w:lineRule="auto"/>
        <w:rPr>
          <w:sz w:val="20"/>
          <w:szCs w:val="20"/>
          <w:color w:val="auto"/>
        </w:rPr>
      </w:pPr>
      <w:r>
        <w:rPr>
          <w:rFonts w:ascii="Arial" w:cs="Arial" w:eastAsia="Arial" w:hAnsi="Arial"/>
          <w:sz w:val="21"/>
          <w:szCs w:val="21"/>
          <w:color w:val="auto"/>
        </w:rPr>
        <w:t>investment grade, $15 million of additional assets ($8 million by Sempra Energy and $7 million by SDG&amp;E) could be required to be posted as collateral for these derivative contracts.</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For SDG&amp;E, the total fair value of this group of derivative instruments in a net liability position at June 30, 2009 is $13 million. The aggregate fair value of assets that are already posted as collateral at June 30, 2009 is $6 million. As of June 30, 2009, if SDG&amp;E’s credit rating were reduced below investment grade, $7 million of additional assets could be required to be posted as collateral for these derivative contracts.</w:t>
      </w:r>
    </w:p>
    <w:p>
      <w:pPr>
        <w:spacing w:after="0" w:line="39" w:lineRule="exact"/>
        <w:rPr>
          <w:sz w:val="20"/>
          <w:szCs w:val="20"/>
          <w:color w:val="auto"/>
        </w:rPr>
      </w:pPr>
    </w:p>
    <w:p>
      <w:pPr>
        <w:jc w:val="both"/>
        <w:ind w:right="740"/>
        <w:spacing w:after="0" w:line="255" w:lineRule="auto"/>
        <w:rPr>
          <w:sz w:val="20"/>
          <w:szCs w:val="20"/>
          <w:color w:val="auto"/>
        </w:rPr>
      </w:pPr>
      <w:r>
        <w:rPr>
          <w:rFonts w:ascii="Arial" w:cs="Arial" w:eastAsia="Arial" w:hAnsi="Arial"/>
          <w:sz w:val="21"/>
          <w:szCs w:val="21"/>
          <w:color w:val="auto"/>
        </w:rPr>
        <w:t>For Sempra Energy, SDG&amp;E, PE and SoCalGas, some of our derivative contracts contain a provision that would permit the counterparty, in certain circumstances, to request adequate assurance of our performance under the contract.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47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47" w:lineRule="exact"/>
        <w:rPr>
          <w:sz w:val="20"/>
          <w:szCs w:val="20"/>
          <w:color w:val="auto"/>
        </w:rPr>
      </w:pPr>
    </w:p>
    <w:p>
      <w:pPr>
        <w:ind w:right="280"/>
        <w:spacing w:after="0" w:line="294" w:lineRule="auto"/>
        <w:rPr>
          <w:sz w:val="20"/>
          <w:szCs w:val="20"/>
          <w:color w:val="auto"/>
        </w:rPr>
      </w:pPr>
      <w:r>
        <w:rPr>
          <w:rFonts w:ascii="Arial" w:cs="Arial" w:eastAsia="Arial" w:hAnsi="Arial"/>
          <w:sz w:val="19"/>
          <w:szCs w:val="19"/>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June 30, 2009 and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5742305" cy="272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2305" cy="27241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color w:val="auto"/>
              </w:rPr>
              <w:t>June 30, 2009</w:t>
            </w: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color w:val="auto"/>
              </w:rPr>
              <w:t>December 31, 2008</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22"/>
              <w:spacing w:after="0"/>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color w:val="auto"/>
              </w:rPr>
              <w:t>Fair</w:t>
            </w:r>
          </w:p>
        </w:tc>
        <w:tc>
          <w:tcPr>
            <w:tcW w:w="220" w:type="dxa"/>
            <w:vAlign w:val="bottom"/>
          </w:tcPr>
          <w:p>
            <w:pPr>
              <w:spacing w:after="0"/>
              <w:rPr>
                <w:sz w:val="17"/>
                <w:szCs w:val="17"/>
                <w:color w:val="auto"/>
              </w:rPr>
            </w:pPr>
          </w:p>
        </w:tc>
        <w:tc>
          <w:tcPr>
            <w:tcW w:w="940" w:type="dxa"/>
            <w:vAlign w:val="bottom"/>
          </w:tcPr>
          <w:p>
            <w:pPr>
              <w:jc w:val="right"/>
              <w:ind w:right="202"/>
              <w:spacing w:after="0"/>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Investments in affordable housing partnerships (1)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Total long-term debt (2)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7,358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7,697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6,962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7,013</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4380" w:type="dxa"/>
            <w:vAlign w:val="bottom"/>
          </w:tcPr>
          <w:p>
            <w:pPr>
              <w:ind w:left="20"/>
              <w:spacing w:after="0"/>
              <w:rPr>
                <w:sz w:val="20"/>
                <w:szCs w:val="20"/>
                <w:color w:val="auto"/>
              </w:rPr>
            </w:pPr>
            <w:r>
              <w:rPr>
                <w:rFonts w:ascii="Arial" w:cs="Arial" w:eastAsia="Arial" w:hAnsi="Arial"/>
                <w:sz w:val="16"/>
                <w:szCs w:val="16"/>
                <w:color w:val="auto"/>
              </w:rPr>
              <w:t>Preferred stock of subsidiaries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83"/>
        </w:trPr>
        <w:tc>
          <w:tcPr>
            <w:tcW w:w="438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Total long-term debt (3)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2,506</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2,519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2,146</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17"/>
        </w:trPr>
        <w:tc>
          <w:tcPr>
            <w:tcW w:w="4380" w:type="dxa"/>
            <w:vAlign w:val="bottom"/>
          </w:tcPr>
          <w:p>
            <w:pPr>
              <w:ind w:left="20"/>
              <w:spacing w:after="0"/>
              <w:rPr>
                <w:sz w:val="20"/>
                <w:szCs w:val="20"/>
                <w:color w:val="auto"/>
              </w:rPr>
            </w:pPr>
            <w:r>
              <w:rPr>
                <w:rFonts w:ascii="Arial" w:cs="Arial" w:eastAsia="Arial" w:hAnsi="Arial"/>
                <w:sz w:val="16"/>
                <w:szCs w:val="16"/>
                <w:color w:val="auto"/>
              </w:rPr>
              <w:t>Contingently redeemable preferred 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83"/>
        </w:trPr>
        <w:tc>
          <w:tcPr>
            <w:tcW w:w="438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PE and SoCalGas: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vMerge w:val="restart"/>
          </w:tcPr>
          <w:p>
            <w:pPr>
              <w:ind w:left="20"/>
              <w:spacing w:after="0"/>
              <w:rPr>
                <w:sz w:val="20"/>
                <w:szCs w:val="20"/>
                <w:color w:val="auto"/>
              </w:rPr>
            </w:pPr>
            <w:r>
              <w:rPr>
                <w:rFonts w:ascii="Arial" w:cs="Arial" w:eastAsia="Arial" w:hAnsi="Arial"/>
                <w:sz w:val="16"/>
                <w:szCs w:val="16"/>
                <w:color w:val="auto"/>
              </w:rPr>
              <w:t>Total long-term debt (4)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1,371</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1,372</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83"/>
        </w:trPr>
        <w:tc>
          <w:tcPr>
            <w:tcW w:w="4380" w:type="dxa"/>
            <w:vAlign w:val="bottom"/>
            <w:vMerge w:val="continue"/>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4380" w:type="dxa"/>
            <w:vAlign w:val="bottom"/>
          </w:tcPr>
          <w:p>
            <w:pPr>
              <w:ind w:left="20"/>
              <w:spacing w:after="0"/>
              <w:rPr>
                <w:sz w:val="20"/>
                <w:szCs w:val="20"/>
                <w:color w:val="auto"/>
              </w:rPr>
            </w:pPr>
            <w:r>
              <w:rPr>
                <w:rFonts w:ascii="Arial" w:cs="Arial" w:eastAsia="Arial" w:hAnsi="Arial"/>
                <w:sz w:val="16"/>
                <w:szCs w:val="16"/>
                <w:color w:val="auto"/>
              </w:rPr>
              <w:t>PE: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0"/>
        </w:trPr>
        <w:tc>
          <w:tcPr>
            <w:tcW w:w="438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86"/>
        </w:trPr>
        <w:tc>
          <w:tcPr>
            <w:tcW w:w="4380" w:type="dxa"/>
            <w:vAlign w:val="bottom"/>
            <w:vMerge w:val="restart"/>
          </w:tcPr>
          <w:p>
            <w:pPr>
              <w:ind w:left="20"/>
              <w:spacing w:after="0"/>
              <w:rPr>
                <w:sz w:val="20"/>
                <w:szCs w:val="20"/>
                <w:color w:val="auto"/>
              </w:rPr>
            </w:pPr>
            <w:r>
              <w:rPr>
                <w:rFonts w:ascii="Arial" w:cs="Arial" w:eastAsia="Arial" w:hAnsi="Arial"/>
                <w:sz w:val="16"/>
                <w:szCs w:val="16"/>
                <w:color w:val="auto"/>
              </w:rPr>
              <w:t>SoCalGas:</w:t>
            </w: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83"/>
        </w:trPr>
        <w:tc>
          <w:tcPr>
            <w:tcW w:w="438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560" w:right="2660" w:hanging="372"/>
        <w:spacing w:after="0" w:line="279" w:lineRule="auto"/>
        <w:tabs>
          <w:tab w:leader="none" w:pos="56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Annual Report.</w:t>
      </w:r>
    </w:p>
    <w:p>
      <w:pPr>
        <w:ind w:left="560" w:hanging="372"/>
        <w:spacing w:after="0"/>
        <w:tabs>
          <w:tab w:leader="none" w:pos="56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$11 million at June 30, 2009 and $8 million at December 31, 2008.</w:t>
      </w:r>
    </w:p>
    <w:p>
      <w:pPr>
        <w:spacing w:after="0" w:line="39" w:lineRule="exact"/>
        <w:rPr>
          <w:rFonts w:ascii="Arial" w:cs="Arial" w:eastAsia="Arial" w:hAnsi="Arial"/>
          <w:sz w:val="14"/>
          <w:szCs w:val="14"/>
          <w:i w:val="1"/>
          <w:iCs w:val="1"/>
          <w:color w:val="auto"/>
        </w:rPr>
      </w:pPr>
    </w:p>
    <w:p>
      <w:pPr>
        <w:ind w:left="560" w:hanging="372"/>
        <w:spacing w:after="0"/>
        <w:tabs>
          <w:tab w:leader="none" w:pos="56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June 30, 2009 and $2 million at December 31, 2008.</w:t>
      </w:r>
    </w:p>
    <w:p>
      <w:pPr>
        <w:spacing w:after="0" w:line="39" w:lineRule="exact"/>
        <w:rPr>
          <w:rFonts w:ascii="Arial" w:cs="Arial" w:eastAsia="Arial" w:hAnsi="Arial"/>
          <w:sz w:val="14"/>
          <w:szCs w:val="14"/>
          <w:i w:val="1"/>
          <w:iCs w:val="1"/>
          <w:color w:val="auto"/>
        </w:rPr>
      </w:pPr>
    </w:p>
    <w:p>
      <w:pPr>
        <w:ind w:left="560" w:hanging="372"/>
        <w:spacing w:after="0"/>
        <w:tabs>
          <w:tab w:leader="none" w:pos="56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 million at June 30, 2009 and $2 million at December 31, 2008.</w:t>
      </w:r>
    </w:p>
    <w:p>
      <w:pPr>
        <w:sectPr>
          <w:pgSz w:w="11900" w:h="16838" w:orient="portrait"/>
          <w:cols w:equalWidth="0" w:num="1">
            <w:col w:w="11400"/>
          </w:cols>
          <w:pgMar w:left="240" w:top="118" w:right="259" w:bottom="1440" w:gutter="0" w:footer="0" w:header="0"/>
        </w:sectPr>
      </w:pPr>
    </w:p>
    <w:bookmarkStart w:id="48" w:name="page49"/>
    <w:bookmarkEnd w:id="48"/>
    <w:p>
      <w:pPr>
        <w:ind w:right="60"/>
        <w:spacing w:after="0" w:line="250" w:lineRule="auto"/>
        <w:rPr>
          <w:sz w:val="20"/>
          <w:szCs w:val="20"/>
          <w:color w:val="auto"/>
        </w:rPr>
      </w:pPr>
      <w:r>
        <w:rPr>
          <w:rFonts w:ascii="Arial" w:cs="Arial" w:eastAsia="Arial" w:hAnsi="Arial"/>
          <w:sz w:val="21"/>
          <w:szCs w:val="21"/>
          <w:color w:val="auto"/>
        </w:rPr>
        <w:t>Sempra Energy based the fair values of investments in affordable housing partnerships on the present value of estimated future cash flows, discounted at rates available for similar investments. Sempra Energy estimated the fair values of debt incurred to acquire affordable housing partnerships based on the present value of the future cash flows, discounted at rates available for similar notes with comparable maturities.</w:t>
      </w:r>
    </w:p>
    <w:p>
      <w:pPr>
        <w:spacing w:after="0" w:line="53" w:lineRule="exact"/>
        <w:rPr>
          <w:sz w:val="20"/>
          <w:szCs w:val="20"/>
          <w:color w:val="auto"/>
        </w:rPr>
      </w:pPr>
    </w:p>
    <w:p>
      <w:pPr>
        <w:ind w:right="80"/>
        <w:spacing w:after="0" w:line="270" w:lineRule="auto"/>
        <w:rPr>
          <w:sz w:val="20"/>
          <w:szCs w:val="20"/>
          <w:color w:val="auto"/>
        </w:rPr>
      </w:pPr>
      <w:r>
        <w:rPr>
          <w:rFonts w:ascii="Arial" w:cs="Arial" w:eastAsia="Arial" w:hAnsi="Arial"/>
          <w:sz w:val="21"/>
          <w:szCs w:val="21"/>
          <w:color w:val="auto"/>
        </w:rPr>
        <w:t>All entities based the fair values of the long-term debt and preferred stock on their quoted market prices or quoted market prices for similar securities.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47"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We discuss our investments in nuclear decommissioning trust funds in Note 7 of the Notes to Consolidated Financial Statements in the Annual Report. The following table shows the fair values and gross unrealized gains and losses for the securities held in the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213995</wp:posOffset>
            </wp:positionV>
            <wp:extent cx="5699760" cy="272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9760" cy="272415"/>
                    </a:xfrm>
                    <a:prstGeom prst="rect">
                      <a:avLst/>
                    </a:prstGeom>
                    <a:noFill/>
                  </pic:spPr>
                </pic:pic>
              </a:graphicData>
            </a:graphic>
          </wp:anchor>
        </w:drawing>
      </w:r>
    </w:p>
    <w:p>
      <w:pPr>
        <w:spacing w:after="0" w:line="325"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NUCLEAR DECOMMISSIONING TRUSTS</w:t>
      </w:r>
    </w:p>
    <w:p>
      <w:pPr>
        <w:spacing w:after="0" w:line="3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color w:val="auto"/>
              </w:rPr>
              <w:t>Gross</w:t>
            </w:r>
          </w:p>
        </w:tc>
        <w:tc>
          <w:tcPr>
            <w:tcW w:w="18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color w:val="auto"/>
              </w:rPr>
              <w:t>Estimated</w:t>
            </w:r>
          </w:p>
        </w:tc>
      </w:tr>
      <w:tr>
        <w:trPr>
          <w:trHeight w:val="214"/>
        </w:trPr>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8"/>
                <w:szCs w:val="18"/>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8"/>
                <w:szCs w:val="18"/>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color w:val="auto"/>
                <w:w w:val="99"/>
              </w:rPr>
              <w:t>Fair</w:t>
            </w:r>
          </w:p>
        </w:tc>
      </w:tr>
      <w:tr>
        <w:trPr>
          <w:trHeight w:val="220"/>
        </w:trPr>
        <w:tc>
          <w:tcPr>
            <w:tcW w:w="20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Gains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Losses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Value</w:t>
            </w:r>
          </w:p>
        </w:tc>
      </w:tr>
      <w:tr>
        <w:trPr>
          <w:trHeight w:val="213"/>
        </w:trPr>
        <w:tc>
          <w:tcPr>
            <w:tcW w:w="432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June 30, 2009:</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Debt securities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U.S. government issues*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20"/>
        </w:trPr>
        <w:tc>
          <w:tcPr>
            <w:tcW w:w="2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Municipal bonds**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02"/>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debt securities</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Equity securities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237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Cash and other securities***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5"/>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83"/>
        </w:trPr>
        <w:tc>
          <w:tcPr>
            <w:tcW w:w="4320" w:type="dxa"/>
            <w:vAlign w:val="bottom"/>
            <w:gridSpan w:val="2"/>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r>
      <w:tr>
        <w:trPr>
          <w:trHeight w:val="450"/>
        </w:trPr>
        <w:tc>
          <w:tcPr>
            <w:tcW w:w="432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December 31, 2008:</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Debt securities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U.S. government issues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20"/>
        </w:trPr>
        <w:tc>
          <w:tcPr>
            <w:tcW w:w="2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Municipal bonds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02"/>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debt securities</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Equity securities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Cash and other securities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5"/>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83"/>
        </w:trPr>
        <w:tc>
          <w:tcPr>
            <w:tcW w:w="200" w:type="dxa"/>
            <w:vAlign w:val="bottom"/>
            <w:shd w:val="clear" w:color="auto" w:fill="000000"/>
          </w:tcPr>
          <w:p>
            <w:pPr>
              <w:spacing w:after="0"/>
              <w:rPr>
                <w:sz w:val="7"/>
                <w:szCs w:val="7"/>
                <w:color w:val="auto"/>
              </w:rPr>
            </w:pPr>
          </w:p>
        </w:tc>
        <w:tc>
          <w:tcPr>
            <w:tcW w:w="41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r>
      <w:tr>
        <w:trPr>
          <w:trHeight w:val="189"/>
        </w:trPr>
        <w:tc>
          <w:tcPr>
            <w:tcW w:w="200" w:type="dxa"/>
            <w:vAlign w:val="bottom"/>
          </w:tcPr>
          <w:p>
            <w:pPr>
              <w:ind w:left="20"/>
              <w:spacing w:after="0"/>
              <w:rPr>
                <w:sz w:val="20"/>
                <w:szCs w:val="20"/>
                <w:color w:val="auto"/>
              </w:rPr>
            </w:pPr>
            <w:r>
              <w:rPr>
                <w:rFonts w:ascii="Arial" w:cs="Arial" w:eastAsia="Arial" w:hAnsi="Arial"/>
                <w:sz w:val="14"/>
                <w:szCs w:val="14"/>
                <w:i w:val="1"/>
                <w:iCs w:val="1"/>
                <w:color w:val="auto"/>
              </w:rPr>
              <w:t>*</w:t>
            </w:r>
          </w:p>
        </w:tc>
        <w:tc>
          <w:tcPr>
            <w:tcW w:w="4120" w:type="dxa"/>
            <w:vAlign w:val="bottom"/>
          </w:tcPr>
          <w:p>
            <w:pPr>
              <w:ind w:left="280"/>
              <w:spacing w:after="0"/>
              <w:rPr>
                <w:sz w:val="20"/>
                <w:szCs w:val="20"/>
                <w:color w:val="auto"/>
              </w:rPr>
            </w:pPr>
            <w:r>
              <w:rPr>
                <w:rFonts w:ascii="Arial" w:cs="Arial" w:eastAsia="Arial" w:hAnsi="Arial"/>
                <w:sz w:val="14"/>
                <w:szCs w:val="14"/>
                <w:i w:val="1"/>
                <w:iCs w:val="1"/>
                <w:color w:val="auto"/>
              </w:rPr>
              <w:t>Maturity dates are 2009-2038</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1"/>
        </w:trPr>
        <w:tc>
          <w:tcPr>
            <w:tcW w:w="200" w:type="dxa"/>
            <w:vAlign w:val="bottom"/>
          </w:tcPr>
          <w:p>
            <w:pPr>
              <w:ind w:left="20"/>
              <w:spacing w:after="0"/>
              <w:rPr>
                <w:sz w:val="20"/>
                <w:szCs w:val="20"/>
                <w:color w:val="auto"/>
              </w:rPr>
            </w:pPr>
            <w:r>
              <w:rPr>
                <w:rFonts w:ascii="Arial" w:cs="Arial" w:eastAsia="Arial" w:hAnsi="Arial"/>
                <w:sz w:val="14"/>
                <w:szCs w:val="14"/>
                <w:i w:val="1"/>
                <w:iCs w:val="1"/>
                <w:color w:val="auto"/>
              </w:rPr>
              <w:t>**</w:t>
            </w:r>
          </w:p>
        </w:tc>
        <w:tc>
          <w:tcPr>
            <w:tcW w:w="4120" w:type="dxa"/>
            <w:vAlign w:val="bottom"/>
          </w:tcPr>
          <w:p>
            <w:pPr>
              <w:ind w:left="280"/>
              <w:spacing w:after="0"/>
              <w:rPr>
                <w:sz w:val="20"/>
                <w:szCs w:val="20"/>
                <w:color w:val="auto"/>
              </w:rPr>
            </w:pPr>
            <w:r>
              <w:rPr>
                <w:rFonts w:ascii="Arial" w:cs="Arial" w:eastAsia="Arial" w:hAnsi="Arial"/>
                <w:sz w:val="14"/>
                <w:szCs w:val="14"/>
                <w:i w:val="1"/>
                <w:iCs w:val="1"/>
                <w:color w:val="auto"/>
              </w:rPr>
              <w:t>Maturity dates are 2009-2043</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00" w:type="dxa"/>
            <w:vAlign w:val="bottom"/>
          </w:tcPr>
          <w:p>
            <w:pPr>
              <w:ind w:left="20"/>
              <w:spacing w:after="0"/>
              <w:rPr>
                <w:sz w:val="20"/>
                <w:szCs w:val="20"/>
                <w:color w:val="auto"/>
              </w:rPr>
            </w:pPr>
            <w:r>
              <w:rPr>
                <w:rFonts w:ascii="Arial" w:cs="Arial" w:eastAsia="Arial" w:hAnsi="Arial"/>
                <w:sz w:val="14"/>
                <w:szCs w:val="14"/>
                <w:i w:val="1"/>
                <w:iCs w:val="1"/>
                <w:color w:val="auto"/>
                <w:w w:val="97"/>
              </w:rPr>
              <w:t>***</w:t>
            </w:r>
          </w:p>
        </w:tc>
        <w:tc>
          <w:tcPr>
            <w:tcW w:w="4120" w:type="dxa"/>
            <w:vAlign w:val="bottom"/>
          </w:tcPr>
          <w:p>
            <w:pPr>
              <w:ind w:left="280"/>
              <w:spacing w:after="0"/>
              <w:rPr>
                <w:sz w:val="20"/>
                <w:szCs w:val="20"/>
                <w:color w:val="auto"/>
              </w:rPr>
            </w:pPr>
            <w:r>
              <w:rPr>
                <w:rFonts w:ascii="Arial" w:cs="Arial" w:eastAsia="Arial" w:hAnsi="Arial"/>
                <w:sz w:val="14"/>
                <w:szCs w:val="14"/>
                <w:i w:val="1"/>
                <w:iCs w:val="1"/>
                <w:color w:val="auto"/>
              </w:rPr>
              <w:t>Maturity dates are 2009-2049</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proceeds from sales of securities in the trusts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191135</wp:posOffset>
            </wp:positionV>
            <wp:extent cx="4210685" cy="272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10685" cy="272415"/>
                    </a:xfrm>
                    <a:prstGeom prst="rect">
                      <a:avLst/>
                    </a:prstGeom>
                    <a:noFill/>
                  </pic:spPr>
                </pic:pic>
              </a:graphicData>
            </a:graphic>
          </wp:anchor>
        </w:drawing>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SALES OF SECURITIES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98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color w:val="auto"/>
              </w:rPr>
              <w:t>Three months ended June 30,</w:t>
            </w: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color w:val="auto"/>
              </w:rPr>
              <w:t>Six months ended June 30,</w:t>
            </w:r>
          </w:p>
        </w:tc>
      </w:tr>
      <w:tr>
        <w:trPr>
          <w:trHeight w:val="208"/>
        </w:trPr>
        <w:tc>
          <w:tcPr>
            <w:tcW w:w="1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2008</w:t>
            </w:r>
          </w:p>
        </w:tc>
      </w:tr>
      <w:tr>
        <w:trPr>
          <w:trHeight w:val="208"/>
        </w:trPr>
        <w:tc>
          <w:tcPr>
            <w:tcW w:w="1980" w:type="dxa"/>
            <w:vAlign w:val="bottom"/>
          </w:tcPr>
          <w:p>
            <w:pPr>
              <w:ind w:left="20"/>
              <w:spacing w:after="0"/>
              <w:rPr>
                <w:sz w:val="20"/>
                <w:szCs w:val="20"/>
                <w:color w:val="auto"/>
              </w:rPr>
            </w:pPr>
            <w:r>
              <w:rPr>
                <w:rFonts w:ascii="Arial" w:cs="Arial" w:eastAsia="Arial" w:hAnsi="Arial"/>
                <w:sz w:val="16"/>
                <w:szCs w:val="16"/>
                <w:color w:val="auto"/>
              </w:rPr>
              <w:t>Proceeds from sales</w:t>
            </w:r>
          </w:p>
        </w:tc>
        <w:tc>
          <w:tcPr>
            <w:tcW w:w="820" w:type="dxa"/>
            <w:vAlign w:val="bottom"/>
          </w:tcPr>
          <w:p>
            <w:pPr>
              <w:jc w:val="right"/>
              <w:ind w:right="646"/>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49</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4"/>
        </w:trPr>
        <w:tc>
          <w:tcPr>
            <w:tcW w:w="1980" w:type="dxa"/>
            <w:vAlign w:val="bottom"/>
          </w:tcPr>
          <w:p>
            <w:pPr>
              <w:ind w:left="20"/>
              <w:spacing w:after="0"/>
              <w:rPr>
                <w:sz w:val="20"/>
                <w:szCs w:val="20"/>
                <w:color w:val="auto"/>
              </w:rPr>
            </w:pPr>
            <w:r>
              <w:rPr>
                <w:rFonts w:ascii="Arial" w:cs="Arial" w:eastAsia="Arial" w:hAnsi="Arial"/>
                <w:sz w:val="16"/>
                <w:szCs w:val="16"/>
                <w:color w:val="auto"/>
              </w:rPr>
              <w:t>Gross realized gains</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1980" w:type="dxa"/>
            <w:vAlign w:val="bottom"/>
          </w:tcPr>
          <w:p>
            <w:pPr>
              <w:ind w:left="20"/>
              <w:spacing w:after="0"/>
              <w:rPr>
                <w:sz w:val="20"/>
                <w:szCs w:val="20"/>
                <w:color w:val="auto"/>
              </w:rPr>
            </w:pPr>
            <w:r>
              <w:rPr>
                <w:rFonts w:ascii="Arial" w:cs="Arial" w:eastAsia="Arial" w:hAnsi="Arial"/>
                <w:sz w:val="16"/>
                <w:szCs w:val="16"/>
                <w:color w:val="auto"/>
              </w:rPr>
              <w:t>Gross realized losses</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83"/>
        </w:trPr>
        <w:tc>
          <w:tcPr>
            <w:tcW w:w="198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ectPr>
          <w:pgSz w:w="11900" w:h="16838" w:orient="portrait"/>
          <w:cols w:equalWidth="0" w:num="1">
            <w:col w:w="11380"/>
          </w:cols>
          <w:pgMar w:left="240" w:top="118" w:right="279" w:bottom="1440" w:gutter="0" w:footer="0" w:header="0"/>
        </w:sectPr>
      </w:pPr>
    </w:p>
    <w:bookmarkStart w:id="49" w:name="page50"/>
    <w:bookmarkEnd w:id="49"/>
    <w:p>
      <w:pPr>
        <w:ind w:right="1000"/>
        <w:spacing w:after="0" w:line="316" w:lineRule="auto"/>
        <w:rPr>
          <w:sz w:val="20"/>
          <w:szCs w:val="20"/>
          <w:color w:val="auto"/>
        </w:rPr>
      </w:pPr>
      <w:r>
        <w:rPr>
          <w:rFonts w:ascii="Arial" w:cs="Arial" w:eastAsia="Arial" w:hAnsi="Arial"/>
          <w:sz w:val="19"/>
          <w:szCs w:val="19"/>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The fair value of securities in an unrealized loss position as of June 30, 2009 was $142 million. The unrealized losses of $26 million were primarily caused by a negative market environment. We do not consider these investments to be other than temporarily impaired as of June 30, 2009.</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47" w:lineRule="exact"/>
        <w:rPr>
          <w:sz w:val="20"/>
          <w:szCs w:val="20"/>
          <w:color w:val="auto"/>
        </w:rPr>
      </w:pPr>
    </w:p>
    <w:p>
      <w:pPr>
        <w:ind w:right="160"/>
        <w:spacing w:after="0" w:line="255" w:lineRule="auto"/>
        <w:rPr>
          <w:sz w:val="20"/>
          <w:szCs w:val="20"/>
          <w:color w:val="auto"/>
        </w:rPr>
      </w:pPr>
      <w:r>
        <w:rPr>
          <w:rFonts w:ascii="Arial" w:cs="Arial" w:eastAsia="Arial" w:hAnsi="Arial"/>
          <w:sz w:val="21"/>
          <w:szCs w:val="21"/>
          <w:color w:val="auto"/>
        </w:rPr>
        <w:t xml:space="preserve">In accordance with FSP FIN 39-1, </w:t>
      </w:r>
      <w:r>
        <w:rPr>
          <w:rFonts w:ascii="Arial" w:cs="Arial" w:eastAsia="Arial" w:hAnsi="Arial"/>
          <w:sz w:val="21"/>
          <w:szCs w:val="21"/>
          <w:i w:val="1"/>
          <w:iCs w:val="1"/>
          <w:color w:val="auto"/>
        </w:rPr>
        <w:t>Amendment of FASB Interpretation No. 39</w:t>
      </w:r>
      <w:r>
        <w:rPr>
          <w:rFonts w:ascii="Arial" w:cs="Arial" w:eastAsia="Arial" w:hAnsi="Arial"/>
          <w:sz w:val="21"/>
          <w:szCs w:val="21"/>
          <w:color w:val="auto"/>
        </w:rPr>
        <w:t xml:space="preserve"> (ASC 815), each Condensed Consolidated Balance Sheet reflects the offsetting of net derivative positions with fair value amounts for cash collateral with the same counterparty when management believes a legal right of offset exists.</w:t>
      </w:r>
    </w:p>
    <w:p>
      <w:pPr>
        <w:spacing w:after="0" w:line="47" w:lineRule="exact"/>
        <w:rPr>
          <w:sz w:val="20"/>
          <w:szCs w:val="20"/>
          <w:color w:val="auto"/>
        </w:rPr>
      </w:pPr>
    </w:p>
    <w:p>
      <w:pPr>
        <w:ind w:right="720"/>
        <w:spacing w:after="0" w:line="296" w:lineRule="auto"/>
        <w:rPr>
          <w:sz w:val="20"/>
          <w:szCs w:val="20"/>
          <w:color w:val="auto"/>
        </w:rPr>
      </w:pPr>
      <w:r>
        <w:rPr>
          <w:rFonts w:ascii="Arial" w:cs="Arial" w:eastAsia="Arial" w:hAnsi="Arial"/>
          <w:sz w:val="20"/>
          <w:szCs w:val="20"/>
          <w:color w:val="auto"/>
        </w:rPr>
        <w:t>The following table provides the amount of fair value of cash collateral receivables and payables that were offset against net derivative positions in the Condensed Consolidated Balance Sheets as of June 30, 2009 and December 31, 2008: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940" w:type="dxa"/>
            <w:vAlign w:val="bottom"/>
          </w:tcPr>
          <w:p>
            <w:pPr>
              <w:jc w:val="right"/>
              <w:ind w:right="4"/>
              <w:spacing w:after="0"/>
              <w:rPr>
                <w:sz w:val="20"/>
                <w:szCs w:val="20"/>
                <w:color w:val="auto"/>
              </w:rPr>
            </w:pPr>
            <w:r>
              <w:rPr>
                <w:rFonts w:ascii="Arial" w:cs="Arial" w:eastAsia="Arial" w:hAnsi="Arial"/>
                <w:sz w:val="14"/>
                <w:szCs w:val="14"/>
                <w:color w:val="auto"/>
              </w:rPr>
              <w:t>June 30,</w:t>
            </w:r>
          </w:p>
        </w:tc>
        <w:tc>
          <w:tcPr>
            <w:tcW w:w="40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December 31,</w:t>
            </w:r>
          </w:p>
        </w:tc>
      </w:tr>
      <w:tr>
        <w:trPr>
          <w:trHeight w:val="20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9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2008</w:t>
            </w:r>
          </w:p>
        </w:tc>
      </w:tr>
      <w:tr>
        <w:trPr>
          <w:trHeight w:val="208"/>
        </w:trPr>
        <w:tc>
          <w:tcPr>
            <w:tcW w:w="342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3420" w:type="dxa"/>
            <w:vAlign w:val="bottom"/>
          </w:tcPr>
          <w:p>
            <w:pPr>
              <w:ind w:left="200"/>
              <w:spacing w:after="0"/>
              <w:rPr>
                <w:sz w:val="20"/>
                <w:szCs w:val="20"/>
                <w:color w:val="auto"/>
              </w:rPr>
            </w:pPr>
            <w:r>
              <w:rPr>
                <w:rFonts w:ascii="Arial" w:cs="Arial" w:eastAsia="Arial" w:hAnsi="Arial"/>
                <w:sz w:val="16"/>
                <w:szCs w:val="16"/>
                <w:color w:val="auto"/>
              </w:rPr>
              <w:t>Sempra Energy Consolidated</w:t>
            </w:r>
          </w:p>
        </w:tc>
        <w:tc>
          <w:tcPr>
            <w:tcW w:w="1940" w:type="dxa"/>
            <w:vAlign w:val="bottom"/>
          </w:tcPr>
          <w:p>
            <w:pPr>
              <w:jc w:val="right"/>
              <w:ind w:right="66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4"/>
        </w:trPr>
        <w:tc>
          <w:tcPr>
            <w:tcW w:w="3420" w:type="dxa"/>
            <w:vAlign w:val="bottom"/>
          </w:tcPr>
          <w:p>
            <w:pPr>
              <w:ind w:left="200"/>
              <w:spacing w:after="0"/>
              <w:rPr>
                <w:sz w:val="20"/>
                <w:szCs w:val="20"/>
                <w:color w:val="auto"/>
              </w:rPr>
            </w:pPr>
            <w:r>
              <w:rPr>
                <w:rFonts w:ascii="Arial" w:cs="Arial" w:eastAsia="Arial" w:hAnsi="Arial"/>
                <w:sz w:val="16"/>
                <w:szCs w:val="16"/>
                <w:color w:val="auto"/>
              </w:rPr>
              <w:t>SDG&amp;E</w:t>
            </w:r>
          </w:p>
        </w:tc>
        <w:tc>
          <w:tcPr>
            <w:tcW w:w="1940" w:type="dxa"/>
            <w:vAlign w:val="bottom"/>
          </w:tcPr>
          <w:p>
            <w:pPr>
              <w:spacing w:after="0"/>
              <w:rPr>
                <w:sz w:val="18"/>
                <w:szCs w:val="18"/>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4"/>
        </w:trPr>
        <w:tc>
          <w:tcPr>
            <w:tcW w:w="3420" w:type="dxa"/>
            <w:vAlign w:val="bottom"/>
          </w:tcPr>
          <w:p>
            <w:pPr>
              <w:ind w:left="200"/>
              <w:spacing w:after="0"/>
              <w:rPr>
                <w:sz w:val="20"/>
                <w:szCs w:val="20"/>
                <w:color w:val="auto"/>
              </w:rPr>
            </w:pPr>
            <w:r>
              <w:rPr>
                <w:rFonts w:ascii="Arial" w:cs="Arial" w:eastAsia="Arial" w:hAnsi="Arial"/>
                <w:sz w:val="16"/>
                <w:szCs w:val="16"/>
                <w:color w:val="auto"/>
              </w:rPr>
              <w:t>SoCalGas</w:t>
            </w:r>
          </w:p>
        </w:tc>
        <w:tc>
          <w:tcPr>
            <w:tcW w:w="1940" w:type="dxa"/>
            <w:vAlign w:val="bottom"/>
          </w:tcPr>
          <w:p>
            <w:pPr>
              <w:spacing w:after="0"/>
              <w:rPr>
                <w:sz w:val="18"/>
                <w:szCs w:val="18"/>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3420" w:type="dxa"/>
            <w:vAlign w:val="bottom"/>
          </w:tcPr>
          <w:p>
            <w:pPr>
              <w:ind w:left="20"/>
              <w:spacing w:after="0"/>
              <w:rPr>
                <w:sz w:val="20"/>
                <w:szCs w:val="20"/>
                <w:color w:val="auto"/>
              </w:rPr>
            </w:pPr>
            <w:r>
              <w:rPr>
                <w:rFonts w:ascii="Arial" w:cs="Arial" w:eastAsia="Arial" w:hAnsi="Arial"/>
                <w:sz w:val="16"/>
                <w:szCs w:val="16"/>
                <w:color w:val="auto"/>
              </w:rPr>
              <w:t>Payables: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3420" w:type="dxa"/>
            <w:vAlign w:val="bottom"/>
          </w:tcPr>
          <w:p>
            <w:pPr>
              <w:ind w:left="200"/>
              <w:spacing w:after="0"/>
              <w:rPr>
                <w:sz w:val="20"/>
                <w:szCs w:val="20"/>
                <w:color w:val="auto"/>
              </w:rPr>
            </w:pPr>
            <w:r>
              <w:rPr>
                <w:rFonts w:ascii="Arial" w:cs="Arial" w:eastAsia="Arial" w:hAnsi="Arial"/>
                <w:sz w:val="16"/>
                <w:szCs w:val="16"/>
                <w:color w:val="auto"/>
              </w:rPr>
              <w:t>Sempra Energy Consolidated</w:t>
            </w:r>
          </w:p>
        </w:tc>
        <w:tc>
          <w:tcPr>
            <w:tcW w:w="1940" w:type="dxa"/>
            <w:vAlign w:val="bottom"/>
          </w:tcPr>
          <w:p>
            <w:pPr>
              <w:jc w:val="right"/>
              <w:ind w:right="66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83"/>
        </w:trPr>
        <w:tc>
          <w:tcPr>
            <w:tcW w:w="3420" w:type="dxa"/>
            <w:vAlign w:val="bottom"/>
            <w:shd w:val="clear" w:color="auto" w:fill="DFDFDF"/>
          </w:tcPr>
          <w:p>
            <w:pPr>
              <w:spacing w:after="0"/>
              <w:rPr>
                <w:sz w:val="7"/>
                <w:szCs w:val="7"/>
                <w:color w:val="auto"/>
              </w:rPr>
            </w:pPr>
          </w:p>
        </w:tc>
        <w:tc>
          <w:tcPr>
            <w:tcW w:w="1940" w:type="dxa"/>
            <w:vAlign w:val="bottom"/>
            <w:shd w:val="clear" w:color="auto" w:fill="DFDFDF"/>
          </w:tcPr>
          <w:p>
            <w:pPr>
              <w:spacing w:after="0"/>
              <w:rPr>
                <w:sz w:val="7"/>
                <w:szCs w:val="7"/>
                <w:color w:val="auto"/>
              </w:rPr>
            </w:pPr>
          </w:p>
        </w:tc>
        <w:tc>
          <w:tcPr>
            <w:tcW w:w="40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r>
    </w:tbl>
    <w:p>
      <w:pPr>
        <w:spacing w:after="0" w:line="220" w:lineRule="exact"/>
        <w:rPr>
          <w:sz w:val="20"/>
          <w:szCs w:val="20"/>
          <w:color w:val="auto"/>
        </w:rPr>
      </w:pPr>
    </w:p>
    <w:p>
      <w:pPr>
        <w:ind w:right="160"/>
        <w:spacing w:after="0" w:line="270" w:lineRule="auto"/>
        <w:rPr>
          <w:sz w:val="20"/>
          <w:szCs w:val="20"/>
          <w:color w:val="auto"/>
        </w:rPr>
      </w:pPr>
      <w:r>
        <w:rPr>
          <w:rFonts w:ascii="Arial" w:cs="Arial" w:eastAsia="Arial" w:hAnsi="Arial"/>
          <w:sz w:val="21"/>
          <w:szCs w:val="21"/>
          <w:color w:val="auto"/>
        </w:rPr>
        <w:t>The following table provides the amount of fair value of cash collateral that was not offset in the Condensed Consolidated Balance Sheets as of June 30, 2009 and December 31, 2008: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140" w:type="dxa"/>
            <w:vAlign w:val="bottom"/>
          </w:tcPr>
          <w:p>
            <w:pPr>
              <w:jc w:val="center"/>
              <w:ind w:left="1346"/>
              <w:spacing w:after="0"/>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43"/>
              <w:spacing w:after="0"/>
              <w:rPr>
                <w:sz w:val="20"/>
                <w:szCs w:val="20"/>
                <w:color w:val="auto"/>
              </w:rPr>
            </w:pPr>
            <w:r>
              <w:rPr>
                <w:rFonts w:ascii="Arial" w:cs="Arial" w:eastAsia="Arial" w:hAnsi="Arial"/>
                <w:sz w:val="14"/>
                <w:szCs w:val="14"/>
                <w:color w:val="auto"/>
              </w:rPr>
              <w:t>December 31,</w:t>
            </w:r>
          </w:p>
        </w:tc>
      </w:tr>
      <w:tr>
        <w:trPr>
          <w:trHeight w:val="207"/>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1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2008</w:t>
            </w:r>
          </w:p>
        </w:tc>
      </w:tr>
      <w:tr>
        <w:trPr>
          <w:trHeight w:val="208"/>
        </w:trPr>
        <w:tc>
          <w:tcPr>
            <w:tcW w:w="32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2140" w:type="dxa"/>
            <w:vAlign w:val="bottom"/>
          </w:tcPr>
          <w:p>
            <w:pPr>
              <w:jc w:val="right"/>
              <w:ind w:right="866"/>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4"/>
        </w:trPr>
        <w:tc>
          <w:tcPr>
            <w:tcW w:w="3220" w:type="dxa"/>
            <w:vAlign w:val="bottom"/>
          </w:tcPr>
          <w:p>
            <w:pPr>
              <w:ind w:left="20"/>
              <w:spacing w:after="0"/>
              <w:rPr>
                <w:sz w:val="20"/>
                <w:szCs w:val="20"/>
                <w:color w:val="auto"/>
              </w:rPr>
            </w:pPr>
            <w:r>
              <w:rPr>
                <w:rFonts w:ascii="Arial" w:cs="Arial" w:eastAsia="Arial" w:hAnsi="Arial"/>
                <w:sz w:val="16"/>
                <w:szCs w:val="16"/>
                <w:color w:val="auto"/>
              </w:rPr>
              <w:t>SDG&amp;E</w:t>
            </w:r>
          </w:p>
        </w:tc>
        <w:tc>
          <w:tcPr>
            <w:tcW w:w="2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3220" w:type="dxa"/>
            <w:vAlign w:val="bottom"/>
          </w:tcPr>
          <w:p>
            <w:pPr>
              <w:ind w:left="20"/>
              <w:spacing w:after="0"/>
              <w:rPr>
                <w:sz w:val="20"/>
                <w:szCs w:val="20"/>
                <w:color w:val="auto"/>
              </w:rPr>
            </w:pPr>
            <w:r>
              <w:rPr>
                <w:rFonts w:ascii="Arial" w:cs="Arial" w:eastAsia="Arial" w:hAnsi="Arial"/>
                <w:sz w:val="16"/>
                <w:szCs w:val="16"/>
                <w:color w:val="auto"/>
              </w:rPr>
              <w:t>SoCalGas</w:t>
            </w:r>
          </w:p>
        </w:tc>
        <w:tc>
          <w:tcPr>
            <w:tcW w:w="2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3"/>
        </w:trPr>
        <w:tc>
          <w:tcPr>
            <w:tcW w:w="3220" w:type="dxa"/>
            <w:vAlign w:val="bottom"/>
            <w:shd w:val="clear" w:color="auto" w:fill="DFDFDF"/>
          </w:tcPr>
          <w:p>
            <w:pPr>
              <w:spacing w:after="0"/>
              <w:rPr>
                <w:sz w:val="7"/>
                <w:szCs w:val="7"/>
                <w:color w:val="auto"/>
              </w:rPr>
            </w:pPr>
          </w:p>
        </w:tc>
        <w:tc>
          <w:tcPr>
            <w:tcW w:w="214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180" w:type="dxa"/>
            <w:vAlign w:val="bottom"/>
            <w:shd w:val="clear" w:color="auto" w:fill="DFDFDF"/>
          </w:tcPr>
          <w:p>
            <w:pPr>
              <w:spacing w:after="0"/>
              <w:rPr>
                <w:sz w:val="7"/>
                <w:szCs w:val="7"/>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47" w:lineRule="exact"/>
        <w:rPr>
          <w:sz w:val="20"/>
          <w:szCs w:val="20"/>
          <w:color w:val="auto"/>
        </w:rPr>
      </w:pPr>
    </w:p>
    <w:p>
      <w:pPr>
        <w:jc w:val="both"/>
        <w:ind w:right="20"/>
        <w:spacing w:after="0" w:line="255" w:lineRule="auto"/>
        <w:rPr>
          <w:sz w:val="20"/>
          <w:szCs w:val="20"/>
          <w:color w:val="auto"/>
        </w:rPr>
      </w:pPr>
      <w:r>
        <w:rPr>
          <w:rFonts w:ascii="Arial" w:cs="Arial" w:eastAsia="Arial" w:hAnsi="Arial"/>
          <w:sz w:val="21"/>
          <w:szCs w:val="21"/>
          <w:color w:val="auto"/>
        </w:rPr>
        <w:t xml:space="preserve">We discuss the valuation techniques we use to measure fair value and the definition of the three levels of the fair value hierarchy, as defined in SFAS 157, </w:t>
      </w:r>
      <w:r>
        <w:rPr>
          <w:rFonts w:ascii="Arial" w:cs="Arial" w:eastAsia="Arial" w:hAnsi="Arial"/>
          <w:sz w:val="21"/>
          <w:szCs w:val="21"/>
          <w:i w:val="1"/>
          <w:iCs w:val="1"/>
          <w:color w:val="auto"/>
        </w:rPr>
        <w:t>Fair Value Measurements</w:t>
      </w:r>
      <w:r>
        <w:rPr>
          <w:rFonts w:ascii="Arial" w:cs="Arial" w:eastAsia="Arial" w:hAnsi="Arial"/>
          <w:sz w:val="21"/>
          <w:szCs w:val="21"/>
          <w:color w:val="auto"/>
        </w:rPr>
        <w:t xml:space="preserve"> (SFAS 157) (ASC 820), and our netting policy for derivative positions in Notes 1, 2 and 11 of the Notes to Consolidated Financial Statements in the Annual Report.</w:t>
      </w:r>
    </w:p>
    <w:p>
      <w:pPr>
        <w:spacing w:after="0" w:line="3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three tables below, by level within the fair value hierarchy, set forth our financial assets and liabilities that were accounted for at fair value on a recurring basis as of June 30, 2009 and December 31, 2008. As required by SFAS 157,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44"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The determination of fair values incorporates various factors required under SFAS 157. These factors include not only the credit standing of the counterparties involved and the impact of credit enhancements (such as cash deposits, letters of credit and priority interests), but also the impact of the risk of our nonperformance on our liabilities.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commodity derivative assets and liabilities is determined in accordance with our netting policy as discussed above.</w:t>
      </w:r>
    </w:p>
    <w:p>
      <w:pPr>
        <w:sectPr>
          <w:pgSz w:w="11900" w:h="16838" w:orient="portrait"/>
          <w:cols w:equalWidth="0" w:num="1">
            <w:col w:w="11380"/>
          </w:cols>
          <w:pgMar w:left="240" w:top="118" w:right="279" w:bottom="1440" w:gutter="0" w:footer="0" w:header="0"/>
        </w:sectPr>
      </w:pPr>
    </w:p>
    <w:bookmarkStart w:id="50" w:name="page51"/>
    <w:bookmarkEnd w:id="5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65470" cy="272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5470" cy="272415"/>
                    </a:xfrm>
                    <a:prstGeom prst="rect">
                      <a:avLst/>
                    </a:prstGeom>
                    <a:noFill/>
                  </pic:spPr>
                </pic:pic>
              </a:graphicData>
            </a:graphic>
          </wp:anchor>
        </w:drawing>
        <w:t>RECURRING FAIR VALUE MEASURES -- SEMPRA ENERGY CONSOLIDATED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color w:val="auto"/>
              </w:rPr>
              <w:t>At fair value as of June 30, 2009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436</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36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6"/>
                <w:szCs w:val="16"/>
                <w:color w:val="auto"/>
              </w:rPr>
              <w:t>25</w:t>
            </w: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465</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298</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660"/>
              <w:spacing w:after="0"/>
              <w:rPr>
                <w:sz w:val="20"/>
                <w:szCs w:val="20"/>
                <w:color w:val="auto"/>
              </w:rPr>
            </w:pPr>
            <w:r>
              <w:rPr>
                <w:rFonts w:ascii="Arial" w:cs="Arial" w:eastAsia="Arial" w:hAnsi="Arial"/>
                <w:sz w:val="16"/>
                <w:szCs w:val="16"/>
                <w:color w:val="auto"/>
              </w:rPr>
              <w:t>25 $</w:t>
            </w: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(45)</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(45)</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40" w:type="dxa"/>
            <w:vAlign w:val="bottom"/>
            <w:gridSpan w:val="4"/>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color w:val="auto"/>
              </w:rPr>
              <w:t>At fair value as of December 31, 2008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c>
          <w:tcPr>
            <w:tcW w:w="36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36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6"/>
                <w:szCs w:val="16"/>
                <w:color w:val="auto"/>
              </w:rPr>
              <w:t>27</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477</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476</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660"/>
              <w:spacing w:after="0"/>
              <w:rPr>
                <w:sz w:val="20"/>
                <w:szCs w:val="20"/>
                <w:color w:val="auto"/>
              </w:rPr>
            </w:pPr>
            <w:r>
              <w:rPr>
                <w:rFonts w:ascii="Arial" w:cs="Arial" w:eastAsia="Arial" w:hAnsi="Arial"/>
                <w:sz w:val="16"/>
                <w:szCs w:val="16"/>
                <w:color w:val="auto"/>
              </w:rPr>
              <w:t>27 $</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Excludes cash balances.</w:t>
      </w:r>
    </w:p>
    <w:p>
      <w:pPr>
        <w:sectPr>
          <w:pgSz w:w="11900" w:h="16838" w:orient="portrait"/>
          <w:cols w:equalWidth="0" w:num="1">
            <w:col w:w="10219"/>
          </w:cols>
          <w:pgMar w:left="240" w:top="416" w:right="1440" w:bottom="1440" w:gutter="0" w:footer="0" w:header="0"/>
        </w:sectPr>
      </w:pPr>
    </w:p>
    <w:bookmarkStart w:id="51" w:name="page52"/>
    <w:bookmarkEnd w:id="51"/>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65470" cy="272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5470" cy="272415"/>
                    </a:xfrm>
                    <a:prstGeom prst="rect">
                      <a:avLst/>
                    </a:prstGeom>
                    <a:noFill/>
                  </pic:spPr>
                </pic:pic>
              </a:graphicData>
            </a:graphic>
          </wp:anchor>
        </w:drawing>
        <w:t>RECURRING FAIR VALUE MEASURES -- SDG&amp;E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center"/>
              <w:ind w:right="262"/>
              <w:spacing w:after="0"/>
              <w:rPr>
                <w:sz w:val="20"/>
                <w:szCs w:val="20"/>
                <w:color w:val="auto"/>
              </w:rPr>
            </w:pPr>
            <w:r>
              <w:rPr>
                <w:rFonts w:ascii="Arial" w:cs="Arial" w:eastAsia="Arial" w:hAnsi="Arial"/>
                <w:sz w:val="14"/>
                <w:szCs w:val="14"/>
                <w:color w:val="auto"/>
              </w:rPr>
              <w:t>At fair value as of June 30, 2009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436</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25</w:t>
            </w: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452</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660"/>
              <w:spacing w:after="0"/>
              <w:rPr>
                <w:sz w:val="20"/>
                <w:szCs w:val="20"/>
                <w:color w:val="auto"/>
              </w:rPr>
            </w:pPr>
            <w:r>
              <w:rPr>
                <w:rFonts w:ascii="Arial" w:cs="Arial" w:eastAsia="Arial" w:hAnsi="Arial"/>
                <w:sz w:val="16"/>
                <w:szCs w:val="16"/>
                <w:color w:val="auto"/>
              </w:rPr>
              <w:t>25 $</w:t>
            </w: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ind w:left="680"/>
              <w:spacing w:after="0"/>
              <w:rPr>
                <w:sz w:val="20"/>
                <w:szCs w:val="20"/>
                <w:color w:val="auto"/>
              </w:rPr>
            </w:pPr>
            <w:r>
              <w:rPr>
                <w:rFonts w:ascii="Arial" w:cs="Arial" w:eastAsia="Arial" w:hAnsi="Arial"/>
                <w:sz w:val="16"/>
                <w:szCs w:val="16"/>
                <w:color w:val="auto"/>
                <w:w w:val="98"/>
              </w:rPr>
              <w:t>(45)</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ind w:left="680"/>
              <w:spacing w:after="0"/>
              <w:rPr>
                <w:sz w:val="20"/>
                <w:szCs w:val="20"/>
                <w:color w:val="auto"/>
              </w:rPr>
            </w:pPr>
            <w:r>
              <w:rPr>
                <w:rFonts w:ascii="Arial" w:cs="Arial" w:eastAsia="Arial" w:hAnsi="Arial"/>
                <w:sz w:val="16"/>
                <w:szCs w:val="16"/>
                <w:color w:val="auto"/>
                <w:w w:val="98"/>
              </w:rPr>
              <w:t>(45)</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40" w:type="dxa"/>
            <w:vAlign w:val="bottom"/>
            <w:gridSpan w:val="4"/>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62"/>
              <w:spacing w:after="0"/>
              <w:rPr>
                <w:sz w:val="20"/>
                <w:szCs w:val="20"/>
                <w:color w:val="auto"/>
              </w:rPr>
            </w:pPr>
            <w:r>
              <w:rPr>
                <w:rFonts w:ascii="Arial" w:cs="Arial" w:eastAsia="Arial" w:hAnsi="Arial"/>
                <w:sz w:val="14"/>
                <w:szCs w:val="14"/>
                <w:color w:val="auto"/>
              </w:rPr>
              <w:t>At fair value as of December 31, 2008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Netting and</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Collateral</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Arial" w:cs="Arial" w:eastAsia="Arial" w:hAnsi="Arial"/>
                <w:sz w:val="16"/>
                <w:szCs w:val="16"/>
                <w:color w:val="auto"/>
              </w:rPr>
              <w:t>27</w:t>
            </w:r>
          </w:p>
        </w:tc>
        <w:tc>
          <w:tcPr>
            <w:tcW w:w="980" w:type="dxa"/>
            <w:vAlign w:val="bottom"/>
          </w:tcPr>
          <w:p>
            <w:pPr>
              <w:ind w:left="8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660"/>
              <w:spacing w:after="0"/>
              <w:rPr>
                <w:sz w:val="20"/>
                <w:szCs w:val="20"/>
                <w:color w:val="auto"/>
              </w:rPr>
            </w:pPr>
            <w:r>
              <w:rPr>
                <w:rFonts w:ascii="Arial" w:cs="Arial" w:eastAsia="Arial" w:hAnsi="Arial"/>
                <w:sz w:val="16"/>
                <w:szCs w:val="16"/>
                <w:color w:val="auto"/>
              </w:rPr>
              <w:t>27 $</w:t>
            </w:r>
          </w:p>
        </w:tc>
        <w:tc>
          <w:tcPr>
            <w:tcW w:w="1340" w:type="dxa"/>
            <w:vAlign w:val="bottom"/>
            <w:gridSpan w:val="2"/>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ind w:left="680"/>
              <w:spacing w:after="0"/>
              <w:rPr>
                <w:sz w:val="20"/>
                <w:szCs w:val="20"/>
                <w:color w:val="auto"/>
              </w:rPr>
            </w:pPr>
            <w:r>
              <w:rPr>
                <w:rFonts w:ascii="Arial" w:cs="Arial" w:eastAsia="Arial" w:hAnsi="Arial"/>
                <w:sz w:val="16"/>
                <w:szCs w:val="16"/>
                <w:color w:val="auto"/>
                <w:w w:val="98"/>
              </w:rPr>
              <w:t>(52)</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980" w:type="dxa"/>
            <w:vAlign w:val="bottom"/>
          </w:tcPr>
          <w:p>
            <w:pPr>
              <w:ind w:left="680"/>
              <w:spacing w:after="0"/>
              <w:rPr>
                <w:sz w:val="20"/>
                <w:szCs w:val="20"/>
                <w:color w:val="auto"/>
              </w:rPr>
            </w:pPr>
            <w:r>
              <w:rPr>
                <w:rFonts w:ascii="Arial" w:cs="Arial" w:eastAsia="Arial" w:hAnsi="Arial"/>
                <w:sz w:val="16"/>
                <w:szCs w:val="16"/>
                <w:color w:val="auto"/>
                <w:w w:val="98"/>
              </w:rPr>
              <w:t>(52)</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Excludes cash balances.</w:t>
      </w:r>
    </w:p>
    <w:p>
      <w:pPr>
        <w:sectPr>
          <w:pgSz w:w="11900" w:h="16838" w:orient="portrait"/>
          <w:cols w:equalWidth="0" w:num="1">
            <w:col w:w="10219"/>
          </w:cols>
          <w:pgMar w:left="240" w:top="416" w:right="1440" w:bottom="1440" w:gutter="0" w:footer="0" w:header="0"/>
        </w:sectPr>
      </w:pPr>
    </w:p>
    <w:bookmarkStart w:id="52" w:name="page53"/>
    <w:bookmarkEnd w:id="5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65470" cy="272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5470" cy="272415"/>
                    </a:xfrm>
                    <a:prstGeom prst="rect">
                      <a:avLst/>
                    </a:prstGeom>
                    <a:noFill/>
                  </pic:spPr>
                </pic:pic>
              </a:graphicData>
            </a:graphic>
          </wp:anchor>
        </w:drawing>
        <w:t>RECURRING FAIR VALUE MEASURES -- SOCALGAS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center"/>
              <w:ind w:right="623"/>
              <w:spacing w:after="0"/>
              <w:rPr>
                <w:sz w:val="20"/>
                <w:szCs w:val="20"/>
                <w:color w:val="auto"/>
              </w:rPr>
            </w:pPr>
            <w:r>
              <w:rPr>
                <w:rFonts w:ascii="Arial" w:cs="Arial" w:eastAsia="Arial" w:hAnsi="Arial"/>
                <w:sz w:val="14"/>
                <w:szCs w:val="14"/>
                <w:color w:val="auto"/>
              </w:rPr>
              <w:t>At fair value as of June 30, 2009</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jc w:val="center"/>
              <w:ind w:right="223"/>
              <w:spacing w:after="0"/>
              <w:rPr>
                <w:sz w:val="20"/>
                <w:szCs w:val="20"/>
                <w:color w:val="auto"/>
              </w:rPr>
            </w:pPr>
            <w:r>
              <w:rPr>
                <w:rFonts w:ascii="Arial" w:cs="Arial" w:eastAsia="Arial" w:hAnsi="Arial"/>
                <w:sz w:val="14"/>
                <w:szCs w:val="14"/>
                <w:color w:val="auto"/>
              </w:rPr>
              <w:t>Netting and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134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color w:val="auto"/>
              </w:rPr>
              <w:t>Collateral</w:t>
            </w: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700" w:type="dxa"/>
            <w:vAlign w:val="bottom"/>
            <w:gridSpan w:val="4"/>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center"/>
              <w:ind w:right="623"/>
              <w:spacing w:after="0"/>
              <w:rPr>
                <w:sz w:val="20"/>
                <w:szCs w:val="20"/>
                <w:color w:val="auto"/>
              </w:rPr>
            </w:pPr>
            <w:r>
              <w:rPr>
                <w:rFonts w:ascii="Arial" w:cs="Arial" w:eastAsia="Arial" w:hAnsi="Arial"/>
                <w:sz w:val="14"/>
                <w:szCs w:val="14"/>
                <w:color w:val="auto"/>
              </w:rPr>
              <w:t>At fair value as of December 31, 2008</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jc w:val="center"/>
              <w:ind w:right="223"/>
              <w:spacing w:after="0"/>
              <w:rPr>
                <w:sz w:val="20"/>
                <w:szCs w:val="20"/>
                <w:color w:val="auto"/>
              </w:rPr>
            </w:pPr>
            <w:r>
              <w:rPr>
                <w:rFonts w:ascii="Arial" w:cs="Arial" w:eastAsia="Arial" w:hAnsi="Arial"/>
                <w:sz w:val="14"/>
                <w:szCs w:val="14"/>
                <w:color w:val="auto"/>
              </w:rPr>
              <w:t>Netting and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c>
          <w:tcPr>
            <w:tcW w:w="134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color w:val="auto"/>
              </w:rPr>
              <w:t>Collateral</w:t>
            </w: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tcPr>
          <w:p>
            <w:pPr>
              <w:ind w:left="86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134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140" w:type="dxa"/>
            <w:vAlign w:val="bottom"/>
          </w:tcPr>
          <w:p>
            <w:pPr>
              <w:ind w:left="780"/>
              <w:spacing w:after="0"/>
              <w:rPr>
                <w:sz w:val="20"/>
                <w:szCs w:val="20"/>
                <w:color w:val="auto"/>
              </w:rPr>
            </w:pPr>
            <w:r>
              <w:rPr>
                <w:rFonts w:ascii="Arial" w:cs="Arial" w:eastAsia="Arial" w:hAnsi="Arial"/>
                <w:sz w:val="16"/>
                <w:szCs w:val="16"/>
                <w:color w:val="auto"/>
              </w:rPr>
              <w:t>- $</w:t>
            </w:r>
          </w:p>
        </w:tc>
        <w:tc>
          <w:tcPr>
            <w:tcW w:w="1340" w:type="dxa"/>
            <w:vAlign w:val="bottom"/>
          </w:tcPr>
          <w:p>
            <w:pPr>
              <w:ind w:left="680"/>
              <w:spacing w:after="0"/>
              <w:rPr>
                <w:sz w:val="20"/>
                <w:szCs w:val="20"/>
                <w:color w:val="auto"/>
              </w:rPr>
            </w:pPr>
            <w:r>
              <w:rPr>
                <w:rFonts w:ascii="Arial" w:cs="Arial" w:eastAsia="Arial" w:hAnsi="Arial"/>
                <w:sz w:val="16"/>
                <w:szCs w:val="16"/>
                <w:color w:val="auto"/>
              </w:rPr>
              <w:t>(11) $</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134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following table sets forth reconciliations of changes in the fair value of net trading and other derivatives classified as Level 3 in the fair value hierarchy:</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7"/>
        </w:trPr>
        <w:tc>
          <w:tcPr>
            <w:tcW w:w="38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629"/>
              <w:spacing w:after="0"/>
              <w:rPr>
                <w:sz w:val="20"/>
                <w:szCs w:val="20"/>
                <w:color w:val="auto"/>
              </w:rPr>
            </w:pPr>
            <w:r>
              <w:rPr>
                <w:rFonts w:ascii="Arial" w:cs="Arial" w:eastAsia="Arial" w:hAnsi="Arial"/>
                <w:sz w:val="14"/>
                <w:szCs w:val="14"/>
                <w:color w:val="auto"/>
              </w:rPr>
              <w:t>Consolidated</w:t>
            </w: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729"/>
              <w:spacing w:after="0"/>
              <w:rPr>
                <w:sz w:val="20"/>
                <w:szCs w:val="20"/>
                <w:color w:val="auto"/>
              </w:rPr>
            </w:pPr>
            <w:r>
              <w:rPr>
                <w:rFonts w:ascii="Arial" w:cs="Arial" w:eastAsia="Arial" w:hAnsi="Arial"/>
                <w:sz w:val="14"/>
                <w:szCs w:val="14"/>
                <w:color w:val="auto"/>
              </w:rPr>
              <w:t>SDG&amp;E</w:t>
            </w:r>
          </w:p>
        </w:tc>
      </w:tr>
      <w:tr>
        <w:trPr>
          <w:trHeight w:val="194"/>
        </w:trPr>
        <w:tc>
          <w:tcPr>
            <w:tcW w:w="3840" w:type="dxa"/>
            <w:vAlign w:val="bottom"/>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 June 30,</w:t>
            </w:r>
          </w:p>
        </w:tc>
        <w:tc>
          <w:tcPr>
            <w:tcW w:w="240" w:type="dxa"/>
            <w:vAlign w:val="bottom"/>
          </w:tcPr>
          <w:p>
            <w:pPr>
              <w:spacing w:after="0"/>
              <w:rPr>
                <w:sz w:val="16"/>
                <w:szCs w:val="16"/>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 June 30,</w:t>
            </w:r>
          </w:p>
        </w:tc>
      </w:tr>
      <w:tr>
        <w:trPr>
          <w:trHeight w:val="189"/>
        </w:trPr>
        <w:tc>
          <w:tcPr>
            <w:tcW w:w="3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jc w:val="right"/>
              <w:spacing w:after="0"/>
              <w:rPr>
                <w:sz w:val="20"/>
                <w:szCs w:val="20"/>
                <w:color w:val="auto"/>
              </w:rPr>
            </w:pPr>
            <w:r>
              <w:rPr>
                <w:rFonts w:ascii="Arial" w:cs="Arial" w:eastAsia="Arial" w:hAnsi="Arial"/>
                <w:sz w:val="14"/>
                <w:szCs w:val="14"/>
                <w:color w:val="auto"/>
              </w:rPr>
              <w:t>2009</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2008</w:t>
            </w:r>
          </w:p>
        </w:tc>
        <w:tc>
          <w:tcPr>
            <w:tcW w:w="1040" w:type="dxa"/>
            <w:vAlign w:val="bottom"/>
            <w:gridSpan w:val="2"/>
          </w:tcPr>
          <w:p>
            <w:pPr>
              <w:jc w:val="right"/>
              <w:ind w:right="29"/>
              <w:spacing w:after="0"/>
              <w:rPr>
                <w:sz w:val="20"/>
                <w:szCs w:val="20"/>
                <w:color w:val="auto"/>
              </w:rPr>
            </w:pPr>
            <w:r>
              <w:rPr>
                <w:rFonts w:ascii="Arial" w:cs="Arial" w:eastAsia="Arial" w:hAnsi="Arial"/>
                <w:sz w:val="14"/>
                <w:szCs w:val="14"/>
                <w:color w:val="auto"/>
              </w:rPr>
              <w:t>2009</w:t>
            </w:r>
          </w:p>
        </w:tc>
        <w:tc>
          <w:tcPr>
            <w:tcW w:w="1460" w:type="dxa"/>
            <w:vAlign w:val="bottom"/>
          </w:tcPr>
          <w:p>
            <w:pPr>
              <w:jc w:val="right"/>
              <w:ind w:right="349"/>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461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61000" cy="8255"/>
                    </a:xfrm>
                    <a:prstGeom prst="rect">
                      <a:avLst/>
                    </a:prstGeom>
                    <a:noFill/>
                  </pic:spPr>
                </pic:pic>
              </a:graphicData>
            </a:graphic>
          </wp:anchor>
        </w:drawing>
      </w:r>
    </w:p>
    <w:p>
      <w:pPr>
        <w:sectPr>
          <w:pgSz w:w="11900" w:h="16838" w:orient="portrait"/>
          <w:cols w:equalWidth="0" w:num="1">
            <w:col w:w="11320"/>
          </w:cols>
          <w:pgMar w:left="240" w:top="416"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April 1</w:t>
      </w:r>
    </w:p>
    <w:p>
      <w:pPr>
        <w:spacing w:after="0" w:line="30" w:lineRule="exact"/>
        <w:rPr>
          <w:sz w:val="20"/>
          <w:szCs w:val="20"/>
          <w:color w:val="auto"/>
        </w:rPr>
      </w:pPr>
    </w:p>
    <w:p>
      <w:pPr>
        <w:ind w:left="200" w:right="1100"/>
        <w:spacing w:after="0" w:line="285" w:lineRule="auto"/>
        <w:rPr>
          <w:sz w:val="20"/>
          <w:szCs w:val="20"/>
          <w:color w:val="auto"/>
        </w:rPr>
      </w:pPr>
      <w:r>
        <w:rPr>
          <w:rFonts w:ascii="Arial" w:cs="Arial" w:eastAsia="Arial" w:hAnsi="Arial"/>
          <w:sz w:val="16"/>
          <w:szCs w:val="16"/>
          <w:color w:val="auto"/>
        </w:rPr>
        <w:t>Realized and unrealized losses Purchases and issuances Settlements</w:t>
      </w:r>
    </w:p>
    <w:p>
      <w:pPr>
        <w:spacing w:after="0" w:line="1" w:lineRule="exact"/>
        <w:rPr>
          <w:sz w:val="20"/>
          <w:szCs w:val="20"/>
          <w:color w:val="auto"/>
        </w:rPr>
      </w:pPr>
    </w:p>
    <w:p>
      <w:pPr>
        <w:ind w:left="20" w:firstLine="179"/>
        <w:spacing w:after="0" w:line="332" w:lineRule="auto"/>
        <w:rPr>
          <w:sz w:val="20"/>
          <w:szCs w:val="20"/>
          <w:color w:val="auto"/>
        </w:rPr>
      </w:pPr>
      <w:r>
        <w:rPr>
          <w:rFonts w:ascii="Arial" w:cs="Arial" w:eastAsia="Arial" w:hAnsi="Arial"/>
          <w:sz w:val="16"/>
          <w:szCs w:val="16"/>
          <w:color w:val="auto"/>
        </w:rPr>
        <w:t>Sale of the commodities-marketing businesses Balance as of June 30</w:t>
      </w:r>
    </w:p>
    <w:p>
      <w:pPr>
        <w:ind w:left="200" w:right="800" w:hanging="178"/>
        <w:spacing w:after="0" w:line="291" w:lineRule="auto"/>
        <w:rPr>
          <w:sz w:val="20"/>
          <w:szCs w:val="20"/>
          <w:color w:val="auto"/>
        </w:rPr>
      </w:pPr>
      <w:r>
        <w:rPr>
          <w:rFonts w:ascii="Arial" w:cs="Arial" w:eastAsia="Arial" w:hAnsi="Arial"/>
          <w:sz w:val="16"/>
          <w:szCs w:val="16"/>
          <w:color w:val="auto"/>
        </w:rPr>
        <w:t>Change in unrealized gains relating to instruments still held at June 30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343</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(336)</w:t>
            </w: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480" w:type="dxa"/>
            <w:vAlign w:val="bottom"/>
            <w:shd w:val="clear" w:color="auto" w:fill="000000"/>
          </w:tcPr>
          <w:p>
            <w:pPr>
              <w:spacing w:after="0"/>
              <w:rPr>
                <w:sz w:val="7"/>
                <w:szCs w:val="7"/>
                <w:color w:val="auto"/>
              </w:rPr>
            </w:pPr>
          </w:p>
        </w:tc>
        <w:tc>
          <w:tcPr>
            <w:tcW w:w="1060" w:type="dxa"/>
            <w:vAlign w:val="bottom"/>
            <w:gridSpan w:val="2"/>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1140" w:type="dxa"/>
            <w:vAlign w:val="bottom"/>
            <w:gridSpan w:val="2"/>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r>
      <w:tr>
        <w:trPr>
          <w:trHeight w:val="423"/>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3810</wp:posOffset>
            </wp:positionV>
            <wp:extent cx="546100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61000" cy="5080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3520" w:space="340"/>
            <w:col w:w="7460"/>
          </w:cols>
          <w:pgMar w:left="240" w:top="416" w:right="339" w:bottom="1440" w:gutter="0" w:footer="0" w:header="0"/>
          <w:type w:val="continuous"/>
        </w:sectPr>
      </w:pP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7"/>
        </w:trPr>
        <w:tc>
          <w:tcPr>
            <w:tcW w:w="38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629"/>
              <w:spacing w:after="0"/>
              <w:rPr>
                <w:sz w:val="20"/>
                <w:szCs w:val="20"/>
                <w:color w:val="auto"/>
              </w:rPr>
            </w:pPr>
            <w:r>
              <w:rPr>
                <w:rFonts w:ascii="Arial" w:cs="Arial" w:eastAsia="Arial" w:hAnsi="Arial"/>
                <w:sz w:val="14"/>
                <w:szCs w:val="14"/>
                <w:color w:val="auto"/>
              </w:rPr>
              <w:t>Consolidated</w:t>
            </w: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729"/>
              <w:spacing w:after="0"/>
              <w:rPr>
                <w:sz w:val="20"/>
                <w:szCs w:val="20"/>
                <w:color w:val="auto"/>
              </w:rPr>
            </w:pPr>
            <w:r>
              <w:rPr>
                <w:rFonts w:ascii="Arial" w:cs="Arial" w:eastAsia="Arial" w:hAnsi="Arial"/>
                <w:sz w:val="14"/>
                <w:szCs w:val="14"/>
                <w:color w:val="auto"/>
              </w:rPr>
              <w:t>SDG&amp;E</w:t>
            </w:r>
          </w:p>
        </w:tc>
      </w:tr>
      <w:tr>
        <w:trPr>
          <w:trHeight w:val="194"/>
        </w:trPr>
        <w:tc>
          <w:tcPr>
            <w:tcW w:w="3840" w:type="dxa"/>
            <w:vAlign w:val="bottom"/>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Six months ended June 30,</w:t>
            </w:r>
          </w:p>
        </w:tc>
        <w:tc>
          <w:tcPr>
            <w:tcW w:w="240" w:type="dxa"/>
            <w:vAlign w:val="bottom"/>
          </w:tcPr>
          <w:p>
            <w:pPr>
              <w:spacing w:after="0"/>
              <w:rPr>
                <w:sz w:val="16"/>
                <w:szCs w:val="16"/>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Six months ended June 30,</w:t>
            </w:r>
          </w:p>
        </w:tc>
      </w:tr>
      <w:tr>
        <w:trPr>
          <w:trHeight w:val="189"/>
        </w:trPr>
        <w:tc>
          <w:tcPr>
            <w:tcW w:w="3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jc w:val="right"/>
              <w:spacing w:after="0"/>
              <w:rPr>
                <w:sz w:val="20"/>
                <w:szCs w:val="20"/>
                <w:color w:val="auto"/>
              </w:rPr>
            </w:pPr>
            <w:r>
              <w:rPr>
                <w:rFonts w:ascii="Arial" w:cs="Arial" w:eastAsia="Arial" w:hAnsi="Arial"/>
                <w:sz w:val="14"/>
                <w:szCs w:val="14"/>
                <w:color w:val="auto"/>
              </w:rPr>
              <w:t>2009</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2008</w:t>
            </w:r>
          </w:p>
        </w:tc>
        <w:tc>
          <w:tcPr>
            <w:tcW w:w="1040" w:type="dxa"/>
            <w:vAlign w:val="bottom"/>
            <w:gridSpan w:val="2"/>
          </w:tcPr>
          <w:p>
            <w:pPr>
              <w:jc w:val="right"/>
              <w:ind w:right="29"/>
              <w:spacing w:after="0"/>
              <w:rPr>
                <w:sz w:val="20"/>
                <w:szCs w:val="20"/>
                <w:color w:val="auto"/>
              </w:rPr>
            </w:pPr>
            <w:r>
              <w:rPr>
                <w:rFonts w:ascii="Arial" w:cs="Arial" w:eastAsia="Arial" w:hAnsi="Arial"/>
                <w:sz w:val="14"/>
                <w:szCs w:val="14"/>
                <w:color w:val="auto"/>
              </w:rPr>
              <w:t>2009</w:t>
            </w:r>
          </w:p>
        </w:tc>
        <w:tc>
          <w:tcPr>
            <w:tcW w:w="1460" w:type="dxa"/>
            <w:vAlign w:val="bottom"/>
          </w:tcPr>
          <w:p>
            <w:pPr>
              <w:jc w:val="right"/>
              <w:ind w:right="349"/>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4610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1000" cy="8255"/>
                    </a:xfrm>
                    <a:prstGeom prst="rect">
                      <a:avLst/>
                    </a:prstGeom>
                    <a:noFill/>
                  </pic:spPr>
                </pic:pic>
              </a:graphicData>
            </a:graphic>
          </wp:anchor>
        </w:drawing>
      </w:r>
    </w:p>
    <w:p>
      <w:pPr>
        <w:sectPr>
          <w:pgSz w:w="11900" w:h="16838" w:orient="portrait"/>
          <w:cols w:equalWidth="0" w:num="1">
            <w:col w:w="11320"/>
          </w:cols>
          <w:pgMar w:left="240" w:top="416" w:right="339" w:bottom="1440" w:gutter="0" w:footer="0" w:header="0"/>
          <w:type w:val="continuous"/>
        </w:sectPr>
      </w:pPr>
    </w:p>
    <w:p>
      <w:pPr>
        <w:spacing w:after="0" w:line="40" w:lineRule="exact"/>
        <w:rPr>
          <w:sz w:val="20"/>
          <w:szCs w:val="20"/>
          <w:color w:val="auto"/>
        </w:rPr>
      </w:pPr>
    </w:p>
    <w:p>
      <w:pPr>
        <w:ind w:left="200" w:right="1100" w:hanging="178"/>
        <w:spacing w:after="0" w:line="283" w:lineRule="auto"/>
        <w:rPr>
          <w:sz w:val="20"/>
          <w:szCs w:val="20"/>
          <w:color w:val="auto"/>
        </w:rPr>
      </w:pPr>
      <w:r>
        <w:rPr>
          <w:rFonts w:ascii="Arial" w:cs="Arial" w:eastAsia="Arial" w:hAnsi="Arial"/>
          <w:sz w:val="16"/>
          <w:szCs w:val="16"/>
          <w:color w:val="auto"/>
        </w:rPr>
        <w:t>Balance as of January 1 Realized and unrealized losses Purchases and issuances Settlements</w:t>
      </w:r>
    </w:p>
    <w:p>
      <w:pPr>
        <w:spacing w:after="0" w:line="3" w:lineRule="exact"/>
        <w:rPr>
          <w:sz w:val="20"/>
          <w:szCs w:val="20"/>
          <w:color w:val="auto"/>
        </w:rPr>
      </w:pPr>
    </w:p>
    <w:p>
      <w:pPr>
        <w:ind w:left="20" w:firstLine="179"/>
        <w:spacing w:after="0" w:line="332" w:lineRule="auto"/>
        <w:rPr>
          <w:sz w:val="20"/>
          <w:szCs w:val="20"/>
          <w:color w:val="auto"/>
        </w:rPr>
      </w:pPr>
      <w:r>
        <w:rPr>
          <w:rFonts w:ascii="Arial" w:cs="Arial" w:eastAsia="Arial" w:hAnsi="Arial"/>
          <w:sz w:val="16"/>
          <w:szCs w:val="16"/>
          <w:color w:val="auto"/>
        </w:rPr>
        <w:t>Sale of the commodities-marketing businesses Balance as of June 30</w:t>
      </w:r>
    </w:p>
    <w:p>
      <w:pPr>
        <w:ind w:left="200" w:right="800" w:hanging="178"/>
        <w:spacing w:after="0" w:line="291" w:lineRule="auto"/>
        <w:rPr>
          <w:sz w:val="20"/>
          <w:szCs w:val="20"/>
          <w:color w:val="auto"/>
        </w:rPr>
      </w:pPr>
      <w:r>
        <w:rPr>
          <w:rFonts w:ascii="Arial" w:cs="Arial" w:eastAsia="Arial" w:hAnsi="Arial"/>
          <w:sz w:val="16"/>
          <w:szCs w:val="16"/>
          <w:color w:val="auto"/>
        </w:rPr>
        <w:t>Change in unrealized gains relating to instruments still held at June 30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401</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(82)</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(336)</w:t>
            </w: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480" w:type="dxa"/>
            <w:vAlign w:val="bottom"/>
            <w:shd w:val="clear" w:color="auto" w:fill="000000"/>
          </w:tcPr>
          <w:p>
            <w:pPr>
              <w:spacing w:after="0"/>
              <w:rPr>
                <w:sz w:val="7"/>
                <w:szCs w:val="7"/>
                <w:color w:val="auto"/>
              </w:rPr>
            </w:pPr>
          </w:p>
        </w:tc>
        <w:tc>
          <w:tcPr>
            <w:tcW w:w="1060" w:type="dxa"/>
            <w:vAlign w:val="bottom"/>
            <w:gridSpan w:val="2"/>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1140" w:type="dxa"/>
            <w:vAlign w:val="bottom"/>
            <w:gridSpan w:val="2"/>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r>
      <w:tr>
        <w:trPr>
          <w:trHeight w:val="423"/>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3810</wp:posOffset>
            </wp:positionV>
            <wp:extent cx="546100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1000" cy="50800"/>
                    </a:xfrm>
                    <a:prstGeom prst="rect">
                      <a:avLst/>
                    </a:prstGeom>
                    <a:noFill/>
                  </pic:spPr>
                </pic:pic>
              </a:graphicData>
            </a:graphic>
          </wp:anchor>
        </w:drawing>
      </w:r>
    </w:p>
    <w:p>
      <w:pPr>
        <w:sectPr>
          <w:pgSz w:w="11900" w:h="16838" w:orient="portrait"/>
          <w:cols w:equalWidth="0" w:num="2">
            <w:col w:w="3520" w:space="340"/>
            <w:col w:w="7460"/>
          </w:cols>
          <w:pgMar w:left="240" w:top="416"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1"/>
          <w:szCs w:val="21"/>
          <w:color w:val="auto"/>
        </w:rPr>
        <w:t>There were no transfers in or out of Level 3 during the periods presented.</w:t>
      </w:r>
    </w:p>
    <w:p>
      <w:pPr>
        <w:spacing w:after="0" w:line="93"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Gains and losses (realized and unrealized) for Level 3 recurring items are primarily related to the commodities-marketing businesses and were included in Revenues for Sempra Global and Parent on the Condensed Consolidated Statement of Operations for the three months ended March 31, 2008. With the sale of these businesses on April 1, 2008, Level 3 recurring activity was substantially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247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NOTE 9. SEMPRA UTILITIES' REGULATORY MATTERS</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POWER PROCUREMENT AND RESOURCE PLANNING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Sunrise Powerlink Electric Transmission Line</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December 2008, the California Public Utilities Commission (CPUC) issued a final decision authorizing SDG&amp;E to construct a 500-kilovolt (kV) electric transmission line between the Imperial Valley and the San Diego region (Sunrise Powerlink). This line is designed to provide 1,000 MW of increased import capability into the San Diego area. The decision allows SDG&amp;E to construct the Sunrise Powerlink along a route that would generally run south of the Anza-Borrego Desert State Park. The decision also approves the environmental impact review conducted jointly by the CPUC and the Bureau of Land Management (BLM) and establishes a total project cost cap of $1.883 billion, including approximately $190 million for environmental mitigation costs. In January 2009, the BLM issued its decision approving the project, route and environmental review. We provided the details of the CPUC's decision in Note 14 of the Notes to Consolidated Financial Statements in the An nual Report.</w:t>
      </w:r>
    </w:p>
    <w:p>
      <w:pPr>
        <w:spacing w:after="0" w:line="32"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After the issuance of the CPUC final decision, applications for rehearing before the CPUC were filed by the Utility Consumers Action Network (UCAN) and the Center for Biological Diversity/Sierra Club (CBD). The CPUC issued a final decision in July 2009 denying the requests for rehearing. These parties may still appeal to the California Courts of Appeal and/or to the California Supreme Court on or before August 12, 2009.</w:t>
      </w:r>
    </w:p>
    <w:p>
      <w:pPr>
        <w:spacing w:after="0" w:line="52" w:lineRule="exact"/>
        <w:rPr>
          <w:sz w:val="20"/>
          <w:szCs w:val="20"/>
          <w:color w:val="auto"/>
        </w:rPr>
      </w:pPr>
    </w:p>
    <w:p>
      <w:pPr>
        <w:ind w:right="180"/>
        <w:spacing w:after="0" w:line="244" w:lineRule="auto"/>
        <w:rPr>
          <w:sz w:val="20"/>
          <w:szCs w:val="20"/>
          <w:color w:val="auto"/>
        </w:rPr>
      </w:pPr>
      <w:r>
        <w:rPr>
          <w:rFonts w:ascii="Arial" w:cs="Arial" w:eastAsia="Arial" w:hAnsi="Arial"/>
          <w:sz w:val="21"/>
          <w:szCs w:val="21"/>
          <w:color w:val="auto"/>
        </w:rPr>
        <w:t>The Sunrise Powerlink route crosses federal land and requires approvals from the BLM and the United States Forest Service (USFS). Three appeals of the BLM decision approving the segment of the route in its jurisdiction were filed by individuals, a community organization, and the Viejas Indian tribe in March 2009. A request to stay the BLM's decision was also filed. The Interior Board of Land Appeals has dismissed the appeal filed by the individuals and issued a ruling in July 2009 denying the request for stay. In addition, the Viejas Indian tribe withdrew its appeal in July 2009. The BLM is still reviewing the one remaining appeal. SDG&amp;E expects the USFS to issue a decision approving the segment of the route in its jurisdiction in 2009. The USFS decision is also subject to administrative and judicial appeals.</w:t>
      </w:r>
    </w:p>
    <w:p>
      <w:pPr>
        <w:spacing w:after="0" w:line="63"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SDG&amp;E commenced procurement activities in the first quarter of 2009, but before construction can begin, additional agency permits, subject to administrative and judicial appeals, must be obtained. The total amount invested by SDG&amp;E in the Sunrise Powerlink project as of June 30, 2009 was $154 million, which is included in Property, Plant and Equipment on the Condensed Consolidated Balance Sheets of Sempra Energy and SDG&amp;E. SDG&amp;E expects the Sunrise Powerlink to be in commercial operation in 2012.</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Renewable Energy</w:t>
      </w:r>
    </w:p>
    <w:p>
      <w:pPr>
        <w:spacing w:after="0" w:line="47" w:lineRule="exact"/>
        <w:rPr>
          <w:sz w:val="20"/>
          <w:szCs w:val="20"/>
          <w:color w:val="auto"/>
        </w:rPr>
      </w:pPr>
    </w:p>
    <w:p>
      <w:pPr>
        <w:ind w:right="560"/>
        <w:spacing w:after="0" w:line="255" w:lineRule="auto"/>
        <w:rPr>
          <w:sz w:val="20"/>
          <w:szCs w:val="20"/>
          <w:color w:val="auto"/>
        </w:rPr>
      </w:pPr>
      <w:r>
        <w:rPr>
          <w:rFonts w:ascii="Arial" w:cs="Arial" w:eastAsia="Arial" w:hAnsi="Arial"/>
          <w:sz w:val="21"/>
          <w:szCs w:val="21"/>
          <w:color w:val="auto"/>
        </w:rPr>
        <w:t>Certain California electric retail sellers, including SDG&amp;E, are required to deliver 20 percent of their 2010 retail demand from renewable energy sources. The rules governing this requirement, administered by both the CPUC and the California Energy Commission, are generally known as the Renewables Portfolio Standard (RPS) Program.</w:t>
      </w:r>
    </w:p>
    <w:p>
      <w:pPr>
        <w:spacing w:after="0" w:line="47"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In February 2008, the CPUC issued a decision defining flexible compliance mechanisms that can be used to defer compliance with or meet the RPS Program mandates in 2010 and beyond. The decision established that a finding by the CPUC of insufficient transmission is a permissible reason to defer compliance with the RPS Program mandates. The CPUC is also expected to implement a renewable energy credits trading system in 2009, which would provide another mechanism to better enable SDG&amp;E to meet its RPS goals.</w:t>
      </w:r>
    </w:p>
    <w:p>
      <w:pPr>
        <w:sectPr>
          <w:pgSz w:w="11900" w:h="16838" w:orient="portrait"/>
          <w:cols w:equalWidth="0" w:num="1">
            <w:col w:w="11420"/>
          </w:cols>
          <w:pgMar w:left="240" w:top="868" w:right="239" w:bottom="1440" w:gutter="0" w:footer="0" w:header="0"/>
        </w:sectPr>
      </w:pPr>
    </w:p>
    <w:bookmarkStart w:id="54" w:name="page55"/>
    <w:bookmarkEnd w:id="54"/>
    <w:p>
      <w:pPr>
        <w:ind w:right="400"/>
        <w:spacing w:after="0" w:line="259" w:lineRule="auto"/>
        <w:rPr>
          <w:sz w:val="20"/>
          <w:szCs w:val="20"/>
          <w:color w:val="auto"/>
        </w:rPr>
      </w:pPr>
      <w:r>
        <w:rPr>
          <w:rFonts w:ascii="Arial" w:cs="Arial" w:eastAsia="Arial" w:hAnsi="Arial"/>
          <w:sz w:val="21"/>
          <w:szCs w:val="21"/>
          <w:color w:val="auto"/>
        </w:rPr>
        <w:t>SDG&amp;E continues to aggressively secure renewable energy supplies to achieve the RPS Program goals. A substantial number of these supply contracts, however, are contingent upon many factors, including:</w:t>
      </w:r>
    </w:p>
    <w:p>
      <w:pPr>
        <w:spacing w:after="0" w:line="2" w:lineRule="exact"/>
        <w:rPr>
          <w:sz w:val="20"/>
          <w:szCs w:val="20"/>
          <w:color w:val="auto"/>
        </w:rPr>
      </w:pPr>
    </w:p>
    <w:p>
      <w:pPr>
        <w:ind w:left="180" w:hanging="173"/>
        <w:spacing w:after="0"/>
        <w:tabs>
          <w:tab w:leader="none" w:pos="1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access to electric transmission infrastructure (including SDG&amp;E's Sunrise Powerlink transmission line);</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timely regulatory approval of contracted renewable energy projects;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renewable energy project developers' ability to obtain project financing and permitting;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successful development and implementation of the renewable energy technologies.</w:t>
      </w:r>
    </w:p>
    <w:p>
      <w:pPr>
        <w:spacing w:after="0" w:line="129"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As previously noted, SDG&amp;E expects the Sunrise Powerlink transmission line to be in operation in 2012. This would be too late to provide transmission capability to meet the RPS Program requirements for 2010 and 2011. However, SDG&amp;E believes it will be able to comply with the RPS Program requirements based on its contracting activity and application of the flexible compliance mechanisms. Without the application of the flexible compliance mechanisms, SDG&amp;E's failure to attain the 20-percent goal in 2010, or any subsequent years' goals, could subject it to CPUC-imposed penalties of 5 cents per kilowatt hour of renewable energy under-delivery up to a maximum penalty of $25 million per year.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Solar Photovoltaic Program</w:t>
      </w:r>
    </w:p>
    <w:p>
      <w:pPr>
        <w:spacing w:after="0" w:line="47"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In July 2008, SDG&amp;E filed an application with the CPUC proposing to install solar photovoltaic panels in the San Diego area. These panels could generate approximately 50 MW of direct current power (approximately equivalent to 35 MW of power to the electric grid). We estimate the cost of the program as filed in the application to be $250 million. SDG&amp;E, UCAN and other interested parties submitted a settlement agreement in March 2009 which, if approved by the CPUC, would, among other provisions, reduce SDG&amp;E's investment in the program to the lesser of $125 million or 26 MW (direct current). The CPUC will decide if hearings on the settlement are necessary and, if so, a CPUC decision is expected in the first quarter of 2010. If approved, we expect the installation of SDG&amp;E's portion of the panels to be completed by 2013.</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UTILITY INCENTIVE MECHANISMS</w:t>
      </w:r>
    </w:p>
    <w:p>
      <w:pPr>
        <w:spacing w:after="0" w:line="104"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CPUC applies performance-based measures and incentive mechanisms to all California utilities. Under such measures or mechanisms, the Sempra Utilities have earnings potential above authorized base margins if they achieve or exceed specific performance and operating goals, rather than relying solely on expanding utility plant to increase earnings. Generally, for performance-based awards, if performance is above or below specific benchmarks, the utility is eligible for financial awards or subject to financial penalties. There are four general areas that operate under an incentive structure:</w:t>
      </w:r>
    </w:p>
    <w:p>
      <w:pPr>
        <w:ind w:left="180" w:hanging="173"/>
        <w:spacing w:after="0"/>
        <w:tabs>
          <w:tab w:leader="none" w:pos="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employee safety</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energy efficiency programs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natural gas procurement</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natural gas unbundled storage and system operator hub services</w:t>
      </w:r>
    </w:p>
    <w:p>
      <w:pPr>
        <w:spacing w:after="0" w:line="129" w:lineRule="exact"/>
        <w:rPr>
          <w:sz w:val="20"/>
          <w:szCs w:val="20"/>
          <w:color w:val="auto"/>
        </w:rPr>
      </w:pPr>
    </w:p>
    <w:p>
      <w:pPr>
        <w:ind w:right="380"/>
        <w:spacing w:after="0" w:line="255" w:lineRule="auto"/>
        <w:rPr>
          <w:sz w:val="20"/>
          <w:szCs w:val="20"/>
          <w:color w:val="auto"/>
        </w:rPr>
      </w:pPr>
      <w:r>
        <w:rPr>
          <w:rFonts w:ascii="Arial" w:cs="Arial" w:eastAsia="Arial" w:hAnsi="Arial"/>
          <w:sz w:val="21"/>
          <w:szCs w:val="21"/>
          <w:color w:val="auto"/>
        </w:rPr>
        <w:t>Incentive awards are included in our earnings when we receive any required CPUC approval of the award. We would record penalties for results below the specified benchmarks in earnings when we believe it is more likely than not that the CPUC would assess a penalty. All award amounts discussed below are on a pretax basis.</w:t>
      </w:r>
    </w:p>
    <w:p>
      <w:pPr>
        <w:spacing w:after="0" w:line="34" w:lineRule="exact"/>
        <w:rPr>
          <w:sz w:val="20"/>
          <w:szCs w:val="20"/>
          <w:color w:val="auto"/>
        </w:rPr>
      </w:pPr>
    </w:p>
    <w:p>
      <w:pPr>
        <w:ind w:right="680"/>
        <w:spacing w:after="0" w:line="324" w:lineRule="auto"/>
        <w:rPr>
          <w:sz w:val="20"/>
          <w:szCs w:val="20"/>
          <w:color w:val="auto"/>
        </w:rPr>
      </w:pPr>
      <w:r>
        <w:rPr>
          <w:rFonts w:ascii="Arial" w:cs="Arial" w:eastAsia="Arial" w:hAnsi="Arial"/>
          <w:sz w:val="19"/>
          <w:szCs w:val="19"/>
          <w:color w:val="auto"/>
        </w:rPr>
        <w:t>Below are updates to these incentive mechanisms for activity within the first half of 2009. We provide additional information regarding these incentive mechanisms in Note 15 of the Notes to Consolidated Financial Statements in the Annual Report.</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w:t>
      </w:r>
    </w:p>
    <w:p>
      <w:pPr>
        <w:spacing w:after="0" w:line="47" w:lineRule="exact"/>
        <w:rPr>
          <w:sz w:val="20"/>
          <w:szCs w:val="20"/>
          <w:color w:val="auto"/>
        </w:rPr>
      </w:pPr>
    </w:p>
    <w:p>
      <w:pPr>
        <w:ind w:right="160"/>
        <w:spacing w:after="0" w:line="250" w:lineRule="auto"/>
        <w:rPr>
          <w:sz w:val="20"/>
          <w:szCs w:val="20"/>
          <w:color w:val="auto"/>
        </w:rPr>
      </w:pPr>
      <w:r>
        <w:rPr>
          <w:rFonts w:ascii="Arial" w:cs="Arial" w:eastAsia="Arial" w:hAnsi="Arial"/>
          <w:sz w:val="21"/>
          <w:szCs w:val="21"/>
          <w:color w:val="auto"/>
        </w:rPr>
        <w:t>In December 2008, the CPUC approved energy efficiency awards of $10.8 million for SDG&amp;E and $5.2 million for SoCalGas for 2006 and 2007 energy efficiency results, which were net of a holdback of 65%. In May 2009, SDG&amp;E and SoCalGas filed a partial party settlement agreement regarding the appropriate method to determine incentive awards for the 2006 – 2008 program period. If approved, this settlement would result in 1) awards of $10.7 million</w:t>
      </w:r>
    </w:p>
    <w:p>
      <w:pPr>
        <w:sectPr>
          <w:pgSz w:w="11900" w:h="16838" w:orient="portrait"/>
          <w:cols w:equalWidth="0" w:num="1">
            <w:col w:w="11420"/>
          </w:cols>
          <w:pgMar w:left="240" w:top="118" w:right="239" w:bottom="1440" w:gutter="0" w:footer="0" w:header="0"/>
        </w:sectPr>
      </w:pPr>
    </w:p>
    <w:bookmarkStart w:id="55" w:name="page56"/>
    <w:bookmarkEnd w:id="55"/>
    <w:p>
      <w:pPr>
        <w:ind w:right="200"/>
        <w:spacing w:after="0" w:line="274" w:lineRule="auto"/>
        <w:rPr>
          <w:sz w:val="20"/>
          <w:szCs w:val="20"/>
          <w:color w:val="auto"/>
        </w:rPr>
      </w:pPr>
      <w:r>
        <w:rPr>
          <w:rFonts w:ascii="Arial" w:cs="Arial" w:eastAsia="Arial" w:hAnsi="Arial"/>
          <w:sz w:val="20"/>
          <w:szCs w:val="20"/>
          <w:color w:val="auto"/>
        </w:rPr>
        <w:t>for SDG&amp;E and $12.5 million for SoCalGas; and 2) upon conclusion of the CPUC's assessment and audit process, awards of up to $11.6 million for SDG&amp;E and $9.5 million for SoCalGas for the remaining holdback amounts. We expect a CPUC decision regarding the settlement in 2009 and the completion of the CPUC assessment and audit process in 2010.</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w:t>
      </w:r>
    </w:p>
    <w:p>
      <w:pPr>
        <w:spacing w:after="0" w:line="33" w:lineRule="exact"/>
        <w:rPr>
          <w:sz w:val="20"/>
          <w:szCs w:val="20"/>
          <w:color w:val="auto"/>
        </w:rPr>
      </w:pPr>
    </w:p>
    <w:p>
      <w:pPr>
        <w:ind w:right="20"/>
        <w:spacing w:after="0" w:line="296" w:lineRule="auto"/>
        <w:rPr>
          <w:sz w:val="20"/>
          <w:szCs w:val="20"/>
          <w:color w:val="auto"/>
        </w:rPr>
      </w:pPr>
      <w:r>
        <w:rPr>
          <w:rFonts w:ascii="Arial" w:cs="Arial" w:eastAsia="Arial" w:hAnsi="Arial"/>
          <w:sz w:val="20"/>
          <w:szCs w:val="20"/>
          <w:color w:val="auto"/>
        </w:rPr>
        <w:t>In February 2009, the CPUC approved a SoCalGas gas cost incentive mechanism (GCIM) award of $6.5 million for core natural gas procurement activities in the 12-month period ended March 31, 2008, which SoCalGas recorded in the first quarter of 2009.</w:t>
      </w:r>
    </w:p>
    <w:p>
      <w:pPr>
        <w:spacing w:after="0" w:line="9" w:lineRule="exact"/>
        <w:rPr>
          <w:sz w:val="20"/>
          <w:szCs w:val="20"/>
          <w:color w:val="auto"/>
        </w:rPr>
      </w:pPr>
    </w:p>
    <w:p>
      <w:pPr>
        <w:ind w:right="180"/>
        <w:spacing w:after="0" w:line="270" w:lineRule="auto"/>
        <w:rPr>
          <w:sz w:val="20"/>
          <w:szCs w:val="20"/>
          <w:color w:val="auto"/>
        </w:rPr>
      </w:pPr>
      <w:r>
        <w:rPr>
          <w:rFonts w:ascii="Arial" w:cs="Arial" w:eastAsia="Arial" w:hAnsi="Arial"/>
          <w:sz w:val="21"/>
          <w:szCs w:val="21"/>
          <w:color w:val="auto"/>
        </w:rPr>
        <w:t>In June 2009, SoCalGas filed an application with the CPUC requesting approval of a $12 million GCIM award for its procurement activities in the 12-month period ended March 31, 2009. A decision is expected in the first quarter of 2010.</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OF CAPITAL</w:t>
      </w:r>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21"/>
          <w:szCs w:val="21"/>
          <w:color w:val="auto"/>
        </w:rPr>
        <w:t>The cost of capital proceeding determines the Sempra Utilities' authorized capital structure and the authorized rate of return that the Sempra Utilities may earn on their electric and natural gas distribution and electric generation assets.</w:t>
      </w:r>
    </w:p>
    <w:p>
      <w:pPr>
        <w:spacing w:after="0" w:line="46" w:lineRule="exact"/>
        <w:rPr>
          <w:sz w:val="20"/>
          <w:szCs w:val="20"/>
          <w:color w:val="auto"/>
        </w:rPr>
      </w:pPr>
    </w:p>
    <w:p>
      <w:pPr>
        <w:ind w:right="200"/>
        <w:spacing w:after="0" w:line="244" w:lineRule="auto"/>
        <w:rPr>
          <w:sz w:val="20"/>
          <w:szCs w:val="20"/>
          <w:color w:val="auto"/>
        </w:rPr>
      </w:pPr>
      <w:r>
        <w:rPr>
          <w:rFonts w:ascii="Arial" w:cs="Arial" w:eastAsia="Arial" w:hAnsi="Arial"/>
          <w:sz w:val="21"/>
          <w:szCs w:val="21"/>
          <w:color w:val="auto"/>
        </w:rPr>
        <w:t>In July 2009, the CPUC denied SoCalGas’ petition, which was filed with the CPUC in April 2009, seeking to suspend its cost of capital Market Index Capital Adjustment Mechanism (MICAM) due to the uncertainty of whether the MICAM would trigger an adjustment to SoCalGas’ return on equity. SoCalGas believes that the benchmarks used to determine whether the MICAM is triggered are not indicative of the risks and interest rates associated with the natural gas distribution business. Actions taken by the U.S. Government to halt the collapse of the banking and financial system dramatically reduced U.S. Treasury yields which, at the time, increased the likelihood of causing the MICAM to trigger in 2009. The estimated adverse impact to net income of such an adjustment, assuming the 30-year U.S. Treasury Bond yield metrics as specified in the MICAM were 150 basis points below the benchmark, is $18 million annually.</w:t>
      </w:r>
    </w:p>
    <w:p>
      <w:pPr>
        <w:spacing w:after="0" w:line="59"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While U.S. Treasury yields have recently increased, such that we now believe that it is unlikely that the MICAM will trigger in 2009, the potential of further government intervention to stimulate the economy could result in reductions in U.S. Treasury yields in the future, increasing the likelihood of triggering the MICAM. SoCalGas believes this would be inappropriate given the rising cost of debt in prevailing tight credit markets. Given the CPUC’s decision and the disconnect between the MICAM benchmarks and the natural gas distribution business risks and associated cost of capital, SoCalGas is planning, along with the other major investor-owned utilities in the state, to file a cost of capital application with the CPUC in April 2010 which, if approved, would be effective January 2011. This application would reset the benchmarks to a more indicative index associated with the natural gas distribution business.</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ADVANCED METERING INFRASTRUCTURE</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 April 2007, the CPUC approved SDG&amp;E's request to install advanced meters with integrated two-way communications functionality, including electric remote disconnect and home area network capability. SDG&amp;E estimates expenditures for this project of $572 million (including approximately $500 million in capital investment). This project involves replacing 1.4 million electric meters and 900,000 natural gas meters throughout SDG&amp;E’s service territory. SDG&amp;E began mass installation of the advanced meters in March 2009, and is on schedule to complete the project by the end of 2011.</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2007 WILDFIRES COST RECOVERY</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SDG&amp;E filed an application with the CPUC in March 2009 seeking to recover $49.8 million for the incremental cost incurred to replace and repair company facilities under CPUC jurisdiction damaged by the October 2007 wildfires. This application was filed in accordance with the CPUC rules governing incremental costs incurred as a result of a declared emergency or catastrophic event. The Division of Ratepayer Advocates (DRA), a division of the CPUC</w:t>
      </w:r>
    </w:p>
    <w:p>
      <w:pPr>
        <w:sectPr>
          <w:pgSz w:w="11900" w:h="16838" w:orient="portrait"/>
          <w:cols w:equalWidth="0" w:num="1">
            <w:col w:w="11400"/>
          </w:cols>
          <w:pgMar w:left="240" w:top="118" w:right="259" w:bottom="1440" w:gutter="0" w:footer="0" w:header="0"/>
        </w:sectPr>
      </w:pPr>
    </w:p>
    <w:bookmarkStart w:id="56" w:name="page57"/>
    <w:bookmarkEnd w:id="56"/>
    <w:p>
      <w:pPr>
        <w:ind w:right="120"/>
        <w:spacing w:after="0" w:line="271" w:lineRule="auto"/>
        <w:rPr>
          <w:sz w:val="20"/>
          <w:szCs w:val="20"/>
          <w:color w:val="auto"/>
        </w:rPr>
      </w:pPr>
      <w:r>
        <w:rPr>
          <w:rFonts w:ascii="Arial" w:cs="Arial" w:eastAsia="Arial" w:hAnsi="Arial"/>
          <w:sz w:val="21"/>
          <w:szCs w:val="21"/>
          <w:color w:val="auto"/>
        </w:rPr>
        <w:t>representing the interests of customers, filed a protest to SDG&amp;E's request for recovery of the incremental costs, requesting that the CPUC stay the proceeding until completion of the fire investigations, which we describe in Note 10.</w:t>
      </w:r>
    </w:p>
    <w:p>
      <w:pPr>
        <w:spacing w:after="0" w:line="31" w:lineRule="exact"/>
        <w:rPr>
          <w:sz w:val="20"/>
          <w:szCs w:val="20"/>
          <w:color w:val="auto"/>
        </w:rPr>
      </w:pPr>
    </w:p>
    <w:p>
      <w:pPr>
        <w:ind w:right="100"/>
        <w:spacing w:after="0" w:line="309" w:lineRule="auto"/>
        <w:rPr>
          <w:sz w:val="20"/>
          <w:szCs w:val="20"/>
          <w:color w:val="auto"/>
        </w:rPr>
      </w:pPr>
      <w:r>
        <w:rPr>
          <w:rFonts w:ascii="Arial" w:cs="Arial" w:eastAsia="Arial" w:hAnsi="Arial"/>
          <w:sz w:val="19"/>
          <w:szCs w:val="19"/>
          <w:color w:val="auto"/>
        </w:rPr>
        <w:t>SDG&amp;E also incurred $30.1 million of incremental costs for the replacement and repair of company facilities under Federal Energy Regulatory Commission (FERC) jurisdiction, which are currently being recovered in SDG&amp;E's electric transmission rates.</w:t>
      </w:r>
    </w:p>
    <w:p>
      <w:pPr>
        <w:spacing w:after="0" w:line="250" w:lineRule="auto"/>
        <w:rPr>
          <w:sz w:val="20"/>
          <w:szCs w:val="20"/>
          <w:color w:val="auto"/>
        </w:rPr>
      </w:pPr>
      <w:r>
        <w:rPr>
          <w:rFonts w:ascii="Arial" w:cs="Arial" w:eastAsia="Arial" w:hAnsi="Arial"/>
          <w:sz w:val="21"/>
          <w:szCs w:val="21"/>
          <w:color w:val="auto"/>
        </w:rPr>
        <w:t>In regard to the 2007 wildfires litigation discussed in Note 10, if SDG&amp;E's ultimate liability, net of amounts recoverable from other defendants, were to exceed its $1.1 billion recoverable from its insurers, SDG&amp;E would request authorization from the FERC and the CPUC to recover the excess amounts in utility rates. SDG&amp;E is unable to reasonably predict the degree of success it may have in pursuing such requests or the timing of any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7247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LEGAL PROCEEDINGS</w:t>
      </w:r>
    </w:p>
    <w:p>
      <w:pPr>
        <w:spacing w:after="0" w:line="104" w:lineRule="exact"/>
        <w:rPr>
          <w:sz w:val="20"/>
          <w:szCs w:val="20"/>
          <w:color w:val="auto"/>
        </w:rPr>
      </w:pPr>
    </w:p>
    <w:p>
      <w:pPr>
        <w:jc w:val="both"/>
        <w:ind w:right="660"/>
        <w:spacing w:after="0" w:line="274" w:lineRule="auto"/>
        <w:rPr>
          <w:sz w:val="20"/>
          <w:szCs w:val="20"/>
          <w:color w:val="auto"/>
        </w:rPr>
      </w:pPr>
      <w:r>
        <w:rPr>
          <w:rFonts w:ascii="Arial" w:cs="Arial" w:eastAsia="Arial" w:hAnsi="Arial"/>
          <w:sz w:val="20"/>
          <w:szCs w:val="20"/>
          <w:color w:val="auto"/>
        </w:rPr>
        <w:t>The uncertainties that exist in legal proceedings make it difficult to estimate with reasonable certainty the costs and effects of resolving these matters. Accordingly, actual costs incurred may differ materially from insured or reserved amounts and could materially adversely affect our business, cash flows, results of operations, and financial condition.</w:t>
      </w:r>
    </w:p>
    <w:p>
      <w:pPr>
        <w:spacing w:after="0" w:line="16"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 xml:space="preserve">We record reserves for legal proceedings in accordance with SFAS 5, </w:t>
      </w:r>
      <w:r>
        <w:rPr>
          <w:rFonts w:ascii="Arial" w:cs="Arial" w:eastAsia="Arial" w:hAnsi="Arial"/>
          <w:sz w:val="21"/>
          <w:szCs w:val="21"/>
          <w:i w:val="1"/>
          <w:iCs w:val="1"/>
          <w:color w:val="auto"/>
        </w:rPr>
        <w:t>Accounting for Contingencies</w:t>
      </w:r>
      <w:r>
        <w:rPr>
          <w:rFonts w:ascii="Arial" w:cs="Arial" w:eastAsia="Arial" w:hAnsi="Arial"/>
          <w:sz w:val="21"/>
          <w:szCs w:val="21"/>
          <w:color w:val="auto"/>
        </w:rPr>
        <w:t xml:space="preserve"> (SFAS 5) (ASC 450). At June 30, 2009, Sempra Energy's reserves for unresolved legal proceedings, on a consolidated basis, were $289 million. At June 30, 2009, SDG&amp;E and SoCalGas had reserves for unresolved legal proceedings of $269 million and $12 million, respectively. The amounts for Sempra Energy Consolidated and SDG&amp;E include $248 million of expected insurance settlements related to the SDG&amp;E 2007 wildfire litigation discussed below, which we expect would be paid by SDG&amp;E's liability insurers directly to the homeowners' insurers.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2007 Wildfire Litigation</w:t>
      </w:r>
    </w:p>
    <w:p>
      <w:pPr>
        <w:spacing w:after="0" w:line="4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In October 2007, San Diego County experienced catastrophic wildfires. In July 2008, the California Department of Forestry and Fire Protection (Cal Fire) issued investigation reports stating that two fires (the Witch and Rice fires) were SDG&amp;E "power line caused" and that a third fire (the Guejito fire) occurred when a wire securing a Cox Communications' fiber optic cable came into contact with an SDG&amp;E power line "causing an arc and starting the fire." Cal Fire states that the Rice fire burned approximately 9,500 acres and damaged 206 homes and two commercial properties. The reports indicate that the Witch and Guejito fires merged and eventually burned approximately 198,000 acres, resulted in two fatalities, injured approximately 40 firefighters and destroyed approximately 1,141 homes. Cal Fire is still investigating the perimeters of these two fires to determine the damages associated with each fire.</w:t>
      </w:r>
    </w:p>
    <w:p>
      <w:pPr>
        <w:spacing w:after="0" w:line="22"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In September 2008, the Consumer Protection and Safety Division of the CPUC issued a staff investigative report reaching substantially the same conclusions as the Cal Fire reports. However, the staff report also opines that the power lines involved in the Witch and Rice fires and the lashing wire involved in the Guejito fire were not properly designed, constructed and maintained as required by CPUC rules. In November 2008, the CPUC initiated investigations to determine whether SDG&amp;E and Cox Communications violated any rules or regulations in connection with the fires. Hearings scheduled to commence in June 2009 were suspended pending the finalization of an agreement in principle between SDG&amp;E and the Consumer Protection and Safety Division that, if approved by the CPUC, would resolve the investigations.</w:t>
      </w:r>
    </w:p>
    <w:p>
      <w:pPr>
        <w:spacing w:after="0" w:line="44"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More than 100 lawsuits have been filed against SDG&amp;E and Sempra Energy in San Diego County Superior Court seeking to recover damages in unspecified amounts, including punitive damages and other costs associated with the three fires. The lawsuits assert various bases for recovery, including inverse condemnation based upon a California Court of Appeal decision finding that another California investor-owned utility was subject to strict liability, without</w:t>
      </w:r>
    </w:p>
    <w:p>
      <w:pPr>
        <w:sectPr>
          <w:pgSz w:w="11900" w:h="16838" w:orient="portrait"/>
          <w:cols w:equalWidth="0" w:num="1">
            <w:col w:w="11400"/>
          </w:cols>
          <w:pgMar w:left="240" w:top="118" w:right="259" w:bottom="1440" w:gutter="0" w:footer="0" w:header="0"/>
        </w:sectPr>
      </w:pPr>
    </w:p>
    <w:bookmarkStart w:id="57" w:name="page58"/>
    <w:bookmarkEnd w:id="57"/>
    <w:p>
      <w:pPr>
        <w:ind w:right="80"/>
        <w:spacing w:after="0" w:line="247" w:lineRule="auto"/>
        <w:rPr>
          <w:sz w:val="20"/>
          <w:szCs w:val="20"/>
          <w:color w:val="auto"/>
        </w:rPr>
      </w:pPr>
      <w:r>
        <w:rPr>
          <w:rFonts w:ascii="Arial" w:cs="Arial" w:eastAsia="Arial" w:hAnsi="Arial"/>
          <w:sz w:val="21"/>
          <w:szCs w:val="21"/>
          <w:color w:val="auto"/>
        </w:rPr>
        <w:t>regard to foreseeability or negligence, for damages resulting from a wildfire ignited by power lines. SDG&amp;E has filed cross-complaints against Cox Communications seeking indemnification for any liability that SDG&amp;E may incur that relates to the Guejito fire. On June 25, 2009, the trial court ruled that the lawsuits cannot proceed as class actions on behalf of all persons who experienced wildfire damages, but must instead be pursued in individual lawsuits. Any appeal of this ruling must be filed within 60 days.</w:t>
      </w:r>
    </w:p>
    <w:p>
      <w:pPr>
        <w:spacing w:after="0" w:line="5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By July 2009, insurers representing nearly 99 percent of the total California homeowner insurance market (homeowners' insurers) had paid out and reserved approximately $1.6 billion on more than 19,000 claims relating to the three fires. These include claims for approximately 1,000 of the 1,300 houses, mobile homes, and apartment units identified in public records as having been destroyed by the three fires. The litigation includes additional claims for uninsured and underinsured structures, firefighting costs, business interruption, evacuation expenses, agricultural damage, and personal injuries.</w:t>
      </w:r>
    </w:p>
    <w:p>
      <w:pPr>
        <w:spacing w:after="0" w:line="3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During 2009, SDG&amp;E and its liability insurers have held a number of settlement discussions with the homeowners' insurers in the litigation. Based on the information provided in these discussions, SDG&amp;E has concluded that its exposure to the homeowners' insurers is reasonably estimable. Accordingly, SDG&amp;E established a reserve of $940 million in 2009 that is recorded as a current liability in the Condensed Consolidated Balance Sheets and is fully offset by a current receivable of $940 million payable from SDG&amp;E's $1.l billion of liability insurance, which we expect would be paid by the liability insurers directly to the homeowners' insurers. As a result, there is no effect on SDG&amp;E's or Sempra Energy's 2009 earnings or cash flows from the recording of the reserve. SDG&amp;E does not have sufficient information under SFAS 5 to reasonably estimate its potential exposure for other wildfire claims and, accordingly, SDG&amp;E has not estab lished a reserve for any wildfire claims other than those of the homeowners' insurers.</w:t>
      </w:r>
    </w:p>
    <w:p>
      <w:pPr>
        <w:spacing w:after="0" w:line="35"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At July 31, 2009, SDG&amp;E and homeowner insurers holding approximately 80% of the insurer plaintiffs' claims had entered into settlement agreements. SDG&amp;E has agreed to pay the settling insurers approximately $740 million (representing 57.5% of their $1.3 billion of paid and reserved claims) to settle all of their claims relating to the three wildfires. The settlements will be entirely funded by SDG&amp;E’s liability insurance coverage. As part of the settlements, SDG&amp;E will receive an assignment of the settling insurers' claims against Cox Communications. Discussions are continuing with the remaining homeowner insurers for settlements on substantially the same terms.</w:t>
      </w:r>
    </w:p>
    <w:p>
      <w:pPr>
        <w:spacing w:after="0" w:line="62" w:lineRule="exact"/>
        <w:rPr>
          <w:sz w:val="20"/>
          <w:szCs w:val="20"/>
          <w:color w:val="auto"/>
        </w:rPr>
      </w:pPr>
    </w:p>
    <w:p>
      <w:pPr>
        <w:ind w:right="320"/>
        <w:spacing w:after="0" w:line="284" w:lineRule="auto"/>
        <w:rPr>
          <w:sz w:val="20"/>
          <w:szCs w:val="20"/>
          <w:color w:val="auto"/>
        </w:rPr>
      </w:pPr>
      <w:r>
        <w:rPr>
          <w:rFonts w:ascii="Arial" w:cs="Arial" w:eastAsia="Arial" w:hAnsi="Arial"/>
          <w:sz w:val="19"/>
          <w:szCs w:val="19"/>
          <w:color w:val="auto"/>
        </w:rPr>
        <w:t>In addition to the claims of homeowners' insurers, the wildfire litigation also includes claims of other plaintiffs for uninsured and underinsured structures, firefighting costs, business interruption, evacuation expenses, agricultural damage, and personal injuries. SDG&amp;E does not have sufficient information to reasonably estimate its potential exposure for these additional claims and, accordingly, has not established a reserve for any wildfire claims other than those of the homeowners' insurers.</w:t>
      </w:r>
    </w:p>
    <w:p>
      <w:pPr>
        <w:spacing w:after="0" w:line="11"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In light of the complexity of these matters and the large number of parties involved, the wildfire litigation, including any appeals, could take several years to be resolved. After giving effect to the $740 million settlements, SDG&amp;E's remaining liability insurance coverage for the litigation would be approximately $355 million. If SDG&amp;E's ultimate liability to the remaining homeowners' insurer plaintiffs and the other plaintiffs in the litigation were to exceed its liability insurance coverage and amounts potentially recoverable from Cox Communications and other defendants, SDG&amp;E would request authorization from the FERC and the CPUC to recover the excess amount in utility rates. SDG&amp;E is unable to reasonably predict the degree of success it may have in pursuing such requests or the timing of any recovery.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Department of Water Resources (DWR) Contract</w:t>
      </w:r>
    </w:p>
    <w:p>
      <w:pPr>
        <w:spacing w:after="0" w:line="47"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In February 2002, the California Energy Oversight Board (CEOB) and the CPUC filed challenges at the FERC to the DWR's contracts with Sempra Generation and other power suppliers. After the FERC upheld the contracts in 2003, the CEOB and CPUC appealed to the U.S. Court of Appeals for the Ninth Circuit (Ninth Circuit Court of Appeals), challenging the FERC's application of the Mobile-Sierra doctrine's "public interest" standard of review to the contracts without having first determined that the contracts met a more rigorous "just and reasonable" standard of review. In June 2008, the United States Supreme Court (Supreme Court) ruled that the FERC was correct to apply the Mobile-Sierra doctrine (which presumes that contract rates are just and reasonable) absent a demonstration that one of the contracting parties engaged in unlawful market manipulation that directly affected contract rates. The</w:t>
      </w:r>
    </w:p>
    <w:p>
      <w:pPr>
        <w:sectPr>
          <w:pgSz w:w="11900" w:h="16838" w:orient="portrait"/>
          <w:cols w:equalWidth="0" w:num="1">
            <w:col w:w="11420"/>
          </w:cols>
          <w:pgMar w:left="240" w:top="118" w:right="239" w:bottom="1440" w:gutter="0" w:footer="0" w:header="0"/>
        </w:sectPr>
      </w:pPr>
    </w:p>
    <w:bookmarkStart w:id="58" w:name="page59"/>
    <w:bookmarkEnd w:id="58"/>
    <w:p>
      <w:pPr>
        <w:ind w:right="220"/>
        <w:spacing w:after="0" w:line="271" w:lineRule="auto"/>
        <w:rPr>
          <w:sz w:val="20"/>
          <w:szCs w:val="20"/>
          <w:color w:val="auto"/>
        </w:rPr>
      </w:pPr>
      <w:r>
        <w:rPr>
          <w:rFonts w:ascii="Arial" w:cs="Arial" w:eastAsia="Arial" w:hAnsi="Arial"/>
          <w:sz w:val="21"/>
          <w:szCs w:val="21"/>
          <w:color w:val="auto"/>
        </w:rPr>
        <w:t>Supreme Court ruled that the FERC should clarify its findings on this issue and consider whether the contract rates seriously harm the public interest.</w:t>
      </w:r>
    </w:p>
    <w:p>
      <w:pPr>
        <w:spacing w:after="0" w:line="31"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At various times since the contract's inception, Sempra Generation and the DWR have also had disputes regarding the meaning of terms and performance of their agreement under which Sempra Generation sells electricity to the DWR. In 2002, in a state civil action, the DWR sought to void its contract with Sempra Generation, seeking damages, injunctive and declaratory relief, and $100 million in punitive damages. The DWR claims that Sempra Generation misrepresented its intention and ability to construct a temporary phase of one power project and, alternatively, breached its contract by failure to construct and deliver power from that phase. In June 2005, the California Court of Appeal reversed a previous summary judgment in favor of Sempra Generation. The Court concluded that the contract language was ambiguous and presented triable issues of material fact that must be addressed by further evidence and proceedings. The case was sent back to the trial court. In January 2007, the DWR added additional claims for fraud and breach of contract. In June 2008, the California Court of Appeal upheld the trial court's denial of Sempra Generation's motion to compel the DWR to arbitrate its new claims. The case was returned to the San Diego Superior Court for further proceedings. The case is scheduled for a jury trial in September 2009.</w:t>
      </w:r>
    </w:p>
    <w:p>
      <w:pPr>
        <w:spacing w:after="0" w:line="34" w:lineRule="exact"/>
        <w:rPr>
          <w:sz w:val="20"/>
          <w:szCs w:val="20"/>
          <w:color w:val="auto"/>
        </w:rPr>
      </w:pPr>
    </w:p>
    <w:p>
      <w:pPr>
        <w:ind w:right="420"/>
        <w:spacing w:after="0" w:line="266" w:lineRule="auto"/>
        <w:rPr>
          <w:sz w:val="20"/>
          <w:szCs w:val="20"/>
          <w:color w:val="auto"/>
        </w:rPr>
      </w:pPr>
      <w:r>
        <w:rPr>
          <w:rFonts w:ascii="Arial" w:cs="Arial" w:eastAsia="Arial" w:hAnsi="Arial"/>
          <w:sz w:val="20"/>
          <w:szCs w:val="20"/>
          <w:color w:val="auto"/>
        </w:rPr>
        <w:t>In February 2006, the DWR began an additional arbitration against Sempra Generation related to the manner in which Sempra Generation schedules its Mexicali plant. The DWR sought $100 million in damages and an order terminating the contract. Arbitration hearings were held in November 2008 and in January 2009, the arbitration panel issued a decision denying all of the DWR's claims. The panel decision was confirmed by the San Francisco Superior Court in May 2009.</w:t>
      </w:r>
    </w:p>
    <w:p>
      <w:pPr>
        <w:spacing w:after="0" w:line="39" w:lineRule="exact"/>
        <w:rPr>
          <w:sz w:val="20"/>
          <w:szCs w:val="20"/>
          <w:color w:val="auto"/>
        </w:rPr>
      </w:pPr>
    </w:p>
    <w:p>
      <w:pPr>
        <w:ind w:right="160"/>
        <w:spacing w:after="0" w:line="250" w:lineRule="auto"/>
        <w:rPr>
          <w:sz w:val="20"/>
          <w:szCs w:val="20"/>
          <w:color w:val="auto"/>
        </w:rPr>
      </w:pPr>
      <w:r>
        <w:rPr>
          <w:rFonts w:ascii="Arial" w:cs="Arial" w:eastAsia="Arial" w:hAnsi="Arial"/>
          <w:sz w:val="21"/>
          <w:szCs w:val="21"/>
          <w:color w:val="auto"/>
        </w:rPr>
        <w:t>In September 2008, the DWR initiated another arbitration proceeding against Sempra Generation, alleging that Sempra Generation had breached the parties’ agreement in various operational respects, and violated the order issued by the first arbitration panel relating to the amount refunded to the DWR and the manner in which Sempra Generation operates. The DWR seeks $60 million in damages and an order terminating the contract.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Refund Proceedings</w:t>
      </w:r>
    </w:p>
    <w:p>
      <w:pPr>
        <w:spacing w:after="0" w:line="3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FERC is investigating prices charged by various electric suppliers to buyers in the California Power Exchange (PX) and Independent System Operator (ISO) markets. In December 2002, a FERC Administrative Law Judge (ALJ) issued preliminary findings indicating that the PX and ISO owe power suppliers $1.2 billion for the October 2, 2000 through June 20, 2001 period. This amount is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benchmark of natural gas prices. This change would increase the refund obligations from $1.8 billion to more than $3 billion for the same time period.</w:t>
      </w:r>
    </w:p>
    <w:p>
      <w:pPr>
        <w:spacing w:after="0" w:line="3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Various parties, including Sempra Commodities, appealed the FERC's order to the Ninth Circuit Court of Appeals. In August 2006, the Court of Appeals held that the FERC had properly established October 2, 2000 through June 20, 2001 as the refund period and had properly excluded certain short-term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should have considered other remedies for tariff violations that are alleged to have occurred prior to October 2, 2000. In April 2009, the Ninth Circuit Court of Appeals denied requests for rehearing of its August 2006 decision that Sempra Commodities and other en tities filed and returned the matter to the FERC for further proceedings.</w:t>
      </w:r>
    </w:p>
    <w:p>
      <w:pPr>
        <w:spacing w:after="0" w:line="35" w:lineRule="exact"/>
        <w:rPr>
          <w:sz w:val="20"/>
          <w:szCs w:val="20"/>
          <w:color w:val="auto"/>
        </w:rPr>
      </w:pPr>
    </w:p>
    <w:p>
      <w:pPr>
        <w:ind w:right="160"/>
        <w:spacing w:after="0" w:line="244" w:lineRule="auto"/>
        <w:rPr>
          <w:sz w:val="20"/>
          <w:szCs w:val="20"/>
          <w:color w:val="auto"/>
        </w:rPr>
      </w:pPr>
      <w:r>
        <w:rPr>
          <w:rFonts w:ascii="Arial" w:cs="Arial" w:eastAsia="Arial" w:hAnsi="Arial"/>
          <w:sz w:val="21"/>
          <w:szCs w:val="21"/>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In April 2009, the Ninth Circuit Court of Appeals denied requests for rehearing of its August 2007 decision that Sempra Commodities and other entities filed and returned the matter to the FERC for further proceedings. The court's orders could be the subject of further appeals.</w:t>
      </w:r>
    </w:p>
    <w:p>
      <w:pPr>
        <w:sectPr>
          <w:pgSz w:w="11900" w:h="16838" w:orient="portrait"/>
          <w:cols w:equalWidth="0" w:num="1">
            <w:col w:w="11400"/>
          </w:cols>
          <w:pgMar w:left="240" w:top="118" w:right="259" w:bottom="1440" w:gutter="0" w:footer="0" w:header="0"/>
        </w:sectPr>
      </w:pPr>
    </w:p>
    <w:bookmarkStart w:id="59" w:name="page60"/>
    <w:bookmarkEnd w:id="59"/>
    <w:p>
      <w:pPr>
        <w:ind w:right="80"/>
        <w:spacing w:after="0" w:line="244" w:lineRule="auto"/>
        <w:rPr>
          <w:sz w:val="20"/>
          <w:szCs w:val="20"/>
          <w:color w:val="auto"/>
        </w:rPr>
      </w:pPr>
      <w:r>
        <w:rPr>
          <w:rFonts w:ascii="Arial" w:cs="Arial" w:eastAsia="Arial" w:hAnsi="Arial"/>
          <w:sz w:val="21"/>
          <w:szCs w:val="21"/>
          <w:color w:val="auto"/>
        </w:rPr>
        <w:t>In a separate complaint filed with the FERC in 2002, the California Attorney General challenged the FERC's authority to establish a market-based rate system and also contended that even if such a system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system, but stated that failure to file transaction-specific quarterly reports gave the FERC authority to order refunds with respect to jurisdictional sellers. The FERC is in the process of addressing these issues on remand.</w:t>
      </w:r>
    </w:p>
    <w:p>
      <w:pPr>
        <w:spacing w:after="0" w:line="64" w:lineRule="exact"/>
        <w:rPr>
          <w:sz w:val="20"/>
          <w:szCs w:val="20"/>
          <w:color w:val="auto"/>
        </w:rPr>
      </w:pPr>
    </w:p>
    <w:p>
      <w:pPr>
        <w:ind w:right="500"/>
        <w:spacing w:after="0" w:line="266" w:lineRule="auto"/>
        <w:rPr>
          <w:sz w:val="20"/>
          <w:szCs w:val="20"/>
          <w:color w:val="auto"/>
        </w:rPr>
      </w:pPr>
      <w:r>
        <w:rPr>
          <w:rFonts w:ascii="Arial" w:cs="Arial" w:eastAsia="Arial" w:hAnsi="Arial"/>
          <w:sz w:val="20"/>
          <w:szCs w:val="20"/>
          <w:color w:val="auto"/>
        </w:rPr>
        <w:t>In May 2009, the California Attorney General filed another complaint at the FERC against various sellers, including Sempra Commodities. In this complaint, the Attorney General seeks to collect for alleged overcharges related to short-term bilateral transactions between sellers and the DWR from January 18, 2001 through June 20, 2001. These transactions also have been the subject of the Ninth Circuit Court of Appeals' orders in the proceedings described above.</w:t>
      </w:r>
    </w:p>
    <w:p>
      <w:pPr>
        <w:spacing w:after="0" w:line="25"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color w:val="auto"/>
        </w:rPr>
        <w:t>In the cases described above, the FERC could order additional refunds or the disgorgement of profits. RBS Sempra Commodities has reserves for its estimate of the effect of the FERC's revision of the benchmark prices it will use to calculate refunds and other related developments. Pursuant to the agreements related to the formation of RBS Sempra Commodities, we have indemnified RBS related to these proceedings should the liability from the final resolution be greater than the reserves.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Manipulation Investigation</w:t>
      </w:r>
    </w:p>
    <w:p>
      <w:pPr>
        <w:spacing w:after="0" w:line="47"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The FERC has separately investigated whether there was manipulation of short-term energy markets in the western United States that would constitute violations of applicable tariffs and warrant disgorgement of associated profits. In May 2002, the FERC ordered all energy companies engaged in electric energy trading activities to state whether they had engaged in various specific trading activities in violation of the PX and ISO tariffs.</w:t>
      </w:r>
    </w:p>
    <w:p>
      <w:pPr>
        <w:spacing w:after="0" w:line="39"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In June 2003, the FERC ordered a number of entities, including Sempra Commodities, to show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sought rehearing of this order, which the FERC largely denied in November 2008. The California parties have appealed the FERC's orders to the Ninth Circuit Court of Appeals.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47"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w:t>
      </w:r>
    </w:p>
    <w:p>
      <w:pPr>
        <w:spacing w:after="0" w:line="50"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auto"/>
        </w:rPr>
        <w:t>In 1998, we converted our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possible reduction in benefits. The discrimination claims were subsequently dismissed from the lawsuit. In May 2009, the parties agreed to settle the litigation for a nominal amount and the court preliminarily approved a class action settlement agreement in June 2009.</w:t>
      </w:r>
    </w:p>
    <w:p>
      <w:pPr>
        <w:spacing w:after="0" w:line="44" w:lineRule="exact"/>
        <w:rPr>
          <w:sz w:val="20"/>
          <w:szCs w:val="20"/>
          <w:color w:val="auto"/>
        </w:rPr>
      </w:pPr>
    </w:p>
    <w:p>
      <w:pPr>
        <w:ind w:right="120"/>
        <w:spacing w:after="0" w:line="270" w:lineRule="auto"/>
        <w:rPr>
          <w:sz w:val="20"/>
          <w:szCs w:val="20"/>
          <w:color w:val="auto"/>
        </w:rPr>
      </w:pPr>
      <w:r>
        <w:rPr>
          <w:rFonts w:ascii="Arial" w:cs="Arial" w:eastAsia="Arial" w:hAnsi="Arial"/>
          <w:sz w:val="21"/>
          <w:szCs w:val="21"/>
          <w:color w:val="auto"/>
        </w:rPr>
        <w:t>RBS Sempra Commodities assumed litigation reserves related to Sempra Commodities, however, we have indemnified RBS should the liabilities from the final resolution of these matters be greater than the reserves.</w:t>
      </w:r>
    </w:p>
    <w:p>
      <w:pPr>
        <w:sectPr>
          <w:pgSz w:w="11900" w:h="16838" w:orient="portrait"/>
          <w:cols w:equalWidth="0" w:num="1">
            <w:col w:w="11420"/>
          </w:cols>
          <w:pgMar w:left="240" w:top="118" w:right="239" w:bottom="1440" w:gutter="0" w:footer="0" w:header="0"/>
        </w:sectPr>
      </w:pPr>
    </w:p>
    <w:bookmarkStart w:id="60" w:name="page61"/>
    <w:bookmarkEnd w:id="60"/>
    <w:p>
      <w:pPr>
        <w:ind w:right="300"/>
        <w:spacing w:after="0" w:line="255" w:lineRule="auto"/>
        <w:rPr>
          <w:sz w:val="20"/>
          <w:szCs w:val="20"/>
          <w:color w:val="auto"/>
        </w:rPr>
      </w:pPr>
      <w:r>
        <w:rPr>
          <w:rFonts w:ascii="Arial" w:cs="Arial" w:eastAsia="Arial" w:hAnsi="Arial"/>
          <w:sz w:val="21"/>
          <w:szCs w:val="21"/>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Resolved Matters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We have accrued liabilities for resolved matters of:</w:t>
      </w:r>
    </w:p>
    <w:p>
      <w:pPr>
        <w:spacing w:after="0" w:line="40" w:lineRule="exact"/>
        <w:rPr>
          <w:sz w:val="20"/>
          <w:szCs w:val="20"/>
          <w:color w:val="auto"/>
        </w:rPr>
      </w:pPr>
    </w:p>
    <w:p>
      <w:pPr>
        <w:ind w:left="180" w:hanging="173"/>
        <w:spacing w:after="0"/>
        <w:tabs>
          <w:tab w:leader="none" w:pos="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$1,037 million at Sempra Energy Consolidated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$725 million at SDG&amp;E</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$66 million at SoCalGas</w:t>
      </w:r>
    </w:p>
    <w:p>
      <w:pPr>
        <w:spacing w:after="0" w:line="12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These amounts for Sempra Energy Consolidated and SDG&amp;E include $692 million of insurance settlements as of June 30, 2009, related to the SDG&amp;E 2007 wildfire litigation discussed above, which we expect would be paid by SDG&amp;E's liability insurers directly to the homeowners' insurers. The remaining amounts are primarily for settlements related to certain litigation arising out of the 2000 – 2001 California energy crisis, including the Continental Forge settlement and settlements of natural gas and electricity cases. We discussed the terms of the settlements related to the Continental Forge and natural gas and electricity cases in Note 16 of the Notes to Consolidated Financial Statements in the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CONSTRUCTION AND DEVELOPMENT PROJECTS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47" w:lineRule="exact"/>
        <w:rPr>
          <w:sz w:val="20"/>
          <w:szCs w:val="20"/>
          <w:color w:val="auto"/>
        </w:rPr>
      </w:pPr>
    </w:p>
    <w:p>
      <w:pPr>
        <w:ind w:right="200"/>
        <w:spacing w:after="0" w:line="244" w:lineRule="auto"/>
        <w:rPr>
          <w:sz w:val="20"/>
          <w:szCs w:val="20"/>
          <w:color w:val="auto"/>
        </w:rPr>
      </w:pPr>
      <w:r>
        <w:rPr>
          <w:rFonts w:ascii="Arial" w:cs="Arial" w:eastAsia="Arial" w:hAnsi="Arial"/>
          <w:sz w:val="21"/>
          <w:szCs w:val="21"/>
          <w:color w:val="auto"/>
        </w:rPr>
        <w:t>Liberty Gas Storage (Liberty) is a development project for salt-cavern natural gas storage facilities. Sempra Pipelines &amp; Storage owns 75% of Liberty, and ProLiance Transportation and Storage LLC (ProLiance) owns the remaining 25%. The project was expected to include 17 billion cubic feet (Bcf) of capacity in its north facility (located in Calcasieu Parish, Louisiana), and an additional 17 Bcf of capacity in its south facility (located in Cameron Parish, Louisiana). As described more fully below, we now expect only the south facility to be developed. The Liberty pipeline system is currently connected with several interstate pipelines, including the Cameron Interstate Pipeline operated by Sempra Pipelines &amp; Storage, and will connect area LNG regasification terminals to an interstate natural gas transmission system and storage facilities. We have expended $263 million on this project through June 30, 2009.</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Development of the salt caverns at the north facility has been halted due to subsurface and well-completion problems. Based on testing performed in the second quarter of 2009, we have determined that corrective measures have been unsuccessful. As a result, it is probable that the affected salt caverns will not provide future economic benefit, and accordingly, we recorded a pretax charge of $132 million to write off the caverns and certain related assets. This amount is recorded as "Write-off of Long-Lived Assets" on our Condensed Consolidated Statements of Operations for the three months and six months ended June 30, 2009. ProLiance's 25% of the pretax charge is $33 million, which is included in (Earnings) Losses Attributable to Noncontrolling Interests on our Condensed Consolidated Statements of Operations for the three months and six months ended June 30, 2009. The impact to our net income and to our earnings is $97 million and $64 million, respect ively, for both the three months and six months ended June 30, 2009.</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NUCLEAR INSURANCE</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SDG&amp;E and the other owners of SONGS have insurance to cover claims from nuclear liability incidents arising at SONGS. This insurance provides $300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$300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ectPr>
          <w:pgSz w:w="11900" w:h="16838" w:orient="portrait"/>
          <w:cols w:equalWidth="0" w:num="1">
            <w:col w:w="11380"/>
          </w:cols>
          <w:pgMar w:left="240" w:top="118" w:right="279" w:bottom="1440" w:gutter="0" w:footer="0" w:header="0"/>
        </w:sectPr>
      </w:pPr>
    </w:p>
    <w:bookmarkStart w:id="61" w:name="page62"/>
    <w:bookmarkEnd w:id="61"/>
    <w:p>
      <w:pPr>
        <w:ind w:right="140"/>
        <w:spacing w:after="0" w:line="246" w:lineRule="auto"/>
        <w:rPr>
          <w:sz w:val="20"/>
          <w:szCs w:val="20"/>
          <w:color w:val="auto"/>
        </w:rPr>
      </w:pPr>
      <w:r>
        <w:rPr>
          <w:rFonts w:ascii="Arial" w:cs="Arial" w:eastAsia="Arial" w:hAnsi="Arial"/>
          <w:sz w:val="21"/>
          <w:szCs w:val="21"/>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56"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CONTRACTUAL COMMITMENTS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color w:val="auto"/>
        </w:rPr>
        <w:t>At June 30, 2009, significant increases to contractual commitments at Sempra Energy include</w:t>
      </w:r>
    </w:p>
    <w:p>
      <w:pPr>
        <w:spacing w:after="0" w:line="80" w:lineRule="exact"/>
        <w:rPr>
          <w:sz w:val="20"/>
          <w:szCs w:val="20"/>
          <w:color w:val="auto"/>
        </w:rPr>
      </w:pP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issuance of $750 million of 6.50-percent notes maturing in 2016 at Sempra Energy;</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issuance of $300 million of 6-percent mortgage bonds maturing in 2039 at SDG&amp;E;</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$406 million new purchased-power contracts at SDG&amp;E;</w:t>
      </w:r>
    </w:p>
    <w:p>
      <w:pPr>
        <w:spacing w:after="0" w:line="39" w:lineRule="exact"/>
        <w:rPr>
          <w:rFonts w:ascii="Arial" w:cs="Arial" w:eastAsia="Arial" w:hAnsi="Arial"/>
          <w:sz w:val="21"/>
          <w:szCs w:val="21"/>
          <w:color w:val="auto"/>
        </w:rPr>
      </w:pPr>
    </w:p>
    <w:p>
      <w:pPr>
        <w:ind w:left="180" w:right="2000" w:hanging="173"/>
        <w:spacing w:after="0" w:line="257" w:lineRule="auto"/>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$247 million mainly for engineering and construction costs associated with the Sunrise Powerlink project at SDG&amp;E;</w:t>
      </w:r>
    </w:p>
    <w:p>
      <w:pPr>
        <w:ind w:left="180" w:right="2100" w:hanging="173"/>
        <w:spacing w:after="0" w:line="255" w:lineRule="auto"/>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$126 million new commitments for construction and infrastructure improvements for gas transmission and distribution operations at SoCalGas; and</w:t>
      </w: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new construction commitments of $93 million at Sempra Pipelines &amp; Storage and $63 million at Sempra LNG.</w:t>
      </w:r>
    </w:p>
    <w:p>
      <w:pPr>
        <w:spacing w:after="0" w:line="129" w:lineRule="exact"/>
        <w:rPr>
          <w:sz w:val="20"/>
          <w:szCs w:val="20"/>
          <w:color w:val="auto"/>
        </w:rPr>
      </w:pPr>
    </w:p>
    <w:p>
      <w:pPr>
        <w:ind w:right="300"/>
        <w:spacing w:after="0" w:line="255" w:lineRule="auto"/>
        <w:rPr>
          <w:sz w:val="20"/>
          <w:szCs w:val="20"/>
          <w:color w:val="auto"/>
        </w:rPr>
      </w:pPr>
      <w:r>
        <w:rPr>
          <w:rFonts w:ascii="Arial" w:cs="Arial" w:eastAsia="Arial" w:hAnsi="Arial"/>
          <w:sz w:val="21"/>
          <w:szCs w:val="21"/>
          <w:color w:val="auto"/>
        </w:rPr>
        <w:t>The future payments under these contractual commitments are expected to be $346 million for 2009, $255 million for 2010, $129 million for 2011, $85 million for 2012, $83 million for 2013 and $2 billion thereafter. These amounts include expected interest payments on the notes and mortgage bonds using the stated interest rate.</w:t>
      </w:r>
    </w:p>
    <w:p>
      <w:pPr>
        <w:spacing w:after="0" w:line="47" w:lineRule="exact"/>
        <w:rPr>
          <w:sz w:val="20"/>
          <w:szCs w:val="20"/>
          <w:color w:val="auto"/>
        </w:rPr>
      </w:pPr>
    </w:p>
    <w:p>
      <w:pPr>
        <w:ind w:right="1100"/>
        <w:spacing w:after="0" w:line="328" w:lineRule="auto"/>
        <w:rPr>
          <w:sz w:val="20"/>
          <w:szCs w:val="20"/>
          <w:color w:val="auto"/>
        </w:rPr>
      </w:pPr>
      <w:r>
        <w:rPr>
          <w:rFonts w:ascii="Arial" w:cs="Arial" w:eastAsia="Arial" w:hAnsi="Arial"/>
          <w:sz w:val="21"/>
          <w:szCs w:val="21"/>
          <w:color w:val="auto"/>
        </w:rPr>
        <w:t>Reserves for Sempra Energy and SDG&amp;E wildfire litigation are discussed above in “SDG&amp;E 2007 Wildfire Litigation.” Decreases to SoCalGas’ natural gas contracts are discussed below.</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100"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At June 30, 2009, the significant changes to contractual commitments at SDG&amp;E are an increase of $300 million due to the issuance of 6-percent mortgage bonds, $406 million due to new purchased-power contracts and $247 million mainly for the Sunrise Powerlink project, as discussed above. The future payments under these contractual commitments are expected to be $69 million for 2009, $174 million for 2010, $80 million for 2011, $36 million for 2012, $34 million for 2013 and $1.1 billion thereafter. These amounts include expected interest payments on the mortgage bonds using the stated interest rate.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100" w:lineRule="exact"/>
        <w:rPr>
          <w:sz w:val="20"/>
          <w:szCs w:val="20"/>
          <w:color w:val="auto"/>
        </w:rPr>
      </w:pPr>
    </w:p>
    <w:p>
      <w:pPr>
        <w:ind w:right="180"/>
        <w:spacing w:after="0" w:line="255" w:lineRule="auto"/>
        <w:rPr>
          <w:sz w:val="20"/>
          <w:szCs w:val="20"/>
          <w:color w:val="auto"/>
        </w:rPr>
      </w:pPr>
      <w:r>
        <w:rPr>
          <w:rFonts w:ascii="Arial" w:cs="Arial" w:eastAsia="Arial" w:hAnsi="Arial"/>
          <w:sz w:val="21"/>
          <w:szCs w:val="21"/>
          <w:color w:val="auto"/>
        </w:rPr>
        <w:t>At June 30, 2009, the significant changes to contractual commitments at SoCalGas are an increase of $126 million related to commitments discussed above. The future payments under these contractual commitments are expected to be $96 million for 2009 and $30 million for 2010.</w:t>
      </w:r>
    </w:p>
    <w:p>
      <w:pPr>
        <w:spacing w:after="0" w:line="34"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SoCalGas’ natural gas purchase commitments have decreased by $518 million since December 31, 2008. The decrease was primarily due to a decrease of $780 million based on lower natural gas forward prices, offset by new natural gas contracts of $262 million. Net future payments are therefore expected to decrease by $552 million for 2009, increase by $54 million for 2010, decrease by $17 million for 2011, increase by $1 million for 2012, increase by $1 million for 2013 and decrease by $5 million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247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We have five separately managed reportable segments, as follows:</w:t>
      </w:r>
    </w:p>
    <w:p>
      <w:pPr>
        <w:spacing w:after="0" w:line="120" w:lineRule="exact"/>
        <w:rPr>
          <w:sz w:val="20"/>
          <w:szCs w:val="20"/>
          <w:color w:val="auto"/>
        </w:rPr>
      </w:pPr>
    </w:p>
    <w:p>
      <w:pPr>
        <w:ind w:left="660" w:right="380" w:hanging="331"/>
        <w:spacing w:after="0" w:line="270" w:lineRule="auto"/>
        <w:tabs>
          <w:tab w:leader="none" w:pos="660"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SDG&amp;E </w:t>
      </w:r>
      <w:r>
        <w:rPr>
          <w:rFonts w:ascii="Arial" w:cs="Arial" w:eastAsia="Arial" w:hAnsi="Arial"/>
          <w:sz w:val="21"/>
          <w:szCs w:val="21"/>
          <w:color w:val="auto"/>
        </w:rPr>
        <w:t>provides electric service in California to San Diego and southern Orange counties and natural gas service to San</w:t>
      </w:r>
      <w:r>
        <w:rPr>
          <w:rFonts w:ascii="Arial" w:cs="Arial" w:eastAsia="Arial" w:hAnsi="Arial"/>
          <w:sz w:val="21"/>
          <w:szCs w:val="21"/>
          <w:i w:val="1"/>
          <w:iCs w:val="1"/>
          <w:color w:val="auto"/>
        </w:rPr>
        <w:t xml:space="preserve"> </w:t>
      </w:r>
      <w:r>
        <w:rPr>
          <w:rFonts w:ascii="Arial" w:cs="Arial" w:eastAsia="Arial" w:hAnsi="Arial"/>
          <w:sz w:val="21"/>
          <w:szCs w:val="21"/>
          <w:color w:val="auto"/>
        </w:rPr>
        <w:t>Diego County.</w:t>
      </w:r>
    </w:p>
    <w:p>
      <w:pPr>
        <w:spacing w:after="0" w:line="206" w:lineRule="exact"/>
        <w:rPr>
          <w:rFonts w:ascii="Arial" w:cs="Arial" w:eastAsia="Arial" w:hAnsi="Arial"/>
          <w:sz w:val="21"/>
          <w:szCs w:val="21"/>
          <w:i w:val="1"/>
          <w:iCs w:val="1"/>
          <w:color w:val="auto"/>
        </w:rPr>
      </w:pPr>
    </w:p>
    <w:p>
      <w:pPr>
        <w:ind w:left="660" w:right="240" w:hanging="331"/>
        <w:spacing w:after="0" w:line="270" w:lineRule="auto"/>
        <w:tabs>
          <w:tab w:leader="none" w:pos="660"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SoCalGas </w:t>
      </w:r>
      <w:r>
        <w:rPr>
          <w:rFonts w:ascii="Arial" w:cs="Arial" w:eastAsia="Arial" w:hAnsi="Arial"/>
          <w:sz w:val="21"/>
          <w:szCs w:val="21"/>
          <w:color w:val="auto"/>
        </w:rPr>
        <w:t>is a natural gas distribution utility, serving customers throughout most of Southern California and part of central</w:t>
      </w:r>
      <w:r>
        <w:rPr>
          <w:rFonts w:ascii="Arial" w:cs="Arial" w:eastAsia="Arial" w:hAnsi="Arial"/>
          <w:sz w:val="21"/>
          <w:szCs w:val="21"/>
          <w:i w:val="1"/>
          <w:iCs w:val="1"/>
          <w:color w:val="auto"/>
        </w:rPr>
        <w:t xml:space="preserve"> </w:t>
      </w:r>
      <w:r>
        <w:rPr>
          <w:rFonts w:ascii="Arial" w:cs="Arial" w:eastAsia="Arial" w:hAnsi="Arial"/>
          <w:sz w:val="21"/>
          <w:szCs w:val="21"/>
          <w:color w:val="auto"/>
        </w:rPr>
        <w:t>California.</w:t>
      </w:r>
    </w:p>
    <w:p>
      <w:pPr>
        <w:spacing w:after="0" w:line="206" w:lineRule="exact"/>
        <w:rPr>
          <w:rFonts w:ascii="Arial" w:cs="Arial" w:eastAsia="Arial" w:hAnsi="Arial"/>
          <w:sz w:val="21"/>
          <w:szCs w:val="21"/>
          <w:i w:val="1"/>
          <w:iCs w:val="1"/>
          <w:color w:val="auto"/>
        </w:rPr>
      </w:pPr>
    </w:p>
    <w:p>
      <w:pPr>
        <w:ind w:left="660" w:right="780" w:hanging="331"/>
        <w:spacing w:after="0" w:line="250" w:lineRule="auto"/>
        <w:tabs>
          <w:tab w:leader="none" w:pos="660"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Sempra Commodities </w:t>
      </w:r>
      <w:r>
        <w:rPr>
          <w:rFonts w:ascii="Arial" w:cs="Arial" w:eastAsia="Arial" w:hAnsi="Arial"/>
          <w:sz w:val="21"/>
          <w:szCs w:val="21"/>
          <w:color w:val="auto"/>
        </w:rPr>
        <w:t>holds our investment in RBS Sempra Commodities, a joint venture with RBS. The partnership</w:t>
      </w:r>
      <w:r>
        <w:rPr>
          <w:rFonts w:ascii="Arial" w:cs="Arial" w:eastAsia="Arial" w:hAnsi="Arial"/>
          <w:sz w:val="21"/>
          <w:szCs w:val="21"/>
          <w:i w:val="1"/>
          <w:iCs w:val="1"/>
          <w:color w:val="auto"/>
        </w:rPr>
        <w:t xml:space="preserve"> </w:t>
      </w:r>
      <w:r>
        <w:rPr>
          <w:rFonts w:ascii="Arial" w:cs="Arial" w:eastAsia="Arial" w:hAnsi="Arial"/>
          <w:sz w:val="21"/>
          <w:szCs w:val="21"/>
          <w:color w:val="auto"/>
        </w:rPr>
        <w:t>was formed on April 1, 2008 from our commodities-marketing businesses previously reported in this segment. The partnership's commodity trading businesses serve customers in natural gas, electricity, petroleum and petroleum products, and base metals.</w:t>
      </w:r>
    </w:p>
    <w:p>
      <w:pPr>
        <w:spacing w:after="0" w:line="92" w:lineRule="exact"/>
        <w:rPr>
          <w:rFonts w:ascii="Arial" w:cs="Arial" w:eastAsia="Arial" w:hAnsi="Arial"/>
          <w:sz w:val="21"/>
          <w:szCs w:val="21"/>
          <w:i w:val="1"/>
          <w:iCs w:val="1"/>
          <w:color w:val="auto"/>
        </w:rPr>
      </w:pPr>
    </w:p>
    <w:p>
      <w:pPr>
        <w:ind w:left="660" w:right="1080"/>
        <w:spacing w:after="0" w:line="270" w:lineRule="auto"/>
        <w:rPr>
          <w:rFonts w:ascii="Arial" w:cs="Arial" w:eastAsia="Arial" w:hAnsi="Arial"/>
          <w:sz w:val="21"/>
          <w:szCs w:val="21"/>
          <w:i w:val="1"/>
          <w:iCs w:val="1"/>
          <w:color w:val="auto"/>
        </w:rPr>
      </w:pPr>
      <w:r>
        <w:rPr>
          <w:rFonts w:ascii="Arial" w:cs="Arial" w:eastAsia="Arial" w:hAnsi="Arial"/>
          <w:sz w:val="21"/>
          <w:szCs w:val="21"/>
          <w:color w:val="auto"/>
        </w:rPr>
        <w:t>Sempra Commodities also includes the operating results of Sempra Rockies Marketing, which holds firm service capacity on the Rockies Express Pipeline.</w:t>
      </w:r>
    </w:p>
    <w:p>
      <w:pPr>
        <w:spacing w:after="0" w:line="206" w:lineRule="exact"/>
        <w:rPr>
          <w:rFonts w:ascii="Arial" w:cs="Arial" w:eastAsia="Arial" w:hAnsi="Arial"/>
          <w:sz w:val="21"/>
          <w:szCs w:val="21"/>
          <w:i w:val="1"/>
          <w:iCs w:val="1"/>
          <w:color w:val="auto"/>
        </w:rPr>
      </w:pPr>
    </w:p>
    <w:p>
      <w:pPr>
        <w:ind w:left="660" w:right="740" w:hanging="331"/>
        <w:spacing w:after="0" w:line="270" w:lineRule="auto"/>
        <w:tabs>
          <w:tab w:leader="none" w:pos="660"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Sempra Generation </w:t>
      </w:r>
      <w:r>
        <w:rPr>
          <w:rFonts w:ascii="Arial" w:cs="Arial" w:eastAsia="Arial" w:hAnsi="Arial"/>
          <w:sz w:val="21"/>
          <w:szCs w:val="21"/>
          <w:color w:val="auto"/>
        </w:rPr>
        <w:t>develops, owns and operates electric power plants in California, Nevada, Arizona and Mexico to</w:t>
      </w:r>
      <w:r>
        <w:rPr>
          <w:rFonts w:ascii="Arial" w:cs="Arial" w:eastAsia="Arial" w:hAnsi="Arial"/>
          <w:sz w:val="21"/>
          <w:szCs w:val="21"/>
          <w:i w:val="1"/>
          <w:iCs w:val="1"/>
          <w:color w:val="auto"/>
        </w:rPr>
        <w:t xml:space="preserve"> </w:t>
      </w:r>
      <w:r>
        <w:rPr>
          <w:rFonts w:ascii="Arial" w:cs="Arial" w:eastAsia="Arial" w:hAnsi="Arial"/>
          <w:sz w:val="21"/>
          <w:szCs w:val="21"/>
          <w:color w:val="auto"/>
        </w:rPr>
        <w:t>serve wholesale electricity markets in North America.</w:t>
      </w:r>
    </w:p>
    <w:p>
      <w:pPr>
        <w:sectPr>
          <w:pgSz w:w="11900" w:h="16838" w:orient="portrait"/>
          <w:cols w:equalWidth="0" w:num="1">
            <w:col w:w="11420"/>
          </w:cols>
          <w:pgMar w:left="240" w:top="118" w:right="239" w:bottom="0" w:gutter="0" w:footer="0" w:header="0"/>
        </w:sectPr>
      </w:pPr>
    </w:p>
    <w:bookmarkStart w:id="62" w:name="page63"/>
    <w:bookmarkEnd w:id="62"/>
    <w:p>
      <w:pPr>
        <w:ind w:left="660" w:right="560" w:hanging="331"/>
        <w:spacing w:after="0" w:line="262" w:lineRule="auto"/>
        <w:tabs>
          <w:tab w:leader="none" w:pos="6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Sempra Pipelines &amp; Storage </w:t>
      </w:r>
      <w:r>
        <w:rPr>
          <w:rFonts w:ascii="Arial" w:cs="Arial" w:eastAsia="Arial" w:hAnsi="Arial"/>
          <w:sz w:val="20"/>
          <w:szCs w:val="20"/>
          <w:color w:val="auto"/>
        </w:rPr>
        <w:t>develops, owns and operates, or holds interests in, natural gas pipelines and storage</w:t>
      </w:r>
      <w:r>
        <w:rPr>
          <w:rFonts w:ascii="Arial" w:cs="Arial" w:eastAsia="Arial" w:hAnsi="Arial"/>
          <w:sz w:val="20"/>
          <w:szCs w:val="20"/>
          <w:i w:val="1"/>
          <w:iCs w:val="1"/>
          <w:color w:val="auto"/>
        </w:rPr>
        <w:t xml:space="preserve"> </w:t>
      </w:r>
      <w:r>
        <w:rPr>
          <w:rFonts w:ascii="Arial" w:cs="Arial" w:eastAsia="Arial" w:hAnsi="Arial"/>
          <w:sz w:val="20"/>
          <w:szCs w:val="20"/>
          <w:color w:val="auto"/>
        </w:rPr>
        <w:t>facilities in the United States and Mexico, and companies that provide natural gas or electricity services in Argentina, Chile, Mexico and Peru. We are currently pursuing the sale of our interests in the Argentine utilities, which we discuss further in Note 4 of the Notes to Consolidated Financial Statements in the Annual Report. Sempra Pipelines &amp; Storage also operates a small natural gas distribution utility in Southwest Alabama.</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52" w:lineRule="exact"/>
        <w:rPr>
          <w:sz w:val="20"/>
          <w:szCs w:val="20"/>
          <w:color w:val="auto"/>
        </w:rPr>
      </w:pPr>
    </w:p>
    <w:p>
      <w:pPr>
        <w:ind w:right="620"/>
        <w:spacing w:after="0" w:line="270" w:lineRule="auto"/>
        <w:rPr>
          <w:sz w:val="20"/>
          <w:szCs w:val="20"/>
          <w:color w:val="auto"/>
        </w:rPr>
      </w:pPr>
      <w:r>
        <w:rPr>
          <w:rFonts w:ascii="Arial" w:cs="Arial" w:eastAsia="Arial" w:hAnsi="Arial"/>
          <w:sz w:val="21"/>
          <w:szCs w:val="21"/>
          <w:color w:val="auto"/>
        </w:rPr>
        <w:t>The following tables show selected information by segment from our Condensed Consolidated Statements of Operations and Condensed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Amounts labeled as "all other" in the following tables consist primarily of parent organizations and Sempra LNG.</w:t>
      </w:r>
    </w:p>
    <w:p>
      <w:pPr>
        <w:sectPr>
          <w:pgSz w:w="11900" w:h="16838" w:orient="portrait"/>
          <w:cols w:equalWidth="0" w:num="1">
            <w:col w:w="11340"/>
          </w:cols>
          <w:pgMar w:left="240" w:top="145" w:right="31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352425</wp:posOffset>
            </wp:positionH>
            <wp:positionV relativeFrom="page">
              <wp:posOffset>106045</wp:posOffset>
            </wp:positionV>
            <wp:extent cx="6864985" cy="272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64985" cy="272415"/>
                    </a:xfrm>
                    <a:prstGeom prst="rect">
                      <a:avLst/>
                    </a:prstGeom>
                    <a:noFill/>
                  </pic:spPr>
                </pic:pic>
              </a:graphicData>
            </a:graphic>
          </wp:anchor>
        </w:drawing>
        <w:t>SEGMENT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7"/>
        </w:trPr>
        <w:tc>
          <w:tcPr>
            <w:tcW w:w="24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208"/>
        </w:trPr>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2008</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REVENUES</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631</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37 %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754</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30 %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1,363</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1,500</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26 %</w:t>
            </w: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694</w:t>
            </w:r>
          </w:p>
        </w:tc>
        <w:tc>
          <w:tcPr>
            <w:tcW w:w="62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1,143</w:t>
            </w: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1,614</w:t>
            </w: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2,699</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473</w:t>
            </w: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245</w:t>
            </w: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482</w:t>
            </w: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542</w:t>
            </w: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928</w:t>
            </w: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118</w:t>
            </w: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211</w:t>
            </w: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r>
      <w:tr>
        <w:trPr>
          <w:trHeight w:val="220"/>
        </w:trPr>
        <w:tc>
          <w:tcPr>
            <w:tcW w:w="2400" w:type="dxa"/>
            <w:vAlign w:val="bottom"/>
          </w:tcPr>
          <w:p>
            <w:pPr>
              <w:ind w:left="100"/>
              <w:spacing w:after="0"/>
              <w:rPr>
                <w:sz w:val="20"/>
                <w:szCs w:val="20"/>
                <w:color w:val="auto"/>
              </w:rPr>
            </w:pPr>
            <w:r>
              <w:rPr>
                <w:rFonts w:ascii="Arial" w:cs="Arial" w:eastAsia="Arial" w:hAnsi="Arial"/>
                <w:sz w:val="16"/>
                <w:szCs w:val="16"/>
                <w:color w:val="auto"/>
              </w:rPr>
              <w:t>Intersegment revenues</w:t>
            </w: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1"/>
              </w:rPr>
              <w:t>(17)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(35)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1,689</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2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2,503</w:t>
            </w: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3,797</w:t>
            </w: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10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5,773</w:t>
            </w:r>
          </w:p>
        </w:tc>
        <w:tc>
          <w:tcPr>
            <w:tcW w:w="44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83"/>
        </w:trPr>
        <w:tc>
          <w:tcPr>
            <w:tcW w:w="24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rPr>
              <w:t>INTEREST EXPENSE</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0"/>
        </w:trPr>
        <w:tc>
          <w:tcPr>
            <w:tcW w:w="24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1"/>
              </w:rPr>
              <w:t>(37)</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(72)</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79</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98</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83"/>
        </w:trPr>
        <w:tc>
          <w:tcPr>
            <w:tcW w:w="24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rPr>
              <w:t>INTEREST INCOME</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0"/>
        </w:trPr>
        <w:tc>
          <w:tcPr>
            <w:tcW w:w="24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1"/>
              </w:rPr>
              <w:t>(37)</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(72)</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83"/>
        </w:trPr>
        <w:tc>
          <w:tcPr>
            <w:tcW w:w="2960" w:type="dxa"/>
            <w:vAlign w:val="bottom"/>
            <w:gridSpan w:val="2"/>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43 %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78</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46 %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42 %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155</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45 %</w:t>
            </w: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w:t>
            </w: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142</w:t>
            </w: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r>
      <w:tr>
        <w:trPr>
          <w:trHeight w:val="220"/>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189</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2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171</w:t>
            </w: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372</w:t>
            </w: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10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346</w:t>
            </w:r>
          </w:p>
        </w:tc>
        <w:tc>
          <w:tcPr>
            <w:tcW w:w="44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83"/>
        </w:trPr>
        <w:tc>
          <w:tcPr>
            <w:tcW w:w="2960" w:type="dxa"/>
            <w:vAlign w:val="bottom"/>
            <w:gridSpan w:val="2"/>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133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w w:val="91"/>
              </w:rPr>
              <w:t>(29)</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ind w:left="360"/>
              <w:spacing w:after="0"/>
              <w:rPr>
                <w:sz w:val="20"/>
                <w:szCs w:val="20"/>
                <w:color w:val="auto"/>
              </w:rPr>
            </w:pPr>
            <w:r>
              <w:rPr>
                <w:rFonts w:ascii="Arial" w:cs="Arial" w:eastAsia="Arial" w:hAnsi="Arial"/>
                <w:sz w:val="16"/>
                <w:szCs w:val="16"/>
                <w:color w:val="auto"/>
              </w:rPr>
              <w:t>(17)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0"/>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1"/>
              </w:rPr>
              <w:t>(17)</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(65)</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202</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329</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83"/>
        </w:trPr>
        <w:tc>
          <w:tcPr>
            <w:tcW w:w="24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r>
    </w:tbl>
    <w:p>
      <w:pPr>
        <w:sectPr>
          <w:pgSz w:w="11900" w:h="16838" w:orient="portrait"/>
          <w:cols w:equalWidth="0" w:num="1">
            <w:col w:w="10800"/>
          </w:cols>
          <w:pgMar w:left="560" w:top="175" w:right="539" w:bottom="1440" w:gutter="0" w:footer="0" w:header="0"/>
        </w:sectPr>
      </w:pPr>
    </w:p>
    <w:bookmarkStart w:id="64" w:name="page65"/>
    <w:bookmarkEnd w:id="6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344170</wp:posOffset>
            </wp:positionH>
            <wp:positionV relativeFrom="page">
              <wp:posOffset>106045</wp:posOffset>
            </wp:positionV>
            <wp:extent cx="6873240" cy="272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73240" cy="272415"/>
                    </a:xfrm>
                    <a:prstGeom prst="rect">
                      <a:avLst/>
                    </a:prstGeom>
                    <a:noFill/>
                  </pic:spPr>
                </pic:pic>
              </a:graphicData>
            </a:graphic>
          </wp:anchor>
        </w:drawing>
        <w:t>SEGMENT INFORMATION (Continued)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Three months ended June 30,</w:t>
            </w: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2009</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2008</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2008</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EQUITY EARNINGS (LOSSES)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60"/>
              <w:spacing w:after="0"/>
              <w:rPr>
                <w:sz w:val="20"/>
                <w:szCs w:val="20"/>
                <w:color w:val="auto"/>
              </w:rPr>
            </w:pPr>
            <w:r>
              <w:rPr>
                <w:rFonts w:ascii="Arial" w:cs="Arial" w:eastAsia="Arial" w:hAnsi="Arial"/>
                <w:sz w:val="16"/>
                <w:szCs w:val="16"/>
                <w:color w:val="auto"/>
              </w:rPr>
              <w:t>Earnings (losses) recorded</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00"/>
              <w:spacing w:after="0"/>
              <w:rPr>
                <w:sz w:val="20"/>
                <w:szCs w:val="20"/>
                <w:color w:val="auto"/>
              </w:rPr>
            </w:pPr>
            <w:r>
              <w:rPr>
                <w:rFonts w:ascii="Arial" w:cs="Arial" w:eastAsia="Arial" w:hAnsi="Arial"/>
                <w:sz w:val="16"/>
                <w:szCs w:val="16"/>
                <w:color w:val="auto"/>
              </w:rPr>
              <w:t>before tax:</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126</w:t>
            </w:r>
          </w:p>
        </w:tc>
        <w:tc>
          <w:tcPr>
            <w:tcW w:w="840" w:type="dxa"/>
            <w:vAlign w:val="bottom"/>
          </w:tcPr>
          <w:p>
            <w:pPr>
              <w:spacing w:after="0"/>
              <w:rPr>
                <w:sz w:val="18"/>
                <w:szCs w:val="18"/>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146</w:t>
            </w:r>
          </w:p>
        </w:tc>
        <w:tc>
          <w:tcPr>
            <w:tcW w:w="780" w:type="dxa"/>
            <w:vAlign w:val="bottom"/>
          </w:tcPr>
          <w:p>
            <w:pPr>
              <w:spacing w:after="0"/>
              <w:rPr>
                <w:sz w:val="18"/>
                <w:szCs w:val="18"/>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146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(6)</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11</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128</w:t>
            </w:r>
          </w:p>
        </w:tc>
        <w:tc>
          <w:tcPr>
            <w:tcW w:w="840" w:type="dxa"/>
            <w:vAlign w:val="bottom"/>
          </w:tcPr>
          <w:p>
            <w:pPr>
              <w:spacing w:after="0"/>
              <w:rPr>
                <w:sz w:val="17"/>
                <w:szCs w:val="17"/>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155</w:t>
            </w:r>
          </w:p>
        </w:tc>
        <w:tc>
          <w:tcPr>
            <w:tcW w:w="780" w:type="dxa"/>
            <w:vAlign w:val="bottom"/>
          </w:tcPr>
          <w:p>
            <w:pPr>
              <w:spacing w:after="0"/>
              <w:rPr>
                <w:sz w:val="17"/>
                <w:szCs w:val="17"/>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288</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161</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50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60"/>
              <w:spacing w:after="0"/>
              <w:rPr>
                <w:sz w:val="20"/>
                <w:szCs w:val="20"/>
                <w:color w:val="auto"/>
              </w:rPr>
            </w:pPr>
            <w:r>
              <w:rPr>
                <w:rFonts w:ascii="Arial" w:cs="Arial" w:eastAsia="Arial" w:hAnsi="Arial"/>
                <w:sz w:val="16"/>
                <w:szCs w:val="16"/>
                <w:color w:val="auto"/>
              </w:rPr>
              <w:t>Earnings recorded net of tax:</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23</w:t>
            </w:r>
          </w:p>
        </w:tc>
        <w:tc>
          <w:tcPr>
            <w:tcW w:w="840" w:type="dxa"/>
            <w:vAlign w:val="bottom"/>
          </w:tcPr>
          <w:p>
            <w:pPr>
              <w:spacing w:after="0"/>
              <w:rPr>
                <w:sz w:val="18"/>
                <w:szCs w:val="18"/>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780" w:type="dxa"/>
            <w:vAlign w:val="bottom"/>
          </w:tcPr>
          <w:p>
            <w:pPr>
              <w:spacing w:after="0"/>
              <w:rPr>
                <w:sz w:val="18"/>
                <w:szCs w:val="18"/>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23</w:t>
            </w:r>
          </w:p>
        </w:tc>
        <w:tc>
          <w:tcPr>
            <w:tcW w:w="840" w:type="dxa"/>
            <w:vAlign w:val="bottom"/>
          </w:tcPr>
          <w:p>
            <w:pPr>
              <w:spacing w:after="0"/>
              <w:rPr>
                <w:sz w:val="17"/>
                <w:szCs w:val="17"/>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780" w:type="dxa"/>
            <w:vAlign w:val="bottom"/>
          </w:tcPr>
          <w:p>
            <w:pPr>
              <w:spacing w:after="0"/>
              <w:rPr>
                <w:sz w:val="17"/>
                <w:szCs w:val="17"/>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39</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color w:val="auto"/>
              </w:rPr>
              <w:t>EARNINGS (LOSSES)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SDG&amp;E*</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70</w:t>
            </w:r>
          </w:p>
        </w:tc>
        <w:tc>
          <w:tcPr>
            <w:tcW w:w="840" w:type="dxa"/>
            <w:vAlign w:val="bottom"/>
          </w:tcPr>
          <w:p>
            <w:pPr>
              <w:jc w:val="right"/>
              <w:ind w:right="180"/>
              <w:spacing w:after="0"/>
              <w:rPr>
                <w:sz w:val="20"/>
                <w:szCs w:val="20"/>
                <w:color w:val="auto"/>
              </w:rPr>
            </w:pPr>
            <w:r>
              <w:rPr>
                <w:rFonts w:ascii="Arial" w:cs="Arial" w:eastAsia="Arial" w:hAnsi="Arial"/>
                <w:sz w:val="16"/>
                <w:szCs w:val="16"/>
                <w:color w:val="auto"/>
              </w:rPr>
              <w:t>35 %</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61</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25 %</w:t>
            </w: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33 %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135</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65</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56</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23</w:t>
            </w: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113</w:t>
            </w: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85</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43</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130</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53</w:t>
            </w: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189</w:t>
            </w: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33</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(27)</w:t>
            </w: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50</w:t>
            </w: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(14)</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(50)</w:t>
            </w: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198</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100   %</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244</w:t>
            </w:r>
          </w:p>
        </w:tc>
        <w:tc>
          <w:tcPr>
            <w:tcW w:w="780" w:type="dxa"/>
            <w:vAlign w:val="bottom"/>
          </w:tcPr>
          <w:p>
            <w:pPr>
              <w:jc w:val="right"/>
              <w:spacing w:after="0"/>
              <w:rPr>
                <w:sz w:val="20"/>
                <w:szCs w:val="20"/>
                <w:color w:val="auto"/>
              </w:rPr>
            </w:pPr>
            <w:r>
              <w:rPr>
                <w:rFonts w:ascii="Arial" w:cs="Arial" w:eastAsia="Arial" w:hAnsi="Arial"/>
                <w:sz w:val="16"/>
                <w:szCs w:val="16"/>
                <w:color w:val="auto"/>
              </w:rPr>
              <w:t>100   %</w:t>
            </w: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514</w:t>
            </w: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486</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2200" w:type="dxa"/>
            <w:vAlign w:val="bottom"/>
            <w:gridSpan w:val="4"/>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2008</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4"/>
          </w:tcPr>
          <w:p>
            <w:pPr>
              <w:ind w:left="20"/>
              <w:spacing w:after="0"/>
              <w:rPr>
                <w:sz w:val="20"/>
                <w:szCs w:val="20"/>
                <w:color w:val="auto"/>
              </w:rPr>
            </w:pPr>
            <w:r>
              <w:rPr>
                <w:rFonts w:ascii="Arial" w:cs="Arial" w:eastAsia="Arial" w:hAnsi="Arial"/>
                <w:sz w:val="16"/>
                <w:szCs w:val="16"/>
                <w:color w:val="auto"/>
              </w:rPr>
              <w:t>EXPENDITURES FOR PROPERTY PLANT &amp; EQUIPMENT</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47 %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428</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227</w:t>
            </w: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242</w:t>
            </w: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21</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152</w:t>
            </w: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938</w:t>
            </w: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w w:val="98"/>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1,114</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1320" w:type="dxa"/>
            <w:vAlign w:val="bottom"/>
            <w:gridSpan w:val="2"/>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420" w:type="dxa"/>
            <w:vAlign w:val="bottom"/>
            <w:gridSpan w:val="2"/>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June 30, 2009</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December 31, 2008</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ASSETS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10,469</w:t>
            </w:r>
          </w:p>
        </w:tc>
        <w:tc>
          <w:tcPr>
            <w:tcW w:w="560" w:type="dxa"/>
            <w:vAlign w:val="bottom"/>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w w:val="98"/>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9,079</w:t>
            </w: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7,434</w:t>
            </w: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7,351</w:t>
            </w: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2,055</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2,092</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1,982</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1,860</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4,132</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4,060</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2,748</w:t>
            </w: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2,843</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(885)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27,922</w:t>
            </w: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w w:val="98"/>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26,400</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3"/>
        </w:trPr>
        <w:tc>
          <w:tcPr>
            <w:tcW w:w="3780" w:type="dxa"/>
            <w:vAlign w:val="bottom"/>
            <w:gridSpan w:val="3"/>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780" w:type="dxa"/>
            <w:vAlign w:val="bottom"/>
            <w:gridSpan w:val="3"/>
          </w:tcPr>
          <w:p>
            <w:pPr>
              <w:ind w:left="20"/>
              <w:spacing w:after="0"/>
              <w:rPr>
                <w:sz w:val="20"/>
                <w:szCs w:val="20"/>
                <w:color w:val="auto"/>
              </w:rPr>
            </w:pPr>
            <w:r>
              <w:rPr>
                <w:rFonts w:ascii="Arial" w:cs="Arial" w:eastAsia="Arial" w:hAnsi="Arial"/>
                <w:sz w:val="16"/>
                <w:szCs w:val="16"/>
                <w:color w:val="auto"/>
              </w:rPr>
              <w:t>INVESTMENTS IN EQUITY METHOD INVESTEES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2,019</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2,082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198</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198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1,105</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796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3,348</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3,106</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After preferred dividends.</w:t>
      </w:r>
    </w:p>
    <w:p>
      <w:pPr>
        <w:sectPr>
          <w:pgSz w:w="11900" w:h="16838" w:orient="portrait"/>
          <w:cols w:equalWidth="0" w:num="1">
            <w:col w:w="10820"/>
          </w:cols>
          <w:pgMar w:left="540" w:top="175" w:right="539" w:bottom="1440" w:gutter="0" w:footer="0" w:header="0"/>
        </w:sectPr>
      </w:pPr>
    </w:p>
    <w:bookmarkStart w:id="65" w:name="page66"/>
    <w:bookmarkEnd w:id="65"/>
    <w:p>
      <w:pPr>
        <w:ind w:right="280"/>
        <w:spacing w:after="0" w:line="257"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00" w:lineRule="exact"/>
        <w:rPr>
          <w:sz w:val="20"/>
          <w:szCs w:val="20"/>
          <w:color w:val="auto"/>
        </w:rPr>
      </w:pP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color w:val="auto"/>
        </w:rPr>
        <w:t>You should read the following discussion in conjunction with the financial statements contained in this Form 10-Q, "Management's Discussion and Analysis of Financial Condition and Results of Operations" contained in our 2008 Annual Report on Form 10-K (Annual Report), and "Risk Factors" contained in our Annual Report and Part II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47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6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businesses engaged in providing energy products and services.</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This report includes information for the following separate registrants:</w:t>
      </w:r>
    </w:p>
    <w:p>
      <w:pPr>
        <w:spacing w:after="0" w:line="80" w:lineRule="exact"/>
        <w:rPr>
          <w:sz w:val="20"/>
          <w:szCs w:val="20"/>
          <w:color w:val="auto"/>
        </w:rPr>
      </w:pPr>
    </w:p>
    <w:p>
      <w:pPr>
        <w:ind w:left="180" w:hanging="173"/>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Sempra Energy and its consolidated entities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SDG&amp;E</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Pacific Enterprises (PE), the holding company for SoCalGas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SoCalGas</w:t>
      </w:r>
    </w:p>
    <w:p>
      <w:pPr>
        <w:spacing w:after="0" w:line="129" w:lineRule="exact"/>
        <w:rPr>
          <w:sz w:val="20"/>
          <w:szCs w:val="20"/>
          <w:color w:val="auto"/>
        </w:rPr>
      </w:pPr>
    </w:p>
    <w:p>
      <w:pPr>
        <w:ind w:right="520"/>
        <w:spacing w:after="0" w:line="270" w:lineRule="auto"/>
        <w:rPr>
          <w:sz w:val="20"/>
          <w:szCs w:val="20"/>
          <w:color w:val="auto"/>
        </w:rPr>
      </w:pPr>
      <w:r>
        <w:rPr>
          <w:rFonts w:ascii="Arial" w:cs="Arial" w:eastAsia="Arial" w:hAnsi="Arial"/>
          <w:sz w:val="21"/>
          <w:szCs w:val="21"/>
          <w:color w:val="auto"/>
        </w:rPr>
        <w:t>References in this report to "we," "our" and "Sempra Energy Consolidated" are to Sempra Energy and its consolidated entities, collectively, unless otherwise indicated by the context.</w:t>
      </w:r>
    </w:p>
    <w:p>
      <w:pPr>
        <w:spacing w:after="0" w:line="33" w:lineRule="exact"/>
        <w:rPr>
          <w:sz w:val="20"/>
          <w:szCs w:val="20"/>
          <w:color w:val="auto"/>
        </w:rPr>
      </w:pPr>
    </w:p>
    <w:p>
      <w:pPr>
        <w:ind w:right="100"/>
        <w:spacing w:after="0" w:line="270" w:lineRule="auto"/>
        <w:rPr>
          <w:sz w:val="20"/>
          <w:szCs w:val="20"/>
          <w:color w:val="auto"/>
        </w:rPr>
      </w:pPr>
      <w:r>
        <w:rPr>
          <w:rFonts w:ascii="Arial" w:cs="Arial" w:eastAsia="Arial" w:hAnsi="Arial"/>
          <w:sz w:val="21"/>
          <w:szCs w:val="21"/>
          <w:color w:val="auto"/>
        </w:rPr>
        <w:t>PE's operations consist solely of those of SoCalGas and additional items (e.g., cash, intercompany accounts and equity) attributable to being a holding company for SoCalGas.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Below are the summary descriptions of our operating business units.</w:t>
      </w: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BUSINESS UNITS</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243205</wp:posOffset>
            </wp:positionV>
            <wp:extent cx="5554980" cy="161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54980" cy="161925"/>
                    </a:xfrm>
                    <a:prstGeom prst="rect">
                      <a:avLst/>
                    </a:prstGeom>
                    <a:noFill/>
                  </pic:spPr>
                </pic:pic>
              </a:graphicData>
            </a:graphic>
          </wp:anchor>
        </w:drawing>
      </w:r>
    </w:p>
    <w:p>
      <w:pPr>
        <w:spacing w:after="0" w:line="398"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SEMPRA UTILITIES</w:t>
      </w:r>
    </w:p>
    <w:p>
      <w:pPr>
        <w:spacing w:after="0" w:line="35" w:lineRule="exact"/>
        <w:rPr>
          <w:sz w:val="20"/>
          <w:szCs w:val="20"/>
          <w:color w:val="auto"/>
        </w:rPr>
      </w:pPr>
    </w:p>
    <w:p>
      <w:pPr>
        <w:ind w:left="5420"/>
        <w:spacing w:after="0"/>
        <w:tabs>
          <w:tab w:leader="none" w:pos="788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SERVICE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50800</wp:posOffset>
            </wp:positionV>
            <wp:extent cx="5554980" cy="145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4980" cy="1450340"/>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p>
      <w:pPr>
        <w:spacing w:after="0" w:line="89" w:lineRule="exact"/>
        <w:rPr>
          <w:sz w:val="20"/>
          <w:szCs w:val="20"/>
          <w:color w:val="auto"/>
        </w:rPr>
      </w:pPr>
    </w:p>
    <w:p>
      <w:pPr>
        <w:ind w:left="1360" w:right="420"/>
        <w:spacing w:after="0" w:line="257" w:lineRule="auto"/>
        <w:rPr>
          <w:sz w:val="20"/>
          <w:szCs w:val="20"/>
          <w:color w:val="auto"/>
        </w:rPr>
      </w:pPr>
      <w:r>
        <w:rPr>
          <w:rFonts w:ascii="Arial" w:cs="Arial" w:eastAsia="Arial" w:hAnsi="Arial"/>
          <w:sz w:val="16"/>
          <w:szCs w:val="16"/>
          <w:b w:val="1"/>
          <w:bCs w:val="1"/>
          <w:color w:val="auto"/>
        </w:rPr>
        <w:t>SAN DIEGO GAS &amp; ELECTRIC COMPANY (SDG&amp;E)</w:t>
      </w:r>
    </w:p>
    <w:p>
      <w:pPr>
        <w:spacing w:after="0" w:line="1" w:lineRule="exact"/>
        <w:rPr>
          <w:sz w:val="20"/>
          <w:szCs w:val="20"/>
          <w:color w:val="auto"/>
        </w:rPr>
      </w:pPr>
    </w:p>
    <w:p>
      <w:pPr>
        <w:ind w:left="1360"/>
        <w:spacing w:after="0" w:line="248" w:lineRule="auto"/>
        <w:rPr>
          <w:sz w:val="20"/>
          <w:szCs w:val="20"/>
          <w:color w:val="auto"/>
        </w:rPr>
      </w:pPr>
      <w:r>
        <w:rPr>
          <w:rFonts w:ascii="Arial" w:cs="Arial" w:eastAsia="Arial" w:hAnsi="Arial"/>
          <w:sz w:val="16"/>
          <w:szCs w:val="16"/>
          <w:color w:val="auto"/>
        </w:rPr>
        <w:t>A regulated public utility; infrastructure supports electric distribution and transmission, and natural gas distribution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86" w:right="120" w:hanging="186"/>
        <w:spacing w:after="0" w:line="257" w:lineRule="auto"/>
        <w:tabs>
          <w:tab w:leader="none" w:pos="186"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Provides electricity to 3.4 million consumers (1.4 million meters)</w:t>
      </w:r>
    </w:p>
    <w:p>
      <w:pPr>
        <w:spacing w:after="0" w:line="21" w:lineRule="exact"/>
        <w:rPr>
          <w:rFonts w:ascii="Arial" w:cs="Arial" w:eastAsia="Arial" w:hAnsi="Arial"/>
          <w:sz w:val="16"/>
          <w:szCs w:val="16"/>
          <w:color w:val="auto"/>
        </w:rPr>
      </w:pPr>
    </w:p>
    <w:p>
      <w:pPr>
        <w:ind w:left="186" w:hanging="186"/>
        <w:spacing w:after="0" w:line="257" w:lineRule="auto"/>
        <w:tabs>
          <w:tab w:leader="none" w:pos="186"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Provides natural gas to 3.1 million consumers (840,000 meters)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460"/>
        <w:spacing w:after="0" w:line="250" w:lineRule="auto"/>
        <w:rPr>
          <w:sz w:val="20"/>
          <w:szCs w:val="20"/>
          <w:color w:val="auto"/>
        </w:rPr>
      </w:pPr>
      <w:r>
        <w:rPr>
          <w:rFonts w:ascii="Arial" w:cs="Arial" w:eastAsia="Arial" w:hAnsi="Arial"/>
          <w:sz w:val="16"/>
          <w:szCs w:val="16"/>
          <w:color w:val="auto"/>
        </w:rPr>
        <w:t>Serves the county of San Diego, CA and southern Orange County covering 4,100 square miles</w:t>
      </w:r>
    </w:p>
    <w:p>
      <w:pPr>
        <w:spacing w:after="0" w:line="570" w:lineRule="exact"/>
        <w:rPr>
          <w:sz w:val="20"/>
          <w:szCs w:val="20"/>
          <w:color w:val="auto"/>
        </w:rPr>
      </w:pPr>
    </w:p>
    <w:p>
      <w:pPr>
        <w:sectPr>
          <w:pgSz w:w="11900" w:h="16838" w:orient="portrait"/>
          <w:cols w:equalWidth="0" w:num="3">
            <w:col w:w="4080" w:space="194"/>
            <w:col w:w="2606" w:space="320"/>
            <w:col w:w="4180"/>
          </w:cols>
          <w:pgMar w:left="240" w:top="144" w:right="279" w:bottom="1440" w:gutter="0" w:footer="0" w:header="0"/>
          <w:type w:val="continuous"/>
        </w:sectPr>
      </w:pPr>
    </w:p>
    <w:p>
      <w:pPr>
        <w:ind w:left="1360" w:right="400"/>
        <w:spacing w:after="0" w:line="257" w:lineRule="auto"/>
        <w:rPr>
          <w:sz w:val="20"/>
          <w:szCs w:val="20"/>
          <w:color w:val="auto"/>
        </w:rPr>
      </w:pPr>
      <w:r>
        <w:rPr>
          <w:rFonts w:ascii="Arial" w:cs="Arial" w:eastAsia="Arial" w:hAnsi="Arial"/>
          <w:sz w:val="16"/>
          <w:szCs w:val="16"/>
          <w:b w:val="1"/>
          <w:bCs w:val="1"/>
          <w:color w:val="auto"/>
        </w:rPr>
        <w:t>SOUTHERN CALIFORNIA GAS COMPANY (SOCALGAS)</w:t>
      </w:r>
    </w:p>
    <w:p>
      <w:pPr>
        <w:spacing w:after="0" w:line="1" w:lineRule="exact"/>
        <w:rPr>
          <w:sz w:val="20"/>
          <w:szCs w:val="20"/>
          <w:color w:val="auto"/>
        </w:rPr>
      </w:pPr>
    </w:p>
    <w:p>
      <w:pPr>
        <w:ind w:left="1360"/>
        <w:spacing w:after="0" w:line="250" w:lineRule="auto"/>
        <w:rPr>
          <w:sz w:val="20"/>
          <w:szCs w:val="20"/>
          <w:color w:val="auto"/>
        </w:rPr>
      </w:pPr>
      <w:r>
        <w:rPr>
          <w:rFonts w:ascii="Arial" w:cs="Arial" w:eastAsia="Arial" w:hAnsi="Arial"/>
          <w:sz w:val="16"/>
          <w:szCs w:val="16"/>
          <w:color w:val="auto"/>
        </w:rPr>
        <w:t>A regulated public utility; infrastructure supports natural gas distribution, transmission and storage</w:t>
      </w:r>
    </w:p>
    <w:p>
      <w:pPr>
        <w:spacing w:after="0" w:line="20" w:lineRule="exact"/>
        <w:rPr>
          <w:sz w:val="20"/>
          <w:szCs w:val="20"/>
          <w:color w:val="auto"/>
        </w:rPr>
      </w:pPr>
      <w:r>
        <w:rPr>
          <w:sz w:val="20"/>
          <w:szCs w:val="20"/>
          <w:color w:val="auto"/>
        </w:rPr>
        <w:br w:type="column"/>
      </w:r>
    </w:p>
    <w:p>
      <w:pPr>
        <w:ind w:left="186" w:hanging="186"/>
        <w:spacing w:after="0" w:line="250" w:lineRule="auto"/>
        <w:tabs>
          <w:tab w:leader="none" w:pos="1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Residential, commercial, industrial, utility electric generation and wholesale customers</w:t>
      </w:r>
    </w:p>
    <w:p>
      <w:pPr>
        <w:spacing w:after="0" w:line="27" w:lineRule="exact"/>
        <w:rPr>
          <w:rFonts w:ascii="Arial" w:cs="Arial" w:eastAsia="Arial" w:hAnsi="Arial"/>
          <w:sz w:val="16"/>
          <w:szCs w:val="16"/>
          <w:color w:val="auto"/>
        </w:rPr>
      </w:pPr>
    </w:p>
    <w:p>
      <w:pPr>
        <w:ind w:left="186" w:right="20" w:hanging="186"/>
        <w:spacing w:after="0" w:line="257" w:lineRule="auto"/>
        <w:tabs>
          <w:tab w:leader="none" w:pos="1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Covers a population of 20.5 million (5.7 million meters)</w:t>
      </w:r>
    </w:p>
    <w:p>
      <w:pPr>
        <w:spacing w:after="0" w:line="20" w:lineRule="exact"/>
        <w:rPr>
          <w:sz w:val="20"/>
          <w:szCs w:val="20"/>
          <w:color w:val="auto"/>
        </w:rPr>
      </w:pPr>
      <w:r>
        <w:rPr>
          <w:sz w:val="20"/>
          <w:szCs w:val="20"/>
          <w:color w:val="auto"/>
        </w:rPr>
        <w:br w:type="column"/>
      </w:r>
    </w:p>
    <w:p>
      <w:pPr>
        <w:ind w:right="1380"/>
        <w:spacing w:after="0" w:line="247" w:lineRule="auto"/>
        <w:rPr>
          <w:sz w:val="20"/>
          <w:szCs w:val="20"/>
          <w:color w:val="auto"/>
        </w:rPr>
      </w:pPr>
      <w:r>
        <w:rPr>
          <w:rFonts w:ascii="Arial" w:cs="Arial" w:eastAsia="Arial" w:hAnsi="Arial"/>
          <w:sz w:val="16"/>
          <w:szCs w:val="16"/>
          <w:color w:val="auto"/>
        </w:rPr>
        <w:t>Southern California and portions of Central California (excluding San Diego County, the city of Long Beach and the desert area of San Bernardino County) covering 20,000 square miles</w:t>
      </w:r>
    </w:p>
    <w:p>
      <w:pPr>
        <w:sectPr>
          <w:pgSz w:w="11900" w:h="16838" w:orient="portrait"/>
          <w:cols w:equalWidth="0" w:num="3">
            <w:col w:w="4080" w:space="194"/>
            <w:col w:w="2686" w:space="240"/>
            <w:col w:w="4180"/>
          </w:cols>
          <w:pgMar w:left="240" w:top="144" w:right="279" w:bottom="1440" w:gutter="0" w:footer="0" w:header="0"/>
          <w:type w:val="continuous"/>
        </w:sectPr>
      </w:pPr>
    </w:p>
    <w:bookmarkStart w:id="66" w:name="page67"/>
    <w:bookmarkEnd w:id="66"/>
    <w:p>
      <w:pPr>
        <w:spacing w:after="0" w:line="255" w:lineRule="auto"/>
        <w:rPr>
          <w:sz w:val="20"/>
          <w:szCs w:val="20"/>
          <w:color w:val="auto"/>
        </w:rPr>
      </w:pPr>
      <w:r>
        <w:rPr>
          <w:rFonts w:ascii="Arial" w:cs="Arial" w:eastAsia="Arial" w:hAnsi="Arial"/>
          <w:sz w:val="21"/>
          <w:szCs w:val="21"/>
          <w:color w:val="auto"/>
        </w:rPr>
        <w:t>Sempra Global is a holding company for most of our subsidiaries that are not subject to California utility regulation. Sempra Global's principal business units, which provide energy-related products and services, are</w:t>
      </w:r>
    </w:p>
    <w:p>
      <w:pPr>
        <w:spacing w:after="0" w:line="1" w:lineRule="exact"/>
        <w:rPr>
          <w:sz w:val="20"/>
          <w:szCs w:val="20"/>
          <w:color w:val="auto"/>
        </w:rPr>
      </w:pPr>
    </w:p>
    <w:p>
      <w:pPr>
        <w:ind w:left="180" w:hanging="173"/>
        <w:spacing w:after="0"/>
        <w:tabs>
          <w:tab w:leader="none" w:pos="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Sempra Commodities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Sempra Generation</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Sempra Pipelines &amp; Storage</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112395</wp:posOffset>
            </wp:positionV>
            <wp:extent cx="5554980" cy="161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54980" cy="161925"/>
                    </a:xfrm>
                    <a:prstGeom prst="rect">
                      <a:avLst/>
                    </a:prstGeom>
                    <a:noFill/>
                  </pic:spPr>
                </pic:pic>
              </a:graphicData>
            </a:graphic>
          </wp:anchor>
        </w:drawing>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SEMPRA GLOBAL</w:t>
      </w:r>
    </w:p>
    <w:p>
      <w:pPr>
        <w:spacing w:after="0" w:line="89" w:lineRule="exact"/>
        <w:rPr>
          <w:sz w:val="20"/>
          <w:szCs w:val="20"/>
          <w:color w:val="auto"/>
        </w:rPr>
      </w:pPr>
    </w:p>
    <w:tbl>
      <w:tblPr>
        <w:tblLayout w:type="fixed"/>
        <w:tblInd w:w="1340" w:type="dxa"/>
        <w:tblCellMar>
          <w:top w:w="0" w:type="dxa"/>
          <w:left w:w="0" w:type="dxa"/>
          <w:bottom w:w="0" w:type="dxa"/>
          <w:right w:w="0" w:type="dxa"/>
        </w:tblCellMar>
      </w:tblPr>
      <w:tr>
        <w:trPr>
          <w:trHeight w:val="187"/>
        </w:trPr>
        <w:tc>
          <w:tcPr>
            <w:tcW w:w="2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MARKET</w:t>
            </w: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96"/>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COMMODITIES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Natural gas; natural gas liquids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Global</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RBS Sempra Commodities, a joint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Power</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venture with The Royal Bank of</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Petroleum and petroleum products</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Scotland (RBS), is a commodities-</w:t>
            </w:r>
          </w:p>
        </w:tc>
        <w:tc>
          <w:tcPr>
            <w:tcW w:w="140" w:type="dxa"/>
            <w:vAlign w:val="bottom"/>
            <w:vMerge w:val="continue"/>
          </w:tcPr>
          <w:p>
            <w:pPr>
              <w:spacing w:after="0"/>
              <w:rPr>
                <w:sz w:val="6"/>
                <w:szCs w:val="6"/>
                <w:color w:val="auto"/>
              </w:rPr>
            </w:pPr>
          </w:p>
        </w:tc>
        <w:tc>
          <w:tcPr>
            <w:tcW w:w="278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940" w:type="dxa"/>
            <w:vAlign w:val="bottom"/>
            <w:tcBorders>
              <w:right w:val="single" w:sz="8" w:color="auto"/>
            </w:tcBorders>
            <w:vMerge w:val="continue"/>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Coal</w:t>
            </w:r>
          </w:p>
        </w:tc>
        <w:tc>
          <w:tcPr>
            <w:tcW w:w="1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marketing business</w:t>
            </w:r>
          </w:p>
        </w:tc>
        <w:tc>
          <w:tcPr>
            <w:tcW w:w="140" w:type="dxa"/>
            <w:vAlign w:val="bottom"/>
            <w:vMerge w:val="continue"/>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tcBorders>
              <w:right w:val="single" w:sz="8" w:color="auto"/>
            </w:tcBorders>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Emissions</w:t>
            </w: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4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78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94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Ethanol</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4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Base metals</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9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GENERATION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Wholesale electricity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Develops, owns and operates electric</w:t>
            </w:r>
          </w:p>
        </w:tc>
        <w:tc>
          <w:tcPr>
            <w:tcW w:w="140" w:type="dxa"/>
            <w:vAlign w:val="bottom"/>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power plants</w:t>
            </w: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PIPELINES &amp; STORAGE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Natural gas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Develops, owns and operates, or holds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Electricity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interests in, natural gas pipelines and</w:t>
            </w:r>
          </w:p>
        </w:tc>
        <w:tc>
          <w:tcPr>
            <w:tcW w:w="140" w:type="dxa"/>
            <w:vAlign w:val="bottom"/>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vMerge w:val="restart"/>
          </w:tcPr>
          <w:p>
            <w:pPr>
              <w:ind w:left="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73"/>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storage facilities, and natural gas and</w:t>
            </w:r>
          </w:p>
        </w:tc>
        <w:tc>
          <w:tcPr>
            <w:tcW w:w="140" w:type="dxa"/>
            <w:vAlign w:val="bottom"/>
          </w:tcPr>
          <w:p>
            <w:pPr>
              <w:spacing w:after="0"/>
              <w:rPr>
                <w:sz w:val="6"/>
                <w:szCs w:val="6"/>
                <w:color w:val="auto"/>
              </w:rPr>
            </w:pPr>
          </w:p>
        </w:tc>
        <w:tc>
          <w:tcPr>
            <w:tcW w:w="2780" w:type="dxa"/>
            <w:vAlign w:val="bottom"/>
            <w:tcBorders>
              <w:right w:val="single" w:sz="8" w:color="auto"/>
            </w:tcBorders>
          </w:tcPr>
          <w:p>
            <w:pPr>
              <w:spacing w:after="0"/>
              <w:rPr>
                <w:sz w:val="6"/>
                <w:szCs w:val="6"/>
                <w:color w:val="auto"/>
              </w:rPr>
            </w:pPr>
          </w:p>
        </w:tc>
        <w:tc>
          <w:tcPr>
            <w:tcW w:w="140" w:type="dxa"/>
            <w:vAlign w:val="bottom"/>
            <w:vMerge w:val="continue"/>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9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vMerge w:val="restart"/>
          </w:tcPr>
          <w:p>
            <w:pPr>
              <w:ind w:left="4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00"/>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electric service providers</w:t>
            </w:r>
          </w:p>
        </w:tc>
        <w:tc>
          <w:tcPr>
            <w:tcW w:w="140" w:type="dxa"/>
            <w:vAlign w:val="bottom"/>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vMerge w:val="restart"/>
          </w:tcPr>
          <w:p>
            <w:pPr>
              <w:ind w:left="4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34"/>
        </w:trPr>
        <w:tc>
          <w:tcPr>
            <w:tcW w:w="29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78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9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-12065</wp:posOffset>
            </wp:positionV>
            <wp:extent cx="5554980" cy="553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54980" cy="553085"/>
                    </a:xfrm>
                    <a:prstGeom prst="rect">
                      <a:avLst/>
                    </a:prstGeom>
                    <a:noFill/>
                  </pic:spPr>
                </pic:pic>
              </a:graphicData>
            </a:graphic>
          </wp:anchor>
        </w:drawing>
      </w:r>
    </w:p>
    <w:p>
      <w:pPr>
        <w:sectPr>
          <w:pgSz w:w="11900" w:h="16838" w:orient="portrait"/>
          <w:cols w:equalWidth="0" w:num="1">
            <w:col w:w="10680"/>
          </w:cols>
          <w:pgMar w:left="240" w:top="1203" w:right="979" w:bottom="1440" w:gutter="0" w:footer="0" w:header="0"/>
        </w:sectPr>
      </w:pPr>
    </w:p>
    <w:p>
      <w:pPr>
        <w:ind w:left="1360"/>
        <w:spacing w:after="0"/>
        <w:tabs>
          <w:tab w:leader="none" w:pos="4260" w:val="left"/>
        </w:tabs>
        <w:rPr>
          <w:sz w:val="20"/>
          <w:szCs w:val="20"/>
          <w:color w:val="auto"/>
        </w:rPr>
      </w:pPr>
      <w:r>
        <w:rPr>
          <w:rFonts w:ascii="Arial" w:cs="Arial" w:eastAsia="Arial" w:hAnsi="Arial"/>
          <w:sz w:val="16"/>
          <w:szCs w:val="16"/>
          <w:b w:val="1"/>
          <w:bCs w:val="1"/>
          <w:color w:val="auto"/>
        </w:rPr>
        <w:t>SEMPRA LNG</w:t>
      </w:r>
      <w:r>
        <w:rPr>
          <w:sz w:val="20"/>
          <w:szCs w:val="20"/>
          <w:color w:val="auto"/>
        </w:rPr>
        <w:tab/>
      </w:r>
      <w:r>
        <w:rPr>
          <w:rFonts w:ascii="Arial" w:cs="Arial" w:eastAsia="Arial" w:hAnsi="Arial"/>
          <w:sz w:val="16"/>
          <w:szCs w:val="16"/>
          <w:color w:val="auto"/>
        </w:rPr>
        <w:t>§  Natural gas</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Develops, owns and operates receipt</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terminals for importing liquefied natural</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gas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247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6" w:hanging="186"/>
        <w:spacing w:after="0"/>
        <w:tabs>
          <w:tab w:leader="none" w:pos="186" w:val="left"/>
        </w:tabs>
        <w:numPr>
          <w:ilvl w:val="0"/>
          <w:numId w:val="52"/>
        </w:numPr>
        <w:rPr>
          <w:rFonts w:ascii="Arial" w:cs="Arial" w:eastAsia="Arial" w:hAnsi="Arial"/>
          <w:sz w:val="16"/>
          <w:szCs w:val="16"/>
          <w:color w:val="auto"/>
        </w:rPr>
      </w:pPr>
      <w:r>
        <w:rPr>
          <w:rFonts w:ascii="Arial" w:cs="Arial" w:eastAsia="Arial" w:hAnsi="Arial"/>
          <w:sz w:val="16"/>
          <w:szCs w:val="16"/>
          <w:color w:val="auto"/>
        </w:rPr>
        <w:t>U.S.A.</w:t>
      </w:r>
    </w:p>
    <w:p>
      <w:pPr>
        <w:spacing w:after="0" w:line="30" w:lineRule="exact"/>
        <w:rPr>
          <w:rFonts w:ascii="Arial" w:cs="Arial" w:eastAsia="Arial" w:hAnsi="Arial"/>
          <w:sz w:val="16"/>
          <w:szCs w:val="16"/>
          <w:color w:val="auto"/>
        </w:rPr>
      </w:pPr>
    </w:p>
    <w:p>
      <w:pPr>
        <w:ind w:left="186" w:hanging="186"/>
        <w:spacing w:after="0"/>
        <w:tabs>
          <w:tab w:leader="none" w:pos="186"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Mexico</w:t>
      </w:r>
    </w:p>
    <w:p>
      <w:pPr>
        <w:sectPr>
          <w:pgSz w:w="11900" w:h="16838" w:orient="portrait"/>
          <w:cols w:equalWidth="0" w:num="2">
            <w:col w:w="6474" w:space="720"/>
            <w:col w:w="3486"/>
          </w:cols>
          <w:pgMar w:left="240" w:top="1203" w:right="9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890" cy="8255"/>
                    </a:xfrm>
                    <a:prstGeom prst="rect">
                      <a:avLst/>
                    </a:prstGeom>
                    <a:noFill/>
                  </pic:spPr>
                </pic:pic>
              </a:graphicData>
            </a:graphic>
          </wp:anchor>
        </w:drawing>
        <w:t>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We discuss the following in Results of Operations:</w:t>
      </w:r>
    </w:p>
    <w:p>
      <w:pPr>
        <w:spacing w:after="0" w:line="31" w:lineRule="exact"/>
        <w:rPr>
          <w:sz w:val="20"/>
          <w:szCs w:val="20"/>
          <w:color w:val="auto"/>
        </w:rPr>
      </w:pPr>
    </w:p>
    <w:p>
      <w:pPr>
        <w:ind w:left="180" w:hanging="173"/>
        <w:spacing w:after="0"/>
        <w:tabs>
          <w:tab w:leader="none" w:pos="1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Overall results of our operations and factors affecting those results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Our business unit results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Significant changes in revenues, costs and earnings between periods</w:t>
      </w:r>
    </w:p>
    <w:p>
      <w:pPr>
        <w:spacing w:after="0" w:line="129"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In the six months ended June 30, 2009, our earnings increased $28 million (6%) to $514 million primarily due to improved earnings at the Sempra Utilities, offset by lower earnings at Sempra Pipelines &amp; Storage. The earnings at Sempra Pipelines &amp; Storage were negatively impacted by a second quarter 2009 after-tax asset write-off of $64 million related to assets at its Liberty Gas Storage (Liberty) natural gas storage facility. We discuss the write-off in Note 10 of the Notes to Condensed Consolidated Financial Statements herein and in "Factors Influencing Future Performance – Sempra Pipelines &amp; Storage – Liberty Gas Storage (Liberty)" below.</w:t>
      </w:r>
    </w:p>
    <w:p>
      <w:pPr>
        <w:spacing w:after="0" w:line="48" w:lineRule="exact"/>
        <w:rPr>
          <w:sz w:val="20"/>
          <w:szCs w:val="20"/>
          <w:color w:val="auto"/>
        </w:rPr>
      </w:pPr>
    </w:p>
    <w:p>
      <w:pPr>
        <w:ind w:right="180"/>
        <w:spacing w:after="0" w:line="296" w:lineRule="auto"/>
        <w:rPr>
          <w:sz w:val="20"/>
          <w:szCs w:val="20"/>
          <w:color w:val="auto"/>
        </w:rPr>
      </w:pPr>
      <w:r>
        <w:rPr>
          <w:rFonts w:ascii="Arial" w:cs="Arial" w:eastAsia="Arial" w:hAnsi="Arial"/>
          <w:sz w:val="20"/>
          <w:szCs w:val="20"/>
          <w:color w:val="auto"/>
        </w:rPr>
        <w:t>Diluted earnings per share for the first six months increased by $0.19 per share, $0.11 per share from increased earnings and $0.08 per share from a reduction in shares outstanding, primarily as a result of our $1 billion share repurchase in 2008.</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In the three months ended June 30, 2009, our earnings decreased $46 million (19%) to $198 million primarily due to the asset write-off recorded at Sempra Pipelines &amp; Storage and decreased earnings at Sempra Commodities. Diluted earnings per share for the three months decreased by $0.18 per share, primarily from decreased earnings.</w:t>
      </w:r>
    </w:p>
    <w:p>
      <w:pPr>
        <w:sectPr>
          <w:pgSz w:w="11900" w:h="16838" w:orient="portrait"/>
          <w:cols w:equalWidth="0" w:num="1">
            <w:col w:w="11380"/>
          </w:cols>
          <w:pgMar w:left="240" w:top="591" w:right="27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The following table shows our earnings by business unit, which we discuss below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5410200" cy="272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10200" cy="272415"/>
                    </a:xfrm>
                    <a:prstGeom prst="rect">
                      <a:avLst/>
                    </a:prstGeom>
                    <a:noFill/>
                  </pic:spPr>
                </pic:pic>
              </a:graphicData>
            </a:graphic>
          </wp:anchor>
        </w:drawing>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BY BUSINESS UNIT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7"/>
        </w:trPr>
        <w:tc>
          <w:tcPr>
            <w:tcW w:w="3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color w:val="auto"/>
              </w:rPr>
              <w:t>Six months ended June 30,</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208"/>
        </w:trPr>
        <w:tc>
          <w:tcPr>
            <w:tcW w:w="3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08"/>
        </w:trPr>
        <w:tc>
          <w:tcPr>
            <w:tcW w:w="38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169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135</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28 %</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124</w:t>
            </w: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113</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199</w:t>
            </w: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189</w:t>
            </w: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76</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68</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10</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50</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8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(19)</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(37)</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Parent and other***</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(32)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9"/>
                <w:szCs w:val="19"/>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514</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486</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r>
      <w:tr>
        <w:trPr>
          <w:trHeight w:val="83"/>
        </w:trPr>
        <w:tc>
          <w:tcPr>
            <w:tcW w:w="38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500" w:type="dxa"/>
            <w:vAlign w:val="bottom"/>
            <w:gridSpan w:val="4"/>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195"/>
        </w:trPr>
        <w:tc>
          <w:tcPr>
            <w:tcW w:w="3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208"/>
        </w:trPr>
        <w:tc>
          <w:tcPr>
            <w:tcW w:w="3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08"/>
        </w:trPr>
        <w:tc>
          <w:tcPr>
            <w:tcW w:w="38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70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61</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25 %</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65</w:t>
            </w: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56</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85</w:t>
            </w: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130</w:t>
            </w:r>
          </w:p>
        </w:tc>
        <w:tc>
          <w:tcPr>
            <w:tcW w:w="500" w:type="dxa"/>
            <w:vAlign w:val="bottom"/>
          </w:tcPr>
          <w:p>
            <w:pPr>
              <w:jc w:val="right"/>
              <w:spacing w:after="0"/>
              <w:rPr>
                <w:sz w:val="20"/>
                <w:szCs w:val="20"/>
                <w:color w:val="auto"/>
              </w:rPr>
            </w:pPr>
            <w:r>
              <w:rPr>
                <w:rFonts w:ascii="Arial" w:cs="Arial" w:eastAsia="Arial" w:hAnsi="Arial"/>
                <w:sz w:val="16"/>
                <w:szCs w:val="16"/>
                <w:color w:val="auto"/>
              </w:rPr>
              <w:t>53</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80" w:type="dxa"/>
            <w:vAlign w:val="bottom"/>
          </w:tcPr>
          <w:p>
            <w:pPr>
              <w:spacing w:after="0"/>
              <w:rPr>
                <w:sz w:val="18"/>
                <w:szCs w:val="18"/>
                <w:color w:val="auto"/>
              </w:rPr>
            </w:pP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33</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23</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8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(27)</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24</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8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(12)</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(28)</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Parent and other***</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19"/>
                <w:szCs w:val="19"/>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198</w:t>
            </w: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244</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r>
      <w:tr>
        <w:trPr>
          <w:trHeight w:val="83"/>
        </w:trPr>
        <w:tc>
          <w:tcPr>
            <w:tcW w:w="38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500" w:hanging="479"/>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After preferred dividends.</w:t>
      </w:r>
    </w:p>
    <w:p>
      <w:pPr>
        <w:spacing w:after="0" w:line="40" w:lineRule="exact"/>
        <w:rPr>
          <w:sz w:val="20"/>
          <w:szCs w:val="20"/>
          <w:color w:val="auto"/>
        </w:rPr>
      </w:pPr>
    </w:p>
    <w:p>
      <w:pPr>
        <w:ind w:left="500" w:right="1819" w:hanging="479"/>
        <w:spacing w:after="0" w:line="275"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Results for 2009 and the second quarter of 2008 include our portion of RBS Sempra Commodities' joint venture earnings and interest, income taxes, cost allocations and other items associated with the joint venture. Results for the first quarter of 2008 include 100% of the commodities-marketing businesses. Both 2009 and 2008 include the results of Sempra Rockies Marketing.</w:t>
      </w:r>
    </w:p>
    <w:p>
      <w:pPr>
        <w:spacing w:after="0" w:line="169" w:lineRule="exact"/>
        <w:rPr>
          <w:rFonts w:ascii="Arial" w:cs="Arial" w:eastAsia="Arial" w:hAnsi="Arial"/>
          <w:sz w:val="14"/>
          <w:szCs w:val="14"/>
          <w:color w:val="auto"/>
        </w:rPr>
      </w:pPr>
    </w:p>
    <w:p>
      <w:pPr>
        <w:ind w:left="500" w:right="1719" w:hanging="479"/>
        <w:spacing w:after="0" w:line="277" w:lineRule="auto"/>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Includes after-tax interest expense ($67 million and $26 million for the six months ended June 30, 2009 and 2008, respectively, and $33 million and $11 million for the three months ended June 30, 2009 and 2008, respectively), intercompany eliminations recorded in consolidation and certain corporate costs incurred at Sempra Global.</w:t>
      </w:r>
    </w:p>
    <w:p>
      <w:pPr>
        <w:sectPr>
          <w:pgSz w:w="11900" w:h="16838" w:orient="portrait"/>
          <w:cols w:equalWidth="0" w:num="1">
            <w:col w:w="10219"/>
          </w:cols>
          <w:pgMar w:left="240" w:top="118" w:right="1440" w:bottom="1440" w:gutter="0" w:footer="0" w:header="0"/>
        </w:sectPr>
      </w:pPr>
    </w:p>
    <w:bookmarkStart w:id="69" w:name="page70"/>
    <w:bookmarkEnd w:id="69"/>
    <w:p>
      <w:pPr>
        <w:spacing w:after="0" w:line="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UNIT RESULTS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section is a discussion of earnings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5342255" cy="272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2255" cy="27241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UNIT EARNINGS -- SEMPRA UTILITIES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5257165" cy="2169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57165" cy="2169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4429125</wp:posOffset>
            </wp:positionV>
            <wp:extent cx="5265420" cy="2169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6542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SDG&amp;E business unit earnings were</w:t>
      </w:r>
    </w:p>
    <w:p>
      <w:pPr>
        <w:spacing w:after="0" w:line="40" w:lineRule="exact"/>
        <w:rPr>
          <w:sz w:val="20"/>
          <w:szCs w:val="20"/>
          <w:color w:val="auto"/>
        </w:rPr>
      </w:pPr>
    </w:p>
    <w:p>
      <w:pPr>
        <w:ind w:left="180" w:hanging="173"/>
        <w:spacing w:after="0"/>
        <w:tabs>
          <w:tab w:leader="none" w:pos="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$169 million for the first six months of 2009 ($171 million before preferred dividends)</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$135 million for the first six months of 2008 ($137 million before preferred dividends)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$70 million in the three months ended June 30, 2009 ($71 million before preferred dividends)</w:t>
      </w:r>
    </w:p>
    <w:p>
      <w:pPr>
        <w:sectPr>
          <w:pgSz w:w="11900" w:h="16870" w:orient="portrait"/>
          <w:cols w:equalWidth="0" w:num="1">
            <w:col w:w="10219"/>
          </w:cols>
          <w:pgMar w:left="240" w:top="415" w:right="1440" w:bottom="0" w:gutter="0" w:footer="0" w:header="0"/>
        </w:sectPr>
      </w:pPr>
    </w:p>
    <w:bookmarkStart w:id="70" w:name="page71"/>
    <w:bookmarkEnd w:id="70"/>
    <w:p>
      <w:pPr>
        <w:spacing w:after="0"/>
        <w:rPr>
          <w:sz w:val="20"/>
          <w:szCs w:val="20"/>
          <w:color w:val="auto"/>
        </w:rPr>
      </w:pPr>
      <w:r>
        <w:rPr>
          <w:rFonts w:ascii="Arial" w:cs="Arial" w:eastAsia="Arial" w:hAnsi="Arial"/>
          <w:sz w:val="21"/>
          <w:szCs w:val="21"/>
          <w:color w:val="auto"/>
        </w:rPr>
        <w:t>§ $61 million in the three months ended June 30, 2008 ($62 million before preferred dividends)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$34 million (25%) in the first six months of 2009 was due to:</w:t>
      </w:r>
    </w:p>
    <w:p>
      <w:pPr>
        <w:spacing w:after="0" w:line="40" w:lineRule="exact"/>
        <w:rPr>
          <w:sz w:val="20"/>
          <w:szCs w:val="20"/>
          <w:color w:val="auto"/>
        </w:rPr>
      </w:pPr>
    </w:p>
    <w:p>
      <w:pPr>
        <w:ind w:left="180" w:right="239" w:hanging="173"/>
        <w:spacing w:after="0" w:line="270" w:lineRule="auto"/>
        <w:tabs>
          <w:tab w:leader="none" w:pos="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$32 million higher authorized margin due to the implementation of the 2008 General Rate Case (GRC) decision in the third quarter of 2008;</w:t>
      </w:r>
    </w:p>
    <w:p>
      <w:pPr>
        <w:sectPr>
          <w:pgSz w:w="11900" w:h="16838" w:orient="portrait"/>
          <w:cols w:equalWidth="0" w:num="1">
            <w:col w:w="10219"/>
          </w:cols>
          <w:pgMar w:left="240" w:top="118" w:right="1440" w:bottom="1440" w:gutter="0" w:footer="0" w:header="0"/>
        </w:sectPr>
      </w:pPr>
    </w:p>
    <w:bookmarkStart w:id="71" w:name="page72"/>
    <w:bookmarkEnd w:id="71"/>
    <w:p>
      <w:pPr>
        <w:ind w:left="180" w:right="139" w:hanging="173"/>
        <w:spacing w:after="0" w:line="259" w:lineRule="auto"/>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$12 million higher California Public Utilities Commission (CPUC) authorized margin in excess of higher operation and maintenance expenses;</w:t>
      </w:r>
    </w:p>
    <w:p>
      <w:pPr>
        <w:spacing w:after="0" w:line="1" w:lineRule="exact"/>
        <w:rPr>
          <w:rFonts w:ascii="Arial" w:cs="Arial" w:eastAsia="Arial" w:hAnsi="Arial"/>
          <w:sz w:val="21"/>
          <w:szCs w:val="21"/>
          <w:color w:val="auto"/>
        </w:rPr>
      </w:pPr>
    </w:p>
    <w:p>
      <w:pPr>
        <w:ind w:left="180" w:right="399" w:hanging="173"/>
        <w:spacing w:after="0" w:line="255" w:lineRule="auto"/>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$10 million favorable impact from the resolution of litigation in 2009 as opposed to litigation settlement costs in 2008; and</w:t>
      </w:r>
    </w:p>
    <w:p>
      <w:pPr>
        <w:ind w:left="180" w:hanging="173"/>
        <w:spacing w:after="0"/>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$3 million higher favorable impact from the resolution of prior year's income tax issues;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jc w:val="both"/>
        <w:ind w:left="180" w:right="819" w:hanging="173"/>
        <w:spacing w:after="0" w:line="284" w:lineRule="auto"/>
        <w:tabs>
          <w:tab w:leader="none" w:pos="1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$16 million from the resolution of regulatory matters in 2009 ($9 million) that adversely impacted earnings compared to the resolution of regulatory matters in 2008 ($7 million) that favorably impacted earnings; and</w:t>
      </w:r>
    </w:p>
    <w:p>
      <w:pPr>
        <w:ind w:left="180" w:hanging="173"/>
        <w:spacing w:after="0"/>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$10 million due to lower regulatory awards in 2009.</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In the three months ended June 30, 2009, SDG&amp;E's earnings increased $9 million (15%) due to:</w:t>
      </w:r>
    </w:p>
    <w:p>
      <w:pPr>
        <w:spacing w:after="0" w:line="31" w:lineRule="exact"/>
        <w:rPr>
          <w:sz w:val="20"/>
          <w:szCs w:val="20"/>
          <w:color w:val="auto"/>
        </w:rPr>
      </w:pPr>
    </w:p>
    <w:p>
      <w:pPr>
        <w:ind w:left="180" w:right="359" w:hanging="173"/>
        <w:spacing w:after="0" w:line="257" w:lineRule="auto"/>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$16 million higher authorized margin due to the implementation of the 2008 GRC decision in the third quarter of 2008;</w:t>
      </w: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$10 million favorable impact from the resolution of prior year's income tax issues in 2009;</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$4 million of litigation settlement costs in 2008;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$2 million due to higher electric transmission margin in 2009;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jc w:val="both"/>
        <w:ind w:left="180" w:right="819" w:hanging="173"/>
        <w:spacing w:after="0" w:line="284" w:lineRule="auto"/>
        <w:tabs>
          <w:tab w:leader="none" w:pos="1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$16 million from the resolution of regulatory matters in 2009 ($9 million) that adversely impacted earnings compared to the resolution of regulatory matters in 2008 ($7 million) that favorably impacted earnings; and</w:t>
      </w: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$8 million due to lower regulatory awards in 2009.</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SoCalGas business unit earnings were</w:t>
      </w:r>
    </w:p>
    <w:p>
      <w:pPr>
        <w:spacing w:after="0" w:line="40" w:lineRule="exact"/>
        <w:rPr>
          <w:sz w:val="20"/>
          <w:szCs w:val="20"/>
          <w:color w:val="auto"/>
        </w:rPr>
      </w:pPr>
    </w:p>
    <w:p>
      <w:pPr>
        <w:ind w:left="180" w:hanging="173"/>
        <w:spacing w:after="0"/>
        <w:tabs>
          <w:tab w:leader="none" w:pos="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$124 million for the first six months of 2009 ($125 million before preferred dividends)</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$113 million for the first six months of 2008 ($114 million before preferred dividends)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$65 million in the three months ended June 30, 2009 ($66 million before preferred dividends)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$56 million in the three months ended June 30, 2008 ($57 million before preferred dividends)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$11 million (10%) in the first six months of 2009 was due to:</w:t>
      </w:r>
    </w:p>
    <w:p>
      <w:pPr>
        <w:spacing w:after="0" w:line="31" w:lineRule="exact"/>
        <w:rPr>
          <w:sz w:val="20"/>
          <w:szCs w:val="20"/>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$7 million higher CPUC authorized margins in excess of higher operation and maintenance expenses;</w:t>
      </w:r>
    </w:p>
    <w:p>
      <w:pPr>
        <w:spacing w:after="0" w:line="39" w:lineRule="exact"/>
        <w:rPr>
          <w:rFonts w:ascii="Arial" w:cs="Arial" w:eastAsia="Arial" w:hAnsi="Arial"/>
          <w:sz w:val="21"/>
          <w:szCs w:val="21"/>
          <w:color w:val="auto"/>
        </w:rPr>
      </w:pPr>
    </w:p>
    <w:p>
      <w:pPr>
        <w:ind w:left="180" w:right="239" w:hanging="173"/>
        <w:spacing w:after="0" w:line="257" w:lineRule="auto"/>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$7 million from a lower effective income tax rate primarily due to higher software development cost deductions in 2009; and</w:t>
      </w:r>
    </w:p>
    <w:p>
      <w:pPr>
        <w:ind w:left="180" w:right="459" w:hanging="173"/>
        <w:spacing w:after="0" w:line="255" w:lineRule="auto"/>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$7 million higher authorized margin due to the implementation of the 2008 GRC decision in the third quarter of 2008; </w:t>
      </w:r>
      <w:r>
        <w:rPr>
          <w:rFonts w:ascii="Arial" w:cs="Arial" w:eastAsia="Arial" w:hAnsi="Arial"/>
          <w:sz w:val="21"/>
          <w:szCs w:val="21"/>
          <w:b w:val="1"/>
          <w:bCs w:val="1"/>
          <w:color w:val="auto"/>
        </w:rPr>
        <w:t>offset by</w:t>
      </w: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$5 million higher net interest expense;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$3 million higher net bad debt expense;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$3 million lower regulatory awards.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In the three months ended June 30, 2009, SoCalGas' earnings increased $9 million (16%) due to:</w:t>
      </w:r>
    </w:p>
    <w:p>
      <w:pPr>
        <w:spacing w:after="0" w:line="31" w:lineRule="exact"/>
        <w:rPr>
          <w:sz w:val="20"/>
          <w:szCs w:val="20"/>
          <w:color w:val="auto"/>
        </w:rPr>
      </w:pPr>
    </w:p>
    <w:p>
      <w:pPr>
        <w:ind w:left="180" w:hanging="173"/>
        <w:spacing w:after="0"/>
        <w:tabs>
          <w:tab w:leader="none" w:pos="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$5 million higher CPUC authorized margins in excess of higher operation and maintenance expenses;</w:t>
      </w:r>
    </w:p>
    <w:p>
      <w:pPr>
        <w:spacing w:after="0" w:line="39" w:lineRule="exact"/>
        <w:rPr>
          <w:rFonts w:ascii="Arial" w:cs="Arial" w:eastAsia="Arial" w:hAnsi="Arial"/>
          <w:sz w:val="21"/>
          <w:szCs w:val="21"/>
          <w:color w:val="auto"/>
        </w:rPr>
      </w:pPr>
    </w:p>
    <w:p>
      <w:pPr>
        <w:ind w:left="180" w:right="239" w:hanging="173"/>
        <w:spacing w:after="0" w:line="257" w:lineRule="auto"/>
        <w:tabs>
          <w:tab w:leader="none" w:pos="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$4 million from a lower effective income tax rate primarily due to higher software development cost deductions in 2009; and</w:t>
      </w:r>
    </w:p>
    <w:p>
      <w:pPr>
        <w:ind w:left="180" w:right="459" w:hanging="173"/>
        <w:spacing w:after="0" w:line="255" w:lineRule="auto"/>
        <w:tabs>
          <w:tab w:leader="none" w:pos="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$3 million higher authorized margin due to the implementation of the 2008 GRC decision in the third quarter of 2008; </w:t>
      </w:r>
      <w:r>
        <w:rPr>
          <w:rFonts w:ascii="Arial" w:cs="Arial" w:eastAsia="Arial" w:hAnsi="Arial"/>
          <w:sz w:val="21"/>
          <w:szCs w:val="21"/>
          <w:b w:val="1"/>
          <w:bCs w:val="1"/>
          <w:color w:val="auto"/>
        </w:rPr>
        <w:t>offset by</w:t>
      </w:r>
    </w:p>
    <w:p>
      <w:pPr>
        <w:ind w:left="180" w:hanging="173"/>
        <w:spacing w:after="0"/>
        <w:tabs>
          <w:tab w:leader="none" w:pos="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$3 million higher net interest expense.</w:t>
      </w:r>
    </w:p>
    <w:p>
      <w:pPr>
        <w:sectPr>
          <w:pgSz w:w="11900" w:h="16838" w:orient="portrait"/>
          <w:cols w:equalWidth="0" w:num="1">
            <w:col w:w="10219"/>
          </w:cols>
          <w:pgMar w:left="240" w:top="118" w:right="1440" w:bottom="1440" w:gutter="0" w:footer="0" w:header="0"/>
        </w:sectPr>
      </w:pPr>
    </w:p>
    <w:bookmarkStart w:id="72" w:name="page73"/>
    <w:bookmarkEnd w:id="7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40070" cy="2313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0070" cy="2313940"/>
                    </a:xfrm>
                    <a:prstGeom prst="rect">
                      <a:avLst/>
                    </a:prstGeom>
                    <a:noFill/>
                  </pic:spPr>
                </pic:pic>
              </a:graphicData>
            </a:graphic>
          </wp:anchor>
        </w:drawing>
        <w:t>BUSINESS UNIT EARNINGS (LOSSES) -- SEMPRA GLOBAL</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4208145</wp:posOffset>
            </wp:positionV>
            <wp:extent cx="5640070" cy="2016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40070" cy="201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Sempra Commodities recorded business unit earnings of:</w:t>
      </w:r>
    </w:p>
    <w:p>
      <w:pPr>
        <w:spacing w:after="0" w:line="63" w:lineRule="exact"/>
        <w:rPr>
          <w:sz w:val="20"/>
          <w:szCs w:val="20"/>
          <w:color w:val="auto"/>
        </w:rPr>
      </w:pPr>
    </w:p>
    <w:p>
      <w:pPr>
        <w:ind w:left="180" w:hanging="173"/>
        <w:spacing w:after="0"/>
        <w:tabs>
          <w:tab w:leader="none" w:pos="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$199 million for the first six months of 2009</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$189 million for the first six months of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$85 million in the three months ended June 30, 2009</w:t>
      </w:r>
    </w:p>
    <w:p>
      <w:pPr>
        <w:sectPr>
          <w:pgSz w:w="11900" w:h="16838" w:orient="portrait"/>
          <w:cols w:equalWidth="0" w:num="1">
            <w:col w:w="10219"/>
          </w:cols>
          <w:pgMar w:left="240" w:top="416" w:right="1440" w:bottom="0" w:gutter="0" w:footer="0" w:header="0"/>
        </w:sectPr>
      </w:pPr>
    </w:p>
    <w:bookmarkStart w:id="73" w:name="page74"/>
    <w:bookmarkEnd w:id="73"/>
    <w:p>
      <w:pPr>
        <w:spacing w:after="0"/>
        <w:rPr>
          <w:sz w:val="20"/>
          <w:szCs w:val="20"/>
          <w:color w:val="auto"/>
        </w:rPr>
      </w:pPr>
      <w:r>
        <w:rPr>
          <w:rFonts w:ascii="Arial" w:cs="Arial" w:eastAsia="Arial" w:hAnsi="Arial"/>
          <w:sz w:val="21"/>
          <w:szCs w:val="21"/>
          <w:color w:val="auto"/>
        </w:rPr>
        <w:t>§ $130 million in the three months ended June 30, 2008</w:t>
      </w:r>
    </w:p>
    <w:p>
      <w:pPr>
        <w:spacing w:after="0" w:line="134" w:lineRule="exact"/>
        <w:rPr>
          <w:sz w:val="20"/>
          <w:szCs w:val="20"/>
          <w:color w:val="auto"/>
        </w:rPr>
      </w:pPr>
    </w:p>
    <w:p>
      <w:pPr>
        <w:ind w:right="80"/>
        <w:spacing w:after="0" w:line="250" w:lineRule="auto"/>
        <w:rPr>
          <w:sz w:val="20"/>
          <w:szCs w:val="20"/>
          <w:color w:val="auto"/>
        </w:rPr>
      </w:pPr>
      <w:r>
        <w:rPr>
          <w:rFonts w:ascii="Arial" w:cs="Arial" w:eastAsia="Arial" w:hAnsi="Arial"/>
          <w:sz w:val="21"/>
          <w:szCs w:val="21"/>
          <w:color w:val="auto"/>
        </w:rPr>
        <w:t>Results for the first six months of 2009 and the second quarter of 2008 primarily represent our equity earnings from RBS Sempra Commodities, formed on April 1, 2008. Results for the first quarter of 2008, included in the 2008 six-month period, represent 100% of the commodities-marketing businesses' earnings until the formation of the joint venture. The first-quarter 2008 results included a $17 million write-down related to a counterparty credit issue.</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decrease of $45 million (35%) in the three months ended June 30, 2009 was due primarily to the following items recorded in the second quarter of 2008:</w:t>
      </w:r>
    </w:p>
    <w:p>
      <w:pPr>
        <w:spacing w:after="0" w:line="1" w:lineRule="exact"/>
        <w:rPr>
          <w:sz w:val="20"/>
          <w:szCs w:val="20"/>
          <w:color w:val="auto"/>
        </w:rPr>
      </w:pPr>
    </w:p>
    <w:p>
      <w:pPr>
        <w:ind w:left="180" w:hanging="173"/>
        <w:spacing w:after="0"/>
        <w:tabs>
          <w:tab w:leader="none" w:pos="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$67 million gain on the transaction with RBS;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right="1860" w:hanging="173"/>
        <w:spacing w:after="0" w:line="265" w:lineRule="auto"/>
        <w:tabs>
          <w:tab w:leader="none" w:pos="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$30 million of expenses, primarily charges for litigation and an unfavorable impact of prior year's income tax issues.</w:t>
      </w:r>
    </w:p>
    <w:p>
      <w:pPr>
        <w:sectPr>
          <w:pgSz w:w="11900" w:h="16838" w:orient="portrait"/>
          <w:cols w:equalWidth="0" w:num="1">
            <w:col w:w="11400"/>
          </w:cols>
          <w:pgMar w:left="240" w:top="118" w:right="25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Sempra Generation recorded business unit earnings of:</w:t>
      </w:r>
    </w:p>
    <w:p>
      <w:pPr>
        <w:spacing w:after="0" w:line="40" w:lineRule="exact"/>
        <w:rPr>
          <w:sz w:val="20"/>
          <w:szCs w:val="20"/>
          <w:color w:val="auto"/>
        </w:rPr>
      </w:pPr>
    </w:p>
    <w:p>
      <w:pPr>
        <w:ind w:left="180" w:hanging="173"/>
        <w:spacing w:after="0"/>
        <w:tabs>
          <w:tab w:leader="none" w:pos="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$76 million for the first six months of 2009</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$68 million for the first six months of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$33 million in the three months ended June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$23 million in the three months ended June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$8 million (12%) in the first six months of 2009 included</w:t>
      </w:r>
    </w:p>
    <w:p>
      <w:pPr>
        <w:spacing w:after="0" w:line="40" w:lineRule="exact"/>
        <w:rPr>
          <w:sz w:val="20"/>
          <w:szCs w:val="20"/>
          <w:color w:val="auto"/>
        </w:rPr>
      </w:pPr>
    </w:p>
    <w:p>
      <w:pPr>
        <w:ind w:left="180" w:right="499" w:hanging="173"/>
        <w:spacing w:after="0" w:line="255" w:lineRule="auto"/>
        <w:tabs>
          <w:tab w:leader="none" w:pos="1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$20 million improved mark-to-market earnings on forward contracts with RBS Sempra Commodities and other counterparties primarily due to a $21 million loss in 2008; </w:t>
      </w:r>
      <w:r>
        <w:rPr>
          <w:rFonts w:ascii="Arial" w:cs="Arial" w:eastAsia="Arial" w:hAnsi="Arial"/>
          <w:sz w:val="21"/>
          <w:szCs w:val="21"/>
          <w:b w:val="1"/>
          <w:bCs w:val="1"/>
          <w:color w:val="auto"/>
        </w:rPr>
        <w:t>offset by</w:t>
      </w:r>
    </w:p>
    <w:p>
      <w:pPr>
        <w:ind w:left="180" w:right="579" w:hanging="173"/>
        <w:spacing w:after="0" w:line="265" w:lineRule="auto"/>
        <w:tabs>
          <w:tab w:leader="none" w:pos="1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$13 million lower earnings from operations primarily due to less favorable market pricing and scheduled plant maintenance.</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$10 million (43%) in the three months ended June 30, 2009 included</w:t>
      </w:r>
    </w:p>
    <w:p>
      <w:pPr>
        <w:spacing w:after="0" w:line="40" w:lineRule="exact"/>
        <w:rPr>
          <w:sz w:val="20"/>
          <w:szCs w:val="20"/>
          <w:color w:val="auto"/>
        </w:rPr>
      </w:pPr>
    </w:p>
    <w:p>
      <w:pPr>
        <w:ind w:left="180" w:right="499" w:hanging="173"/>
        <w:spacing w:after="0" w:line="259" w:lineRule="auto"/>
        <w:tabs>
          <w:tab w:leader="none" w:pos="1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$23 million improved mark-to-market earnings on forward contracts with RBS Sempra Commodities and other counterparties primarily due to a $20 million loss in 2008; </w:t>
      </w:r>
      <w:r>
        <w:rPr>
          <w:rFonts w:ascii="Arial" w:cs="Arial" w:eastAsia="Arial" w:hAnsi="Arial"/>
          <w:sz w:val="21"/>
          <w:szCs w:val="21"/>
          <w:b w:val="1"/>
          <w:bCs w:val="1"/>
          <w:color w:val="auto"/>
        </w:rPr>
        <w:t>offset by</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$8 million lower earnings from operations primarily due to less favorable market pricing;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$5 million higher taxes resulting from a delay in the expected completion date of planned solar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Sempra Pipelines &amp; Storage recorded business unit earnings (losses) of:</w:t>
      </w:r>
    </w:p>
    <w:p>
      <w:pPr>
        <w:spacing w:after="0" w:line="31" w:lineRule="exact"/>
        <w:rPr>
          <w:sz w:val="20"/>
          <w:szCs w:val="20"/>
          <w:color w:val="auto"/>
        </w:rPr>
      </w:pPr>
    </w:p>
    <w:p>
      <w:pPr>
        <w:ind w:left="180" w:hanging="173"/>
        <w:spacing w:after="0"/>
        <w:tabs>
          <w:tab w:leader="none" w:pos="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$10 million for the first six months of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$50 million for the first six months of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$(27) million in the three months ended June 30, 2009</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$24 million in the three months ended June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of $40 million (80%) in the first six months of 2009 was primarily due to:</w:t>
      </w:r>
    </w:p>
    <w:p>
      <w:pPr>
        <w:spacing w:after="0" w:line="40" w:lineRule="exact"/>
        <w:rPr>
          <w:sz w:val="20"/>
          <w:szCs w:val="20"/>
          <w:color w:val="auto"/>
        </w:rPr>
      </w:pPr>
    </w:p>
    <w:p>
      <w:pPr>
        <w:ind w:left="180" w:hanging="173"/>
        <w:spacing w:after="0"/>
        <w:tabs>
          <w:tab w:leader="none" w:pos="1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$64 million lower earnings from a write-off of assets at Liberty; and</w:t>
      </w:r>
    </w:p>
    <w:p>
      <w:pPr>
        <w:spacing w:after="0" w:line="44" w:lineRule="exact"/>
        <w:rPr>
          <w:rFonts w:ascii="Arial" w:cs="Arial" w:eastAsia="Arial" w:hAnsi="Arial"/>
          <w:sz w:val="21"/>
          <w:szCs w:val="21"/>
          <w:color w:val="auto"/>
        </w:rPr>
      </w:pPr>
    </w:p>
    <w:p>
      <w:pPr>
        <w:ind w:left="180" w:right="379" w:hanging="173"/>
        <w:spacing w:after="0" w:line="252" w:lineRule="auto"/>
        <w:tabs>
          <w:tab w:leader="none" w:pos="1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$14 million lower earnings due to foreign currency exchange-rate effects, primarily from its investment in Chile; </w:t>
      </w:r>
      <w:r>
        <w:rPr>
          <w:rFonts w:ascii="Arial" w:cs="Arial" w:eastAsia="Arial" w:hAnsi="Arial"/>
          <w:sz w:val="21"/>
          <w:szCs w:val="21"/>
          <w:b w:val="1"/>
          <w:bCs w:val="1"/>
          <w:color w:val="auto"/>
        </w:rPr>
        <w:t>offset by</w:t>
      </w:r>
    </w:p>
    <w:p>
      <w:pPr>
        <w:spacing w:after="0" w:line="1" w:lineRule="exact"/>
        <w:rPr>
          <w:rFonts w:ascii="Arial" w:cs="Arial" w:eastAsia="Arial" w:hAnsi="Arial"/>
          <w:sz w:val="21"/>
          <w:szCs w:val="21"/>
          <w:color w:val="auto"/>
        </w:rPr>
      </w:pPr>
    </w:p>
    <w:p>
      <w:pPr>
        <w:ind w:left="180" w:right="279" w:hanging="173"/>
        <w:spacing w:after="0" w:line="257" w:lineRule="auto"/>
        <w:tabs>
          <w:tab w:leader="none" w:pos="1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$14 million higher earnings from the commencement of LNG-related pipeline operations in Mexico in the second quarter of 2008;</w:t>
      </w:r>
    </w:p>
    <w:p>
      <w:pPr>
        <w:ind w:left="180" w:hanging="173"/>
        <w:spacing w:after="0"/>
        <w:tabs>
          <w:tab w:leader="none" w:pos="1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$11 million higher earnings from its investment in South America;</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$6 million lower taxes on foreign income;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$6 million earnings from the operations of Mobile Gas, acquired in October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of $51 million (213%) in the three months ended June 30, 2009 was primarily due to:</w:t>
      </w:r>
    </w:p>
    <w:p>
      <w:pPr>
        <w:spacing w:after="0" w:line="40" w:lineRule="exact"/>
        <w:rPr>
          <w:sz w:val="20"/>
          <w:szCs w:val="20"/>
          <w:color w:val="auto"/>
        </w:rPr>
      </w:pPr>
    </w:p>
    <w:p>
      <w:pPr>
        <w:ind w:left="180" w:hanging="173"/>
        <w:spacing w:after="0"/>
        <w:tabs>
          <w:tab w:leader="none" w:pos="1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$64 million lower earnings from the write-off of assets at Liberty; and</w:t>
      </w:r>
    </w:p>
    <w:p>
      <w:pPr>
        <w:spacing w:after="0" w:line="44" w:lineRule="exact"/>
        <w:rPr>
          <w:rFonts w:ascii="Arial" w:cs="Arial" w:eastAsia="Arial" w:hAnsi="Arial"/>
          <w:sz w:val="21"/>
          <w:szCs w:val="21"/>
          <w:color w:val="auto"/>
        </w:rPr>
      </w:pPr>
    </w:p>
    <w:p>
      <w:pPr>
        <w:ind w:left="180" w:right="479" w:hanging="173"/>
        <w:spacing w:after="0" w:line="252" w:lineRule="auto"/>
        <w:tabs>
          <w:tab w:leader="none" w:pos="1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$7 million lower earnings due to foreign currency exchange-rate effects, primarily from its investment in Chile; </w:t>
      </w:r>
      <w:r>
        <w:rPr>
          <w:rFonts w:ascii="Arial" w:cs="Arial" w:eastAsia="Arial" w:hAnsi="Arial"/>
          <w:sz w:val="21"/>
          <w:szCs w:val="21"/>
          <w:b w:val="1"/>
          <w:bCs w:val="1"/>
          <w:color w:val="auto"/>
        </w:rPr>
        <w:t>offset by</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$9 million higher earnings from its investment in South America;</w:t>
      </w:r>
    </w:p>
    <w:p>
      <w:pPr>
        <w:spacing w:after="0" w:line="39" w:lineRule="exact"/>
        <w:rPr>
          <w:rFonts w:ascii="Arial" w:cs="Arial" w:eastAsia="Arial" w:hAnsi="Arial"/>
          <w:sz w:val="21"/>
          <w:szCs w:val="21"/>
          <w:color w:val="auto"/>
        </w:rPr>
      </w:pPr>
    </w:p>
    <w:p>
      <w:pPr>
        <w:ind w:left="180" w:right="399" w:hanging="173"/>
        <w:spacing w:after="0" w:line="257" w:lineRule="auto"/>
        <w:tabs>
          <w:tab w:leader="none" w:pos="1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$7 million higher earnings from the commencement of LNG-related pipeline operations in Mexico in the second quarter of 2008; and</w:t>
      </w:r>
    </w:p>
    <w:p>
      <w:pPr>
        <w:ind w:left="180" w:hanging="173"/>
        <w:spacing w:after="0"/>
        <w:tabs>
          <w:tab w:leader="none" w:pos="1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$6 million lower taxes on foreign income.</w:t>
      </w:r>
    </w:p>
    <w:p>
      <w:pPr>
        <w:sectPr>
          <w:pgSz w:w="11900" w:h="16838" w:orient="portrait"/>
          <w:cols w:equalWidth="0" w:num="1">
            <w:col w:w="10219"/>
          </w:cols>
          <w:pgMar w:left="240" w:top="323" w:right="1440"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Sempra LNG recorded losses of:</w:t>
      </w:r>
    </w:p>
    <w:p>
      <w:pPr>
        <w:spacing w:after="0" w:line="40" w:lineRule="exact"/>
        <w:rPr>
          <w:sz w:val="20"/>
          <w:szCs w:val="20"/>
          <w:color w:val="auto"/>
        </w:rPr>
      </w:pPr>
    </w:p>
    <w:p>
      <w:pPr>
        <w:ind w:left="180" w:hanging="173"/>
        <w:spacing w:after="0"/>
        <w:tabs>
          <w:tab w:leader="none" w:pos="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$19 million for the first six months of 2009</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$37 million for the first six months of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$12 million in the three months ended June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$28 million in the three months ended June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losses of $18 million (49%) in the first six months of 2009 included</w:t>
      </w:r>
    </w:p>
    <w:p>
      <w:pPr>
        <w:spacing w:after="0" w:line="40" w:lineRule="exact"/>
        <w:rPr>
          <w:sz w:val="20"/>
          <w:szCs w:val="20"/>
          <w:color w:val="auto"/>
        </w:rPr>
      </w:pPr>
    </w:p>
    <w:p>
      <w:pPr>
        <w:ind w:left="180" w:right="699" w:hanging="173"/>
        <w:spacing w:after="0" w:line="255" w:lineRule="auto"/>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$18 million improved mark-to-market results related to a natural gas marketing agreement with RBS Sempra Commodities primarily due to losses of $17 million in 2008; and</w:t>
      </w:r>
    </w:p>
    <w:p>
      <w:pPr>
        <w:ind w:left="180" w:hanging="173"/>
        <w:spacing w:after="0"/>
        <w:tabs>
          <w:tab w:leader="none" w:pos="1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$11 million lower income tax expense related to Mexican currency translation and inflation adjustments; </w:t>
      </w:r>
      <w:r>
        <w:rPr>
          <w:rFonts w:ascii="Arial" w:cs="Arial" w:eastAsia="Arial" w:hAnsi="Arial"/>
          <w:sz w:val="19"/>
          <w:szCs w:val="19"/>
          <w:b w:val="1"/>
          <w:bCs w:val="1"/>
          <w:color w:val="auto"/>
        </w:rPr>
        <w:t>offset by</w:t>
      </w:r>
    </w:p>
    <w:p>
      <w:pPr>
        <w:spacing w:after="0" w:line="62" w:lineRule="exact"/>
        <w:rPr>
          <w:rFonts w:ascii="Arial" w:cs="Arial" w:eastAsia="Arial" w:hAnsi="Arial"/>
          <w:sz w:val="19"/>
          <w:szCs w:val="19"/>
          <w:color w:val="auto"/>
        </w:rPr>
      </w:pPr>
    </w:p>
    <w:p>
      <w:pPr>
        <w:ind w:left="180" w:right="519" w:hanging="173"/>
        <w:spacing w:after="0" w:line="257" w:lineRule="auto"/>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$10 million after-tax cash payment received in the first quarter of 2008 for the early termination of a capacity agreement for the Cameron LNG receipt terminal.</w:t>
      </w:r>
    </w:p>
    <w:p>
      <w:pPr>
        <w:spacing w:after="0"/>
        <w:rPr>
          <w:sz w:val="20"/>
          <w:szCs w:val="20"/>
          <w:color w:val="auto"/>
        </w:rPr>
      </w:pPr>
      <w:r>
        <w:rPr>
          <w:rFonts w:ascii="Arial" w:cs="Arial" w:eastAsia="Arial" w:hAnsi="Arial"/>
          <w:sz w:val="21"/>
          <w:szCs w:val="21"/>
          <w:color w:val="auto"/>
        </w:rPr>
        <w:t>The decrease in losses of $16 million (57%) in the three months ended June 30, 2009 included</w:t>
      </w:r>
    </w:p>
    <w:p>
      <w:pPr>
        <w:spacing w:after="0" w:line="40" w:lineRule="exact"/>
        <w:rPr>
          <w:sz w:val="20"/>
          <w:szCs w:val="20"/>
          <w:color w:val="auto"/>
        </w:rPr>
      </w:pPr>
    </w:p>
    <w:p>
      <w:pPr>
        <w:ind w:left="180" w:right="799" w:hanging="173"/>
        <w:spacing w:after="0" w:line="259" w:lineRule="auto"/>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$9 million improved mark-to-market results related to a natural gas marketing agreement with RBS Sempra Commodities primarily due to losses of $11 million in 2008; and</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$7 million lower income tax expense related to Mexican currency translation and inflation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Losses for Parent and Other were</w:t>
      </w:r>
    </w:p>
    <w:p>
      <w:pPr>
        <w:spacing w:after="0" w:line="40" w:lineRule="exact"/>
        <w:rPr>
          <w:sz w:val="20"/>
          <w:szCs w:val="20"/>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$45 million for the first six months of 2009</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$32 million for the first six months of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$16 million in the three months ended June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$22 million in the three months ended June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in losses of $13 million (41%) in the first six months of 2009 was due to:</w:t>
      </w:r>
    </w:p>
    <w:p>
      <w:pPr>
        <w:spacing w:after="0" w:line="31" w:lineRule="exact"/>
        <w:rPr>
          <w:sz w:val="20"/>
          <w:szCs w:val="20"/>
          <w:color w:val="auto"/>
        </w:rPr>
      </w:pPr>
    </w:p>
    <w:p>
      <w:pPr>
        <w:ind w:left="180" w:hanging="173"/>
        <w:spacing w:after="0"/>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$29 million higher net interest expense primarily from long-term debt issued in 2008;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$9 million favorable impact of an interest adjustment in 2008 related to litigation reserves;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$23 million lower income tax expense; and</w:t>
      </w:r>
    </w:p>
    <w:p>
      <w:pPr>
        <w:spacing w:after="0" w:line="26" w:lineRule="exact"/>
        <w:rPr>
          <w:rFonts w:ascii="Arial" w:cs="Arial" w:eastAsia="Arial" w:hAnsi="Arial"/>
          <w:sz w:val="21"/>
          <w:szCs w:val="21"/>
          <w:color w:val="auto"/>
        </w:rPr>
      </w:pPr>
    </w:p>
    <w:p>
      <w:pPr>
        <w:ind w:left="180" w:right="939" w:hanging="173"/>
        <w:spacing w:after="0" w:line="252" w:lineRule="auto"/>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$3 million higher investment gains on dedicated assets in support of our executive retirement and deferred compensation plans due to improved market conditions. This amount is net of the increase in deferred compensation liability associated with the investments.</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losses of $6 million (27%) in the three months ended June 30, 2009 was due to:</w:t>
      </w:r>
    </w:p>
    <w:p>
      <w:pPr>
        <w:spacing w:after="0" w:line="31" w:lineRule="exact"/>
        <w:rPr>
          <w:sz w:val="20"/>
          <w:szCs w:val="20"/>
          <w:color w:val="auto"/>
        </w:rPr>
      </w:pPr>
    </w:p>
    <w:p>
      <w:pPr>
        <w:ind w:left="180" w:hanging="173"/>
        <w:spacing w:after="0"/>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$21 million lower income tax expense; and</w:t>
      </w:r>
    </w:p>
    <w:p>
      <w:pPr>
        <w:spacing w:after="0" w:line="39" w:lineRule="exact"/>
        <w:rPr>
          <w:rFonts w:ascii="Arial" w:cs="Arial" w:eastAsia="Arial" w:hAnsi="Arial"/>
          <w:sz w:val="21"/>
          <w:szCs w:val="21"/>
          <w:color w:val="auto"/>
        </w:rPr>
      </w:pPr>
    </w:p>
    <w:p>
      <w:pPr>
        <w:ind w:left="180" w:right="839" w:hanging="173"/>
        <w:spacing w:after="0" w:line="251" w:lineRule="auto"/>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$11 million higher investment gains on dedicated assets in support of our executive retirement and deferred compensation plans due to improved market conditions. This amount is net of the increase in deferred compensation liability associated with the investments; </w:t>
      </w:r>
      <w:r>
        <w:rPr>
          <w:rFonts w:ascii="Arial" w:cs="Arial" w:eastAsia="Arial" w:hAnsi="Arial"/>
          <w:sz w:val="21"/>
          <w:szCs w:val="21"/>
          <w:b w:val="1"/>
          <w:bCs w:val="1"/>
          <w:color w:val="auto"/>
        </w:rPr>
        <w:t>offset by</w:t>
      </w:r>
    </w:p>
    <w:p>
      <w:pPr>
        <w:ind w:left="180" w:right="219" w:hanging="173"/>
        <w:spacing w:after="0" w:line="255" w:lineRule="auto"/>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$15 million higher net interest expense primarily from long-term debt issued in 2008, and to a lesser extent, higher interest rates on this long-term debt than on short-term debt replaced; and</w:t>
      </w:r>
    </w:p>
    <w:p>
      <w:pPr>
        <w:ind w:left="180" w:hanging="173"/>
        <w:spacing w:after="0"/>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$9 million favorable impact of an interest adjustment in 2008 related to litigation reserves.</w:t>
      </w:r>
    </w:p>
    <w:p>
      <w:pPr>
        <w:sectPr>
          <w:pgSz w:w="11900" w:h="16838" w:orient="portrait"/>
          <w:cols w:equalWidth="0" w:num="1">
            <w:col w:w="10219"/>
          </w:cols>
          <w:pgMar w:left="240" w:top="324" w:right="1440" w:bottom="1440" w:gutter="0" w:footer="0" w:header="0"/>
        </w:sectPr>
      </w:pPr>
    </w:p>
    <w:bookmarkStart w:id="76" w:name="page77"/>
    <w:bookmarkEnd w:id="76"/>
    <w:p>
      <w:pPr>
        <w:spacing w:after="0"/>
        <w:rPr>
          <w:sz w:val="20"/>
          <w:szCs w:val="20"/>
          <w:color w:val="auto"/>
        </w:rPr>
      </w:pPr>
      <w:r>
        <w:rPr>
          <w:rFonts w:ascii="Arial" w:cs="Arial" w:eastAsia="Arial" w:hAnsi="Arial"/>
          <w:sz w:val="21"/>
          <w:szCs w:val="21"/>
          <w:b w:val="1"/>
          <w:bCs w:val="1"/>
          <w:color w:val="auto"/>
        </w:rPr>
        <w:t>CHANGES IN REVENUES, COSTS AND EARNINGS</w:t>
      </w:r>
    </w:p>
    <w:p>
      <w:pPr>
        <w:spacing w:after="0" w:line="104" w:lineRule="exact"/>
        <w:rPr>
          <w:sz w:val="20"/>
          <w:szCs w:val="20"/>
          <w:color w:val="auto"/>
        </w:rPr>
      </w:pPr>
    </w:p>
    <w:p>
      <w:pPr>
        <w:ind w:right="600"/>
        <w:spacing w:after="0" w:line="270" w:lineRule="auto"/>
        <w:rPr>
          <w:sz w:val="20"/>
          <w:szCs w:val="20"/>
          <w:color w:val="auto"/>
        </w:rPr>
      </w:pPr>
      <w:r>
        <w:rPr>
          <w:rFonts w:ascii="Arial" w:cs="Arial" w:eastAsia="Arial" w:hAnsi="Arial"/>
          <w:sz w:val="21"/>
          <w:szCs w:val="21"/>
          <w:color w:val="auto"/>
        </w:rPr>
        <w:t>This section contains a discussion of the differences between periods in the specific line items of the Condensed Consolidated Statements of Operations for Sempra Energy, SDG&amp;E, PE and SoCalGas.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Revenues</w:t>
      </w:r>
    </w:p>
    <w:p>
      <w:pPr>
        <w:spacing w:after="0" w:line="3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buying natural gas for its core customers at prices below or above market-based monthly benchmarks. The mechanism permits full recovery of costs incurred when average purchase costs are within a price range around a monthly benchmark price. Any higher costs or savings realized outside this range are shared between the core customers and SoCalGas. We provide further discussion in Note 9 of the Notes to Condensed Consolidated Financial Statements herein.</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color w:val="auto"/>
        </w:rPr>
        <w:t>The regulatory framework permits SDG&amp;E to recover the actual cost incurred to generate or procure electricity based on annual estimates of the cost of electricity supplied to core customers. The differences in cost between estimates and actual are recovered in the next year through rates.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Natural Gas Revenues and Cost of Natural Gas</w:t>
      </w:r>
    </w:p>
    <w:p>
      <w:pPr>
        <w:spacing w:after="0" w:line="33" w:lineRule="exact"/>
        <w:rPr>
          <w:sz w:val="20"/>
          <w:szCs w:val="20"/>
          <w:color w:val="auto"/>
        </w:rPr>
      </w:pPr>
    </w:p>
    <w:p>
      <w:pPr>
        <w:ind w:right="100"/>
        <w:spacing w:after="0" w:line="255" w:lineRule="auto"/>
        <w:rPr>
          <w:sz w:val="20"/>
          <w:szCs w:val="20"/>
          <w:color w:val="auto"/>
        </w:rPr>
      </w:pPr>
      <w:r>
        <w:rPr>
          <w:rFonts w:ascii="Arial" w:cs="Arial" w:eastAsia="Arial" w:hAnsi="Arial"/>
          <w:sz w:val="21"/>
          <w:szCs w:val="21"/>
          <w:color w:val="auto"/>
        </w:rPr>
        <w:t>The tables below show natural gas revenues for Sempra Energy, SDG&amp;E and SoCalGas for the six-month periods ended June 30. The Sempra Energy amounts reflect SDG&amp;E and SoCalGas revenues, net of intercompany transactions. Because the cost of natural gas is recovered in rates, changes in the cost are reflected in the changes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213995</wp:posOffset>
            </wp:positionV>
            <wp:extent cx="5784215" cy="408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84215" cy="40830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ENERGY CONSOLIDATED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gridSpan w:val="3"/>
          </w:tcPr>
          <w:p>
            <w:pPr>
              <w:jc w:val="center"/>
              <w:ind w:right="120"/>
              <w:spacing w:after="0"/>
              <w:rPr>
                <w:sz w:val="20"/>
                <w:szCs w:val="20"/>
                <w:color w:val="auto"/>
              </w:rPr>
            </w:pPr>
            <w:r>
              <w:rPr>
                <w:rFonts w:ascii="Arial" w:cs="Arial" w:eastAsia="Arial" w:hAnsi="Arial"/>
                <w:sz w:val="14"/>
                <w:szCs w:val="14"/>
                <w:color w:val="auto"/>
              </w:rPr>
              <w:t>Transportation</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40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Natural Gas Sales</w:t>
            </w:r>
          </w:p>
        </w:tc>
        <w:tc>
          <w:tcPr>
            <w:tcW w:w="2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rPr>
              <w:t>and Exchange</w:t>
            </w:r>
          </w:p>
        </w:tc>
        <w:tc>
          <w:tcPr>
            <w:tcW w:w="1220" w:type="dxa"/>
            <w:vAlign w:val="bottom"/>
            <w:tcBorders>
              <w:bottom w:val="single" w:sz="8" w:color="auto"/>
            </w:tcBorders>
            <w:gridSpan w:val="2"/>
          </w:tcPr>
          <w:p>
            <w:pPr>
              <w:jc w:val="center"/>
              <w:ind w:left="72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7"/>
                <w:szCs w:val="17"/>
                <w:color w:val="auto"/>
              </w:rPr>
            </w:pPr>
          </w:p>
        </w:tc>
      </w:tr>
      <w:tr>
        <w:trPr>
          <w:trHeight w:val="194"/>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08"/>
        </w:trPr>
        <w:tc>
          <w:tcPr>
            <w:tcW w:w="2400" w:type="dxa"/>
            <w:vAlign w:val="bottom"/>
          </w:tcPr>
          <w:p>
            <w:pPr>
              <w:ind w:left="20"/>
              <w:spacing w:after="0"/>
              <w:rPr>
                <w:sz w:val="20"/>
                <w:szCs w:val="20"/>
                <w:color w:val="auto"/>
              </w:rPr>
            </w:pPr>
            <w:r>
              <w:rPr>
                <w:rFonts w:ascii="Arial" w:cs="Arial" w:eastAsia="Arial" w:hAnsi="Arial"/>
                <w:sz w:val="16"/>
                <w:szCs w:val="16"/>
                <w:color w:val="auto"/>
              </w:rPr>
              <w:t>2009:</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1,280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413</w:t>
            </w: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104</w:t>
            </w: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980" w:type="dxa"/>
            <w:vAlign w:val="bottom"/>
          </w:tcPr>
          <w:p>
            <w:pPr>
              <w:jc w:val="right"/>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2"/>
        </w:trPr>
        <w:tc>
          <w:tcPr>
            <w:tcW w:w="2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1,693</w:t>
            </w:r>
          </w:p>
        </w:tc>
        <w:tc>
          <w:tcPr>
            <w:tcW w:w="96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137</w:t>
            </w:r>
          </w:p>
        </w:tc>
        <w:tc>
          <w:tcPr>
            <w:tcW w:w="980" w:type="dxa"/>
            <w:vAlign w:val="bottom"/>
          </w:tcPr>
          <w:p>
            <w:pPr>
              <w:jc w:val="right"/>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5"/>
        </w:trPr>
        <w:tc>
          <w:tcPr>
            <w:tcW w:w="2400" w:type="dxa"/>
            <w:vAlign w:val="bottom"/>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1,873</w:t>
            </w:r>
          </w:p>
        </w:tc>
      </w:tr>
      <w:tr>
        <w:trPr>
          <w:trHeight w:val="83"/>
        </w:trPr>
        <w:tc>
          <w:tcPr>
            <w:tcW w:w="240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2008:</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2,095</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161</w:t>
            </w: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2,097</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768</w:t>
            </w: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2"/>
        </w:trPr>
        <w:tc>
          <w:tcPr>
            <w:tcW w:w="2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2,863</w:t>
            </w:r>
          </w:p>
        </w:tc>
        <w:tc>
          <w:tcPr>
            <w:tcW w:w="960" w:type="dxa"/>
            <w:vAlign w:val="bottom"/>
          </w:tcPr>
          <w:p>
            <w:pPr>
              <w:jc w:val="right"/>
              <w:spacing w:after="0"/>
              <w:rPr>
                <w:sz w:val="20"/>
                <w:szCs w:val="20"/>
                <w:color w:val="auto"/>
              </w:rPr>
            </w:pPr>
            <w:r>
              <w:rPr>
                <w:rFonts w:ascii="Arial" w:cs="Arial" w:eastAsia="Arial" w:hAnsi="Arial"/>
                <w:sz w:val="16"/>
                <w:szCs w:val="16"/>
                <w:color w:val="auto"/>
              </w:rPr>
              <w:t>274</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133</w:t>
            </w:r>
          </w:p>
        </w:tc>
        <w:tc>
          <w:tcPr>
            <w:tcW w:w="980" w:type="dxa"/>
            <w:vAlign w:val="bottom"/>
          </w:tcPr>
          <w:p>
            <w:pPr>
              <w:jc w:val="right"/>
              <w:spacing w:after="0"/>
              <w:rPr>
                <w:sz w:val="20"/>
                <w:szCs w:val="20"/>
                <w:color w:val="auto"/>
              </w:rPr>
            </w:pPr>
            <w:r>
              <w:rPr>
                <w:rFonts w:ascii="Arial" w:cs="Arial" w:eastAsia="Arial" w:hAnsi="Arial"/>
                <w:sz w:val="16"/>
                <w:szCs w:val="16"/>
                <w:color w:val="auto"/>
              </w:rPr>
              <w:t>499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2,996</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5"/>
        </w:trPr>
        <w:tc>
          <w:tcPr>
            <w:tcW w:w="2400" w:type="dxa"/>
            <w:vAlign w:val="bottom"/>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3,098</w:t>
            </w:r>
          </w:p>
        </w:tc>
      </w:tr>
      <w:tr>
        <w:trPr>
          <w:trHeight w:val="83"/>
        </w:trPr>
        <w:tc>
          <w:tcPr>
            <w:tcW w:w="240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We discuss balancing accounts and their effects in Note 1 of the Notes to Consolidated Financial Statements in the Annual Report.</w:t>
      </w:r>
    </w:p>
    <w:p>
      <w:pPr>
        <w:sectPr>
          <w:pgSz w:w="11900" w:h="16838" w:orient="portrait"/>
          <w:cols w:equalWidth="0" w:num="1">
            <w:col w:w="11400"/>
          </w:cols>
          <w:pgMar w:left="240" w:top="415" w:right="259" w:bottom="1440" w:gutter="0" w:footer="0" w:header="0"/>
        </w:sectPr>
      </w:pPr>
    </w:p>
    <w:bookmarkStart w:id="77" w:name="page78"/>
    <w:bookmarkEnd w:id="77"/>
    <w:p>
      <w:pPr>
        <w:spacing w:after="0" w:line="246" w:lineRule="auto"/>
        <w:rPr>
          <w:sz w:val="20"/>
          <w:szCs w:val="20"/>
          <w:color w:val="auto"/>
        </w:rPr>
      </w:pPr>
      <w:r>
        <w:rPr>
          <w:rFonts w:ascii="Arial" w:cs="Arial" w:eastAsia="Arial" w:hAnsi="Arial"/>
          <w:sz w:val="21"/>
          <w:szCs w:val="21"/>
          <w:color w:val="auto"/>
        </w:rPr>
        <w:t>During the six months ended June 30, 2009, our natural gas revenues decreased by $1.2 billion (40%) to $1.9 billion, and the cost of natural gas decreased by $1.2 billion (61%) to $789 million. During the three months ended June 30, 2009, our natural gas revenues decreased by $524 million (40%) to $782 million, and the cost of natural gas decreased by $535 million (68%) to $249 million. The decreases in revenues and cost were primarily due to substantially lower natural gas prices in 2009. To a lesser extent, the decreases were due to lower sales volumes due to noticeably milder temperatures in 2009. We discuss the decrease in the cost of natural gas individually for SDG&amp;E and SoCalGas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5750560" cy="408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0560" cy="408305"/>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SDG&amp;E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3"/>
          </w:tcPr>
          <w:p>
            <w:pPr>
              <w:jc w:val="right"/>
              <w:ind w:right="681"/>
              <w:spacing w:after="0"/>
              <w:rPr>
                <w:sz w:val="20"/>
                <w:szCs w:val="20"/>
                <w:color w:val="auto"/>
              </w:rPr>
            </w:pPr>
            <w:r>
              <w:rPr>
                <w:rFonts w:ascii="Arial" w:cs="Arial" w:eastAsia="Arial" w:hAnsi="Arial"/>
                <w:sz w:val="14"/>
                <w:szCs w:val="14"/>
                <w:color w:val="auto"/>
              </w:rPr>
              <w:t>Transportation</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36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color w:val="auto"/>
              </w:rPr>
              <w:t>Natural Gas Sales</w:t>
            </w:r>
          </w:p>
        </w:tc>
        <w:tc>
          <w:tcPr>
            <w:tcW w:w="222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color w:val="auto"/>
              </w:rPr>
              <w:t>and Exchange</w:t>
            </w:r>
          </w:p>
        </w:tc>
        <w:tc>
          <w:tcPr>
            <w:tcW w:w="1220" w:type="dxa"/>
            <w:vAlign w:val="bottom"/>
            <w:tcBorders>
              <w:bottom w:val="single" w:sz="8" w:color="auto"/>
            </w:tcBorders>
            <w:gridSpan w:val="2"/>
          </w:tcPr>
          <w:p>
            <w:pPr>
              <w:jc w:val="center"/>
              <w:ind w:left="76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7"/>
                <w:szCs w:val="17"/>
                <w:color w:val="auto"/>
              </w:rPr>
            </w:pPr>
          </w:p>
        </w:tc>
      </w:tr>
      <w:tr>
        <w:trPr>
          <w:trHeight w:val="194"/>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Revenue</w:t>
            </w: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08"/>
        </w:trPr>
        <w:tc>
          <w:tcPr>
            <w:tcW w:w="2360" w:type="dxa"/>
            <w:vAlign w:val="bottom"/>
          </w:tcPr>
          <w:p>
            <w:pPr>
              <w:ind w:left="20"/>
              <w:spacing w:after="0"/>
              <w:rPr>
                <w:sz w:val="20"/>
                <w:szCs w:val="20"/>
                <w:color w:val="auto"/>
              </w:rPr>
            </w:pPr>
            <w:r>
              <w:rPr>
                <w:rFonts w:ascii="Arial" w:cs="Arial" w:eastAsia="Arial" w:hAnsi="Arial"/>
                <w:sz w:val="16"/>
                <w:szCs w:val="16"/>
                <w:color w:val="auto"/>
              </w:rPr>
              <w:t>2009:</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188</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59</w:t>
            </w: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2"/>
        </w:trPr>
        <w:tc>
          <w:tcPr>
            <w:tcW w:w="2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247</w:t>
            </w: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14</w:t>
            </w: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236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83"/>
        </w:trPr>
        <w:tc>
          <w:tcPr>
            <w:tcW w:w="23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09"/>
        </w:trPr>
        <w:tc>
          <w:tcPr>
            <w:tcW w:w="2360" w:type="dxa"/>
            <w:vAlign w:val="bottom"/>
          </w:tcPr>
          <w:p>
            <w:pPr>
              <w:ind w:left="20"/>
              <w:spacing w:after="0"/>
              <w:rPr>
                <w:sz w:val="20"/>
                <w:szCs w:val="20"/>
                <w:color w:val="auto"/>
              </w:rPr>
            </w:pPr>
            <w:r>
              <w:rPr>
                <w:rFonts w:ascii="Arial" w:cs="Arial" w:eastAsia="Arial" w:hAnsi="Arial"/>
                <w:sz w:val="16"/>
                <w:szCs w:val="16"/>
                <w:color w:val="auto"/>
              </w:rPr>
              <w:t>2008:</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285</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104</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02"/>
        </w:trPr>
        <w:tc>
          <w:tcPr>
            <w:tcW w:w="2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389</w:t>
            </w: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236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83"/>
        </w:trPr>
        <w:tc>
          <w:tcPr>
            <w:tcW w:w="23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$1 million in each of 2009 and 2008.</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During the six months ended June 30, 2009, SDG&amp;E's natural gas revenues decreased by $141 million (34%) to $275 million, and the cost of natural gas decreased by $141 million (53%) to $124 million. During the three months ended June 30, 2009, SDG&amp;E's natural gas revenues decreased by $75 million (44%) to $96 million, and the cost of natural gas decreased by $76 million (67%) to $37 million. For the first six months of 2009, SDG&amp;E’s average cost of natural gas was $4.59 per thousand cubic feet (Mcf) compared to $9.03 per Mcf for the first six months of 2008, a 49-percent decrease of $4.44 per Mcf, resulting in lower revenues and cost of $120 million. The average cost of natural gas for the second quarter of 2009 was $3.57 per Mcf compared to $10.72 per Mcf in the second quarter of 2008, a 67-percent decrease of $7.15 per Mcf, resulting in lower revenues and cost of $75 million.</w:t>
      </w:r>
    </w:p>
    <w:p>
      <w:pPr>
        <w:sectPr>
          <w:pgSz w:w="11900" w:h="16838" w:orient="portrait"/>
          <w:cols w:equalWidth="0" w:num="1">
            <w:col w:w="11360"/>
          </w:cols>
          <w:pgMar w:left="240" w:top="118" w:right="299" w:bottom="1440" w:gutter="0" w:footer="0" w:header="0"/>
        </w:sectPr>
      </w:pPr>
    </w:p>
    <w:bookmarkStart w:id="78" w:name="page79"/>
    <w:bookmarkEnd w:id="7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6056630" cy="408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56630" cy="408305"/>
                    </a:xfrm>
                    <a:prstGeom prst="rect">
                      <a:avLst/>
                    </a:prstGeom>
                    <a:noFill/>
                  </pic:spPr>
                </pic:pic>
              </a:graphicData>
            </a:graphic>
          </wp:anchor>
        </w:drawing>
        <w:t>SOCALGAS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3"/>
          </w:tcPr>
          <w:p>
            <w:pPr>
              <w:jc w:val="center"/>
              <w:ind w:right="140"/>
              <w:spacing w:after="0"/>
              <w:rPr>
                <w:sz w:val="20"/>
                <w:szCs w:val="20"/>
                <w:color w:val="auto"/>
              </w:rPr>
            </w:pPr>
            <w:r>
              <w:rPr>
                <w:rFonts w:ascii="Arial" w:cs="Arial" w:eastAsia="Arial" w:hAnsi="Arial"/>
                <w:sz w:val="14"/>
                <w:szCs w:val="14"/>
                <w:color w:val="auto"/>
                <w:w w:val="99"/>
              </w:rPr>
              <w:t>Transportation</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84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Natural Gas Sales</w:t>
            </w:r>
          </w:p>
        </w:tc>
        <w:tc>
          <w:tcPr>
            <w:tcW w:w="2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rPr>
              <w:t>and Exchange</w:t>
            </w:r>
          </w:p>
        </w:tc>
        <w:tc>
          <w:tcPr>
            <w:tcW w:w="1200" w:type="dxa"/>
            <w:vAlign w:val="bottom"/>
            <w:tcBorders>
              <w:bottom w:val="single" w:sz="8" w:color="auto"/>
            </w:tcBorders>
            <w:gridSpan w:val="2"/>
          </w:tcPr>
          <w:p>
            <w:pPr>
              <w:jc w:val="center"/>
              <w:ind w:left="74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7"/>
                <w:szCs w:val="17"/>
                <w:color w:val="auto"/>
              </w:rPr>
            </w:pPr>
          </w:p>
        </w:tc>
      </w:tr>
      <w:tr>
        <w:trPr>
          <w:trHeight w:val="194"/>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color w:val="auto"/>
              </w:rPr>
              <w:t>2009:</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1,092</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354</w:t>
            </w: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2"/>
        </w:trPr>
        <w:tc>
          <w:tcPr>
            <w:tcW w:w="2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1,446</w:t>
            </w:r>
          </w:p>
        </w:tc>
        <w:tc>
          <w:tcPr>
            <w:tcW w:w="940" w:type="dxa"/>
            <w:vAlign w:val="bottom"/>
          </w:tcPr>
          <w:p>
            <w:pPr>
              <w:jc w:val="right"/>
              <w:spacing w:after="0"/>
              <w:rPr>
                <w:sz w:val="20"/>
                <w:szCs w:val="20"/>
                <w:color w:val="auto"/>
              </w:rPr>
            </w:pPr>
            <w:r>
              <w:rPr>
                <w:rFonts w:ascii="Arial" w:cs="Arial" w:eastAsia="Arial" w:hAnsi="Arial"/>
                <w:sz w:val="16"/>
                <w:szCs w:val="16"/>
                <w:color w:val="auto"/>
              </w:rPr>
              <w:t>276</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128</w:t>
            </w:r>
          </w:p>
        </w:tc>
        <w:tc>
          <w:tcPr>
            <w:tcW w:w="960" w:type="dxa"/>
            <w:vAlign w:val="bottom"/>
          </w:tcPr>
          <w:p>
            <w:pPr>
              <w:jc w:val="right"/>
              <w:spacing w:after="0"/>
              <w:rPr>
                <w:sz w:val="20"/>
                <w:szCs w:val="20"/>
                <w:color w:val="auto"/>
              </w:rPr>
            </w:pPr>
            <w:r>
              <w:rPr>
                <w:rFonts w:ascii="Arial" w:cs="Arial" w:eastAsia="Arial" w:hAnsi="Arial"/>
                <w:sz w:val="16"/>
                <w:szCs w:val="16"/>
                <w:color w:val="auto"/>
              </w:rPr>
              <w:t>460</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1,574</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284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1,614</w:t>
            </w:r>
          </w:p>
        </w:tc>
      </w:tr>
      <w:tr>
        <w:trPr>
          <w:trHeight w:val="83"/>
        </w:trPr>
        <w:tc>
          <w:tcPr>
            <w:tcW w:w="28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2008:</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1,810</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141</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1,812</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664</w:t>
            </w: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2"/>
        </w:trPr>
        <w:tc>
          <w:tcPr>
            <w:tcW w:w="2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2,474</w:t>
            </w: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123</w:t>
            </w:r>
          </w:p>
        </w:tc>
        <w:tc>
          <w:tcPr>
            <w:tcW w:w="960" w:type="dxa"/>
            <w:vAlign w:val="bottom"/>
          </w:tcPr>
          <w:p>
            <w:pPr>
              <w:jc w:val="right"/>
              <w:spacing w:after="0"/>
              <w:rPr>
                <w:sz w:val="20"/>
                <w:szCs w:val="20"/>
                <w:color w:val="auto"/>
              </w:rPr>
            </w:pPr>
            <w:r>
              <w:rPr>
                <w:rFonts w:ascii="Arial" w:cs="Arial" w:eastAsia="Arial" w:hAnsi="Arial"/>
                <w:sz w:val="16"/>
                <w:szCs w:val="16"/>
                <w:color w:val="auto"/>
              </w:rPr>
              <w:t>498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2,597</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5"/>
        </w:trPr>
        <w:tc>
          <w:tcPr>
            <w:tcW w:w="284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83"/>
        </w:trPr>
        <w:tc>
          <w:tcPr>
            <w:tcW w:w="28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$15 million in 2009 and $16 million in 2008.</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During the six months ended June 30, 2009, SoCalGas' natural gas revenues decreased by $1.1 billion (40%) to $1.6 billion, and the cost of natural gas decreased by $1.1 billion (62%) to $669 million. During the three months ended June 30, 2009, SoCalGas' natural gas revenues decreased by $449 million (39%) to $694 million, and the cost of natural gas decreased by $459 million (68%) to $214 million. SoCalGas’ average cost of natural gas has decreased significantly in 2009 compared to 2008. For the first six months of 2009, SoCalGas’ average cost was $3.63 per Mcf compared to $9.00 per Mcf for the first six months of 2008, a 60-percent decrease of $5.37 per Mcf, resulting in lower revenues and cost of $1.0 billion. The average cost of natural gas for the second quarter of 2009 was $3.10 per Mcf compared to $9.57 per Mcf in the second quarter of 2008, a 68-percent decrease of $6.47 per Mcf, resulting in lower revenues and cost of $447 million.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Electric Revenues and Cost of Electric Fuel and Purchased Power</w:t>
      </w:r>
    </w:p>
    <w:p>
      <w:pPr>
        <w:spacing w:after="0" w:line="33" w:lineRule="exact"/>
        <w:rPr>
          <w:sz w:val="20"/>
          <w:szCs w:val="20"/>
          <w:color w:val="auto"/>
        </w:rPr>
      </w:pPr>
    </w:p>
    <w:p>
      <w:pPr>
        <w:ind w:right="180"/>
        <w:spacing w:after="0" w:line="255" w:lineRule="auto"/>
        <w:rPr>
          <w:sz w:val="20"/>
          <w:szCs w:val="20"/>
          <w:color w:val="auto"/>
        </w:rPr>
      </w:pPr>
      <w:r>
        <w:rPr>
          <w:rFonts w:ascii="Arial" w:cs="Arial" w:eastAsia="Arial" w:hAnsi="Arial"/>
          <w:sz w:val="21"/>
          <w:szCs w:val="21"/>
          <w:color w:val="auto"/>
        </w:rPr>
        <w:t>The table below shows electric revenues for Sempra Energy and SDG&amp;E. Sempra Energy amounts are shown after eliminating intercompany transactions. Because the cost of electricity is substantially recovered in rates, changes in the cost are reflected in the changes in revenues.</w:t>
      </w:r>
    </w:p>
    <w:p>
      <w:pPr>
        <w:spacing w:after="0" w:line="47" w:lineRule="exact"/>
        <w:rPr>
          <w:sz w:val="20"/>
          <w:szCs w:val="20"/>
          <w:color w:val="auto"/>
        </w:rPr>
      </w:pPr>
    </w:p>
    <w:p>
      <w:pPr>
        <w:ind w:right="360"/>
        <w:spacing w:after="0" w:line="259" w:lineRule="auto"/>
        <w:rPr>
          <w:sz w:val="20"/>
          <w:szCs w:val="20"/>
          <w:color w:val="auto"/>
        </w:rPr>
      </w:pPr>
      <w:r>
        <w:rPr>
          <w:rFonts w:ascii="Arial" w:cs="Arial" w:eastAsia="Arial" w:hAnsi="Arial"/>
          <w:sz w:val="21"/>
          <w:szCs w:val="21"/>
          <w:color w:val="auto"/>
        </w:rPr>
        <w:t>During the six months ended June 30, 2009, electric revenues for both Sempra Energy and SDG&amp;E remained consistent with the prior year, and included</w:t>
      </w:r>
    </w:p>
    <w:p>
      <w:pPr>
        <w:spacing w:after="0" w:line="1" w:lineRule="exact"/>
        <w:rPr>
          <w:sz w:val="20"/>
          <w:szCs w:val="20"/>
          <w:color w:val="auto"/>
        </w:rPr>
      </w:pPr>
    </w:p>
    <w:p>
      <w:pPr>
        <w:ind w:left="180" w:right="1660" w:hanging="173"/>
        <w:spacing w:after="0" w:line="255" w:lineRule="auto"/>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$47 million higher revenues in 2009 due to the implementation of the 2008 GRC decision in the third quarter of 2008;</w:t>
      </w:r>
    </w:p>
    <w:p>
      <w:pPr>
        <w:ind w:left="180" w:hanging="173"/>
        <w:spacing w:after="0"/>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$36 million higher authorized electric distribution, transmission and generation margins;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$21 million higher recoverable expenses that are fully offset in operation and maintenance expenses;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$83 million decrease in cost of electric fuel and purchased power;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$17 million lower regulatory awards in 2009.</w:t>
      </w:r>
    </w:p>
    <w:p>
      <w:pPr>
        <w:sectPr>
          <w:pgSz w:w="11900" w:h="16838" w:orient="portrait"/>
          <w:cols w:equalWidth="0" w:num="1">
            <w:col w:w="11420"/>
          </w:cols>
          <w:pgMar w:left="240" w:top="416" w:right="239" w:bottom="1440" w:gutter="0" w:footer="0" w:header="0"/>
        </w:sectPr>
      </w:pPr>
    </w:p>
    <w:bookmarkStart w:id="79" w:name="page80"/>
    <w:bookmarkEnd w:id="79"/>
    <w:p>
      <w:pPr>
        <w:ind w:right="220"/>
        <w:spacing w:after="0" w:line="259" w:lineRule="auto"/>
        <w:rPr>
          <w:sz w:val="20"/>
          <w:szCs w:val="20"/>
          <w:color w:val="auto"/>
        </w:rPr>
      </w:pPr>
      <w:r>
        <w:rPr>
          <w:rFonts w:ascii="Arial" w:cs="Arial" w:eastAsia="Arial" w:hAnsi="Arial"/>
          <w:sz w:val="21"/>
          <w:szCs w:val="21"/>
          <w:color w:val="auto"/>
        </w:rPr>
        <w:t>During the three months ended June 30, 2009, electric revenues decreased by $47 million (8%) to $534 million at Sempra Energy and by $48 million (8%) to $535 million at SDG&amp;E. The decrease in revenues was primarily due to:</w:t>
      </w:r>
    </w:p>
    <w:p>
      <w:pPr>
        <w:spacing w:after="0" w:line="2" w:lineRule="exact"/>
        <w:rPr>
          <w:sz w:val="20"/>
          <w:szCs w:val="20"/>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$91 million decrease in cost of electric fuel and purchased power;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$13 million lower regulatory awards;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$24 million due to the implementation of the 2008 GRC decision in the third quarter of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$22 million higher authorized electric distribution, transmission and generation margins;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$16 million higher recoverable expenses that are fully offset in operation and maintenance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5282565" cy="272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82565" cy="2724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3860" w:type="dxa"/>
            <w:vAlign w:val="bottom"/>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0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920" w:type="dxa"/>
            <w:vAlign w:val="bottom"/>
            <w:tcBorders>
              <w:bottom w:val="single" w:sz="8" w:color="auto"/>
            </w:tcBorders>
          </w:tcPr>
          <w:p>
            <w:pPr>
              <w:spacing w:after="0"/>
              <w:rPr>
                <w:sz w:val="17"/>
                <w:szCs w:val="17"/>
                <w:color w:val="auto"/>
              </w:rPr>
            </w:pPr>
          </w:p>
        </w:tc>
      </w:tr>
      <w:tr>
        <w:trPr>
          <w:trHeight w:val="194"/>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Revenue</w:t>
            </w: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3,605</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496</w:t>
            </w:r>
          </w:p>
        </w:tc>
        <w:tc>
          <w:tcPr>
            <w:tcW w:w="920" w:type="dxa"/>
            <w:vAlign w:val="bottom"/>
          </w:tcPr>
          <w:p>
            <w:pPr>
              <w:jc w:val="right"/>
              <w:spacing w:after="0"/>
              <w:rPr>
                <w:sz w:val="20"/>
                <w:szCs w:val="20"/>
                <w:color w:val="auto"/>
              </w:rPr>
            </w:pPr>
            <w:r>
              <w:rPr>
                <w:rFonts w:ascii="Arial" w:cs="Arial" w:eastAsia="Arial" w:hAnsi="Arial"/>
                <w:sz w:val="16"/>
                <w:szCs w:val="16"/>
                <w:color w:val="auto"/>
              </w:rPr>
              <w:t>3,715</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40" w:type="dxa"/>
            <w:vAlign w:val="bottom"/>
          </w:tcPr>
          <w:p>
            <w:pPr>
              <w:jc w:val="right"/>
              <w:spacing w:after="0"/>
              <w:rPr>
                <w:sz w:val="20"/>
                <w:szCs w:val="20"/>
                <w:color w:val="auto"/>
              </w:rPr>
            </w:pPr>
            <w:r>
              <w:rPr>
                <w:rFonts w:ascii="Arial" w:cs="Arial" w:eastAsia="Arial" w:hAnsi="Arial"/>
                <w:sz w:val="16"/>
                <w:szCs w:val="16"/>
                <w:color w:val="auto"/>
              </w:rPr>
              <w:t>3,370</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434</w:t>
            </w:r>
          </w:p>
        </w:tc>
        <w:tc>
          <w:tcPr>
            <w:tcW w:w="920" w:type="dxa"/>
            <w:vAlign w:val="bottom"/>
          </w:tcPr>
          <w:p>
            <w:pPr>
              <w:jc w:val="right"/>
              <w:spacing w:after="0"/>
              <w:rPr>
                <w:sz w:val="20"/>
                <w:szCs w:val="20"/>
                <w:color w:val="auto"/>
              </w:rPr>
            </w:pPr>
            <w:r>
              <w:rPr>
                <w:rFonts w:ascii="Arial" w:cs="Arial" w:eastAsia="Arial" w:hAnsi="Arial"/>
                <w:sz w:val="16"/>
                <w:szCs w:val="16"/>
                <w:color w:val="auto"/>
              </w:rPr>
              <w:t>3,416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1,104</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118</w:t>
            </w:r>
          </w:p>
        </w:tc>
        <w:tc>
          <w:tcPr>
            <w:tcW w:w="920" w:type="dxa"/>
            <w:vAlign w:val="bottom"/>
          </w:tcPr>
          <w:p>
            <w:pPr>
              <w:jc w:val="right"/>
              <w:spacing w:after="0"/>
              <w:rPr>
                <w:sz w:val="20"/>
                <w:szCs w:val="20"/>
                <w:color w:val="auto"/>
              </w:rPr>
            </w:pPr>
            <w:r>
              <w:rPr>
                <w:rFonts w:ascii="Arial" w:cs="Arial" w:eastAsia="Arial" w:hAnsi="Arial"/>
                <w:sz w:val="16"/>
                <w:szCs w:val="16"/>
                <w:color w:val="auto"/>
              </w:rPr>
              <w:t>1,114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Direct access</w:t>
            </w:r>
          </w:p>
        </w:tc>
        <w:tc>
          <w:tcPr>
            <w:tcW w:w="1040" w:type="dxa"/>
            <w:vAlign w:val="bottom"/>
          </w:tcPr>
          <w:p>
            <w:pPr>
              <w:jc w:val="right"/>
              <w:spacing w:after="0"/>
              <w:rPr>
                <w:sz w:val="20"/>
                <w:szCs w:val="20"/>
                <w:color w:val="auto"/>
              </w:rPr>
            </w:pPr>
            <w:r>
              <w:rPr>
                <w:rFonts w:ascii="Arial" w:cs="Arial" w:eastAsia="Arial" w:hAnsi="Arial"/>
                <w:sz w:val="16"/>
                <w:szCs w:val="16"/>
                <w:color w:val="auto"/>
              </w:rPr>
              <w:t>1,490</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51</w:t>
            </w:r>
          </w:p>
        </w:tc>
        <w:tc>
          <w:tcPr>
            <w:tcW w:w="920" w:type="dxa"/>
            <w:vAlign w:val="bottom"/>
          </w:tcPr>
          <w:p>
            <w:pPr>
              <w:jc w:val="right"/>
              <w:spacing w:after="0"/>
              <w:rPr>
                <w:sz w:val="20"/>
                <w:szCs w:val="20"/>
                <w:color w:val="auto"/>
              </w:rPr>
            </w:pPr>
            <w:r>
              <w:rPr>
                <w:rFonts w:ascii="Arial" w:cs="Arial" w:eastAsia="Arial" w:hAnsi="Arial"/>
                <w:sz w:val="16"/>
                <w:szCs w:val="16"/>
                <w:color w:val="auto"/>
              </w:rPr>
              <w:t>1,515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Street and highway lighting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2"/>
        </w:trPr>
        <w:tc>
          <w:tcPr>
            <w:tcW w:w="3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9,622</w:t>
            </w:r>
          </w:p>
        </w:tc>
        <w:tc>
          <w:tcPr>
            <w:tcW w:w="26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1,105</w:t>
            </w:r>
          </w:p>
        </w:tc>
        <w:tc>
          <w:tcPr>
            <w:tcW w:w="920" w:type="dxa"/>
            <w:vAlign w:val="bottom"/>
          </w:tcPr>
          <w:p>
            <w:pPr>
              <w:jc w:val="right"/>
              <w:spacing w:after="0"/>
              <w:rPr>
                <w:sz w:val="20"/>
                <w:szCs w:val="20"/>
                <w:color w:val="auto"/>
              </w:rPr>
            </w:pPr>
            <w:r>
              <w:rPr>
                <w:rFonts w:ascii="Arial" w:cs="Arial" w:eastAsia="Arial" w:hAnsi="Arial"/>
                <w:sz w:val="16"/>
                <w:szCs w:val="16"/>
                <w:color w:val="auto"/>
              </w:rPr>
              <w:t>9,811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68</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Balancing accounts</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w:t>
            </w: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05"/>
        </w:trPr>
        <w:tc>
          <w:tcPr>
            <w:tcW w:w="3860" w:type="dxa"/>
            <w:vAlign w:val="bottom"/>
          </w:tcPr>
          <w:p>
            <w:pPr>
              <w:ind w:left="20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1,085</w:t>
            </w:r>
          </w:p>
        </w:tc>
        <w:tc>
          <w:tcPr>
            <w:tcW w:w="92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83"/>
        </w:trPr>
        <w:tc>
          <w:tcPr>
            <w:tcW w:w="38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3,605</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496</w:t>
            </w:r>
          </w:p>
        </w:tc>
        <w:tc>
          <w:tcPr>
            <w:tcW w:w="920" w:type="dxa"/>
            <w:vAlign w:val="bottom"/>
          </w:tcPr>
          <w:p>
            <w:pPr>
              <w:jc w:val="right"/>
              <w:spacing w:after="0"/>
              <w:rPr>
                <w:sz w:val="20"/>
                <w:szCs w:val="20"/>
                <w:color w:val="auto"/>
              </w:rPr>
            </w:pPr>
            <w:r>
              <w:rPr>
                <w:rFonts w:ascii="Arial" w:cs="Arial" w:eastAsia="Arial" w:hAnsi="Arial"/>
                <w:sz w:val="16"/>
                <w:szCs w:val="16"/>
                <w:color w:val="auto"/>
              </w:rPr>
              <w:t>3,715</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40" w:type="dxa"/>
            <w:vAlign w:val="bottom"/>
          </w:tcPr>
          <w:p>
            <w:pPr>
              <w:jc w:val="right"/>
              <w:spacing w:after="0"/>
              <w:rPr>
                <w:sz w:val="20"/>
                <w:szCs w:val="20"/>
                <w:color w:val="auto"/>
              </w:rPr>
            </w:pPr>
            <w:r>
              <w:rPr>
                <w:rFonts w:ascii="Arial" w:cs="Arial" w:eastAsia="Arial" w:hAnsi="Arial"/>
                <w:sz w:val="16"/>
                <w:szCs w:val="16"/>
                <w:color w:val="auto"/>
              </w:rPr>
              <w:t>3,370</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434</w:t>
            </w:r>
          </w:p>
        </w:tc>
        <w:tc>
          <w:tcPr>
            <w:tcW w:w="920" w:type="dxa"/>
            <w:vAlign w:val="bottom"/>
          </w:tcPr>
          <w:p>
            <w:pPr>
              <w:jc w:val="right"/>
              <w:spacing w:after="0"/>
              <w:rPr>
                <w:sz w:val="20"/>
                <w:szCs w:val="20"/>
                <w:color w:val="auto"/>
              </w:rPr>
            </w:pPr>
            <w:r>
              <w:rPr>
                <w:rFonts w:ascii="Arial" w:cs="Arial" w:eastAsia="Arial" w:hAnsi="Arial"/>
                <w:sz w:val="16"/>
                <w:szCs w:val="16"/>
                <w:color w:val="auto"/>
              </w:rPr>
              <w:t>3,416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1,109</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119</w:t>
            </w:r>
          </w:p>
        </w:tc>
        <w:tc>
          <w:tcPr>
            <w:tcW w:w="920" w:type="dxa"/>
            <w:vAlign w:val="bottom"/>
          </w:tcPr>
          <w:p>
            <w:pPr>
              <w:jc w:val="right"/>
              <w:spacing w:after="0"/>
              <w:rPr>
                <w:sz w:val="20"/>
                <w:szCs w:val="20"/>
                <w:color w:val="auto"/>
              </w:rPr>
            </w:pPr>
            <w:r>
              <w:rPr>
                <w:rFonts w:ascii="Arial" w:cs="Arial" w:eastAsia="Arial" w:hAnsi="Arial"/>
                <w:sz w:val="16"/>
                <w:szCs w:val="16"/>
                <w:color w:val="auto"/>
              </w:rPr>
              <w:t>1,120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Direct access</w:t>
            </w:r>
          </w:p>
        </w:tc>
        <w:tc>
          <w:tcPr>
            <w:tcW w:w="1040" w:type="dxa"/>
            <w:vAlign w:val="bottom"/>
          </w:tcPr>
          <w:p>
            <w:pPr>
              <w:jc w:val="right"/>
              <w:spacing w:after="0"/>
              <w:rPr>
                <w:sz w:val="20"/>
                <w:szCs w:val="20"/>
                <w:color w:val="auto"/>
              </w:rPr>
            </w:pPr>
            <w:r>
              <w:rPr>
                <w:rFonts w:ascii="Arial" w:cs="Arial" w:eastAsia="Arial" w:hAnsi="Arial"/>
                <w:sz w:val="16"/>
                <w:szCs w:val="16"/>
                <w:color w:val="auto"/>
              </w:rPr>
              <w:t>1,490</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51</w:t>
            </w:r>
          </w:p>
        </w:tc>
        <w:tc>
          <w:tcPr>
            <w:tcW w:w="920" w:type="dxa"/>
            <w:vAlign w:val="bottom"/>
          </w:tcPr>
          <w:p>
            <w:pPr>
              <w:jc w:val="right"/>
              <w:spacing w:after="0"/>
              <w:rPr>
                <w:sz w:val="20"/>
                <w:szCs w:val="20"/>
                <w:color w:val="auto"/>
              </w:rPr>
            </w:pPr>
            <w:r>
              <w:rPr>
                <w:rFonts w:ascii="Arial" w:cs="Arial" w:eastAsia="Arial" w:hAnsi="Arial"/>
                <w:sz w:val="16"/>
                <w:szCs w:val="16"/>
                <w:color w:val="auto"/>
              </w:rPr>
              <w:t>1,515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Street and highway lighting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2"/>
        </w:trPr>
        <w:tc>
          <w:tcPr>
            <w:tcW w:w="3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9,627</w:t>
            </w:r>
          </w:p>
        </w:tc>
        <w:tc>
          <w:tcPr>
            <w:tcW w:w="26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1,106</w:t>
            </w:r>
          </w:p>
        </w:tc>
        <w:tc>
          <w:tcPr>
            <w:tcW w:w="920" w:type="dxa"/>
            <w:vAlign w:val="bottom"/>
          </w:tcPr>
          <w:p>
            <w:pPr>
              <w:jc w:val="right"/>
              <w:spacing w:after="0"/>
              <w:rPr>
                <w:sz w:val="20"/>
                <w:szCs w:val="20"/>
                <w:color w:val="auto"/>
              </w:rPr>
            </w:pPr>
            <w:r>
              <w:rPr>
                <w:rFonts w:ascii="Arial" w:cs="Arial" w:eastAsia="Arial" w:hAnsi="Arial"/>
                <w:sz w:val="16"/>
                <w:szCs w:val="16"/>
                <w:color w:val="auto"/>
              </w:rPr>
              <w:t>9,817</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70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Balancing accounts</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w:t>
            </w: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05"/>
        </w:trPr>
        <w:tc>
          <w:tcPr>
            <w:tcW w:w="3860" w:type="dxa"/>
            <w:vAlign w:val="bottom"/>
          </w:tcPr>
          <w:p>
            <w:pPr>
              <w:ind w:left="20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1,088</w:t>
            </w:r>
          </w:p>
        </w:tc>
        <w:tc>
          <w:tcPr>
            <w:tcW w:w="92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83"/>
        </w:trPr>
        <w:tc>
          <w:tcPr>
            <w:tcW w:w="38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$3 million in 2009 and $5 million in 2008.</w:t>
      </w:r>
    </w:p>
    <w:p>
      <w:pPr>
        <w:spacing w:after="0" w:line="349"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 and Parent Revenues and Cost of Sales</w:t>
      </w:r>
    </w:p>
    <w:p>
      <w:pPr>
        <w:spacing w:after="0" w:line="33" w:lineRule="exact"/>
        <w:rPr>
          <w:sz w:val="20"/>
          <w:szCs w:val="20"/>
          <w:color w:val="auto"/>
        </w:rPr>
      </w:pPr>
    </w:p>
    <w:p>
      <w:pPr>
        <w:ind w:right="480"/>
        <w:spacing w:after="0" w:line="259" w:lineRule="auto"/>
        <w:rPr>
          <w:sz w:val="20"/>
          <w:szCs w:val="20"/>
          <w:color w:val="auto"/>
        </w:rPr>
      </w:pPr>
      <w:r>
        <w:rPr>
          <w:rFonts w:ascii="Arial" w:cs="Arial" w:eastAsia="Arial" w:hAnsi="Arial"/>
          <w:sz w:val="21"/>
          <w:szCs w:val="21"/>
          <w:color w:val="auto"/>
        </w:rPr>
        <w:t>During the six months ended June 30, 2009, our Sempra Global and Parent revenues decreased by $757 million (47%) to $839 million. The decrease included:</w:t>
      </w:r>
    </w:p>
    <w:p>
      <w:pPr>
        <w:spacing w:after="0" w:line="1" w:lineRule="exact"/>
        <w:rPr>
          <w:sz w:val="20"/>
          <w:szCs w:val="20"/>
          <w:color w:val="auto"/>
        </w:rPr>
      </w:pPr>
    </w:p>
    <w:p>
      <w:pPr>
        <w:ind w:left="180" w:right="1540" w:hanging="173"/>
        <w:spacing w:after="0" w:line="256" w:lineRule="auto"/>
        <w:tabs>
          <w:tab w:leader="none" w:pos="180" w:val="left"/>
        </w:tabs>
        <w:numPr>
          <w:ilvl w:val="0"/>
          <w:numId w:val="80"/>
        </w:numPr>
        <w:rPr>
          <w:rFonts w:ascii="Arial" w:cs="Arial" w:eastAsia="Arial" w:hAnsi="Arial"/>
          <w:sz w:val="21"/>
          <w:szCs w:val="21"/>
          <w:color w:val="auto"/>
        </w:rPr>
      </w:pPr>
      <w:r>
        <w:rPr>
          <w:rFonts w:ascii="Arial" w:cs="Arial" w:eastAsia="Arial" w:hAnsi="Arial"/>
          <w:sz w:val="21"/>
          <w:szCs w:val="21"/>
          <w:color w:val="auto"/>
        </w:rPr>
        <w:t>$447 million lower revenues from Sempra Commodities primarily due to the sale of the commodities-marketing businesses to our joint venture, RBS Sempra Commodities, on April 1, 2008; and</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$386 million lower revenues at Sempra Generation, primarily due to lower natural gas and power prices; </w:t>
      </w:r>
      <w:r>
        <w:rPr>
          <w:rFonts w:ascii="Arial" w:cs="Arial" w:eastAsia="Arial" w:hAnsi="Arial"/>
          <w:sz w:val="21"/>
          <w:szCs w:val="21"/>
          <w:b w:val="1"/>
          <w:bCs w:val="1"/>
          <w:color w:val="auto"/>
        </w:rPr>
        <w:t>offset by</w:t>
      </w:r>
    </w:p>
    <w:p>
      <w:pPr>
        <w:sectPr>
          <w:pgSz w:w="11900" w:h="16838" w:orient="portrait"/>
          <w:cols w:equalWidth="0" w:num="1">
            <w:col w:w="11340"/>
          </w:cols>
          <w:pgMar w:left="240" w:top="118" w:right="319" w:bottom="1440" w:gutter="0" w:footer="0" w:header="0"/>
        </w:sectPr>
      </w:pPr>
    </w:p>
    <w:bookmarkStart w:id="80" w:name="page81"/>
    <w:bookmarkEnd w:id="80"/>
    <w:p>
      <w:pPr>
        <w:spacing w:after="0"/>
        <w:rPr>
          <w:sz w:val="20"/>
          <w:szCs w:val="20"/>
          <w:color w:val="auto"/>
        </w:rPr>
      </w:pPr>
      <w:r>
        <w:rPr>
          <w:rFonts w:ascii="Arial" w:cs="Arial" w:eastAsia="Arial" w:hAnsi="Arial"/>
          <w:sz w:val="21"/>
          <w:szCs w:val="21"/>
          <w:color w:val="auto"/>
        </w:rPr>
        <w:t>§ $62 million higher revenues at Sempra LNG, primarily from completed projects going into service in 2008.</w:t>
      </w:r>
    </w:p>
    <w:p>
      <w:pPr>
        <w:spacing w:after="0" w:line="134" w:lineRule="exact"/>
        <w:rPr>
          <w:sz w:val="20"/>
          <w:szCs w:val="20"/>
          <w:color w:val="auto"/>
        </w:rPr>
      </w:pPr>
    </w:p>
    <w:p>
      <w:pPr>
        <w:ind w:right="140"/>
        <w:spacing w:after="0" w:line="249" w:lineRule="auto"/>
        <w:rPr>
          <w:sz w:val="20"/>
          <w:szCs w:val="20"/>
          <w:color w:val="auto"/>
        </w:rPr>
      </w:pPr>
      <w:r>
        <w:rPr>
          <w:rFonts w:ascii="Arial" w:cs="Arial" w:eastAsia="Arial" w:hAnsi="Arial"/>
          <w:sz w:val="21"/>
          <w:szCs w:val="21"/>
          <w:color w:val="auto"/>
        </w:rPr>
        <w:t>During the six months ended June 30, 2009, our cost of natural gas, electric fuel and purchased power decreased by $467 million (51%) to $455 million. The decrease was primarily associated with the lower revenues at Sempra Commodities and Sempra Generation. Other cost of sales for Sempra Global and Parent decreased by $120 million (78%) to $33 million primarily due to the sale of the commodities-marketing businesses in the second quarter of 2008.</w:t>
      </w:r>
    </w:p>
    <w:p>
      <w:pPr>
        <w:spacing w:after="0" w:line="3" w:lineRule="exact"/>
        <w:rPr>
          <w:sz w:val="20"/>
          <w:szCs w:val="20"/>
          <w:color w:val="auto"/>
        </w:rPr>
      </w:pPr>
    </w:p>
    <w:p>
      <w:pPr>
        <w:jc w:val="both"/>
        <w:ind w:right="280"/>
        <w:spacing w:after="0" w:line="255" w:lineRule="auto"/>
        <w:rPr>
          <w:sz w:val="20"/>
          <w:szCs w:val="20"/>
          <w:color w:val="auto"/>
        </w:rPr>
      </w:pPr>
      <w:r>
        <w:rPr>
          <w:rFonts w:ascii="Arial" w:cs="Arial" w:eastAsia="Arial" w:hAnsi="Arial"/>
          <w:sz w:val="21"/>
          <w:szCs w:val="21"/>
          <w:color w:val="auto"/>
        </w:rPr>
        <w:t>During the three months ended June 30, 2009, our Sempra Global and Parent revenues decreased by $243 million (39%) to $373 million. The decrease included $237 million lower revenues at Sempra Generation, primarily due to lower natural gas and power prices.</w:t>
      </w:r>
    </w:p>
    <w:p>
      <w:pPr>
        <w:spacing w:after="0" w:line="47"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During the three months ended June 30, 2009, our cost of natural gas, electric fuel and purchased power decreased by $326 million (64%) to $187 million. The decrease was primarily associated with the lower revenues at Sempra Generation.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For the six months ended June 30, 2009, our operation and maintenance expenses decreased by $147 million (12%) to $1.1 billion.</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The decrease was primarily due to:</w:t>
      </w:r>
    </w:p>
    <w:p>
      <w:pPr>
        <w:spacing w:after="0" w:line="13" w:lineRule="exact"/>
        <w:rPr>
          <w:sz w:val="20"/>
          <w:szCs w:val="20"/>
          <w:color w:val="auto"/>
        </w:rPr>
      </w:pPr>
    </w:p>
    <w:p>
      <w:pPr>
        <w:ind w:left="180" w:right="1200" w:hanging="173"/>
        <w:spacing w:after="0" w:line="257" w:lineRule="auto"/>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the inclusion of $240 million of operation and maintenance expenses at our commodities-marketing business for the first six months of 2008; </w:t>
      </w:r>
      <w:r>
        <w:rPr>
          <w:rFonts w:ascii="Arial" w:cs="Arial" w:eastAsia="Arial" w:hAnsi="Arial"/>
          <w:sz w:val="21"/>
          <w:szCs w:val="21"/>
          <w:b w:val="1"/>
          <w:bCs w:val="1"/>
          <w:color w:val="auto"/>
        </w:rPr>
        <w:t>offset by</w:t>
      </w:r>
    </w:p>
    <w:p>
      <w:pPr>
        <w:ind w:left="180" w:right="1340" w:hanging="173"/>
        <w:spacing w:after="0" w:line="259" w:lineRule="auto"/>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higher operation and maintenance expense at SDG&amp;E, including $21 million higher recoverable expenses and $25 million other operational costs, offset by $17 million lower litigation expense;</w:t>
      </w:r>
    </w:p>
    <w:p>
      <w:pPr>
        <w:spacing w:after="0" w:line="1" w:lineRule="exact"/>
        <w:rPr>
          <w:rFonts w:ascii="Arial" w:cs="Arial" w:eastAsia="Arial" w:hAnsi="Arial"/>
          <w:sz w:val="21"/>
          <w:szCs w:val="21"/>
          <w:color w:val="auto"/>
        </w:rPr>
      </w:pPr>
    </w:p>
    <w:p>
      <w:pPr>
        <w:ind w:left="180" w:right="1800" w:hanging="173"/>
        <w:spacing w:after="0" w:line="255" w:lineRule="auto"/>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$26 million higher operation and maintenance expense at LNG mainly related to maintenance cargoes for the Energía Costa Azul LNG receipt terminal; and</w:t>
      </w:r>
    </w:p>
    <w:p>
      <w:pPr>
        <w:ind w:left="180" w:right="2140" w:hanging="173"/>
        <w:spacing w:after="0" w:line="265" w:lineRule="auto"/>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$17 million higher operation and maintenance expense at Sempra Pipelines &amp; Storage primarily from the operations of Mobile Gas, acquired in October 2008.</w:t>
      </w:r>
    </w:p>
    <w:p>
      <w:pPr>
        <w:spacing w:after="0" w:line="78" w:lineRule="exact"/>
        <w:rPr>
          <w:sz w:val="20"/>
          <w:szCs w:val="20"/>
          <w:color w:val="auto"/>
        </w:rPr>
      </w:pPr>
    </w:p>
    <w:p>
      <w:pPr>
        <w:ind w:right="1280"/>
        <w:spacing w:after="0" w:line="255" w:lineRule="auto"/>
        <w:rPr>
          <w:sz w:val="20"/>
          <w:szCs w:val="20"/>
          <w:color w:val="auto"/>
        </w:rPr>
      </w:pPr>
      <w:r>
        <w:rPr>
          <w:rFonts w:ascii="Arial" w:cs="Arial" w:eastAsia="Arial" w:hAnsi="Arial"/>
          <w:sz w:val="21"/>
          <w:szCs w:val="21"/>
          <w:color w:val="auto"/>
        </w:rPr>
        <w:t>For the three months ended June 30, 2009, our operation and maintenance expenses increased by $40 million (7%) to $589 million, primarily attributable to SDG&amp;E, including $15 million higher recoverable expenses and $30 million other operational costs, offset by $7 million lower litigation expense.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87" w:lineRule="exact"/>
        <w:rPr>
          <w:sz w:val="20"/>
          <w:szCs w:val="20"/>
          <w:color w:val="auto"/>
        </w:rPr>
      </w:pPr>
    </w:p>
    <w:p>
      <w:pPr>
        <w:ind w:right="120"/>
        <w:spacing w:after="0" w:line="247" w:lineRule="auto"/>
        <w:rPr>
          <w:sz w:val="20"/>
          <w:szCs w:val="20"/>
          <w:color w:val="auto"/>
        </w:rPr>
      </w:pPr>
      <w:r>
        <w:rPr>
          <w:rFonts w:ascii="Arial" w:cs="Arial" w:eastAsia="Arial" w:hAnsi="Arial"/>
          <w:sz w:val="21"/>
          <w:szCs w:val="21"/>
          <w:color w:val="auto"/>
        </w:rPr>
        <w:t>In the six months and three months ended June 30, 2009, the pretax equity earnings from our investment in the newly-formed RBS Sempra Commodities were $279 million and $126 million, respectively. The equity earnings of $146 million for the six-month period in 2008 represent earnings for only three months, beginning with the inception of the joint venture on April 1, 2008. We provide additional information about this investment's earnings in Note 4 of the Notes to Condensed Consolidated Financial Statements herein.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For the six months ended June 30, 2009, other income, net, increased by $22 million (43%) to $73 million. The increase was due to $16 million higher investment gains on dedicated assets in support of our executive retirement and deferred compensation plans and $15 million of higher interest-rate swap gain for Otay Mesa VIE at SDG&amp;E in 2009. The gain is offset in (Earnings) Losses Attributable to Noncontrolling Interests on the Condensed Consolidated Statements of Operations for Sempra Energy and SDG&amp;E. These increases were offset by a $16 million cash payment received in the first quarter of 2008 for the early termination of a capacity agreement for the Cameron LNG receipt terminal.</w:t>
      </w:r>
    </w:p>
    <w:p>
      <w:pPr>
        <w:sectPr>
          <w:pgSz w:w="11900" w:h="16838" w:orient="portrait"/>
          <w:cols w:equalWidth="0" w:num="1">
            <w:col w:w="11340"/>
          </w:cols>
          <w:pgMar w:left="240" w:top="118" w:right="319" w:bottom="1440" w:gutter="0" w:footer="0" w:header="0"/>
        </w:sectPr>
      </w:pPr>
    </w:p>
    <w:bookmarkStart w:id="81" w:name="page82"/>
    <w:bookmarkEnd w:id="81"/>
    <w:p>
      <w:pPr>
        <w:ind w:right="40"/>
        <w:spacing w:after="0" w:line="247" w:lineRule="auto"/>
        <w:rPr>
          <w:sz w:val="20"/>
          <w:szCs w:val="20"/>
          <w:color w:val="auto"/>
        </w:rPr>
      </w:pPr>
      <w:r>
        <w:rPr>
          <w:rFonts w:ascii="Arial" w:cs="Arial" w:eastAsia="Arial" w:hAnsi="Arial"/>
          <w:sz w:val="21"/>
          <w:szCs w:val="21"/>
          <w:color w:val="auto"/>
        </w:rPr>
        <w:t>For the three months ended June 30, 2009, other income, net, increased by $38 million (119%) to $70 million. The increase was due to $29 million higher investment gains on dedicated assets in support of our executive retirement and deferred compensation plans. In addition, SDG&amp;E recorded $5 million of higher interest-rate swap gain for Otay Mesa VIE at SDG&amp;E in 2009. The gain is offset in (Earnings) Losses Attributable to Noncontrolling Interests on the Condensed Consolidated Statements of Operations for Sempra Energy and SDG&amp;E.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During the six months and three months ended June 30, 2009, our interest expense increased by $63 million (64%) and $41 million (108%) to $161 million and $79 million, respectively. The increases were primarily due to long-term debt issued at Parent and Other in 2008, and also for the three months, higher interest rates on this long-term debt than on short-term debt replaced. In addition, the three months and six months ended June 30, 2008 included $16 million reduced interest expense related to energy crisis litigation reserves.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income tax expense and effective income tax rates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4993640" cy="272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3640" cy="27241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7"/>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color w:val="auto"/>
              </w:rPr>
              <w:t>Six months ended June 30,</w:t>
            </w:r>
          </w:p>
        </w:tc>
        <w:tc>
          <w:tcPr>
            <w:tcW w:w="1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6"/>
                <w:szCs w:val="16"/>
                <w:color w:val="auto"/>
              </w:rPr>
            </w:pP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Effective</w:t>
            </w:r>
          </w:p>
        </w:tc>
        <w:tc>
          <w:tcPr>
            <w:tcW w:w="340" w:type="dxa"/>
            <w:vAlign w:val="bottom"/>
          </w:tcPr>
          <w:p>
            <w:pPr>
              <w:spacing w:after="0"/>
              <w:rPr>
                <w:sz w:val="16"/>
                <w:szCs w:val="16"/>
                <w:color w:val="auto"/>
              </w:rPr>
            </w:pP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3"/>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Income</w:t>
            </w:r>
          </w:p>
        </w:tc>
        <w:tc>
          <w:tcPr>
            <w:tcW w:w="340" w:type="dxa"/>
            <w:vAlign w:val="bottom"/>
          </w:tcPr>
          <w:p>
            <w:pPr>
              <w:spacing w:after="0"/>
              <w:rPr>
                <w:sz w:val="15"/>
                <w:szCs w:val="15"/>
                <w:color w:val="auto"/>
              </w:rPr>
            </w:pP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color w:val="auto"/>
                <w:w w:val="99"/>
              </w:rPr>
              <w:t>Tax Rate*</w:t>
            </w:r>
          </w:p>
        </w:tc>
        <w:tc>
          <w:tcPr>
            <w:tcW w:w="340" w:type="dxa"/>
            <w:vAlign w:val="bottom"/>
            <w:tcBorders>
              <w:bottom w:val="single" w:sz="8" w:color="auto"/>
            </w:tcBorders>
          </w:tcPr>
          <w:p>
            <w:pPr>
              <w:spacing w:after="0"/>
              <w:rPr>
                <w:sz w:val="19"/>
                <w:szCs w:val="19"/>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199</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329</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88</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8"/>
                <w:szCs w:val="18"/>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76</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77</w:t>
            </w: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73</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76</w:t>
            </w: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600" w:type="dxa"/>
            <w:vAlign w:val="bottom"/>
            <w:gridSpan w:val="4"/>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r>
      <w:tr>
        <w:trPr>
          <w:trHeight w:val="409"/>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Three months ended June 30,</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6"/>
                <w:szCs w:val="16"/>
                <w:color w:val="auto"/>
              </w:rPr>
            </w:pP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Effective</w:t>
            </w:r>
          </w:p>
        </w:tc>
        <w:tc>
          <w:tcPr>
            <w:tcW w:w="340" w:type="dxa"/>
            <w:vAlign w:val="bottom"/>
          </w:tcPr>
          <w:p>
            <w:pPr>
              <w:spacing w:after="0"/>
              <w:rPr>
                <w:sz w:val="16"/>
                <w:szCs w:val="16"/>
                <w:color w:val="auto"/>
              </w:rPr>
            </w:pP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3"/>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184"/>
              <w:spacing w:after="0"/>
              <w:rPr>
                <w:sz w:val="20"/>
                <w:szCs w:val="20"/>
                <w:color w:val="auto"/>
              </w:rPr>
            </w:pPr>
            <w:r>
              <w:rPr>
                <w:rFonts w:ascii="Arial" w:cs="Arial" w:eastAsia="Arial" w:hAnsi="Arial"/>
                <w:sz w:val="14"/>
                <w:szCs w:val="14"/>
                <w:color w:val="auto"/>
              </w:rPr>
              <w:t>Income</w:t>
            </w:r>
          </w:p>
        </w:tc>
        <w:tc>
          <w:tcPr>
            <w:tcW w:w="340" w:type="dxa"/>
            <w:vAlign w:val="bottom"/>
          </w:tcPr>
          <w:p>
            <w:pPr>
              <w:spacing w:after="0"/>
              <w:rPr>
                <w:sz w:val="15"/>
                <w:szCs w:val="15"/>
                <w:color w:val="auto"/>
              </w:rPr>
            </w:pP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color w:val="auto"/>
                <w:w w:val="99"/>
              </w:rPr>
              <w:t>Tax Rate*</w:t>
            </w:r>
          </w:p>
        </w:tc>
        <w:tc>
          <w:tcPr>
            <w:tcW w:w="340" w:type="dxa"/>
            <w:vAlign w:val="bottom"/>
            <w:tcBorders>
              <w:bottom w:val="single" w:sz="8" w:color="auto"/>
            </w:tcBorders>
          </w:tcPr>
          <w:p>
            <w:pPr>
              <w:spacing w:after="0"/>
              <w:rPr>
                <w:sz w:val="19"/>
                <w:szCs w:val="19"/>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90</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202</w:t>
            </w: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28</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35</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8"/>
                <w:szCs w:val="18"/>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40</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18"/>
                <w:szCs w:val="18"/>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37</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80" w:right="3600" w:hanging="259"/>
        <w:spacing w:after="0" w:line="295" w:lineRule="auto"/>
        <w:tabs>
          <w:tab w:leader="none" w:pos="28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Sempra Energy Consolidated, SDG&amp;E and PE have been adjusted for the retrospective adoption of SFAS 160 (ASC 810).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00" w:lineRule="exact"/>
        <w:rPr>
          <w:sz w:val="20"/>
          <w:szCs w:val="20"/>
          <w:color w:val="auto"/>
        </w:rPr>
      </w:pPr>
    </w:p>
    <w:p>
      <w:pPr>
        <w:ind w:right="180"/>
        <w:spacing w:after="0" w:line="255" w:lineRule="auto"/>
        <w:rPr>
          <w:sz w:val="20"/>
          <w:szCs w:val="20"/>
          <w:color w:val="auto"/>
        </w:rPr>
      </w:pPr>
      <w:r>
        <w:rPr>
          <w:rFonts w:ascii="Arial" w:cs="Arial" w:eastAsia="Arial" w:hAnsi="Arial"/>
          <w:sz w:val="21"/>
          <w:szCs w:val="21"/>
          <w:color w:val="auto"/>
        </w:rPr>
        <w:t>In the first six months of 2009, Sempra Energy's income tax expense decreased by $130 million (40%) due to lower pretax income and a lower effective income tax rate resulting from:</w:t>
      </w:r>
    </w:p>
    <w:p>
      <w:pPr>
        <w:spacing w:after="0" w:line="1" w:lineRule="exact"/>
        <w:rPr>
          <w:sz w:val="20"/>
          <w:szCs w:val="20"/>
          <w:color w:val="auto"/>
        </w:rPr>
      </w:pPr>
    </w:p>
    <w:p>
      <w:pPr>
        <w:ind w:left="180" w:hanging="173"/>
        <w:spacing w:after="0"/>
        <w:tabs>
          <w:tab w:leader="none" w:pos="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higher pretax income in countries with lower statutory rates;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lower income tax expense related to Mexican currency translation and inflation adjustments;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favorable impact of the resolution of prior years' income tax issues.</w:t>
      </w:r>
    </w:p>
    <w:p>
      <w:pPr>
        <w:sectPr>
          <w:pgSz w:w="11900" w:h="16838" w:orient="portrait"/>
          <w:cols w:equalWidth="0" w:num="1">
            <w:col w:w="11380"/>
          </w:cols>
          <w:pgMar w:left="240" w:top="118" w:right="279" w:bottom="1440" w:gutter="0" w:footer="0" w:header="0"/>
        </w:sectPr>
      </w:pPr>
    </w:p>
    <w:bookmarkStart w:id="82" w:name="page83"/>
    <w:bookmarkEnd w:id="82"/>
    <w:p>
      <w:pPr>
        <w:spacing w:after="0" w:line="259" w:lineRule="auto"/>
        <w:rPr>
          <w:sz w:val="20"/>
          <w:szCs w:val="20"/>
          <w:color w:val="auto"/>
        </w:rPr>
      </w:pPr>
      <w:r>
        <w:rPr>
          <w:rFonts w:ascii="Arial" w:cs="Arial" w:eastAsia="Arial" w:hAnsi="Arial"/>
          <w:sz w:val="21"/>
          <w:szCs w:val="21"/>
          <w:color w:val="auto"/>
        </w:rPr>
        <w:t>In the three months ended June 30, 2009, Sempra Energy's income tax expense decreased by $112 million (55%) due to lower pretax income and a lower effective income tax rate resulting from:</w:t>
      </w:r>
    </w:p>
    <w:p>
      <w:pPr>
        <w:spacing w:after="0" w:line="2" w:lineRule="exact"/>
        <w:rPr>
          <w:sz w:val="20"/>
          <w:szCs w:val="20"/>
          <w:color w:val="auto"/>
        </w:rPr>
      </w:pPr>
    </w:p>
    <w:p>
      <w:pPr>
        <w:ind w:left="180" w:hanging="173"/>
        <w:spacing w:after="0"/>
        <w:tabs>
          <w:tab w:leader="none" w:pos="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lower income tax expense related to Mexican currency translation and inflation adjustments;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favorable impact of the resolution of prior years' income tax issues.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In the first six months of 2009, SDG&amp;E's income tax expense increased by $21 million (31%) due to higher pretax income.</w:t>
      </w:r>
    </w:p>
    <w:p>
      <w:pPr>
        <w:spacing w:after="0" w:line="40"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In the three months ended June 30, 2009, SDG&amp;E's income tax expense decreased by $7 million (20%) primarily from a $10 million favorable effect from the resolution of prior years' income tax issues in the second quarter of 2009, which resulted in a decrease in the effective tax rate.</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87" w:lineRule="exact"/>
        <w:rPr>
          <w:sz w:val="20"/>
          <w:szCs w:val="20"/>
          <w:color w:val="auto"/>
        </w:rPr>
      </w:pPr>
    </w:p>
    <w:p>
      <w:pPr>
        <w:jc w:val="both"/>
        <w:ind w:right="660"/>
        <w:spacing w:after="0" w:line="294" w:lineRule="auto"/>
        <w:rPr>
          <w:sz w:val="20"/>
          <w:szCs w:val="20"/>
          <w:color w:val="auto"/>
        </w:rPr>
      </w:pPr>
      <w:r>
        <w:rPr>
          <w:rFonts w:ascii="Arial" w:cs="Arial" w:eastAsia="Arial" w:hAnsi="Arial"/>
          <w:sz w:val="19"/>
          <w:szCs w:val="19"/>
          <w:color w:val="auto"/>
        </w:rPr>
        <w:t>In the first six months of 2009, income tax expense decreased by $1 million (1%) at PE and by $3 million (4%) at SoCalGas primarily due to higher deductions for self-developed software costs at SoCalGas, which resulted in lower effective tax rates.</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In the three months ended June 30, 2009, income tax expense increased by $4 million (11%) at PE primarily due to higher pretax income. For the same period, income tax expense for SoCalGas increased by $1 million (3%) due to higher pretax income, offset by higher deductions for self-developed software costs, which resulted in a lower effective tax rate. The decrease in the effective tax rate was partially offset by lower deductions allowed for depreciation authorized for ratemaking purposes.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Losses Attributable to Noncontrolling Interests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87" w:lineRule="exact"/>
        <w:rPr>
          <w:sz w:val="20"/>
          <w:szCs w:val="20"/>
          <w:color w:val="auto"/>
        </w:rPr>
      </w:pPr>
    </w:p>
    <w:p>
      <w:pPr>
        <w:ind w:right="20"/>
        <w:spacing w:after="0" w:line="270" w:lineRule="auto"/>
        <w:rPr>
          <w:sz w:val="20"/>
          <w:szCs w:val="20"/>
          <w:color w:val="auto"/>
        </w:rPr>
      </w:pPr>
      <w:r>
        <w:rPr>
          <w:rFonts w:ascii="Arial" w:cs="Arial" w:eastAsia="Arial" w:hAnsi="Arial"/>
          <w:sz w:val="21"/>
          <w:szCs w:val="21"/>
          <w:color w:val="auto"/>
        </w:rPr>
        <w:t>Losses attributable to noncontrolling interests were $5 million in the first six months of 2009 compared to earnings of $15 million in the corresponding period of 2008. The change included:</w:t>
      </w:r>
    </w:p>
    <w:p>
      <w:pPr>
        <w:spacing w:after="0" w:line="13" w:lineRule="exact"/>
        <w:rPr>
          <w:sz w:val="20"/>
          <w:szCs w:val="20"/>
          <w:color w:val="auto"/>
        </w:rPr>
      </w:pPr>
    </w:p>
    <w:p>
      <w:pPr>
        <w:ind w:left="180" w:hanging="173"/>
        <w:spacing w:after="0"/>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$33 million associated with the write-off of assets at Liberty in 2009;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right="1580" w:hanging="173"/>
        <w:spacing w:after="0" w:line="265" w:lineRule="auto"/>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$12 million higher earnings from the Otay Mesa Energy Center variable interest entity, primarily due to a higher gain from interest-rate swaps.</w:t>
      </w:r>
    </w:p>
    <w:p>
      <w:pPr>
        <w:spacing w:after="0" w:line="78" w:lineRule="exact"/>
        <w:rPr>
          <w:sz w:val="20"/>
          <w:szCs w:val="20"/>
          <w:color w:val="auto"/>
        </w:rPr>
      </w:pPr>
    </w:p>
    <w:p>
      <w:pPr>
        <w:ind w:right="300"/>
        <w:spacing w:after="0" w:line="270" w:lineRule="auto"/>
        <w:rPr>
          <w:sz w:val="20"/>
          <w:szCs w:val="20"/>
          <w:color w:val="auto"/>
        </w:rPr>
      </w:pPr>
      <w:r>
        <w:rPr>
          <w:rFonts w:ascii="Arial" w:cs="Arial" w:eastAsia="Arial" w:hAnsi="Arial"/>
          <w:sz w:val="21"/>
          <w:szCs w:val="21"/>
          <w:color w:val="auto"/>
        </w:rPr>
        <w:t>Losses attributable to noncontrolling interests were $12 million in the three months ended June 30, 2009 compared to earnings of $15 million in the corresponding period of 2008. The change included:</w:t>
      </w:r>
    </w:p>
    <w:p>
      <w:pPr>
        <w:spacing w:after="0" w:line="13" w:lineRule="exact"/>
        <w:rPr>
          <w:sz w:val="20"/>
          <w:szCs w:val="20"/>
          <w:color w:val="auto"/>
        </w:rPr>
      </w:pPr>
    </w:p>
    <w:p>
      <w:pPr>
        <w:ind w:left="180" w:hanging="173"/>
        <w:spacing w:after="0"/>
        <w:tabs>
          <w:tab w:leader="none" w:pos="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$33 million associated with the write-off of assets at Liberty in 2009; </w:t>
      </w:r>
      <w:r>
        <w:rPr>
          <w:rFonts w:ascii="Arial" w:cs="Arial" w:eastAsia="Arial" w:hAnsi="Arial"/>
          <w:sz w:val="21"/>
          <w:szCs w:val="21"/>
          <w:b w:val="1"/>
          <w:bCs w:val="1"/>
          <w:color w:val="auto"/>
        </w:rPr>
        <w:t>offset by</w:t>
      </w:r>
    </w:p>
    <w:p>
      <w:pPr>
        <w:spacing w:after="0" w:line="37" w:lineRule="exact"/>
        <w:rPr>
          <w:rFonts w:ascii="Arial" w:cs="Arial" w:eastAsia="Arial" w:hAnsi="Arial"/>
          <w:sz w:val="21"/>
          <w:szCs w:val="21"/>
          <w:color w:val="auto"/>
        </w:rPr>
      </w:pPr>
    </w:p>
    <w:p>
      <w:pPr>
        <w:ind w:left="180" w:right="1280" w:hanging="173"/>
        <w:spacing w:after="0" w:line="265" w:lineRule="auto"/>
        <w:tabs>
          <w:tab w:leader="none" w:pos="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$5 million higher earnings from the Otay Mesa Energy Center variable interest entity, primarily due to a higher gain from interest-rate swaps.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7890" cy="8255"/>
                    </a:xfrm>
                    <a:prstGeom prst="rect">
                      <a:avLst/>
                    </a:prstGeom>
                    <a:noFill/>
                  </pic:spPr>
                </pic:pic>
              </a:graphicData>
            </a:graphic>
          </wp:anchor>
        </w:drawing>
        <w:t>CAPITAL RESOURCES AND LIQUIDITY</w:t>
      </w:r>
    </w:p>
    <w:p>
      <w:pPr>
        <w:spacing w:after="0" w:line="74" w:lineRule="exact"/>
        <w:rPr>
          <w:sz w:val="20"/>
          <w:szCs w:val="20"/>
          <w:color w:val="auto"/>
        </w:rPr>
      </w:pPr>
    </w:p>
    <w:p>
      <w:pPr>
        <w:ind w:right="280"/>
        <w:spacing w:after="0" w:line="270" w:lineRule="auto"/>
        <w:rPr>
          <w:sz w:val="20"/>
          <w:szCs w:val="20"/>
          <w:color w:val="auto"/>
        </w:rPr>
      </w:pPr>
      <w:r>
        <w:rPr>
          <w:rFonts w:ascii="Arial" w:cs="Arial" w:eastAsia="Arial" w:hAnsi="Arial"/>
          <w:sz w:val="21"/>
          <w:szCs w:val="21"/>
          <w:color w:val="auto"/>
        </w:rPr>
        <w:t>We expect our cash flows from operations to fund a substantial portion of our capital expenditures and dividends. In addition, we expect to meet a portion of our cash requirements through the issuance of short-term and long-term debt.</w:t>
      </w:r>
    </w:p>
    <w:p>
      <w:pPr>
        <w:spacing w:after="0" w:line="19" w:lineRule="exact"/>
        <w:rPr>
          <w:sz w:val="20"/>
          <w:szCs w:val="20"/>
          <w:color w:val="auto"/>
        </w:rPr>
      </w:pPr>
    </w:p>
    <w:p>
      <w:pPr>
        <w:jc w:val="both"/>
        <w:ind w:right="340"/>
        <w:spacing w:after="0" w:line="255" w:lineRule="auto"/>
        <w:rPr>
          <w:sz w:val="20"/>
          <w:szCs w:val="20"/>
          <w:color w:val="auto"/>
        </w:rPr>
      </w:pPr>
      <w:r>
        <w:rPr>
          <w:rFonts w:ascii="Arial" w:cs="Arial" w:eastAsia="Arial" w:hAnsi="Arial"/>
          <w:sz w:val="21"/>
          <w:szCs w:val="21"/>
          <w:color w:val="auto"/>
        </w:rPr>
        <w:t>Our committed lines of credit provide liquidity and support commercial paper. They expire in August 2011. At Sempra Energy, they are syndicated broadly among 20 different banks and at the Sempra Utilities, among 17 different banks. No single bank has greater than a 10.7 percent share in any single facility.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The table below shows the amount of available funds at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001895" cy="272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01895" cy="27241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AVAILABLE FUNDS AT JUNE 30, 2009</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ind w:right="104"/>
              <w:spacing w:after="0"/>
              <w:rPr>
                <w:sz w:val="20"/>
                <w:szCs w:val="20"/>
                <w:color w:val="auto"/>
              </w:rPr>
            </w:pPr>
            <w:r>
              <w:rPr>
                <w:rFonts w:ascii="Arial" w:cs="Arial" w:eastAsia="Arial" w:hAnsi="Arial"/>
                <w:sz w:val="14"/>
                <w:szCs w:val="14"/>
                <w:color w:val="auto"/>
              </w:rPr>
              <w:t>Sempra Energy</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0"/>
        </w:trPr>
        <w:tc>
          <w:tcPr>
            <w:tcW w:w="3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SDG&amp;E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PE/SoCalGas</w:t>
            </w:r>
          </w:p>
        </w:tc>
      </w:tr>
      <w:tr>
        <w:trPr>
          <w:trHeight w:val="208"/>
        </w:trPr>
        <w:tc>
          <w:tcPr>
            <w:tcW w:w="3260" w:type="dxa"/>
            <w:vAlign w:val="bottom"/>
          </w:tcPr>
          <w:p>
            <w:pPr>
              <w:ind w:left="20"/>
              <w:spacing w:after="0"/>
              <w:rPr>
                <w:sz w:val="20"/>
                <w:szCs w:val="20"/>
                <w:color w:val="auto"/>
              </w:rPr>
            </w:pPr>
            <w:r>
              <w:rPr>
                <w:rFonts w:ascii="Arial" w:cs="Arial" w:eastAsia="Arial" w:hAnsi="Arial"/>
                <w:sz w:val="16"/>
                <w:szCs w:val="16"/>
                <w:color w:val="auto"/>
              </w:rPr>
              <w:t>Unrestricted cash and cash equivalents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818</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7"/>
        </w:trPr>
        <w:tc>
          <w:tcPr>
            <w:tcW w:w="3260" w:type="dxa"/>
            <w:vAlign w:val="bottom"/>
          </w:tcPr>
          <w:p>
            <w:pPr>
              <w:ind w:left="20"/>
              <w:spacing w:after="0"/>
              <w:rPr>
                <w:sz w:val="20"/>
                <w:szCs w:val="20"/>
                <w:color w:val="auto"/>
              </w:rPr>
            </w:pPr>
            <w:r>
              <w:rPr>
                <w:rFonts w:ascii="Arial" w:cs="Arial" w:eastAsia="Arial" w:hAnsi="Arial"/>
                <w:sz w:val="16"/>
                <w:szCs w:val="16"/>
                <w:color w:val="auto"/>
              </w:rPr>
              <w:t>Available unused credit*</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3,623</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83"/>
        </w:trPr>
        <w:tc>
          <w:tcPr>
            <w:tcW w:w="326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right="3720" w:hanging="180"/>
        <w:spacing w:after="0" w:line="271" w:lineRule="auto"/>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Borrowings on the shared line of credit at SDG&amp;E and SoCalGas are limited to $600 million for each utility and $800 million in total. SDG&amp;E's available funds reflect letters of credit outstanding of $25 million and variable-rate demand notes outstanding of $237 million supported by the line. SoCalGas' availability reflects the impact of SDG&amp;E's use of the combined credit available on the line.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7" w:lineRule="exact"/>
        <w:rPr>
          <w:sz w:val="20"/>
          <w:szCs w:val="20"/>
          <w:color w:val="auto"/>
        </w:rPr>
      </w:pPr>
    </w:p>
    <w:p>
      <w:pPr>
        <w:ind w:right="360"/>
        <w:spacing w:after="0" w:line="255" w:lineRule="auto"/>
        <w:rPr>
          <w:sz w:val="20"/>
          <w:szCs w:val="20"/>
          <w:color w:val="auto"/>
        </w:rPr>
      </w:pPr>
      <w:r>
        <w:rPr>
          <w:rFonts w:ascii="Arial" w:cs="Arial" w:eastAsia="Arial" w:hAnsi="Arial"/>
          <w:sz w:val="21"/>
          <w:szCs w:val="21"/>
          <w:color w:val="auto"/>
        </w:rPr>
        <w:t>We believe that these available funds and cash flows from operations, distributions from equity method investments and security issuances, combined with current cash balances, will be adequate to:</w:t>
      </w:r>
    </w:p>
    <w:p>
      <w:pPr>
        <w:spacing w:after="0" w:line="1" w:lineRule="exact"/>
        <w:rPr>
          <w:sz w:val="20"/>
          <w:szCs w:val="20"/>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finance capital expenditures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meet liquidity requirements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fund shareholder dividends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fund any new business acquisitions or start-ups</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Both Sempra Energy and SDG&amp;E have issued long-term debt in 2009. However, the recent global credit crisis that has severely affected the availability and cost of both short-term and long-term financing may continue to influence credit markets for some time.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would include projects that we have not yet made firm commitments to build, primarily renewable generation facilities. We continuously monitor our ability to finance the needs of our operating, investing and financing act ivities in a manner consistent with our intention to maintain strong, investment-quality ratings.</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We have significant investments in several trusts to provide for future payments of pensions and other retirement benefits, and nuclear decommissioning. Although all of our trust funds’ investments are diversified and managed in compliance with all laws and regulations, the value of the investments in these trusts declined in 2008 and the first quarter of 2009 due to a decrease in the equity market and volatility in the fixed income market. These markets continue to be volatile. The decrease in asset values has not affected the funds’ abilities to make their required payments, however we expect funding requirements for pension and other postretirement benefit plans to increase. At the Sempra Utilities, funding requirements are generally recoverable in rates.</w:t>
      </w:r>
    </w:p>
    <w:p>
      <w:pPr>
        <w:sectPr>
          <w:pgSz w:w="11900" w:h="16838" w:orient="portrait"/>
          <w:cols w:equalWidth="0" w:num="1">
            <w:col w:w="11400"/>
          </w:cols>
          <w:pgMar w:left="240" w:top="591" w:right="259" w:bottom="1440" w:gutter="0" w:footer="0" w:header="0"/>
        </w:sectPr>
      </w:pPr>
    </w:p>
    <w:bookmarkStart w:id="84" w:name="page85"/>
    <w:bookmarkEnd w:id="84"/>
    <w:p>
      <w:pPr>
        <w:jc w:val="both"/>
        <w:ind w:right="560"/>
        <w:spacing w:after="0" w:line="255" w:lineRule="auto"/>
        <w:rPr>
          <w:sz w:val="20"/>
          <w:szCs w:val="20"/>
          <w:color w:val="auto"/>
        </w:rPr>
      </w:pPr>
      <w:r>
        <w:rPr>
          <w:rFonts w:ascii="Arial" w:cs="Arial" w:eastAsia="Arial" w:hAnsi="Arial"/>
          <w:sz w:val="21"/>
          <w:szCs w:val="21"/>
          <w:color w:val="auto"/>
        </w:rPr>
        <w:t>On February 20, 2009, our board of directors approved an increase to our quarterly common stock dividend to $0.39 per share ($1.56 annually), an increase of $0.04 per share ($0.16 annually) or 11 percent. Our target annual dividend payment ratio is 35 percent to 40 percent of earnings.</w:t>
      </w:r>
    </w:p>
    <w:p>
      <w:pPr>
        <w:spacing w:after="0" w:line="48" w:lineRule="exact"/>
        <w:rPr>
          <w:sz w:val="20"/>
          <w:szCs w:val="20"/>
          <w:color w:val="auto"/>
        </w:rPr>
      </w:pPr>
    </w:p>
    <w:p>
      <w:pPr>
        <w:jc w:val="both"/>
        <w:ind w:right="560"/>
        <w:spacing w:after="0" w:line="270" w:lineRule="auto"/>
        <w:rPr>
          <w:sz w:val="20"/>
          <w:szCs w:val="20"/>
          <w:color w:val="auto"/>
        </w:rPr>
      </w:pPr>
      <w:r>
        <w:rPr>
          <w:rFonts w:ascii="Arial" w:cs="Arial" w:eastAsia="Arial" w:hAnsi="Arial"/>
          <w:sz w:val="21"/>
          <w:szCs w:val="21"/>
          <w:color w:val="auto"/>
        </w:rPr>
        <w:t>We discuss our principal credit agreements more fully in Note 6 of the Notes to Condensed Consolidated Financial Statements herein and in Note 6 of the Notes to Consolidated Financial Statements in the Annual Report.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47"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The Sempra Utilities expect that cash flows from operations and security issuances will continue to be adequate to meet utility capital expenditure requirements. Due to the extended review period associated with the Sunrise Powerlink project and the resultant delay in initiating construction activities, SDG&amp;E declared and paid a $150 million common dividend to Sempra Energy in the first quarter of 2009. However, the level of future common dividends from SDG&amp;E and SoCalGas may be affected during periods of increased capital expenditures. The level of future common dividends from PE is dependent upon common dividends paid by SoCalGas. Sempra Energy may from time to time make additional equity contributions to SDG&amp;E or SoCalGas to support the Sempra Utilities' capital expenditure programs.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33"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On April 1, 2008, we completed the formation of RBS Sempra Commodities, a partnership to own and operate Sempra Energy's commodities-marketing businesses, which generally comprised the Sempra Commodities business unit. RBS is obligated to provide the joint venture with all growth capital, working-capital requirements and credit support. However, we are providing transitional back-up guarantees and credit support, some of which may continue for a prolonged period of time. RBS has fully indemnified us for any claims or losses in connection with these arrangements.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In March 2009, we received $305 million from the partnership, representing our remaining share of 2008 partnership income after 2008 distributions, and an additional $70 million in June 2009 to fund estimated income tax payments. We provide additional information about RBS Sempra Commodities in Notes 4 and 6 of the Notes to Condensed Consolidated Financial Statements herein and in Notes 4 and 6 of the Notes to Consolidated Financial Statements in the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33" w:lineRule="exact"/>
        <w:rPr>
          <w:sz w:val="20"/>
          <w:szCs w:val="20"/>
          <w:color w:val="auto"/>
        </w:rPr>
      </w:pPr>
    </w:p>
    <w:p>
      <w:pPr>
        <w:jc w:val="both"/>
        <w:ind w:right="360"/>
        <w:spacing w:after="0" w:line="255" w:lineRule="auto"/>
        <w:rPr>
          <w:sz w:val="20"/>
          <w:szCs w:val="20"/>
          <w:color w:val="auto"/>
        </w:rPr>
      </w:pPr>
      <w:r>
        <w:rPr>
          <w:rFonts w:ascii="Arial" w:cs="Arial" w:eastAsia="Arial" w:hAnsi="Arial"/>
          <w:sz w:val="21"/>
          <w:szCs w:val="21"/>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and external borrowings.</w:t>
      </w:r>
    </w:p>
    <w:p>
      <w:pPr>
        <w:spacing w:after="0" w:line="47"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Sempra Generation's long-term power sale contracts may contain collateral requirements. The DWR contract does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June 30, 2009.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Sempra Pipelines &amp; Storage is expected to require funding from the parent or from external sources to fund projects, including:</w:t>
      </w:r>
    </w:p>
    <w:p>
      <w:pPr>
        <w:spacing w:after="0" w:line="51" w:lineRule="exact"/>
        <w:rPr>
          <w:sz w:val="20"/>
          <w:szCs w:val="20"/>
          <w:color w:val="auto"/>
        </w:rPr>
      </w:pPr>
    </w:p>
    <w:p>
      <w:pPr>
        <w:ind w:left="180" w:hanging="173"/>
        <w:spacing w:after="0"/>
        <w:tabs>
          <w:tab w:leader="none" w:pos="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development and expansion of its natural gas storage projects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participation in the development of the Rockies Express natural gas pipeline</w:t>
      </w:r>
    </w:p>
    <w:p>
      <w:pPr>
        <w:sectPr>
          <w:pgSz w:w="11900" w:h="16838" w:orient="portrait"/>
          <w:cols w:equalWidth="0" w:num="1">
            <w:col w:w="11400"/>
          </w:cols>
          <w:pgMar w:left="240" w:top="118" w:right="25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21"/>
          <w:szCs w:val="21"/>
          <w:color w:val="auto"/>
        </w:rPr>
        <w:t>Sempra LNG has required funding for its development of the Energía Costa Azul and Cameron LNG receiving facilities. As both of these facilities are now in service, Sempra LNG is expected to provide operating cash flow for further development within Sempra Global.</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5418455" cy="272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18455" cy="27241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7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08"/>
        </w:trPr>
        <w:tc>
          <w:tcPr>
            <w:tcW w:w="300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1,525</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660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76   %</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8"/>
                <w:szCs w:val="18"/>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348</w:t>
            </w:r>
          </w:p>
        </w:tc>
        <w:tc>
          <w:tcPr>
            <w:tcW w:w="420" w:type="dxa"/>
            <w:vAlign w:val="bottom"/>
          </w:tcPr>
          <w:p>
            <w:pPr>
              <w:spacing w:after="0"/>
              <w:rPr>
                <w:sz w:val="18"/>
                <w:szCs w:val="18"/>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(73)</w:t>
            </w:r>
          </w:p>
        </w:tc>
        <w:tc>
          <w:tcPr>
            <w:tcW w:w="700" w:type="dxa"/>
            <w:vAlign w:val="bottom"/>
            <w:tcBorders>
              <w:right w:val="single" w:sz="8" w:color="auto"/>
            </w:tcBorders>
          </w:tcPr>
          <w:p>
            <w:pPr>
              <w:jc w:val="right"/>
              <w:ind w:right="280"/>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PE</w:t>
            </w:r>
          </w:p>
        </w:tc>
        <w:tc>
          <w:tcPr>
            <w:tcW w:w="1100" w:type="dxa"/>
            <w:vAlign w:val="bottom"/>
          </w:tcPr>
          <w:p>
            <w:pPr>
              <w:spacing w:after="0"/>
              <w:rPr>
                <w:sz w:val="19"/>
                <w:szCs w:val="19"/>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557</w:t>
            </w:r>
          </w:p>
        </w:tc>
        <w:tc>
          <w:tcPr>
            <w:tcW w:w="420" w:type="dxa"/>
            <w:vAlign w:val="bottom"/>
          </w:tcPr>
          <w:p>
            <w:pPr>
              <w:spacing w:after="0"/>
              <w:rPr>
                <w:sz w:val="19"/>
                <w:szCs w:val="19"/>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(23)</w:t>
            </w:r>
          </w:p>
        </w:tc>
        <w:tc>
          <w:tcPr>
            <w:tcW w:w="700" w:type="dxa"/>
            <w:vAlign w:val="bottom"/>
            <w:tcBorders>
              <w:right w:val="single" w:sz="8" w:color="auto"/>
            </w:tcBorders>
          </w:tcPr>
          <w:p>
            <w:pPr>
              <w:jc w:val="right"/>
              <w:ind w:right="28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SoCalGas</w:t>
            </w:r>
          </w:p>
        </w:tc>
        <w:tc>
          <w:tcPr>
            <w:tcW w:w="1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560</w:t>
            </w:r>
          </w:p>
        </w:tc>
        <w:tc>
          <w:tcPr>
            <w:tcW w:w="420" w:type="dxa"/>
            <w:vAlign w:val="bottom"/>
          </w:tcPr>
          <w:p>
            <w:pPr>
              <w:spacing w:after="0"/>
              <w:rPr>
                <w:sz w:val="18"/>
                <w:szCs w:val="18"/>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(16)</w:t>
            </w:r>
          </w:p>
        </w:tc>
        <w:tc>
          <w:tcPr>
            <w:tcW w:w="700" w:type="dxa"/>
            <w:vAlign w:val="bottom"/>
          </w:tcPr>
          <w:p>
            <w:pPr>
              <w:jc w:val="right"/>
              <w:ind w:right="28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83"/>
        </w:trPr>
        <w:tc>
          <w:tcPr>
            <w:tcW w:w="300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94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700" w:type="dxa"/>
            <w:vAlign w:val="bottom"/>
            <w:tcBorders>
              <w:right w:val="single" w:sz="8" w:color="DFDFDF"/>
            </w:tcBorders>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-199390</wp:posOffset>
            </wp:positionV>
            <wp:extent cx="225425" cy="212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5425" cy="21272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-199390</wp:posOffset>
            </wp:positionV>
            <wp:extent cx="225425" cy="212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5425" cy="21272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operating activities at Sempra Energy increased in 2009 due to:</w:t>
      </w:r>
    </w:p>
    <w:p>
      <w:pPr>
        <w:spacing w:after="0" w:line="40" w:lineRule="exact"/>
        <w:rPr>
          <w:sz w:val="20"/>
          <w:szCs w:val="20"/>
          <w:color w:val="auto"/>
        </w:rPr>
      </w:pPr>
    </w:p>
    <w:p>
      <w:pPr>
        <w:ind w:left="180" w:right="1400" w:hanging="173"/>
        <w:spacing w:after="0" w:line="255" w:lineRule="auto"/>
        <w:tabs>
          <w:tab w:leader="none" w:pos="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$375 million in distributions from RBS Sempra Commodities LLP for the remaining share of our 2008 partnership income and current year estimated tax payments;</w:t>
      </w:r>
    </w:p>
    <w:p>
      <w:pPr>
        <w:ind w:left="180" w:right="1580" w:hanging="173"/>
        <w:spacing w:after="0" w:line="266" w:lineRule="auto"/>
        <w:tabs>
          <w:tab w:leader="none" w:pos="1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 $207 million lower decrease in accounts payable (the large 2008 decrease was at Sempra Commodities prior to the sale of the commodities-marketing businesses to RBS Sempra Commodities); and</w:t>
      </w:r>
    </w:p>
    <w:p>
      <w:pPr>
        <w:spacing w:after="0" w:line="1" w:lineRule="exact"/>
        <w:rPr>
          <w:rFonts w:ascii="Arial" w:cs="Arial" w:eastAsia="Arial" w:hAnsi="Arial"/>
          <w:sz w:val="20"/>
          <w:szCs w:val="20"/>
          <w:color w:val="auto"/>
        </w:rPr>
      </w:pPr>
    </w:p>
    <w:p>
      <w:pPr>
        <w:ind w:left="180" w:hanging="173"/>
        <w:spacing w:after="0"/>
        <w:tabs>
          <w:tab w:leader="none" w:pos="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a $151 million higher decrease in accounts receivable, primarily due to lower natural gas prices in 2009;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a $91 million working capital change related to inventory decreases at SoCalGas,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operating activities at SDG&amp;E decreased in 2009 primarily due to:</w:t>
      </w:r>
    </w:p>
    <w:p>
      <w:pPr>
        <w:spacing w:after="0" w:line="80" w:lineRule="exact"/>
        <w:rPr>
          <w:sz w:val="20"/>
          <w:szCs w:val="20"/>
          <w:color w:val="auto"/>
        </w:rPr>
      </w:pPr>
    </w:p>
    <w:p>
      <w:pPr>
        <w:ind w:left="180" w:hanging="173"/>
        <w:spacing w:after="0"/>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 $86 million net income tax payment in 2009 compared to a $17 million net income tax refund in 2008;</w:t>
      </w:r>
    </w:p>
    <w:p>
      <w:pPr>
        <w:spacing w:after="0" w:line="44" w:lineRule="exact"/>
        <w:rPr>
          <w:rFonts w:ascii="Arial" w:cs="Arial" w:eastAsia="Arial" w:hAnsi="Arial"/>
          <w:sz w:val="21"/>
          <w:szCs w:val="21"/>
          <w:color w:val="auto"/>
        </w:rPr>
      </w:pPr>
    </w:p>
    <w:p>
      <w:pPr>
        <w:ind w:left="180" w:right="1700" w:hanging="173"/>
        <w:spacing w:after="0" w:line="248" w:lineRule="auto"/>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 increase of $1 million in inventory in 2009 compared to a $51 million decrease in 2008 due to SoCalGas assuming the responsibility for the procurement of natural gas, including inventory management, for SDG&amp;E’s core natural gas customers; and</w:t>
      </w:r>
    </w:p>
    <w:p>
      <w:pPr>
        <w:spacing w:after="0" w:line="1" w:lineRule="exact"/>
        <w:rPr>
          <w:rFonts w:ascii="Arial" w:cs="Arial" w:eastAsia="Arial" w:hAnsi="Arial"/>
          <w:sz w:val="21"/>
          <w:szCs w:val="21"/>
          <w:color w:val="auto"/>
        </w:rPr>
      </w:pPr>
    </w:p>
    <w:p>
      <w:pPr>
        <w:ind w:left="180" w:right="1460" w:hanging="173"/>
        <w:spacing w:after="0" w:line="257" w:lineRule="auto"/>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$46 million lower cash provided by changes in margin deposits by counterparties in 2009 due to lower natural gas prices in 2009; </w:t>
      </w:r>
      <w:r>
        <w:rPr>
          <w:rFonts w:ascii="Arial" w:cs="Arial" w:eastAsia="Arial" w:hAnsi="Arial"/>
          <w:sz w:val="21"/>
          <w:szCs w:val="21"/>
          <w:b w:val="1"/>
          <w:bCs w:val="1"/>
          <w:color w:val="auto"/>
        </w:rPr>
        <w:t>offset by</w:t>
      </w:r>
    </w:p>
    <w:p>
      <w:pPr>
        <w:ind w:left="180" w:right="1380" w:hanging="173"/>
        <w:spacing w:after="0" w:line="270" w:lineRule="auto"/>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 $118 million increase in overcollected regulatory balancing accounts in 2009 compared to a $14 million decrease in 2008.</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3"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Cash provided by operating activities at PE and SoCalGas decreased in 2009 primarily due to the effect on working capital balances at SoCalGas of lower natural gas prices in 2009 compared to 2008. Lower natural gas prices in 2009 produced a $43 million asset for temporary LIFO liquidation compared to a $48 million liability in 2008. Temporary LIFO liquidation represents the difference between the carrying value of natural gas inventory withdrawn during the period (valued by the last-in, first-out method) for delivery to customers and the projected cost of the replacement of that inventory during summer months. Lower gas prices along with lower demand also produced a $171 million decrease in accounts payable compared to a $73 million increase in 2008.</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21"/>
          <w:szCs w:val="21"/>
          <w:color w:val="auto"/>
        </w:rPr>
        <w:t>These decreases were offset by:</w:t>
      </w:r>
    </w:p>
    <w:p>
      <w:pPr>
        <w:spacing w:after="0" w:line="80" w:lineRule="exact"/>
        <w:rPr>
          <w:sz w:val="20"/>
          <w:szCs w:val="20"/>
          <w:color w:val="auto"/>
        </w:rPr>
      </w:pPr>
    </w:p>
    <w:p>
      <w:pPr>
        <w:ind w:left="180" w:right="1180" w:hanging="173"/>
        <w:spacing w:after="0" w:line="259" w:lineRule="auto"/>
        <w:tabs>
          <w:tab w:leader="none" w:pos="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a $163 million higher decrease in accounts receivable due to lower natural gas prices being charged to customers in 2009;</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$76 million lower net income tax payments in 2009;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a $56 million higher decrease in inventory.</w:t>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shows the contributions to pension and other postretirement benefit plans for the six months ended June 30, 2009.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color w:val="auto"/>
              </w:rPr>
              <w:t>Other</w:t>
            </w:r>
          </w:p>
        </w:tc>
      </w:tr>
      <w:tr>
        <w:trPr>
          <w:trHeight w:val="214"/>
        </w:trPr>
        <w:tc>
          <w:tcPr>
            <w:tcW w:w="2520" w:type="dxa"/>
            <w:vAlign w:val="bottom"/>
          </w:tcPr>
          <w:p>
            <w:pPr>
              <w:spacing w:after="0"/>
              <w:rPr>
                <w:sz w:val="18"/>
                <w:szCs w:val="18"/>
                <w:color w:val="auto"/>
              </w:rPr>
            </w:pPr>
          </w:p>
        </w:tc>
        <w:tc>
          <w:tcPr>
            <w:tcW w:w="1320" w:type="dxa"/>
            <w:vAlign w:val="bottom"/>
          </w:tcPr>
          <w:p>
            <w:pPr>
              <w:ind w:left="740"/>
              <w:spacing w:after="0"/>
              <w:rPr>
                <w:sz w:val="20"/>
                <w:szCs w:val="20"/>
                <w:color w:val="auto"/>
              </w:rPr>
            </w:pPr>
            <w:r>
              <w:rPr>
                <w:rFonts w:ascii="Arial" w:cs="Arial" w:eastAsia="Arial" w:hAnsi="Arial"/>
                <w:sz w:val="14"/>
                <w:szCs w:val="14"/>
                <w:color w:val="auto"/>
              </w:rPr>
              <w:t>Pension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color w:val="auto"/>
              </w:rPr>
              <w:t>Postretirement</w:t>
            </w:r>
          </w:p>
        </w:tc>
      </w:tr>
      <w:tr>
        <w:trPr>
          <w:trHeight w:val="207"/>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Benefits</w:t>
            </w: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rPr>
              <w:t>Benefits</w:t>
            </w:r>
          </w:p>
        </w:tc>
      </w:tr>
      <w:tr>
        <w:trPr>
          <w:trHeight w:val="208"/>
        </w:trPr>
        <w:tc>
          <w:tcPr>
            <w:tcW w:w="25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320" w:type="dxa"/>
            <w:vAlign w:val="bottom"/>
          </w:tcPr>
          <w:p>
            <w:pPr>
              <w:jc w:val="right"/>
              <w:ind w:right="746"/>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2520" w:type="dxa"/>
            <w:vAlign w:val="bottom"/>
          </w:tcPr>
          <w:p>
            <w:pPr>
              <w:ind w:left="20"/>
              <w:spacing w:after="0"/>
              <w:rPr>
                <w:sz w:val="20"/>
                <w:szCs w:val="20"/>
                <w:color w:val="auto"/>
              </w:rPr>
            </w:pPr>
            <w:r>
              <w:rPr>
                <w:rFonts w:ascii="Arial" w:cs="Arial" w:eastAsia="Arial" w:hAnsi="Arial"/>
                <w:sz w:val="16"/>
                <w:szCs w:val="16"/>
                <w:color w:val="auto"/>
              </w:rPr>
              <w:t>SDG&amp;E</w:t>
            </w:r>
          </w:p>
        </w:tc>
        <w:tc>
          <w:tcPr>
            <w:tcW w:w="1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PE/SoCalGas</w:t>
            </w:r>
          </w:p>
        </w:tc>
        <w:tc>
          <w:tcPr>
            <w:tcW w:w="1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83"/>
        </w:trPr>
        <w:tc>
          <w:tcPr>
            <w:tcW w:w="2520" w:type="dxa"/>
            <w:vAlign w:val="bottom"/>
            <w:shd w:val="clear" w:color="auto" w:fill="DFDFDF"/>
          </w:tcPr>
          <w:p>
            <w:pPr>
              <w:spacing w:after="0"/>
              <w:rPr>
                <w:sz w:val="7"/>
                <w:szCs w:val="7"/>
                <w:color w:val="auto"/>
              </w:rPr>
            </w:pPr>
          </w:p>
        </w:tc>
        <w:tc>
          <w:tcPr>
            <w:tcW w:w="13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5418455" cy="272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18455" cy="27241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USED IN INVESTING ACTIVITIES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08"/>
        </w:trPr>
        <w:tc>
          <w:tcPr>
            <w:tcW w:w="300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600" w:type="dxa"/>
            <w:vAlign w:val="bottom"/>
          </w:tcPr>
          <w:p>
            <w:pPr>
              <w:jc w:val="right"/>
              <w:ind w:right="564"/>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(171)</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(1,158)</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color w:val="auto"/>
              </w:rPr>
              <w:t>SDG&amp;E</w:t>
            </w:r>
          </w:p>
        </w:tc>
        <w:tc>
          <w:tcPr>
            <w:tcW w:w="1600" w:type="dxa"/>
            <w:vAlign w:val="bottom"/>
          </w:tcPr>
          <w:p>
            <w:pPr>
              <w:spacing w:after="0"/>
              <w:rPr>
                <w:sz w:val="18"/>
                <w:szCs w:val="18"/>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420" w:type="dxa"/>
            <w:vAlign w:val="bottom"/>
          </w:tcPr>
          <w:p>
            <w:pPr>
              <w:spacing w:after="0"/>
              <w:rPr>
                <w:sz w:val="18"/>
                <w:szCs w:val="18"/>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(224)</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PE</w:t>
            </w:r>
          </w:p>
        </w:tc>
        <w:tc>
          <w:tcPr>
            <w:tcW w:w="1600" w:type="dxa"/>
            <w:vAlign w:val="bottom"/>
          </w:tcPr>
          <w:p>
            <w:pPr>
              <w:spacing w:after="0"/>
              <w:rPr>
                <w:sz w:val="19"/>
                <w:szCs w:val="19"/>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420" w:type="dxa"/>
            <w:vAlign w:val="bottom"/>
          </w:tcPr>
          <w:p>
            <w:pPr>
              <w:spacing w:after="0"/>
              <w:rPr>
                <w:sz w:val="19"/>
                <w:szCs w:val="19"/>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(79)</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SoCalGas</w:t>
            </w:r>
          </w:p>
        </w:tc>
        <w:tc>
          <w:tcPr>
            <w:tcW w:w="1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(227)</w:t>
            </w:r>
          </w:p>
        </w:tc>
        <w:tc>
          <w:tcPr>
            <w:tcW w:w="420" w:type="dxa"/>
            <w:vAlign w:val="bottom"/>
          </w:tcPr>
          <w:p>
            <w:pPr>
              <w:spacing w:after="0"/>
              <w:rPr>
                <w:sz w:val="18"/>
                <w:szCs w:val="18"/>
                <w:color w:val="auto"/>
              </w:rPr>
            </w:pPr>
          </w:p>
        </w:tc>
        <w:tc>
          <w:tcPr>
            <w:tcW w:w="1220" w:type="dxa"/>
            <w:vAlign w:val="bottom"/>
          </w:tcPr>
          <w:p>
            <w:pPr>
              <w:jc w:val="right"/>
              <w:ind w:right="421"/>
              <w:spacing w:after="0"/>
              <w:rPr>
                <w:sz w:val="20"/>
                <w:szCs w:val="20"/>
                <w:color w:val="auto"/>
              </w:rPr>
            </w:pPr>
            <w:r>
              <w:rPr>
                <w:rFonts w:ascii="Arial" w:cs="Arial" w:eastAsia="Arial" w:hAnsi="Arial"/>
                <w:sz w:val="16"/>
                <w:szCs w:val="16"/>
                <w:color w:val="auto"/>
              </w:rPr>
              <w:t>(72)</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83"/>
        </w:trPr>
        <w:tc>
          <w:tcPr>
            <w:tcW w:w="3000" w:type="dxa"/>
            <w:vAlign w:val="bottom"/>
            <w:shd w:val="clear" w:color="auto" w:fill="DFDFDF"/>
          </w:tcPr>
          <w:p>
            <w:pPr>
              <w:spacing w:after="0"/>
              <w:rPr>
                <w:sz w:val="7"/>
                <w:szCs w:val="7"/>
                <w:color w:val="auto"/>
              </w:rPr>
            </w:pPr>
          </w:p>
        </w:tc>
        <w:tc>
          <w:tcPr>
            <w:tcW w:w="1600" w:type="dxa"/>
            <w:vAlign w:val="bottom"/>
            <w:shd w:val="clear" w:color="auto" w:fill="DFDFDF"/>
          </w:tcPr>
          <w:p>
            <w:pPr>
              <w:spacing w:after="0"/>
              <w:rPr>
                <w:sz w:val="7"/>
                <w:szCs w:val="7"/>
                <w:color w:val="auto"/>
              </w:rPr>
            </w:pPr>
          </w:p>
        </w:tc>
        <w:tc>
          <w:tcPr>
            <w:tcW w:w="44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260" w:type="dxa"/>
            <w:vAlign w:val="bottom"/>
            <w:tcBorders>
              <w:right w:val="single" w:sz="8" w:color="DFDFDF"/>
            </w:tcBorders>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-199390</wp:posOffset>
            </wp:positionV>
            <wp:extent cx="225425" cy="212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5425" cy="21272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-199390</wp:posOffset>
            </wp:positionV>
            <wp:extent cx="225425" cy="212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5425" cy="21272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used in investing activities at Sempra Energy decreased in 2009 due to:</w:t>
      </w:r>
    </w:p>
    <w:p>
      <w:pPr>
        <w:spacing w:after="0" w:line="31" w:lineRule="exact"/>
        <w:rPr>
          <w:sz w:val="20"/>
          <w:szCs w:val="20"/>
          <w:color w:val="auto"/>
        </w:rPr>
      </w:pPr>
    </w:p>
    <w:p>
      <w:pPr>
        <w:ind w:left="180" w:hanging="173"/>
        <w:spacing w:after="0"/>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 $176 million decrease in capital expenditures;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$176 million proceeds from the remarketing of industrial development bonds in 2009; and</w:t>
      </w:r>
    </w:p>
    <w:p>
      <w:pPr>
        <w:spacing w:after="0" w:line="39" w:lineRule="exact"/>
        <w:rPr>
          <w:rFonts w:ascii="Arial" w:cs="Arial" w:eastAsia="Arial" w:hAnsi="Arial"/>
          <w:sz w:val="21"/>
          <w:szCs w:val="21"/>
          <w:color w:val="auto"/>
        </w:rPr>
      </w:pPr>
    </w:p>
    <w:p>
      <w:pPr>
        <w:jc w:val="both"/>
        <w:ind w:left="180" w:right="1500" w:hanging="173"/>
        <w:spacing w:after="0" w:line="248" w:lineRule="auto"/>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a $2 billion decrease in expenditures for investments primarily due to our initial $1.6 billion investment in RBS Sempra Commodities in 2008 and an increase of $63 million in contributions by Sempra Pipelines &amp; Storage to Rockies Express; </w:t>
      </w:r>
      <w:r>
        <w:rPr>
          <w:rFonts w:ascii="Arial" w:cs="Arial" w:eastAsia="Arial" w:hAnsi="Arial"/>
          <w:sz w:val="21"/>
          <w:szCs w:val="21"/>
          <w:b w:val="1"/>
          <w:bCs w:val="1"/>
          <w:color w:val="auto"/>
        </w:rPr>
        <w:t>offset by</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$2.1 billion in proceeds from the RBS transaction in 2008;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 $60 million decrease in notes receivable from an unconsolidated affiliate in 2008.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cash used in investing activities at SDG&amp;E in 2009 was due to:</w:t>
      </w:r>
    </w:p>
    <w:p>
      <w:pPr>
        <w:spacing w:after="0" w:line="31" w:lineRule="exact"/>
        <w:rPr>
          <w:sz w:val="20"/>
          <w:szCs w:val="20"/>
          <w:color w:val="auto"/>
        </w:rPr>
      </w:pPr>
    </w:p>
    <w:p>
      <w:pPr>
        <w:ind w:left="180" w:hanging="173"/>
        <w:spacing w:after="0"/>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a $101 million increase in proceeds from the sale of industrial development bonds;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an $84 million decrease in purchases of industrial development bonds;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a $33 million decrease in advances to Sempra Energy in 2009 compared to a $24 million increase in 2008.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Cash used in investing activities at PE and SoCalGas decreased in 2009 primarily due to an increase in advances from SoCalGas to Sempra Energy of $57 million in 2008.</w:t>
      </w:r>
    </w:p>
    <w:p>
      <w:pPr>
        <w:sectPr>
          <w:pgSz w:w="11900" w:h="16838" w:orient="portrait"/>
          <w:cols w:equalWidth="0" w:num="1">
            <w:col w:w="11260"/>
          </w:cols>
          <w:pgMar w:left="240" w:top="118" w:right="399" w:bottom="1440" w:gutter="0" w:footer="0" w:header="0"/>
        </w:sectPr>
      </w:pPr>
    </w:p>
    <w:bookmarkStart w:id="87" w:name="page88"/>
    <w:bookmarkEnd w:id="87"/>
    <w:p>
      <w:pPr>
        <w:spacing w:after="0"/>
        <w:rPr>
          <w:sz w:val="20"/>
          <w:szCs w:val="20"/>
          <w:color w:val="auto"/>
        </w:rPr>
      </w:pPr>
      <w:r>
        <w:rPr>
          <w:rFonts w:ascii="Arial" w:cs="Arial" w:eastAsia="Arial" w:hAnsi="Arial"/>
          <w:sz w:val="21"/>
          <w:szCs w:val="21"/>
          <w:b w:val="1"/>
          <w:bCs w:val="1"/>
          <w:color w:val="auto"/>
        </w:rPr>
        <w:t>FUTURE CONSTRUCTION EXPENDITURES AND INVESTMENTS</w:t>
      </w:r>
    </w:p>
    <w:p>
      <w:pPr>
        <w:spacing w:after="0" w:line="104" w:lineRule="exact"/>
        <w:rPr>
          <w:sz w:val="20"/>
          <w:szCs w:val="20"/>
          <w:color w:val="auto"/>
        </w:rPr>
      </w:pPr>
    </w:p>
    <w:p>
      <w:pPr>
        <w:jc w:val="both"/>
        <w:ind w:right="100"/>
        <w:spacing w:after="0" w:line="252" w:lineRule="auto"/>
        <w:rPr>
          <w:sz w:val="20"/>
          <w:szCs w:val="20"/>
          <w:color w:val="auto"/>
        </w:rPr>
      </w:pPr>
      <w:r>
        <w:rPr>
          <w:rFonts w:ascii="Arial" w:cs="Arial" w:eastAsia="Arial" w:hAnsi="Arial"/>
          <w:sz w:val="21"/>
          <w:szCs w:val="21"/>
          <w:color w:val="auto"/>
        </w:rPr>
        <w:t>The amounts and timing of capital expenditures are generally subject to approvals by the California Public Utilities Commission (CPUC), the Federal Energy Regulatory Commission (FERC) and other regulatory bodies. However, in 2009, we expect to make capital expenditures and investments of $2.5 billion, including:</w:t>
      </w:r>
    </w:p>
    <w:p>
      <w:pPr>
        <w:spacing w:after="0" w:line="3" w:lineRule="exact"/>
        <w:rPr>
          <w:sz w:val="20"/>
          <w:szCs w:val="20"/>
          <w:color w:val="auto"/>
        </w:rPr>
      </w:pPr>
    </w:p>
    <w:p>
      <w:pPr>
        <w:ind w:left="180" w:right="1200" w:hanging="173"/>
        <w:spacing w:after="0" w:line="255" w:lineRule="auto"/>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$1.3 billion at the Sempra Utilities for capital projects and plant improvements ($800 million at SDG&amp;E and $500 million at SoCalGas)</w:t>
      </w:r>
    </w:p>
    <w:p>
      <w:pPr>
        <w:ind w:left="180" w:right="1740" w:hanging="173"/>
        <w:spacing w:after="0" w:line="265" w:lineRule="auto"/>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$1.2 billion at our other subsidiaries for the development of LNG facilities, natural gas storage facilities and pipelines, and renewable generation projects</w:t>
      </w:r>
    </w:p>
    <w:p>
      <w:pPr>
        <w:spacing w:after="0" w:line="78" w:lineRule="exact"/>
        <w:rPr>
          <w:sz w:val="20"/>
          <w:szCs w:val="20"/>
          <w:color w:val="auto"/>
        </w:rPr>
      </w:pPr>
    </w:p>
    <w:p>
      <w:pPr>
        <w:ind w:right="400"/>
        <w:spacing w:after="0" w:line="270" w:lineRule="auto"/>
        <w:rPr>
          <w:sz w:val="20"/>
          <w:szCs w:val="20"/>
          <w:color w:val="auto"/>
        </w:rPr>
      </w:pPr>
      <w:r>
        <w:rPr>
          <w:rFonts w:ascii="Arial" w:cs="Arial" w:eastAsia="Arial" w:hAnsi="Arial"/>
          <w:sz w:val="21"/>
          <w:szCs w:val="21"/>
          <w:color w:val="auto"/>
        </w:rPr>
        <w:t>The expected capital expenditures of $1.2 billion at our other subsidiaries include an expected contribution of $625 million to Rockies Express, of which $213 million has been contributed through June 30, 2009.</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The Sempra Utilities expect the capital expenditures to include</w:t>
      </w:r>
    </w:p>
    <w:p>
      <w:pPr>
        <w:spacing w:after="0" w:line="40" w:lineRule="exact"/>
        <w:rPr>
          <w:sz w:val="20"/>
          <w:szCs w:val="20"/>
          <w:color w:val="auto"/>
        </w:rPr>
      </w:pPr>
    </w:p>
    <w:p>
      <w:pPr>
        <w:ind w:left="180" w:right="1580" w:hanging="173"/>
        <w:spacing w:after="0" w:line="255" w:lineRule="auto"/>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$500 million for additions to SDG&amp;E’s natural gas and electric distribution generation systems, and advanced metering infrastructure</w:t>
      </w:r>
    </w:p>
    <w:p>
      <w:pPr>
        <w:ind w:left="180" w:hanging="173"/>
        <w:spacing w:after="0"/>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$500 million at SoCalGas for improvements to distribution and transmission systems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$200 million for improvements to SDG&amp;E’s electric transmission infrastructure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$100 million at SDG&amp;E for the Sunrise Powerlink transmission line</w:t>
      </w:r>
    </w:p>
    <w:p>
      <w:pPr>
        <w:spacing w:after="0" w:line="12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5418455" cy="272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18455" cy="27241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08"/>
        </w:trPr>
        <w:tc>
          <w:tcPr>
            <w:tcW w:w="300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64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94</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color w:val="auto"/>
              </w:rPr>
              <w:t>SDG&amp;E</w:t>
            </w:r>
          </w:p>
        </w:tc>
        <w:tc>
          <w:tcPr>
            <w:tcW w:w="164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420" w:type="dxa"/>
            <w:vAlign w:val="bottom"/>
          </w:tcPr>
          <w:p>
            <w:pPr>
              <w:spacing w:after="0"/>
              <w:rPr>
                <w:sz w:val="18"/>
                <w:szCs w:val="18"/>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131</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PE</w:t>
            </w:r>
          </w:p>
        </w:tc>
        <w:tc>
          <w:tcPr>
            <w:tcW w:w="1640" w:type="dxa"/>
            <w:vAlign w:val="bottom"/>
          </w:tcPr>
          <w:p>
            <w:pPr>
              <w:spacing w:after="0"/>
              <w:rPr>
                <w:sz w:val="19"/>
                <w:szCs w:val="19"/>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9"/>
                <w:szCs w:val="19"/>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200</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2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SoCalGas</w:t>
            </w: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200</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83"/>
        </w:trPr>
        <w:tc>
          <w:tcPr>
            <w:tcW w:w="3000" w:type="dxa"/>
            <w:vAlign w:val="bottom"/>
            <w:shd w:val="clear" w:color="auto" w:fill="DFDFDF"/>
          </w:tcPr>
          <w:p>
            <w:pPr>
              <w:spacing w:after="0"/>
              <w:rPr>
                <w:sz w:val="7"/>
                <w:szCs w:val="7"/>
                <w:color w:val="auto"/>
              </w:rPr>
            </w:pPr>
          </w:p>
        </w:tc>
        <w:tc>
          <w:tcPr>
            <w:tcW w:w="1640" w:type="dxa"/>
            <w:vAlign w:val="bottom"/>
            <w:shd w:val="clear" w:color="auto" w:fill="DFDFDF"/>
          </w:tcPr>
          <w:p>
            <w:pPr>
              <w:spacing w:after="0"/>
              <w:rPr>
                <w:sz w:val="7"/>
                <w:szCs w:val="7"/>
                <w:color w:val="auto"/>
              </w:rPr>
            </w:pPr>
          </w:p>
        </w:tc>
        <w:tc>
          <w:tcPr>
            <w:tcW w:w="40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280" w:type="dxa"/>
            <w:vAlign w:val="bottom"/>
            <w:tcBorders>
              <w:right w:val="single" w:sz="8" w:color="DFDFDF"/>
            </w:tcBorders>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-199390</wp:posOffset>
            </wp:positionV>
            <wp:extent cx="225425" cy="212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5425" cy="21272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-199390</wp:posOffset>
            </wp:positionV>
            <wp:extent cx="225425" cy="212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5425" cy="21272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used in financing activities at Sempra Energy in 2009 decreased primarily due to:</w:t>
      </w:r>
    </w:p>
    <w:p>
      <w:pPr>
        <w:spacing w:after="0" w:line="31" w:lineRule="exact"/>
        <w:rPr>
          <w:sz w:val="20"/>
          <w:szCs w:val="20"/>
          <w:color w:val="auto"/>
        </w:rPr>
      </w:pPr>
    </w:p>
    <w:p>
      <w:pPr>
        <w:ind w:left="180" w:hanging="173"/>
        <w:spacing w:after="0"/>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$1 billion repurchase of common stock in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a $515 million increase in issuances of long-term debt;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 $612 million decrease in short-term debt in 2009 compared to a $496 million increase in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 $238 million increase in long-term debt payments;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$94 million for the purchase of the remaining 40-percent ownership interest in Mississippi Hub.</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financing activities at SDG&amp;E increased primarily due to:</w:t>
      </w:r>
    </w:p>
    <w:p>
      <w:pPr>
        <w:spacing w:after="0" w:line="34" w:lineRule="exact"/>
        <w:rPr>
          <w:sz w:val="20"/>
          <w:szCs w:val="20"/>
          <w:color w:val="auto"/>
        </w:rPr>
      </w:pPr>
    </w:p>
    <w:p>
      <w:pPr>
        <w:ind w:left="180" w:hanging="173"/>
        <w:spacing w:after="0"/>
        <w:tabs>
          <w:tab w:leader="none" w:pos="1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a $274 million increase in issuances of long-term debt;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$150 million in common dividends paid to Sempra Energy in 2009</w:t>
      </w:r>
    </w:p>
    <w:p>
      <w:pPr>
        <w:sectPr>
          <w:pgSz w:w="11900" w:h="16838" w:orient="portrait"/>
          <w:cols w:equalWidth="0" w:num="1">
            <w:col w:w="11180"/>
          </w:cols>
          <w:pgMar w:left="240" w:top="415" w:right="47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Cash used in financing activities at PE and SoCalGas in 2009 decreased due to a $200 million decrease in common dividends paid to Sempra Energy and PE,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COMMITMENTS</w:t>
      </w:r>
    </w:p>
    <w:p>
      <w:pPr>
        <w:spacing w:after="0" w:line="91" w:lineRule="exact"/>
        <w:rPr>
          <w:sz w:val="20"/>
          <w:szCs w:val="20"/>
          <w:color w:val="auto"/>
        </w:rPr>
      </w:pPr>
    </w:p>
    <w:p>
      <w:pPr>
        <w:ind w:right="180"/>
        <w:spacing w:after="0" w:line="270" w:lineRule="auto"/>
        <w:rPr>
          <w:sz w:val="20"/>
          <w:szCs w:val="20"/>
          <w:color w:val="auto"/>
        </w:rPr>
      </w:pPr>
      <w:r>
        <w:rPr>
          <w:rFonts w:ascii="Arial" w:cs="Arial" w:eastAsia="Arial" w:hAnsi="Arial"/>
          <w:sz w:val="21"/>
          <w:szCs w:val="21"/>
          <w:color w:val="auto"/>
        </w:rPr>
        <w:t>We discuss significant changes to contractual commitments at Sempra Energy, SDG&amp;E, PE and SoCalGas in Notes 6 and 10 in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7247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 OVERVIEW</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color w:val="auto"/>
        </w:rPr>
        <w:t>The Sempra Utilities' operations and Sempra Generation's long-term contracts generally provide relatively stable earnings and liquidity. However, for the next few years SDG&amp;E and SoCalGas will limit their common stock dividends to reinvest their earnings in significant capital projects. Also, Sempra Generation's contract with the DWR, which provides a significant portion of Sempra Generation's revenues, ends in late 2011. Because it is unable to forecast with certainty future electricity prices and the cost of natural gas, contracts it enters into to replace this capacity may provide substantially lower earnings. However, Sempra Generation is undertaking several projects for the construction of renewable generation facilities, which we expect will provide future earnings.</w:t>
      </w:r>
    </w:p>
    <w:p>
      <w:pPr>
        <w:spacing w:after="0" w:line="20"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We expect that Sempra LNG and Sempra Pipelines &amp; Storage will provide relatively stable earnings and liquidity from their current operations. Sempra Pipelines &amp; Storage is also expected to provide earnings from construction programs when completed, but will require substantial funding for these programs. At Sempra Pipelines &amp; Storage, we expect the write-off of certain assets at Liberty Gas Storage, as we discuss below in "Sempra Global Investments," to have a minimal impact on future expected earnings. In addition, until there are firm supply or capacity contracts for 100% of Sempra LNG's Cameron facility, Sempra LNG will seek to obtain interim LNG supplies, which may result in greater variability in revenues and earnings. Sempra LNG may also enter into short-term service contracts to utilize capacity.</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The Sempra Utilities' performance will depend primarily on the ratemaking and regulatory process, electric and natural gas industry restructuring, environmental regulations, and the changing energy marketplace. Their performance will also depend on the successful completion of capital projects that we discuss in various sections of this report. As the 2008 General Rate Case provides for fixed annual increases rather than for adjustments based on inflation indices as in the past, performance will depend on the Sempra Utilities' ability to manage the effects of rising costs, including bad debts. SDG&amp;E will also incur substantially higher liability and wildfire insurance premiums, by approximately $40 million annually, starting in the third quarter of 2009. In addition to the increased insurance premiums, Sempra Energy, including the Sempra Utilities, will also have substantially lower insurance coverage, particularly with respect to any future wildfire liabi lities. The annual coverage has dropped from more than $1 billion to $400 million. SDG&amp;E plans to file a request with the CPUC in the third quarter of 2009 for recovery of these additional costs, but without such recovery, our financial results could be adversely impacted.</w:t>
      </w:r>
    </w:p>
    <w:p>
      <w:pPr>
        <w:spacing w:after="0" w:line="52"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In regard to the 2007 wildfires litigation, if SDG&amp;E's ultimate liability, net of amounts recoverable from other defendants, were to exceed its $1.1 billion recoverable from its insurers, SDG&amp;E would request authorization from the FERC and the CPUC to recover the excess amounts in utility rates. SDG&amp;E is unable to reasonably predict the degree of success it may have in pursuing such requests or the timing of any recovery. Without recovery of any such excess costs, SDG&amp;E's financial results could be adversely impacted. We provide additional information concerning these matters in Notes 9 and 10 of the Notes to Condensed Consolidated Financial Statements herein.</w:t>
      </w:r>
    </w:p>
    <w:p>
      <w:pPr>
        <w:spacing w:after="0" w:line="48"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color w:val="auto"/>
        </w:rPr>
        <w:t>As we discuss in Note 4 of the Notes to Condensed Consolidated Financial Statements herein, on April 1, 2008, we completed the formation of a partnership, RBS Sempra Commodities, to own and operate our commodities-marketing businesses, which generally comprised our Sempra Commodities segment. Our joint venture partner,</w:t>
      </w:r>
    </w:p>
    <w:p>
      <w:pPr>
        <w:sectPr>
          <w:pgSz w:w="11900" w:h="16838" w:orient="portrait"/>
          <w:cols w:equalWidth="0" w:num="1">
            <w:col w:w="11420"/>
          </w:cols>
          <w:pgMar w:left="240" w:top="324" w:right="239" w:bottom="1440" w:gutter="0" w:footer="0" w:header="0"/>
        </w:sectPr>
      </w:pPr>
    </w:p>
    <w:bookmarkStart w:id="89" w:name="page90"/>
    <w:bookmarkEnd w:id="89"/>
    <w:p>
      <w:pPr>
        <w:ind w:right="80"/>
        <w:spacing w:after="0" w:line="247" w:lineRule="auto"/>
        <w:rPr>
          <w:sz w:val="20"/>
          <w:szCs w:val="20"/>
          <w:color w:val="auto"/>
        </w:rPr>
      </w:pPr>
      <w:r>
        <w:rPr>
          <w:rFonts w:ascii="Arial" w:cs="Arial" w:eastAsia="Arial" w:hAnsi="Arial"/>
          <w:sz w:val="21"/>
          <w:szCs w:val="21"/>
          <w:color w:val="auto"/>
        </w:rPr>
        <w:t>RBS, is obligated to provide the partnership with all growth capital, working-capital requirements and credit support, as we discuss above in "Capital Resources and Liquidity – Sempra Commodities." Future earnings and distributions from the partnership will depend on profitability and growth achieved in the joint venture and the continued ability of RBS to provide capital and credit support for the partnership. RBS has been greatly affected by the world-wide turmoil in banking and became controlled by the government of the United Kingdom in December 2008.</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We may be further impacted by the current world-wide economic crisis and rapidly changing economic conditions. The impacts of the global credit market crisis on our credit availability and cost are discussed in "Capital Resources and Liquidity" in this report. Moreover, the dollar has strengthened significantly against some foreign currencies, especially in Mexico and South America where we have significant operations. These factors, coupled with very low natural gas prices which affect profitability at Sempra Generation and Sempra LNG, could, if they remain unchanged, adversely affect profitability. Additionally, given the uncertainty of commodity markets and the lack of debt financing for energy infrastructure, which impact related hedging activity, growth at RBS Sempra Commodities could be dampened.</w:t>
      </w:r>
    </w:p>
    <w:p>
      <w:pPr>
        <w:spacing w:after="0" w:line="50" w:lineRule="exact"/>
        <w:rPr>
          <w:sz w:val="20"/>
          <w:szCs w:val="20"/>
          <w:color w:val="auto"/>
        </w:rPr>
      </w:pPr>
    </w:p>
    <w:p>
      <w:pPr>
        <w:ind w:right="220"/>
        <w:spacing w:after="0" w:line="324" w:lineRule="auto"/>
        <w:rPr>
          <w:sz w:val="20"/>
          <w:szCs w:val="20"/>
          <w:color w:val="auto"/>
        </w:rPr>
      </w:pPr>
      <w:r>
        <w:rPr>
          <w:rFonts w:ascii="Arial" w:cs="Arial" w:eastAsia="Arial" w:hAnsi="Arial"/>
          <w:sz w:val="19"/>
          <w:szCs w:val="19"/>
          <w:color w:val="auto"/>
        </w:rPr>
        <w:t>We discuss additional matters that could affect our future performance in Notes 9 and 10 of the Notes to Condensed Consolidated Financial Statements herein and in Notes 14, 15 and 16 of the Notes to Consolidated Financial Statements in the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LITIGATION</w:t>
      </w:r>
    </w:p>
    <w:p>
      <w:pPr>
        <w:spacing w:after="0" w:line="91" w:lineRule="exact"/>
        <w:rPr>
          <w:sz w:val="20"/>
          <w:szCs w:val="20"/>
          <w:color w:val="auto"/>
        </w:rPr>
      </w:pPr>
    </w:p>
    <w:p>
      <w:pPr>
        <w:ind w:right="880"/>
        <w:spacing w:after="0" w:line="270" w:lineRule="auto"/>
        <w:rPr>
          <w:sz w:val="20"/>
          <w:szCs w:val="20"/>
          <w:color w:val="auto"/>
        </w:rPr>
      </w:pPr>
      <w:r>
        <w:rPr>
          <w:rFonts w:ascii="Arial" w:cs="Arial" w:eastAsia="Arial" w:hAnsi="Arial"/>
          <w:sz w:val="21"/>
          <w:szCs w:val="21"/>
          <w:color w:val="auto"/>
        </w:rPr>
        <w:t>We describe legal proceedings which could adversely affect our future performance in Note 10 of the Notes to Condensed Consolidated Financial Statements herein.</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UTILITIES -- INDUSTRY DEVELOPMENTS AND CAPITAL PROJECTS</w:t>
      </w:r>
    </w:p>
    <w:p>
      <w:pPr>
        <w:spacing w:after="0" w:line="91" w:lineRule="exact"/>
        <w:rPr>
          <w:sz w:val="20"/>
          <w:szCs w:val="20"/>
          <w:color w:val="auto"/>
        </w:rPr>
      </w:pPr>
    </w:p>
    <w:p>
      <w:pPr>
        <w:jc w:val="both"/>
        <w:ind w:right="340"/>
        <w:spacing w:after="0" w:line="255" w:lineRule="auto"/>
        <w:rPr>
          <w:sz w:val="20"/>
          <w:szCs w:val="20"/>
          <w:color w:val="auto"/>
        </w:rPr>
      </w:pPr>
      <w:r>
        <w:rPr>
          <w:rFonts w:ascii="Arial" w:cs="Arial" w:eastAsia="Arial" w:hAnsi="Arial"/>
          <w:sz w:val="21"/>
          <w:szCs w:val="21"/>
          <w:color w:val="auto"/>
        </w:rPr>
        <w:t>We describe capital projects, electric and natural gas regulation and rates, and other pending proceedings and investigations that affect our business in Note 9 of the Notes to Condensed Consolidated Financial Statements herein and in Notes 14 and 15 of the Notes to Consolidated Financial Statements in the Annual Report.</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GLOBAL INVESTMENTS</w:t>
      </w:r>
    </w:p>
    <w:p>
      <w:pPr>
        <w:spacing w:after="0" w:line="91"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In July 2009, Sempra Generation announced that Pacific Gas and Electric (PG&amp;E) has contracted for 48 megawatts (MW) of solar power from a new plant under development in Boulder City, Nevada, called Copper Mountain Solar. The Copper Mountain Solar facility will be built by Sempra Generation on land adjacent to the 10-MW El Dorado Energy Solar plant. Construction on the 48-MW Copper Mountain project is slated to begin later this year and be completed in 2011. The contract is subject to CPUC approval.</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Rockies Express Pipeline</w:t>
      </w:r>
    </w:p>
    <w:p>
      <w:pPr>
        <w:spacing w:after="0" w:line="87"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REX-East, the eastern segment of the Rockies Express Pipeline and the last of the project’s three segments, is under construction. Interim service began in June 2009 on the portion of REX-East from Audrain County, Missouri, to the Lebanon Hub in Warren County, Ohio, with capacity up to 1.6 billion cubic feet (Bcf) of natural gas per day. We expect REX-East, which will run 638 miles from Missouri to Clarington, Ohio, to be fully operational in late 2009 subject to timely receipt of regulatory approvals.</w:t>
      </w:r>
    </w:p>
    <w:p>
      <w:pPr>
        <w:sectPr>
          <w:pgSz w:w="11900" w:h="16838" w:orient="portrait"/>
          <w:cols w:equalWidth="0" w:num="1">
            <w:col w:w="11340"/>
          </w:cols>
          <w:pgMar w:left="240" w:top="118" w:right="319" w:bottom="1440" w:gutter="0" w:footer="0" w:header="0"/>
        </w:sectPr>
      </w:pPr>
    </w:p>
    <w:bookmarkStart w:id="90" w:name="page91"/>
    <w:bookmarkEnd w:id="90"/>
    <w:p>
      <w:pPr>
        <w:spacing w:after="0" w:line="250" w:lineRule="auto"/>
        <w:rPr>
          <w:sz w:val="20"/>
          <w:szCs w:val="20"/>
          <w:color w:val="auto"/>
        </w:rPr>
      </w:pPr>
      <w:r>
        <w:rPr>
          <w:rFonts w:ascii="Arial" w:cs="Arial" w:eastAsia="Arial" w:hAnsi="Arial"/>
          <w:sz w:val="21"/>
          <w:szCs w:val="21"/>
          <w:color w:val="auto"/>
        </w:rPr>
        <w:t>The total project cost is estimated to be approximately $6.7 billion. This amount includes costs incurred for the Entrega Pipeline and REX-West, the first two segments currently in service, and for the completion of REX-East. Construction expenditures and remaining cost estimates have increased significantly from original projections, and additional increases or other changes related to the investment could result in an impairment to the carrying value of our investment.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Liberty Gas Storage (Liberty)</w:t>
      </w:r>
    </w:p>
    <w:p>
      <w:pPr>
        <w:spacing w:after="0" w:line="87"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Liberty Gas Storage (Liberty), is a development project for salt-cavern natural gas storage facilities. Sempra Pipelines &amp; Storage owns 75% of Liberty, and ProLiance Transportation and Storage LLC (ProLiance) owns the remaining 25%. The project was expected to include 17 Bcf of capacity in its north facility (located in Calcasieu Parish, Louisiana), and an additional 17 Bcf of capacity in its south facility (located in Cameron Parish, Louisiana). As described more fully below, we now expect only the south facility to be developed. The Liberty pipeline system is currently connected with several interstate pipelines, including the Cameron Interstate Pipeline operated by Sempra Pipelines &amp; Storage, and will connect area liquefied natural gas (LNG) regasification terminals to an interstate natural gas transmission system and storage facilities. We have expended $263 million on this project through June 30, 2009. The estimated cost of the total project is approximately $350 million, which excludes amounts written off as discussed below.</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Development of the salt caverns at the north facility has been halted due to subsurface and well-completion problems. Based on testing performed in the second quarter of 2009, we have determined that corrective measures have been unsuccessful. As a result, it is probable that the affected salt caverns will not provide future economic benefit, and accordingly, we recorded a pretax charge of $132 million to write off the caverns and certain related assets. This amount is recorded as “Write-off of Long-Lived Assets” on our Condensed Consolidated Statements of Operations for the three months and six months ended June 30, 2009. ProLiance’s 25% of the pretax charge is $33 million, which is included in (Earnings) Losses Attributable to Noncontrolling Interests on our Condensed Consolidated Statements of Operations for the three months and six months ended June 30, 2009. The impact to our net income and to our earnings is $ 97 million and $64 million, respectively, for both the three months and six months ended June 30, 2009.</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Receipt Terminal</w:t>
      </w:r>
    </w:p>
    <w:p>
      <w:pPr>
        <w:spacing w:after="0" w:line="87"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Sempra LNG’s Cameron LNG receipt terminal in Hackberry, Louisiana began commercial operations in July 2009. The terminal is under contract for 40% of its capacity through 2029. Total project costs for the Cameron LNG receipt terminal were $835 million, excluding pre-expansion costs of $44 million, through June 30, 2009. Some of the construction companies at the receipt terminal have made force majeure and other claims for additional costs, primarily related to hurricanes. Sempra LNG is currently in negotiations with the companies, and cannot estimate at this time the additional amounts that may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237490</wp:posOffset>
            </wp:positionV>
            <wp:extent cx="7247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60" w:lineRule="exact"/>
        <w:rPr>
          <w:sz w:val="20"/>
          <w:szCs w:val="20"/>
          <w:color w:val="auto"/>
        </w:rPr>
      </w:pPr>
    </w:p>
    <w:p>
      <w:pPr>
        <w:ind w:right="440"/>
        <w:spacing w:after="0" w:line="250" w:lineRule="auto"/>
        <w:rPr>
          <w:sz w:val="20"/>
          <w:szCs w:val="20"/>
          <w:color w:val="auto"/>
        </w:rPr>
      </w:pPr>
      <w:r>
        <w:rPr>
          <w:rFonts w:ascii="Arial" w:cs="Arial" w:eastAsia="Arial" w:hAnsi="Arial"/>
          <w:sz w:val="21"/>
          <w:szCs w:val="21"/>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247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60" w:lineRule="exact"/>
        <w:rPr>
          <w:sz w:val="20"/>
          <w:szCs w:val="20"/>
          <w:color w:val="auto"/>
        </w:rPr>
      </w:pPr>
    </w:p>
    <w:p>
      <w:pPr>
        <w:ind w:right="240"/>
        <w:spacing w:after="0" w:line="270" w:lineRule="auto"/>
        <w:rPr>
          <w:sz w:val="20"/>
          <w:szCs w:val="20"/>
          <w:color w:val="auto"/>
        </w:rPr>
      </w:pPr>
      <w:r>
        <w:rPr>
          <w:rFonts w:ascii="Arial" w:cs="Arial" w:eastAsia="Arial" w:hAnsi="Arial"/>
          <w:sz w:val="21"/>
          <w:szCs w:val="21"/>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7247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60"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The table below shows the nominal amount and the one-year VaR for long-term debt, excluding commercial paper classified as long-term debt, at June 30, 2009 and December 31, 2008: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422"/>
              <w:spacing w:after="0"/>
              <w:rPr>
                <w:sz w:val="20"/>
                <w:szCs w:val="20"/>
                <w:color w:val="auto"/>
              </w:rPr>
            </w:pPr>
            <w:r>
              <w:rPr>
                <w:rFonts w:ascii="Arial" w:cs="Arial" w:eastAsia="Arial" w:hAnsi="Arial"/>
                <w:sz w:val="14"/>
                <w:szCs w:val="14"/>
                <w:color w:val="auto"/>
              </w:rPr>
              <w:t>Sempra Energy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7"/>
        </w:trPr>
        <w:tc>
          <w:tcPr>
            <w:tcW w:w="3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color w:val="auto"/>
              </w:rPr>
              <w:t>SDG&amp;E</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color w:val="auto"/>
              </w:rPr>
              <w:t>PE/SoCalGas</w:t>
            </w:r>
          </w:p>
        </w:tc>
      </w:tr>
      <w:tr>
        <w:trPr>
          <w:trHeight w:val="202"/>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color w:val="auto"/>
              </w:rPr>
              <w:t>Nominal</w:t>
            </w:r>
          </w:p>
        </w:tc>
        <w:tc>
          <w:tcPr>
            <w:tcW w:w="18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4"/>
                <w:szCs w:val="14"/>
                <w:color w:val="auto"/>
              </w:rPr>
              <w:t>One-Year</w:t>
            </w:r>
          </w:p>
        </w:tc>
        <w:tc>
          <w:tcPr>
            <w:tcW w:w="220" w:type="dxa"/>
            <w:vAlign w:val="bottom"/>
          </w:tcPr>
          <w:p>
            <w:pPr>
              <w:spacing w:after="0"/>
              <w:rPr>
                <w:sz w:val="17"/>
                <w:szCs w:val="17"/>
                <w:color w:val="auto"/>
              </w:rPr>
            </w:pPr>
          </w:p>
        </w:tc>
        <w:tc>
          <w:tcPr>
            <w:tcW w:w="820" w:type="dxa"/>
            <w:vAlign w:val="bottom"/>
          </w:tcPr>
          <w:p>
            <w:pPr>
              <w:jc w:val="right"/>
              <w:ind w:right="163"/>
              <w:spacing w:after="0"/>
              <w:rPr>
                <w:sz w:val="20"/>
                <w:szCs w:val="20"/>
                <w:color w:val="auto"/>
              </w:rPr>
            </w:pPr>
            <w:r>
              <w:rPr>
                <w:rFonts w:ascii="Arial" w:cs="Arial" w:eastAsia="Arial" w:hAnsi="Arial"/>
                <w:sz w:val="14"/>
                <w:szCs w:val="14"/>
                <w:color w:val="auto"/>
              </w:rPr>
              <w:t>Nominal</w:t>
            </w:r>
          </w:p>
        </w:tc>
        <w:tc>
          <w:tcPr>
            <w:tcW w:w="180" w:type="dxa"/>
            <w:vAlign w:val="bottom"/>
          </w:tcPr>
          <w:p>
            <w:pPr>
              <w:spacing w:after="0"/>
              <w:rPr>
                <w:sz w:val="17"/>
                <w:szCs w:val="17"/>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color w:val="auto"/>
              </w:rPr>
              <w:t>One-Year</w:t>
            </w:r>
          </w:p>
        </w:tc>
        <w:tc>
          <w:tcPr>
            <w:tcW w:w="200" w:type="dxa"/>
            <w:vAlign w:val="bottom"/>
          </w:tcPr>
          <w:p>
            <w:pPr>
              <w:spacing w:after="0"/>
              <w:rPr>
                <w:sz w:val="17"/>
                <w:szCs w:val="17"/>
                <w:color w:val="auto"/>
              </w:rPr>
            </w:pPr>
          </w:p>
        </w:tc>
        <w:tc>
          <w:tcPr>
            <w:tcW w:w="820" w:type="dxa"/>
            <w:vAlign w:val="bottom"/>
          </w:tcPr>
          <w:p>
            <w:pPr>
              <w:jc w:val="right"/>
              <w:ind w:right="143"/>
              <w:spacing w:after="0"/>
              <w:rPr>
                <w:sz w:val="20"/>
                <w:szCs w:val="20"/>
                <w:color w:val="auto"/>
              </w:rPr>
            </w:pPr>
            <w:r>
              <w:rPr>
                <w:rFonts w:ascii="Arial" w:cs="Arial" w:eastAsia="Arial" w:hAnsi="Arial"/>
                <w:sz w:val="14"/>
                <w:szCs w:val="14"/>
                <w:color w:val="auto"/>
              </w:rPr>
              <w:t>Nominal</w:t>
            </w:r>
          </w:p>
        </w:tc>
        <w:tc>
          <w:tcPr>
            <w:tcW w:w="18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color w:val="auto"/>
              </w:rPr>
              <w:t>One-Year</w:t>
            </w:r>
          </w:p>
        </w:tc>
      </w:tr>
      <w:tr>
        <w:trPr>
          <w:trHeight w:val="20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VaR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VaR</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VaR</w:t>
            </w:r>
          </w:p>
        </w:tc>
      </w:tr>
      <w:tr>
        <w:trPr>
          <w:trHeight w:val="208"/>
        </w:trPr>
        <w:tc>
          <w:tcPr>
            <w:tcW w:w="3240" w:type="dxa"/>
            <w:vAlign w:val="bottom"/>
          </w:tcPr>
          <w:p>
            <w:pPr>
              <w:ind w:left="20"/>
              <w:spacing w:after="0"/>
              <w:rPr>
                <w:sz w:val="20"/>
                <w:szCs w:val="20"/>
                <w:color w:val="auto"/>
              </w:rPr>
            </w:pPr>
            <w:r>
              <w:rPr>
                <w:rFonts w:ascii="Arial" w:cs="Arial" w:eastAsia="Arial" w:hAnsi="Arial"/>
                <w:sz w:val="16"/>
                <w:szCs w:val="16"/>
                <w:color w:val="auto"/>
              </w:rPr>
              <w:t>At June 30, 2009: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fixed-rate*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2,270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Non-utility, fixed-rate and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240" w:type="dxa"/>
            <w:vAlign w:val="bottom"/>
          </w:tcPr>
          <w:p>
            <w:pPr>
              <w:ind w:left="20"/>
              <w:spacing w:after="0"/>
              <w:rPr>
                <w:sz w:val="20"/>
                <w:szCs w:val="20"/>
                <w:color w:val="auto"/>
              </w:rPr>
            </w:pPr>
            <w:r>
              <w:rPr>
                <w:rFonts w:ascii="Arial" w:cs="Arial" w:eastAsia="Arial" w:hAnsi="Arial"/>
                <w:sz w:val="16"/>
                <w:szCs w:val="16"/>
                <w:color w:val="auto"/>
              </w:rPr>
              <w:t>At December 31, 2008: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fixed-rate*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3240" w:type="dxa"/>
            <w:vAlign w:val="bottom"/>
          </w:tcPr>
          <w:p>
            <w:pPr>
              <w:ind w:left="200"/>
              <w:spacing w:after="0"/>
              <w:rPr>
                <w:sz w:val="20"/>
                <w:szCs w:val="20"/>
                <w:color w:val="auto"/>
              </w:rPr>
            </w:pPr>
            <w:r>
              <w:rPr>
                <w:rFonts w:ascii="Arial" w:cs="Arial" w:eastAsia="Arial" w:hAnsi="Arial"/>
                <w:sz w:val="16"/>
                <w:szCs w:val="16"/>
                <w:color w:val="auto"/>
              </w:rPr>
              <w:t>Non-utility, fixed-rate and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3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After the effects of interest-rate swaps.</w:t>
      </w:r>
    </w:p>
    <w:p>
      <w:pPr>
        <w:sectPr>
          <w:pgSz w:w="11900" w:h="16838" w:orient="portrait"/>
          <w:cols w:equalWidth="0" w:num="1">
            <w:col w:w="11420"/>
          </w:cols>
          <w:pgMar w:left="240" w:top="118" w:right="239" w:bottom="0" w:gutter="0" w:footer="0" w:header="0"/>
        </w:sectPr>
      </w:pP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color w:val="auto"/>
        </w:rPr>
        <w:t>See additional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ectPr>
          <w:pgSz w:w="11900" w:h="16838" w:orient="portrait"/>
          <w:cols w:equalWidth="0" w:num="1">
            <w:col w:w="11420"/>
          </w:cols>
          <w:pgMar w:left="240" w:top="118" w:right="239" w:bottom="0" w:gutter="0" w:footer="0" w:header="0"/>
          <w:type w:val="continuous"/>
        </w:sectPr>
      </w:pPr>
    </w:p>
    <w:bookmarkStart w:id="91" w:name="page92"/>
    <w:bookmarkEnd w:id="91"/>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890" cy="8255"/>
                    </a:xfrm>
                    <a:prstGeom prst="rect">
                      <a:avLst/>
                    </a:prstGeom>
                    <a:noFill/>
                  </pic:spPr>
                </pic:pic>
              </a:graphicData>
            </a:graphic>
          </wp:anchor>
        </w:drawing>
        <w:t>ITEM 4. CONTROLS AND PROCEDURES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EVALUATION OF DISCLOSURE CONTROLS AND PROCEDURES</w:t>
      </w:r>
    </w:p>
    <w:p>
      <w:pPr>
        <w:spacing w:after="0" w:line="91"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June 30, 2009, the end of the period covered by this report. Based on these evaluations, the Chief Executive Officers and Chief Financial Officers of Sempra Energy, SDG&amp;E, PE and SoCalGas concluded that their respective company's disclosure controls and procedures were effective at the reasonable assurance level.</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INTERNAL CONTROL OVER FINANCIAL REPORTING</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ectPr>
          <w:pgSz w:w="11900" w:h="16838" w:orient="portrait"/>
          <w:cols w:equalWidth="0" w:num="1">
            <w:col w:w="11420"/>
          </w:cols>
          <w:pgMar w:left="240" w:top="591" w:right="239" w:bottom="1440" w:gutter="0" w:footer="0" w:header="0"/>
        </w:sectPr>
      </w:pPr>
    </w:p>
    <w:bookmarkStart w:id="93" w:name="page94"/>
    <w:bookmarkEnd w:id="93"/>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7247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60"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247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There have been no material changes in risk factors as previously reported in our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890" cy="8255"/>
                    </a:xfrm>
                    <a:prstGeom prst="rect">
                      <a:avLst/>
                    </a:prstGeom>
                    <a:noFill/>
                  </pic:spPr>
                </pic:pic>
              </a:graphicData>
            </a:graphic>
          </wp:anchor>
        </w:drawing>
        <w:t>ITEM 4. SUBMISSION OF MATTERS TO A VOTE OF SECURITY HOLDERS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w:t>
      </w:r>
    </w:p>
    <w:p>
      <w:pPr>
        <w:spacing w:after="0" w:line="91" w:lineRule="exact"/>
        <w:rPr>
          <w:sz w:val="20"/>
          <w:szCs w:val="20"/>
          <w:color w:val="auto"/>
        </w:rPr>
      </w:pPr>
    </w:p>
    <w:p>
      <w:pPr>
        <w:jc w:val="both"/>
        <w:ind w:right="20"/>
        <w:spacing w:after="0" w:line="270" w:lineRule="auto"/>
        <w:rPr>
          <w:sz w:val="20"/>
          <w:szCs w:val="20"/>
          <w:color w:val="auto"/>
        </w:rPr>
      </w:pPr>
      <w:r>
        <w:rPr>
          <w:rFonts w:ascii="Arial" w:cs="Arial" w:eastAsia="Arial" w:hAnsi="Arial"/>
          <w:sz w:val="21"/>
          <w:szCs w:val="21"/>
          <w:color w:val="auto"/>
        </w:rPr>
        <w:t>Sempra Energy's annual meeting of shareholders was on April 30, 2009, and the results of the shareholders' voting was reported in Sempra Energy's Quarterly Report on Form 10-Q for the three months ended March 31, 2009.</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UTILITIES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Election of Directors: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At the annual meeting of shareholders on June 1, 2009, the shareholders of SDG&amp;E and SoCalGas elected the following directors for one-year terms expiring in 2010. The name of each nominee and the number of shares voted for and withheld from the election of each director were as follows. There were no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213995</wp:posOffset>
            </wp:positionV>
            <wp:extent cx="3436620" cy="3149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36620" cy="314960"/>
                    </a:xfrm>
                    <a:prstGeom prst="rect">
                      <a:avLst/>
                    </a:prstGeom>
                    <a:noFill/>
                  </pic:spPr>
                </pic:pic>
              </a:graphicData>
            </a:graphic>
          </wp:anchor>
        </w:drawing>
      </w:r>
    </w:p>
    <w:p>
      <w:pPr>
        <w:spacing w:after="0" w:line="352"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SDG&amp;E</w:t>
      </w:r>
    </w:p>
    <w:p>
      <w:pPr>
        <w:spacing w:after="0" w:line="297" w:lineRule="exact"/>
        <w:rPr>
          <w:sz w:val="20"/>
          <w:szCs w:val="20"/>
          <w:color w:val="auto"/>
        </w:rPr>
      </w:pPr>
    </w:p>
    <w:tbl>
      <w:tblPr>
        <w:tblLayout w:type="fixed"/>
        <w:tblInd w:w="3000" w:type="dxa"/>
        <w:tblCellMar>
          <w:top w:w="0" w:type="dxa"/>
          <w:left w:w="0" w:type="dxa"/>
          <w:bottom w:w="0" w:type="dxa"/>
          <w:right w:w="0" w:type="dxa"/>
        </w:tblCellMar>
      </w:tblPr>
      <w:tr>
        <w:trPr>
          <w:trHeight w:val="16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Nominees</w:t>
            </w:r>
          </w:p>
        </w:tc>
        <w:tc>
          <w:tcPr>
            <w:tcW w:w="196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color w:val="auto"/>
              </w:rPr>
              <w:t>Votes For</w:t>
            </w:r>
          </w:p>
        </w:tc>
        <w:tc>
          <w:tcPr>
            <w:tcW w:w="1460" w:type="dxa"/>
            <w:vAlign w:val="bottom"/>
            <w:tcBorders>
              <w:bottom w:val="single" w:sz="8" w:color="auto"/>
            </w:tcBorders>
          </w:tcPr>
          <w:p>
            <w:pPr>
              <w:jc w:val="right"/>
              <w:ind w:right="324"/>
              <w:spacing w:after="0"/>
              <w:rPr>
                <w:sz w:val="20"/>
                <w:szCs w:val="20"/>
                <w:color w:val="auto"/>
              </w:rPr>
            </w:pPr>
            <w:r>
              <w:rPr>
                <w:rFonts w:ascii="Arial" w:cs="Arial" w:eastAsia="Arial" w:hAnsi="Arial"/>
                <w:sz w:val="12"/>
                <w:szCs w:val="12"/>
                <w:color w:val="auto"/>
              </w:rPr>
              <w:t>Votes Withheld</w:t>
            </w: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Jeffrey W. Martin</w:t>
            </w:r>
          </w:p>
        </w:tc>
        <w:tc>
          <w:tcPr>
            <w:tcW w:w="1960" w:type="dxa"/>
            <w:vAlign w:val="bottom"/>
          </w:tcPr>
          <w:p>
            <w:pPr>
              <w:jc w:val="right"/>
              <w:ind w:right="124"/>
              <w:spacing w:after="0"/>
              <w:rPr>
                <w:sz w:val="20"/>
                <w:szCs w:val="20"/>
                <w:color w:val="auto"/>
              </w:rPr>
            </w:pPr>
            <w:r>
              <w:rPr>
                <w:rFonts w:ascii="Arial" w:cs="Arial" w:eastAsia="Arial" w:hAnsi="Arial"/>
                <w:sz w:val="16"/>
                <w:szCs w:val="16"/>
                <w:color w:val="auto"/>
              </w:rPr>
              <w:t>116,583,358</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000" w:type="dxa"/>
            <w:vAlign w:val="bottom"/>
          </w:tcPr>
          <w:p>
            <w:pPr>
              <w:ind w:left="20"/>
              <w:spacing w:after="0"/>
              <w:rPr>
                <w:sz w:val="20"/>
                <w:szCs w:val="20"/>
                <w:color w:val="auto"/>
              </w:rPr>
            </w:pPr>
            <w:r>
              <w:rPr>
                <w:rFonts w:ascii="Arial" w:cs="Arial" w:eastAsia="Arial" w:hAnsi="Arial"/>
                <w:sz w:val="16"/>
                <w:szCs w:val="16"/>
                <w:color w:val="auto"/>
              </w:rPr>
              <w:t>Michael R. Niggli</w:t>
            </w:r>
          </w:p>
        </w:tc>
        <w:tc>
          <w:tcPr>
            <w:tcW w:w="1960" w:type="dxa"/>
            <w:vAlign w:val="bottom"/>
          </w:tcPr>
          <w:p>
            <w:pPr>
              <w:jc w:val="right"/>
              <w:ind w:right="124"/>
              <w:spacing w:after="0"/>
              <w:rPr>
                <w:sz w:val="20"/>
                <w:szCs w:val="20"/>
                <w:color w:val="auto"/>
              </w:rPr>
            </w:pPr>
            <w:r>
              <w:rPr>
                <w:rFonts w:ascii="Arial" w:cs="Arial" w:eastAsia="Arial" w:hAnsi="Arial"/>
                <w:sz w:val="16"/>
                <w:szCs w:val="16"/>
                <w:color w:val="auto"/>
              </w:rPr>
              <w:t>116,583,358</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Debra L. Reed</w:t>
            </w:r>
          </w:p>
        </w:tc>
        <w:tc>
          <w:tcPr>
            <w:tcW w:w="19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116,583,358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509"/>
        </w:trPr>
        <w:tc>
          <w:tcPr>
            <w:tcW w:w="2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9"/>
        </w:trPr>
        <w:tc>
          <w:tcPr>
            <w:tcW w:w="2000" w:type="dxa"/>
            <w:vAlign w:val="bottom"/>
            <w:shd w:val="clear" w:color="auto" w:fill="C0C0C0"/>
          </w:tcPr>
          <w:p>
            <w:pPr>
              <w:ind w:left="20"/>
              <w:spacing w:after="0"/>
              <w:rPr>
                <w:sz w:val="20"/>
                <w:szCs w:val="20"/>
                <w:color w:val="auto"/>
              </w:rPr>
            </w:pPr>
            <w:r>
              <w:rPr>
                <w:rFonts w:ascii="Arial" w:cs="Arial" w:eastAsia="Arial" w:hAnsi="Arial"/>
                <w:sz w:val="16"/>
                <w:szCs w:val="16"/>
                <w:b w:val="1"/>
                <w:bCs w:val="1"/>
                <w:color w:val="auto"/>
              </w:rPr>
              <w:t>PE</w:t>
            </w:r>
          </w:p>
        </w:tc>
        <w:tc>
          <w:tcPr>
            <w:tcW w:w="1960" w:type="dxa"/>
            <w:vAlign w:val="bottom"/>
            <w:shd w:val="clear" w:color="auto" w:fill="C0C0C0"/>
          </w:tcPr>
          <w:p>
            <w:pPr>
              <w:spacing w:after="0"/>
              <w:rPr>
                <w:sz w:val="19"/>
                <w:szCs w:val="19"/>
                <w:color w:val="auto"/>
              </w:rPr>
            </w:pPr>
          </w:p>
        </w:tc>
        <w:tc>
          <w:tcPr>
            <w:tcW w:w="1460" w:type="dxa"/>
            <w:vAlign w:val="bottom"/>
            <w:shd w:val="clear" w:color="auto" w:fill="C0C0C0"/>
          </w:tcPr>
          <w:p>
            <w:pPr>
              <w:spacing w:after="0"/>
              <w:rPr>
                <w:sz w:val="19"/>
                <w:szCs w:val="19"/>
                <w:color w:val="auto"/>
              </w:rPr>
            </w:pPr>
          </w:p>
        </w:tc>
      </w:tr>
      <w:tr>
        <w:trPr>
          <w:trHeight w:val="247"/>
        </w:trPr>
        <w:tc>
          <w:tcPr>
            <w:tcW w:w="2000" w:type="dxa"/>
            <w:vAlign w:val="bottom"/>
            <w:shd w:val="clear" w:color="auto" w:fill="C0C0C0"/>
          </w:tcPr>
          <w:p>
            <w:pPr>
              <w:spacing w:after="0"/>
              <w:rPr>
                <w:sz w:val="21"/>
                <w:szCs w:val="21"/>
                <w:color w:val="auto"/>
              </w:rPr>
            </w:pPr>
          </w:p>
        </w:tc>
        <w:tc>
          <w:tcPr>
            <w:tcW w:w="1960" w:type="dxa"/>
            <w:vAlign w:val="bottom"/>
            <w:shd w:val="clear" w:color="auto" w:fill="C0C0C0"/>
          </w:tcPr>
          <w:p>
            <w:pPr>
              <w:spacing w:after="0"/>
              <w:rPr>
                <w:sz w:val="21"/>
                <w:szCs w:val="21"/>
                <w:color w:val="auto"/>
              </w:rPr>
            </w:pPr>
          </w:p>
        </w:tc>
        <w:tc>
          <w:tcPr>
            <w:tcW w:w="1460" w:type="dxa"/>
            <w:vAlign w:val="bottom"/>
            <w:shd w:val="clear" w:color="auto" w:fill="C0C0C0"/>
          </w:tcPr>
          <w:p>
            <w:pPr>
              <w:spacing w:after="0"/>
              <w:rPr>
                <w:sz w:val="21"/>
                <w:szCs w:val="21"/>
                <w:color w:val="auto"/>
              </w:rPr>
            </w:pPr>
          </w:p>
        </w:tc>
      </w:tr>
      <w:tr>
        <w:trPr>
          <w:trHeight w:val="181"/>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Nominees</w:t>
            </w:r>
          </w:p>
        </w:tc>
        <w:tc>
          <w:tcPr>
            <w:tcW w:w="196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color w:val="auto"/>
              </w:rPr>
              <w:t>Votes For</w:t>
            </w:r>
          </w:p>
        </w:tc>
        <w:tc>
          <w:tcPr>
            <w:tcW w:w="1460" w:type="dxa"/>
            <w:vAlign w:val="bottom"/>
            <w:tcBorders>
              <w:bottom w:val="single" w:sz="8" w:color="auto"/>
            </w:tcBorders>
          </w:tcPr>
          <w:p>
            <w:pPr>
              <w:jc w:val="right"/>
              <w:ind w:right="324"/>
              <w:spacing w:after="0"/>
              <w:rPr>
                <w:sz w:val="20"/>
                <w:szCs w:val="20"/>
                <w:color w:val="auto"/>
              </w:rPr>
            </w:pPr>
            <w:r>
              <w:rPr>
                <w:rFonts w:ascii="Arial" w:cs="Arial" w:eastAsia="Arial" w:hAnsi="Arial"/>
                <w:sz w:val="12"/>
                <w:szCs w:val="12"/>
                <w:color w:val="auto"/>
              </w:rPr>
              <w:t>Votes Withheld</w:t>
            </w: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Jeffrey W. Martin</w:t>
            </w:r>
          </w:p>
        </w:tc>
        <w:tc>
          <w:tcPr>
            <w:tcW w:w="1960" w:type="dxa"/>
            <w:vAlign w:val="bottom"/>
          </w:tcPr>
          <w:p>
            <w:pPr>
              <w:jc w:val="right"/>
              <w:ind w:right="124"/>
              <w:spacing w:after="0"/>
              <w:rPr>
                <w:sz w:val="20"/>
                <w:szCs w:val="20"/>
                <w:color w:val="auto"/>
              </w:rPr>
            </w:pPr>
            <w:r>
              <w:rPr>
                <w:rFonts w:ascii="Arial" w:cs="Arial" w:eastAsia="Arial" w:hAnsi="Arial"/>
                <w:sz w:val="16"/>
                <w:szCs w:val="16"/>
                <w:color w:val="auto"/>
              </w:rPr>
              <w:t>83,917,664</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000" w:type="dxa"/>
            <w:vAlign w:val="bottom"/>
          </w:tcPr>
          <w:p>
            <w:pPr>
              <w:ind w:left="20"/>
              <w:spacing w:after="0"/>
              <w:rPr>
                <w:sz w:val="20"/>
                <w:szCs w:val="20"/>
                <w:color w:val="auto"/>
              </w:rPr>
            </w:pPr>
            <w:r>
              <w:rPr>
                <w:rFonts w:ascii="Arial" w:cs="Arial" w:eastAsia="Arial" w:hAnsi="Arial"/>
                <w:sz w:val="16"/>
                <w:szCs w:val="16"/>
                <w:color w:val="auto"/>
              </w:rPr>
              <w:t>Michael R. Niggli</w:t>
            </w:r>
          </w:p>
        </w:tc>
        <w:tc>
          <w:tcPr>
            <w:tcW w:w="1960" w:type="dxa"/>
            <w:vAlign w:val="bottom"/>
          </w:tcPr>
          <w:p>
            <w:pPr>
              <w:jc w:val="right"/>
              <w:ind w:right="124"/>
              <w:spacing w:after="0"/>
              <w:rPr>
                <w:sz w:val="20"/>
                <w:szCs w:val="20"/>
                <w:color w:val="auto"/>
              </w:rPr>
            </w:pPr>
            <w:r>
              <w:rPr>
                <w:rFonts w:ascii="Arial" w:cs="Arial" w:eastAsia="Arial" w:hAnsi="Arial"/>
                <w:sz w:val="16"/>
                <w:szCs w:val="16"/>
                <w:color w:val="auto"/>
              </w:rPr>
              <w:t>83,917,664</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Debra L. Reed</w:t>
            </w:r>
          </w:p>
        </w:tc>
        <w:tc>
          <w:tcPr>
            <w:tcW w:w="19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83,917,664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589"/>
        </w:trPr>
        <w:tc>
          <w:tcPr>
            <w:tcW w:w="2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9"/>
        </w:trPr>
        <w:tc>
          <w:tcPr>
            <w:tcW w:w="2000" w:type="dxa"/>
            <w:vAlign w:val="bottom"/>
            <w:shd w:val="clear" w:color="auto" w:fill="C0C0C0"/>
          </w:tcPr>
          <w:p>
            <w:pPr>
              <w:ind w:left="20"/>
              <w:spacing w:after="0"/>
              <w:rPr>
                <w:sz w:val="20"/>
                <w:szCs w:val="20"/>
                <w:color w:val="auto"/>
              </w:rPr>
            </w:pPr>
            <w:r>
              <w:rPr>
                <w:rFonts w:ascii="Arial" w:cs="Arial" w:eastAsia="Arial" w:hAnsi="Arial"/>
                <w:sz w:val="16"/>
                <w:szCs w:val="16"/>
                <w:b w:val="1"/>
                <w:bCs w:val="1"/>
                <w:color w:val="auto"/>
              </w:rPr>
              <w:t>SOCALGAS</w:t>
            </w:r>
          </w:p>
        </w:tc>
        <w:tc>
          <w:tcPr>
            <w:tcW w:w="1960" w:type="dxa"/>
            <w:vAlign w:val="bottom"/>
            <w:shd w:val="clear" w:color="auto" w:fill="C0C0C0"/>
          </w:tcPr>
          <w:p>
            <w:pPr>
              <w:spacing w:after="0"/>
              <w:rPr>
                <w:sz w:val="19"/>
                <w:szCs w:val="19"/>
                <w:color w:val="auto"/>
              </w:rPr>
            </w:pPr>
          </w:p>
        </w:tc>
        <w:tc>
          <w:tcPr>
            <w:tcW w:w="1460" w:type="dxa"/>
            <w:vAlign w:val="bottom"/>
            <w:shd w:val="clear" w:color="auto" w:fill="C0C0C0"/>
          </w:tcPr>
          <w:p>
            <w:pPr>
              <w:spacing w:after="0"/>
              <w:rPr>
                <w:sz w:val="19"/>
                <w:szCs w:val="19"/>
                <w:color w:val="auto"/>
              </w:rPr>
            </w:pPr>
          </w:p>
        </w:tc>
      </w:tr>
      <w:tr>
        <w:trPr>
          <w:trHeight w:val="247"/>
        </w:trPr>
        <w:tc>
          <w:tcPr>
            <w:tcW w:w="2000" w:type="dxa"/>
            <w:vAlign w:val="bottom"/>
            <w:shd w:val="clear" w:color="auto" w:fill="C0C0C0"/>
          </w:tcPr>
          <w:p>
            <w:pPr>
              <w:spacing w:after="0"/>
              <w:rPr>
                <w:sz w:val="21"/>
                <w:szCs w:val="21"/>
                <w:color w:val="auto"/>
              </w:rPr>
            </w:pPr>
          </w:p>
        </w:tc>
        <w:tc>
          <w:tcPr>
            <w:tcW w:w="1960" w:type="dxa"/>
            <w:vAlign w:val="bottom"/>
            <w:shd w:val="clear" w:color="auto" w:fill="C0C0C0"/>
          </w:tcPr>
          <w:p>
            <w:pPr>
              <w:spacing w:after="0"/>
              <w:rPr>
                <w:sz w:val="21"/>
                <w:szCs w:val="21"/>
                <w:color w:val="auto"/>
              </w:rPr>
            </w:pPr>
          </w:p>
        </w:tc>
        <w:tc>
          <w:tcPr>
            <w:tcW w:w="1460" w:type="dxa"/>
            <w:vAlign w:val="bottom"/>
            <w:shd w:val="clear" w:color="auto" w:fill="C0C0C0"/>
          </w:tcPr>
          <w:p>
            <w:pPr>
              <w:spacing w:after="0"/>
              <w:rPr>
                <w:sz w:val="21"/>
                <w:szCs w:val="21"/>
                <w:color w:val="auto"/>
              </w:rPr>
            </w:pPr>
          </w:p>
        </w:tc>
      </w:tr>
      <w:tr>
        <w:trPr>
          <w:trHeight w:val="181"/>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Nominees</w:t>
            </w:r>
          </w:p>
        </w:tc>
        <w:tc>
          <w:tcPr>
            <w:tcW w:w="196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color w:val="auto"/>
              </w:rPr>
              <w:t>Votes For</w:t>
            </w:r>
          </w:p>
        </w:tc>
        <w:tc>
          <w:tcPr>
            <w:tcW w:w="1460" w:type="dxa"/>
            <w:vAlign w:val="bottom"/>
            <w:tcBorders>
              <w:bottom w:val="single" w:sz="8" w:color="auto"/>
            </w:tcBorders>
          </w:tcPr>
          <w:p>
            <w:pPr>
              <w:jc w:val="right"/>
              <w:ind w:right="324"/>
              <w:spacing w:after="0"/>
              <w:rPr>
                <w:sz w:val="20"/>
                <w:szCs w:val="20"/>
                <w:color w:val="auto"/>
              </w:rPr>
            </w:pPr>
            <w:r>
              <w:rPr>
                <w:rFonts w:ascii="Arial" w:cs="Arial" w:eastAsia="Arial" w:hAnsi="Arial"/>
                <w:sz w:val="12"/>
                <w:szCs w:val="12"/>
                <w:color w:val="auto"/>
              </w:rPr>
              <w:t>Votes Withheld</w:t>
            </w: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Jeffrey W. Martin</w:t>
            </w:r>
          </w:p>
        </w:tc>
        <w:tc>
          <w:tcPr>
            <w:tcW w:w="1960" w:type="dxa"/>
            <w:vAlign w:val="bottom"/>
          </w:tcPr>
          <w:p>
            <w:pPr>
              <w:jc w:val="right"/>
              <w:ind w:right="124"/>
              <w:spacing w:after="0"/>
              <w:rPr>
                <w:sz w:val="20"/>
                <w:szCs w:val="20"/>
                <w:color w:val="auto"/>
              </w:rPr>
            </w:pPr>
            <w:r>
              <w:rPr>
                <w:rFonts w:ascii="Arial" w:cs="Arial" w:eastAsia="Arial" w:hAnsi="Arial"/>
                <w:sz w:val="16"/>
                <w:szCs w:val="16"/>
                <w:color w:val="auto"/>
              </w:rPr>
              <w:t>91,350,970</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000" w:type="dxa"/>
            <w:vAlign w:val="bottom"/>
          </w:tcPr>
          <w:p>
            <w:pPr>
              <w:ind w:left="20"/>
              <w:spacing w:after="0"/>
              <w:rPr>
                <w:sz w:val="20"/>
                <w:szCs w:val="20"/>
                <w:color w:val="auto"/>
              </w:rPr>
            </w:pPr>
            <w:r>
              <w:rPr>
                <w:rFonts w:ascii="Arial" w:cs="Arial" w:eastAsia="Arial" w:hAnsi="Arial"/>
                <w:sz w:val="16"/>
                <w:szCs w:val="16"/>
                <w:color w:val="auto"/>
              </w:rPr>
              <w:t>Michael R. Niggli</w:t>
            </w:r>
          </w:p>
        </w:tc>
        <w:tc>
          <w:tcPr>
            <w:tcW w:w="1960" w:type="dxa"/>
            <w:vAlign w:val="bottom"/>
          </w:tcPr>
          <w:p>
            <w:pPr>
              <w:jc w:val="right"/>
              <w:ind w:right="124"/>
              <w:spacing w:after="0"/>
              <w:rPr>
                <w:sz w:val="20"/>
                <w:szCs w:val="20"/>
                <w:color w:val="auto"/>
              </w:rPr>
            </w:pPr>
            <w:r>
              <w:rPr>
                <w:rFonts w:ascii="Arial" w:cs="Arial" w:eastAsia="Arial" w:hAnsi="Arial"/>
                <w:sz w:val="16"/>
                <w:szCs w:val="16"/>
                <w:color w:val="auto"/>
              </w:rPr>
              <w:t>91,350,970</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Debra L. Reed</w:t>
            </w:r>
          </w:p>
        </w:tc>
        <w:tc>
          <w:tcPr>
            <w:tcW w:w="19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91,350,970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247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200" w:lineRule="exact"/>
        <w:rPr>
          <w:sz w:val="20"/>
          <w:szCs w:val="20"/>
          <w:color w:val="auto"/>
        </w:rPr>
      </w:pPr>
    </w:p>
    <w:p>
      <w:pPr>
        <w:spacing w:after="0" w:line="20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EXHIBIT 10 -- MATERIAL CONTRACTS</w:t>
      </w:r>
    </w:p>
    <w:p>
      <w:pPr>
        <w:spacing w:after="0" w:line="321"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Sempra Energy / Pacific Enterprises</w:t>
      </w:r>
    </w:p>
    <w:p>
      <w:pPr>
        <w:spacing w:after="0" w:line="6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10.1  Second Amendment to Indemnity Agreement, dated June 30, 2009, by and among Sempra</w:t>
      </w:r>
    </w:p>
    <w:p>
      <w:pPr>
        <w:spacing w:after="0" w:line="2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Energy, Pacific Enterprises, Enova Corporation and The Royal Bank of Scotland plc.</w:t>
      </w:r>
    </w:p>
    <w:p>
      <w:pPr>
        <w:spacing w:after="0" w:line="321"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321"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Sempra Energy</w:t>
      </w:r>
    </w:p>
    <w:p>
      <w:pPr>
        <w:spacing w:after="0" w:line="67" w:lineRule="exact"/>
        <w:rPr>
          <w:sz w:val="20"/>
          <w:szCs w:val="20"/>
          <w:color w:val="auto"/>
        </w:rPr>
      </w:pPr>
    </w:p>
    <w:p>
      <w:pPr>
        <w:ind w:left="2820" w:right="1760" w:hanging="427"/>
        <w:spacing w:after="0" w:line="271" w:lineRule="auto"/>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87"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67" w:lineRule="exact"/>
        <w:rPr>
          <w:sz w:val="20"/>
          <w:szCs w:val="20"/>
          <w:color w:val="auto"/>
        </w:rPr>
      </w:pPr>
    </w:p>
    <w:p>
      <w:pPr>
        <w:ind w:left="2820" w:right="1920" w:hanging="427"/>
        <w:spacing w:after="0" w:line="271" w:lineRule="auto"/>
        <w:rPr>
          <w:sz w:val="20"/>
          <w:szCs w:val="20"/>
          <w:color w:val="auto"/>
        </w:rPr>
      </w:pPr>
      <w:r>
        <w:rPr>
          <w:rFonts w:ascii="Arial" w:cs="Arial" w:eastAsia="Arial" w:hAnsi="Arial"/>
          <w:sz w:val="18"/>
          <w:szCs w:val="18"/>
          <w:color w:val="auto"/>
        </w:rPr>
        <w:t>12.2 San Diego Gas &amp; Electric Company Computation of Ratio of Earnings to Combined Fixed Charges and Preferred Stock Dividends.</w:t>
      </w:r>
    </w:p>
    <w:p>
      <w:pPr>
        <w:spacing w:after="0" w:line="187"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67" w:lineRule="exact"/>
        <w:rPr>
          <w:sz w:val="20"/>
          <w:szCs w:val="20"/>
          <w:color w:val="auto"/>
        </w:rPr>
      </w:pPr>
    </w:p>
    <w:p>
      <w:pPr>
        <w:ind w:left="2820" w:right="2240" w:hanging="427"/>
        <w:spacing w:after="0" w:line="271" w:lineRule="auto"/>
        <w:rPr>
          <w:sz w:val="20"/>
          <w:szCs w:val="20"/>
          <w:color w:val="auto"/>
        </w:rPr>
      </w:pPr>
      <w:r>
        <w:rPr>
          <w:rFonts w:ascii="Arial" w:cs="Arial" w:eastAsia="Arial" w:hAnsi="Arial"/>
          <w:sz w:val="18"/>
          <w:szCs w:val="18"/>
          <w:color w:val="auto"/>
        </w:rPr>
        <w:t>12.3 Pacific Enterprises Computation of Ratio of Earnings to Combined Fixed Charges and Preferred Stock Dividends.</w:t>
      </w:r>
    </w:p>
    <w:p>
      <w:pPr>
        <w:spacing w:after="0" w:line="187"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67" w:lineRule="exact"/>
        <w:rPr>
          <w:sz w:val="20"/>
          <w:szCs w:val="20"/>
          <w:color w:val="auto"/>
        </w:rPr>
      </w:pPr>
    </w:p>
    <w:p>
      <w:pPr>
        <w:ind w:left="2820" w:right="2040" w:hanging="427"/>
        <w:spacing w:after="0" w:line="271" w:lineRule="auto"/>
        <w:rPr>
          <w:sz w:val="20"/>
          <w:szCs w:val="20"/>
          <w:color w:val="auto"/>
        </w:rPr>
      </w:pPr>
      <w:r>
        <w:rPr>
          <w:rFonts w:ascii="Arial" w:cs="Arial" w:eastAsia="Arial" w:hAnsi="Arial"/>
          <w:sz w:val="18"/>
          <w:szCs w:val="18"/>
          <w:color w:val="auto"/>
        </w:rPr>
        <w:t>12.4 Southern California Gas Company Computation of Ratio of Earnings to Combined Fixed Charges and Preferred Stock Dividends.</w:t>
      </w: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EXHIBIT 31 -- SECTION 302 CERTIFICATIONS</w:t>
      </w:r>
    </w:p>
    <w:p>
      <w:pPr>
        <w:sectPr>
          <w:pgSz w:w="11900" w:h="16838" w:orient="portrait"/>
          <w:cols w:equalWidth="0" w:num="1">
            <w:col w:w="11220"/>
          </w:cols>
          <w:pgMar w:left="240" w:top="591" w:right="439" w:bottom="0" w:gutter="0" w:footer="0" w:header="0"/>
        </w:sectPr>
      </w:pPr>
    </w:p>
    <w:bookmarkStart w:id="95" w:name="page96"/>
    <w:bookmarkEnd w:id="95"/>
    <w:p>
      <w:pPr>
        <w:ind w:left="580"/>
        <w:spacing w:after="0"/>
        <w:rPr>
          <w:sz w:val="20"/>
          <w:szCs w:val="20"/>
          <w:color w:val="auto"/>
        </w:rPr>
      </w:pPr>
      <w:r>
        <w:rPr>
          <w:rFonts w:ascii="Arial" w:cs="Arial" w:eastAsia="Arial" w:hAnsi="Arial"/>
          <w:sz w:val="20"/>
          <w:szCs w:val="20"/>
          <w:b w:val="1"/>
          <w:bCs w:val="1"/>
          <w:i w:val="1"/>
          <w:iCs w:val="1"/>
          <w:color w:val="auto"/>
        </w:rPr>
        <w:t>Sempra Energy</w:t>
      </w:r>
    </w:p>
    <w:p>
      <w:pPr>
        <w:spacing w:after="0" w:line="67" w:lineRule="exact"/>
        <w:rPr>
          <w:sz w:val="20"/>
          <w:szCs w:val="20"/>
          <w:color w:val="auto"/>
        </w:rPr>
      </w:pPr>
    </w:p>
    <w:p>
      <w:pPr>
        <w:ind w:left="1620" w:right="619" w:hanging="427"/>
        <w:spacing w:after="0" w:line="271" w:lineRule="auto"/>
        <w:rPr>
          <w:sz w:val="20"/>
          <w:szCs w:val="20"/>
          <w:color w:val="auto"/>
        </w:rPr>
      </w:pPr>
      <w:r>
        <w:rPr>
          <w:rFonts w:ascii="Arial" w:cs="Arial" w:eastAsia="Arial" w:hAnsi="Arial"/>
          <w:sz w:val="18"/>
          <w:szCs w:val="18"/>
          <w:color w:val="auto"/>
        </w:rPr>
        <w:t>31.1 Statement of Sempra Energy's Chief Executive Officer pursuant to Rules 13a-14 and 15d-14 of the Securities Exchange Act of 1934.</w:t>
      </w:r>
    </w:p>
    <w:p>
      <w:pPr>
        <w:spacing w:after="0" w:line="229" w:lineRule="exact"/>
        <w:rPr>
          <w:sz w:val="20"/>
          <w:szCs w:val="20"/>
          <w:color w:val="auto"/>
        </w:rPr>
      </w:pPr>
    </w:p>
    <w:p>
      <w:pPr>
        <w:ind w:left="1620" w:right="659" w:hanging="427"/>
        <w:spacing w:after="0" w:line="271" w:lineRule="auto"/>
        <w:rPr>
          <w:sz w:val="20"/>
          <w:szCs w:val="20"/>
          <w:color w:val="auto"/>
        </w:rPr>
      </w:pPr>
      <w:r>
        <w:rPr>
          <w:rFonts w:ascii="Arial" w:cs="Arial" w:eastAsia="Arial" w:hAnsi="Arial"/>
          <w:sz w:val="18"/>
          <w:szCs w:val="18"/>
          <w:color w:val="auto"/>
        </w:rPr>
        <w:t>31.2 Statement of Sempra Energy's Chief Financial Officer pursuant to Rules 13a-14 and 15d-14 of the Securities Exchange Act of 1934.</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6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31.3  Statement of San Diego Gas &amp; Electric Company's Chief Executive Officer pursuant to Rules</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13a-14 and 15d-14 of the Securities Exchange Act of 1934.</w:t>
      </w:r>
    </w:p>
    <w:p>
      <w:pPr>
        <w:spacing w:after="0" w:line="26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31.4  Statement of San Diego Gas &amp; Electric Company's Chief Financial Officer pursuant to Rules</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13a-14 and 15d-14 of the Securities Exchange Act of 1934.</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67" w:lineRule="exact"/>
        <w:rPr>
          <w:sz w:val="20"/>
          <w:szCs w:val="20"/>
          <w:color w:val="auto"/>
        </w:rPr>
      </w:pPr>
    </w:p>
    <w:p>
      <w:pPr>
        <w:ind w:left="1620" w:right="639" w:hanging="427"/>
        <w:spacing w:after="0" w:line="271" w:lineRule="auto"/>
        <w:rPr>
          <w:sz w:val="20"/>
          <w:szCs w:val="20"/>
          <w:color w:val="auto"/>
        </w:rPr>
      </w:pPr>
      <w:r>
        <w:rPr>
          <w:rFonts w:ascii="Arial" w:cs="Arial" w:eastAsia="Arial" w:hAnsi="Arial"/>
          <w:sz w:val="18"/>
          <w:szCs w:val="18"/>
          <w:color w:val="auto"/>
        </w:rPr>
        <w:t>31.5 Statement of Pacific Enterprise's Chief Executive Officer pursuant to Rules 13a-14 and 15d-14 of the Securities Exchange Act of 1934.</w:t>
      </w:r>
    </w:p>
    <w:p>
      <w:pPr>
        <w:sectPr>
          <w:pgSz w:w="11900" w:h="16838" w:orient="portrait"/>
          <w:cols w:equalWidth="0" w:num="1">
            <w:col w:w="9019"/>
          </w:cols>
          <w:pgMar w:left="1440" w:top="364" w:right="1440" w:bottom="1440" w:gutter="0" w:footer="0" w:header="0"/>
        </w:sectPr>
      </w:pPr>
    </w:p>
    <w:bookmarkStart w:id="96" w:name="page97"/>
    <w:bookmarkEnd w:id="96"/>
    <w:p>
      <w:pPr>
        <w:ind w:left="1620" w:right="679" w:hanging="427"/>
        <w:spacing w:after="0" w:line="271" w:lineRule="auto"/>
        <w:rPr>
          <w:sz w:val="20"/>
          <w:szCs w:val="20"/>
          <w:color w:val="auto"/>
        </w:rPr>
      </w:pPr>
      <w:r>
        <w:rPr>
          <w:rFonts w:ascii="Arial" w:cs="Arial" w:eastAsia="Arial" w:hAnsi="Arial"/>
          <w:sz w:val="18"/>
          <w:szCs w:val="18"/>
          <w:color w:val="auto"/>
        </w:rPr>
        <w:t>31.6 Statement of Pacific Enterprise's Chief Financial Officer pursuant to Rules 13a-14 and 15d-14 of the Securities Exchange Act of 1934.</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6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31.7  Statement of Southern California Gas Company's Chief Executive Officer pursuant to Rules</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13a-14 and 15d-14 of the Securities Exchange Act of 1934.</w:t>
      </w:r>
    </w:p>
    <w:p>
      <w:pPr>
        <w:spacing w:after="0" w:line="26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31.8  Statement of Southern California Gas Company's Chief Financial Officer pursuant to Rules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13a-14 and 15d-14 of the Securities Exchange Act of 1934.</w:t>
      </w:r>
    </w:p>
    <w:p>
      <w:pPr>
        <w:spacing w:after="0" w:line="3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308"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Sempra Energy</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7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32.2  Statement of Sempra Energy's Chief Financial Officer pursuant to 18 U.S.C. Sec. 1350.</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67" w:lineRule="exact"/>
        <w:rPr>
          <w:sz w:val="20"/>
          <w:szCs w:val="20"/>
          <w:color w:val="auto"/>
        </w:rPr>
      </w:pPr>
    </w:p>
    <w:p>
      <w:pPr>
        <w:ind w:left="1620" w:right="939" w:hanging="427"/>
        <w:spacing w:after="0" w:line="271" w:lineRule="auto"/>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29" w:lineRule="exact"/>
        <w:rPr>
          <w:sz w:val="20"/>
          <w:szCs w:val="20"/>
          <w:color w:val="auto"/>
        </w:rPr>
      </w:pPr>
    </w:p>
    <w:p>
      <w:pPr>
        <w:ind w:left="1620" w:right="979" w:hanging="427"/>
        <w:spacing w:after="0" w:line="271" w:lineRule="auto"/>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6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32.5  Statement of Pacific Enterprise's Chief Executive Officer pursuant to 18 U.S.C. Sec. 1350.</w:t>
      </w:r>
    </w:p>
    <w:p>
      <w:pPr>
        <w:spacing w:after="0" w:line="28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32.6  Statement of Pacific Enterprise's Chief Financial Officer pursuant to 18 U.S.C. Sec. 1350.</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67" w:lineRule="exact"/>
        <w:rPr>
          <w:sz w:val="20"/>
          <w:szCs w:val="20"/>
          <w:color w:val="auto"/>
        </w:rPr>
      </w:pPr>
    </w:p>
    <w:p>
      <w:pPr>
        <w:ind w:left="1620" w:right="1059" w:hanging="427"/>
        <w:spacing w:after="0" w:line="271" w:lineRule="auto"/>
        <w:rPr>
          <w:sz w:val="20"/>
          <w:szCs w:val="20"/>
          <w:color w:val="auto"/>
        </w:rPr>
      </w:pPr>
      <w:r>
        <w:rPr>
          <w:rFonts w:ascii="Arial" w:cs="Arial" w:eastAsia="Arial" w:hAnsi="Arial"/>
          <w:sz w:val="18"/>
          <w:szCs w:val="18"/>
          <w:color w:val="auto"/>
        </w:rPr>
        <w:t>32.7 Statement of Southern California Gas Company's Chief Executive Officer pursuant to 18 U.S.C. Sec. 1350.</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32.8  Statement of Southern California Gas Company's Chief Financial Officer pursuant to 18 U.S.C.</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 1350.</w:t>
      </w:r>
    </w:p>
    <w:p>
      <w:pPr>
        <w:spacing w:after="0" w:line="3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 101 -- INTERACTIVE DATA FILE</w:t>
      </w:r>
    </w:p>
    <w:p>
      <w:pPr>
        <w:spacing w:after="0" w:line="3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101.INS  XBRL Instance Document</w:t>
      </w:r>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101.SCH  XBRL Taxonomy Extension Schema Document</w:t>
      </w:r>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101.LAB  XBRL Taxonomy Extension Label Linkbase Document</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9019"/>
          </w:cols>
          <w:pgMar w:left="1440" w:top="1089" w:right="1440" w:bottom="1440" w:gutter="0" w:footer="0" w:header="0"/>
        </w:sectPr>
      </w:pPr>
    </w:p>
    <w:bookmarkStart w:id="97" w:name="page98"/>
    <w:bookmarkEnd w:id="97"/>
    <w:p>
      <w:pPr>
        <w:ind w:left="3620"/>
        <w:spacing w:after="0"/>
        <w:rPr>
          <w:sz w:val="20"/>
          <w:szCs w:val="20"/>
          <w:color w:val="auto"/>
        </w:rPr>
      </w:pPr>
      <w:r>
        <w:rPr>
          <w:rFonts w:ascii="Arial" w:cs="Arial" w:eastAsia="Arial" w:hAnsi="Arial"/>
          <w:sz w:val="18"/>
          <w:szCs w:val="18"/>
          <w:b w:val="1"/>
          <w:bCs w:val="1"/>
          <w:color w:val="auto"/>
        </w:rPr>
        <w:t>SIGNATURES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Sempra Energy:</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SEMPRA ENERGY,</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380"/>
        <w:spacing w:after="0"/>
        <w:tabs>
          <w:tab w:leader="none" w:pos="4780" w:val="left"/>
        </w:tabs>
        <w:rPr>
          <w:sz w:val="20"/>
          <w:szCs w:val="20"/>
          <w:color w:val="auto"/>
        </w:rPr>
      </w:pPr>
      <w:r>
        <w:rPr>
          <w:rFonts w:ascii="Arial" w:cs="Arial" w:eastAsia="Arial" w:hAnsi="Arial"/>
          <w:sz w:val="18"/>
          <w:szCs w:val="18"/>
          <w:color w:val="auto"/>
        </w:rPr>
        <w:t>Date: July 31, 2009</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22225</wp:posOffset>
            </wp:positionV>
            <wp:extent cx="2679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Joseph A. Householder</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Senior Vice President, Controller and</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Accounting Officer</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San Diego Gas &amp; Electric Company:</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SAN DIEGO GAS &amp; ELECTRIC COMPANY,</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320"/>
        <w:spacing w:after="0"/>
        <w:tabs>
          <w:tab w:leader="none" w:pos="4660" w:val="left"/>
        </w:tabs>
        <w:rPr>
          <w:sz w:val="20"/>
          <w:szCs w:val="20"/>
          <w:color w:val="auto"/>
        </w:rPr>
      </w:pPr>
      <w:r>
        <w:rPr>
          <w:rFonts w:ascii="Arial" w:cs="Arial" w:eastAsia="Arial" w:hAnsi="Arial"/>
          <w:sz w:val="18"/>
          <w:szCs w:val="18"/>
          <w:color w:val="auto"/>
        </w:rPr>
        <w:t>Date: July 31, 2009</w:t>
      </w:r>
      <w:r>
        <w:rPr>
          <w:sz w:val="20"/>
          <w:szCs w:val="20"/>
          <w:color w:val="auto"/>
        </w:rPr>
        <w:tab/>
      </w:r>
      <w:r>
        <w:rPr>
          <w:rFonts w:ascii="Arial" w:cs="Arial" w:eastAsia="Arial" w:hAnsi="Arial"/>
          <w:sz w:val="16"/>
          <w:szCs w:val="16"/>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22225</wp:posOffset>
            </wp:positionV>
            <wp:extent cx="27559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Robert Schlax</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Vice President, Controller and Chief Financial</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Officer</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Pacific Enterprises:</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PACIFIC ENTERPRISES,</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320"/>
        <w:spacing w:after="0"/>
        <w:tabs>
          <w:tab w:leader="none" w:pos="4660" w:val="left"/>
        </w:tabs>
        <w:rPr>
          <w:sz w:val="20"/>
          <w:szCs w:val="20"/>
          <w:color w:val="auto"/>
        </w:rPr>
      </w:pPr>
      <w:r>
        <w:rPr>
          <w:rFonts w:ascii="Arial" w:cs="Arial" w:eastAsia="Arial" w:hAnsi="Arial"/>
          <w:sz w:val="18"/>
          <w:szCs w:val="18"/>
          <w:color w:val="auto"/>
        </w:rPr>
        <w:t>Date: July 31, 2009</w:t>
      </w:r>
      <w:r>
        <w:rPr>
          <w:sz w:val="20"/>
          <w:szCs w:val="20"/>
          <w:color w:val="auto"/>
        </w:rPr>
        <w:tab/>
      </w:r>
      <w:r>
        <w:rPr>
          <w:rFonts w:ascii="Arial" w:cs="Arial" w:eastAsia="Arial" w:hAnsi="Arial"/>
          <w:sz w:val="16"/>
          <w:szCs w:val="16"/>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22225</wp:posOffset>
            </wp:positionV>
            <wp:extent cx="27559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Robert Schlax</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Vice President, Controller and Chief Financial</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Officer</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Southern California Gas Company:</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SOUTHERN CALIFORNIA GAS COMPANY,</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320"/>
        <w:spacing w:after="0"/>
        <w:tabs>
          <w:tab w:leader="none" w:pos="4660" w:val="left"/>
        </w:tabs>
        <w:rPr>
          <w:sz w:val="20"/>
          <w:szCs w:val="20"/>
          <w:color w:val="auto"/>
        </w:rPr>
      </w:pPr>
      <w:r>
        <w:rPr>
          <w:rFonts w:ascii="Arial" w:cs="Arial" w:eastAsia="Arial" w:hAnsi="Arial"/>
          <w:sz w:val="18"/>
          <w:szCs w:val="18"/>
          <w:color w:val="auto"/>
        </w:rPr>
        <w:t>Date: July 31, 2009</w:t>
      </w:r>
      <w:r>
        <w:rPr>
          <w:sz w:val="20"/>
          <w:szCs w:val="20"/>
          <w:color w:val="auto"/>
        </w:rPr>
        <w:tab/>
      </w:r>
      <w:r>
        <w:rPr>
          <w:rFonts w:ascii="Arial" w:cs="Arial" w:eastAsia="Arial" w:hAnsi="Arial"/>
          <w:sz w:val="16"/>
          <w:szCs w:val="16"/>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22225</wp:posOffset>
            </wp:positionV>
            <wp:extent cx="27559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Robert Schlax</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Vice President, Controller and Chief Financial</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9019"/>
          </w:cols>
          <w:pgMar w:left="1440" w:top="885"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1"/>
          <w:szCs w:val="21"/>
          <w:b w:val="1"/>
          <w:bCs w:val="1"/>
          <w:color w:val="auto"/>
        </w:rPr>
        <w:t>SECOND AMENDMENT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TO</w:t>
      </w:r>
    </w:p>
    <w:p>
      <w:pPr>
        <w:jc w:val="center"/>
        <w:ind w:right="-19"/>
        <w:spacing w:after="0"/>
        <w:rPr>
          <w:sz w:val="20"/>
          <w:szCs w:val="20"/>
          <w:color w:val="auto"/>
        </w:rPr>
      </w:pPr>
      <w:r>
        <w:rPr>
          <w:rFonts w:ascii="Arial" w:cs="Arial" w:eastAsia="Arial" w:hAnsi="Arial"/>
          <w:sz w:val="21"/>
          <w:szCs w:val="21"/>
          <w:b w:val="1"/>
          <w:bCs w:val="1"/>
          <w:color w:val="auto"/>
        </w:rPr>
        <w:t>INDEMNITY AGREEMENT</w:t>
      </w:r>
    </w:p>
    <w:p>
      <w:pPr>
        <w:spacing w:after="0" w:line="200" w:lineRule="exact"/>
        <w:rPr>
          <w:sz w:val="20"/>
          <w:szCs w:val="20"/>
          <w:color w:val="auto"/>
        </w:rPr>
      </w:pPr>
    </w:p>
    <w:p>
      <w:pPr>
        <w:spacing w:after="0" w:line="258" w:lineRule="exact"/>
        <w:rPr>
          <w:sz w:val="20"/>
          <w:szCs w:val="20"/>
          <w:color w:val="auto"/>
        </w:rPr>
      </w:pPr>
    </w:p>
    <w:p>
      <w:pPr>
        <w:ind w:right="40" w:firstLine="1286"/>
        <w:spacing w:after="0" w:line="248" w:lineRule="auto"/>
        <w:rPr>
          <w:sz w:val="20"/>
          <w:szCs w:val="20"/>
          <w:color w:val="auto"/>
        </w:rPr>
      </w:pPr>
      <w:r>
        <w:rPr>
          <w:rFonts w:ascii="Arial" w:cs="Arial" w:eastAsia="Arial" w:hAnsi="Arial"/>
          <w:sz w:val="21"/>
          <w:szCs w:val="21"/>
          <w:b w:val="1"/>
          <w:bCs w:val="1"/>
          <w:color w:val="auto"/>
        </w:rPr>
        <w:t>SECOND AMENDMENT TO INDEMNITY AGREEMENT</w:t>
      </w:r>
      <w:r>
        <w:rPr>
          <w:rFonts w:ascii="Arial" w:cs="Arial" w:eastAsia="Arial" w:hAnsi="Arial"/>
          <w:sz w:val="21"/>
          <w:szCs w:val="21"/>
          <w:color w:val="auto"/>
        </w:rPr>
        <w:t>, dated as of June 30, 2009 (“</w:t>
      </w:r>
      <w:r>
        <w:rPr>
          <w:rFonts w:ascii="Arial" w:cs="Arial" w:eastAsia="Arial" w:hAnsi="Arial"/>
          <w:sz w:val="21"/>
          <w:szCs w:val="21"/>
          <w:b w:val="1"/>
          <w:bCs w:val="1"/>
          <w:color w:val="auto"/>
        </w:rPr>
        <w:t>Second Amendment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by and among Sempra Energy, a California corporation, Pacific Enterprises, a California corporation, Enova Corporation, a California corporation (collectively with Sempra Energy and Pacific Enterprises, the “</w:t>
      </w:r>
      <w:r>
        <w:rPr>
          <w:rFonts w:ascii="Arial" w:cs="Arial" w:eastAsia="Arial" w:hAnsi="Arial"/>
          <w:sz w:val="21"/>
          <w:szCs w:val="21"/>
          <w:b w:val="1"/>
          <w:bCs w:val="1"/>
          <w:color w:val="auto"/>
        </w:rPr>
        <w:t>Sempra Indemnitees</w:t>
      </w:r>
      <w:r>
        <w:rPr>
          <w:rFonts w:ascii="Arial" w:cs="Arial" w:eastAsia="Arial" w:hAnsi="Arial"/>
          <w:sz w:val="21"/>
          <w:szCs w:val="21"/>
          <w:color w:val="auto"/>
        </w:rPr>
        <w:t>”), and The Royal Bank of Scotland plc, a Scottish company limited by shares (the “</w:t>
      </w:r>
      <w:r>
        <w:rPr>
          <w:rFonts w:ascii="Arial" w:cs="Arial" w:eastAsia="Arial" w:hAnsi="Arial"/>
          <w:sz w:val="21"/>
          <w:szCs w:val="21"/>
          <w:b w:val="1"/>
          <w:bCs w:val="1"/>
          <w:color w:val="auto"/>
        </w:rPr>
        <w:t>Indemnitor</w:t>
      </w:r>
      <w:r>
        <w:rPr>
          <w:rFonts w:ascii="Arial" w:cs="Arial" w:eastAsia="Arial" w:hAnsi="Arial"/>
          <w:sz w:val="21"/>
          <w:szCs w:val="21"/>
          <w:color w:val="auto"/>
        </w:rPr>
        <w:t>”). Capitalized terms used herein without definition have the meanings provided in the Indemnity Agreement (as defined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RECITALS</w:t>
      </w:r>
      <w:r>
        <w:rPr>
          <w:rFonts w:ascii="Arial" w:cs="Arial" w:eastAsia="Arial" w:hAnsi="Arial"/>
          <w:sz w:val="21"/>
          <w:szCs w:val="21"/>
          <w:color w:val="auto"/>
        </w:rPr>
        <w:t>:</w:t>
      </w:r>
    </w:p>
    <w:p>
      <w:pPr>
        <w:spacing w:after="0" w:line="220" w:lineRule="exact"/>
        <w:rPr>
          <w:sz w:val="20"/>
          <w:szCs w:val="20"/>
          <w:color w:val="auto"/>
        </w:rPr>
      </w:pPr>
    </w:p>
    <w:p>
      <w:pPr>
        <w:ind w:firstLine="1286"/>
        <w:spacing w:after="0" w:line="255" w:lineRule="auto"/>
        <w:rPr>
          <w:sz w:val="20"/>
          <w:szCs w:val="20"/>
          <w:color w:val="auto"/>
        </w:rPr>
      </w:pPr>
      <w:r>
        <w:rPr>
          <w:rFonts w:ascii="Arial" w:cs="Arial" w:eastAsia="Arial" w:hAnsi="Arial"/>
          <w:sz w:val="21"/>
          <w:szCs w:val="21"/>
          <w:color w:val="auto"/>
        </w:rPr>
        <w:t>WHEREAS, the Sempra Indemnitees and the Indemnitor have entered into an Indemnity Agreement dated as of April 1, 2008 (the “</w:t>
      </w:r>
      <w:r>
        <w:rPr>
          <w:rFonts w:ascii="Arial" w:cs="Arial" w:eastAsia="Arial" w:hAnsi="Arial"/>
          <w:sz w:val="21"/>
          <w:szCs w:val="21"/>
          <w:b w:val="1"/>
          <w:bCs w:val="1"/>
          <w:color w:val="auto"/>
        </w:rPr>
        <w:t>Original Indemnity Agreement</w:t>
      </w:r>
      <w:r>
        <w:rPr>
          <w:rFonts w:ascii="Arial" w:cs="Arial" w:eastAsia="Arial" w:hAnsi="Arial"/>
          <w:sz w:val="21"/>
          <w:szCs w:val="21"/>
          <w:color w:val="auto"/>
        </w:rPr>
        <w:t>”), as amended March 30. 2009 (the “</w:t>
      </w:r>
      <w:r>
        <w:rPr>
          <w:rFonts w:ascii="Arial" w:cs="Arial" w:eastAsia="Arial" w:hAnsi="Arial"/>
          <w:sz w:val="21"/>
          <w:szCs w:val="21"/>
          <w:b w:val="1"/>
          <w:bCs w:val="1"/>
          <w:color w:val="auto"/>
        </w:rPr>
        <w:t>First Amendment</w:t>
      </w:r>
      <w:r>
        <w:rPr>
          <w:rFonts w:ascii="Arial" w:cs="Arial" w:eastAsia="Arial" w:hAnsi="Arial"/>
          <w:sz w:val="21"/>
          <w:szCs w:val="21"/>
          <w:color w:val="auto"/>
        </w:rPr>
        <w:t>” and, together with the Original Indemnity Agreement, the “</w:t>
      </w:r>
      <w:r>
        <w:rPr>
          <w:rFonts w:ascii="Arial" w:cs="Arial" w:eastAsia="Arial" w:hAnsi="Arial"/>
          <w:sz w:val="21"/>
          <w:szCs w:val="21"/>
          <w:b w:val="1"/>
          <w:bCs w:val="1"/>
          <w:color w:val="auto"/>
        </w:rPr>
        <w:t>Indemnity Agreement</w:t>
      </w:r>
      <w:r>
        <w:rPr>
          <w:rFonts w:ascii="Arial" w:cs="Arial" w:eastAsia="Arial" w:hAnsi="Arial"/>
          <w:sz w:val="21"/>
          <w:szCs w:val="21"/>
          <w:color w:val="auto"/>
        </w:rPr>
        <w:t>”).</w:t>
      </w:r>
    </w:p>
    <w:p>
      <w:pPr>
        <w:spacing w:after="0" w:line="168" w:lineRule="exact"/>
        <w:rPr>
          <w:sz w:val="20"/>
          <w:szCs w:val="20"/>
          <w:color w:val="auto"/>
        </w:rPr>
      </w:pPr>
    </w:p>
    <w:p>
      <w:pPr>
        <w:ind w:right="180" w:firstLine="1286"/>
        <w:spacing w:after="0" w:line="255" w:lineRule="auto"/>
        <w:rPr>
          <w:sz w:val="20"/>
          <w:szCs w:val="20"/>
          <w:color w:val="auto"/>
        </w:rPr>
      </w:pPr>
      <w:r>
        <w:rPr>
          <w:rFonts w:ascii="Arial" w:cs="Arial" w:eastAsia="Arial" w:hAnsi="Arial"/>
          <w:sz w:val="21"/>
          <w:szCs w:val="21"/>
          <w:color w:val="auto"/>
        </w:rPr>
        <w:t>WHEREAS, pursuant to Section 7.12(b)(iii) of the Formation Agreement, the parties thereto have committed to use their commercially reasonable efforts to cause the novation (substituting the Indemnitor for the relevant Indemnified Party) or termination, to the greatest extent possible, of the outstanding Financial Assurances;</w:t>
      </w:r>
    </w:p>
    <w:p>
      <w:pPr>
        <w:spacing w:after="0" w:line="168" w:lineRule="exact"/>
        <w:rPr>
          <w:sz w:val="20"/>
          <w:szCs w:val="20"/>
          <w:color w:val="auto"/>
        </w:rPr>
      </w:pPr>
    </w:p>
    <w:p>
      <w:pPr>
        <w:ind w:right="420" w:firstLine="1286"/>
        <w:spacing w:after="0" w:line="255" w:lineRule="auto"/>
        <w:rPr>
          <w:sz w:val="20"/>
          <w:szCs w:val="20"/>
          <w:color w:val="auto"/>
        </w:rPr>
      </w:pPr>
      <w:r>
        <w:rPr>
          <w:rFonts w:ascii="Arial" w:cs="Arial" w:eastAsia="Arial" w:hAnsi="Arial"/>
          <w:sz w:val="21"/>
          <w:szCs w:val="21"/>
          <w:color w:val="auto"/>
        </w:rPr>
        <w:t>WHEREAS, as a result of certain delays in the novation process, the parties acknowledge that certain Financial Assurances, including certain of the Post-Closing Financial Assurances, continue to be outstanding as of the date of this Second Amendment; and</w:t>
      </w:r>
    </w:p>
    <w:p>
      <w:pPr>
        <w:spacing w:after="0" w:line="168" w:lineRule="exact"/>
        <w:rPr>
          <w:sz w:val="20"/>
          <w:szCs w:val="20"/>
          <w:color w:val="auto"/>
        </w:rPr>
      </w:pPr>
    </w:p>
    <w:p>
      <w:pPr>
        <w:ind w:right="200" w:firstLine="1286"/>
        <w:spacing w:after="0" w:line="270" w:lineRule="auto"/>
        <w:rPr>
          <w:sz w:val="20"/>
          <w:szCs w:val="20"/>
          <w:color w:val="auto"/>
        </w:rPr>
      </w:pPr>
      <w:r>
        <w:rPr>
          <w:rFonts w:ascii="Arial" w:cs="Arial" w:eastAsia="Arial" w:hAnsi="Arial"/>
          <w:sz w:val="21"/>
          <w:szCs w:val="21"/>
          <w:color w:val="auto"/>
        </w:rPr>
        <w:t>WHEREAS, the Indemnitor has requested, and the Sempra Indemnitees have agreed, subject to the terms hereof, to extend the Novation Deadline set forth in section 2.03 of the Indemnity Agreement;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NOW THEREFORE, the parties hereby agree as follows:</w:t>
      </w:r>
    </w:p>
    <w:p>
      <w:pPr>
        <w:spacing w:after="0" w:line="214" w:lineRule="exact"/>
        <w:rPr>
          <w:sz w:val="20"/>
          <w:szCs w:val="20"/>
          <w:color w:val="auto"/>
        </w:rPr>
      </w:pPr>
    </w:p>
    <w:p>
      <w:pPr>
        <w:jc w:val="both"/>
        <w:ind w:right="460" w:firstLine="1293"/>
        <w:spacing w:after="0" w:line="255" w:lineRule="auto"/>
        <w:tabs>
          <w:tab w:leader="none" w:pos="155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first sentence of Section 2.03 of the First Amendment shall be amended by deleting the following words: “Until June 30, 2009 (such date, the “</w:t>
      </w:r>
      <w:r>
        <w:rPr>
          <w:rFonts w:ascii="Arial" w:cs="Arial" w:eastAsia="Arial" w:hAnsi="Arial"/>
          <w:sz w:val="21"/>
          <w:szCs w:val="21"/>
          <w:b w:val="1"/>
          <w:bCs w:val="1"/>
          <w:color w:val="auto"/>
        </w:rPr>
        <w:t>Novation Deadline</w:t>
      </w:r>
      <w:r>
        <w:rPr>
          <w:rFonts w:ascii="Arial" w:cs="Arial" w:eastAsia="Arial" w:hAnsi="Arial"/>
          <w:sz w:val="21"/>
          <w:szCs w:val="21"/>
          <w:color w:val="auto"/>
        </w:rPr>
        <w:t>”)” and replacing them with the following: “Until December 31, 2009 (such date, the “</w:t>
      </w:r>
      <w:r>
        <w:rPr>
          <w:rFonts w:ascii="Arial" w:cs="Arial" w:eastAsia="Arial" w:hAnsi="Arial"/>
          <w:sz w:val="21"/>
          <w:szCs w:val="21"/>
          <w:b w:val="1"/>
          <w:bCs w:val="1"/>
          <w:color w:val="auto"/>
        </w:rPr>
        <w:t>Novation Deadline</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ind w:right="60" w:firstLine="1293"/>
        <w:spacing w:after="0" w:line="270" w:lineRule="auto"/>
        <w:tabs>
          <w:tab w:leader="none" w:pos="1554" w:val="left"/>
        </w:tabs>
        <w:numPr>
          <w:ilvl w:val="0"/>
          <w:numId w:val="99"/>
        </w:numPr>
        <w:rPr>
          <w:rFonts w:ascii="Arial" w:cs="Arial" w:eastAsia="Arial" w:hAnsi="Arial"/>
          <w:sz w:val="19"/>
          <w:szCs w:val="19"/>
          <w:color w:val="auto"/>
        </w:rPr>
      </w:pPr>
      <w:r>
        <w:rPr>
          <w:rFonts w:ascii="Arial" w:cs="Arial" w:eastAsia="Arial" w:hAnsi="Arial"/>
          <w:sz w:val="19"/>
          <w:szCs w:val="19"/>
          <w:color w:val="auto"/>
        </w:rPr>
        <w:t>Except as expressly modified herein, the terms and provisions of the Indemnity Agreement shall remain in full force and effect and be enforceable against the parties thereto. Nothing expressed or referred to in this Second Amendment will be construed to give any person other than the Sempra Indemnitees and the Indemnitor any legal or equitable right, remedy or claim under or with respect to this Second Amendment except such rights as shall inure to a successor or permitted assignee pursuant to the Indemnity Agreement. The Sempra Indemnitees reserve all of their respective rights under the Financial Assurances and do not, by executing and delivering this Second Amendment, waive, impair or limit any of their respective rights or remedies, or the rights or remedies of any other Indemnified Parties, under the Financial Assurances. This Second Amendment may be executed in any number of coun terparts, each of which, when so executed, shall be deemed to be an original and all of which, taken together, shall constitute one and the same agreement. Delivery of an executed counterpart of a signature page to this Second Amendment by fax or email shall be as effective as delivery of an original executed counterpart of this Second Amendment. This Second Amendment shall be governed by, and construed in accordance with, the laws of the State of New York.</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[remainder of page intentionally left blank]</w:t>
      </w:r>
    </w:p>
    <w:p>
      <w:pPr>
        <w:sectPr>
          <w:pgSz w:w="11900" w:h="16838" w:orient="portrait"/>
          <w:cols w:equalWidth="0" w:num="1">
            <w:col w:w="11400"/>
          </w:cols>
          <w:pgMar w:left="240" w:top="835" w:right="259" w:bottom="1440" w:gutter="0" w:footer="0" w:header="0"/>
        </w:sectPr>
      </w:pPr>
    </w:p>
    <w:bookmarkStart w:id="99" w:name="page100"/>
    <w:bookmarkEnd w:id="99"/>
    <w:p>
      <w:pPr>
        <w:ind w:firstLine="643"/>
        <w:spacing w:after="0" w:line="270" w:lineRule="auto"/>
        <w:rPr>
          <w:sz w:val="20"/>
          <w:szCs w:val="20"/>
          <w:color w:val="auto"/>
        </w:rPr>
      </w:pPr>
      <w:r>
        <w:rPr>
          <w:rFonts w:ascii="Arial" w:cs="Arial" w:eastAsia="Arial" w:hAnsi="Arial"/>
          <w:sz w:val="21"/>
          <w:szCs w:val="21"/>
          <w:color w:val="auto"/>
        </w:rPr>
        <w:t>IN WITNESS WHEREOF, the parties have caused this Second Amendment to be executed as of the day and year first above written.</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SEMPRA ENERGY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1"/>
          <w:szCs w:val="21"/>
          <w:color w:val="auto"/>
        </w:rPr>
        <w:t>Joseph A. Householder</w:t>
      </w:r>
    </w:p>
    <w:p>
      <w:pPr>
        <w:ind w:left="440"/>
        <w:spacing w:after="0"/>
        <w:rPr>
          <w:sz w:val="20"/>
          <w:szCs w:val="20"/>
          <w:color w:val="auto"/>
        </w:rPr>
      </w:pPr>
      <w:r>
        <w:rPr>
          <w:rFonts w:ascii="Arial" w:cs="Arial" w:eastAsia="Arial" w:hAnsi="Arial"/>
          <w:sz w:val="21"/>
          <w:szCs w:val="21"/>
          <w:color w:val="auto"/>
        </w:rPr>
        <w:t>Senior Vice President, Chief Accounting Officer and Controller</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PACIFIC ENTERPRISES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1"/>
          <w:szCs w:val="21"/>
          <w:color w:val="auto"/>
        </w:rPr>
        <w:t>Randall Clark</w:t>
      </w:r>
    </w:p>
    <w:p>
      <w:pPr>
        <w:ind w:left="380"/>
        <w:spacing w:after="0"/>
        <w:rPr>
          <w:sz w:val="20"/>
          <w:szCs w:val="20"/>
          <w:color w:val="auto"/>
        </w:rPr>
      </w:pPr>
      <w:r>
        <w:rPr>
          <w:rFonts w:ascii="Arial" w:cs="Arial" w:eastAsia="Arial" w:hAnsi="Arial"/>
          <w:sz w:val="21"/>
          <w:szCs w:val="21"/>
          <w:color w:val="auto"/>
        </w:rPr>
        <w:t>Assistant Secretary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ENOVA CORPORATION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1"/>
          <w:szCs w:val="21"/>
          <w:color w:val="auto"/>
        </w:rPr>
        <w:t>Randall Clark</w:t>
      </w:r>
    </w:p>
    <w:p>
      <w:pPr>
        <w:ind w:left="380"/>
        <w:spacing w:after="0"/>
        <w:rPr>
          <w:sz w:val="20"/>
          <w:szCs w:val="20"/>
          <w:color w:val="auto"/>
        </w:rPr>
      </w:pPr>
      <w:r>
        <w:rPr>
          <w:rFonts w:ascii="Arial" w:cs="Arial" w:eastAsia="Arial" w:hAnsi="Arial"/>
          <w:sz w:val="21"/>
          <w:szCs w:val="21"/>
          <w:color w:val="auto"/>
        </w:rPr>
        <w:t>Assistant Secretary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THE ROYAL BANK OF SCOTLAND PLC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360"/>
          </w:cols>
          <w:pgMar w:left="240" w:top="1056" w:right="299" w:bottom="1440" w:gutter="0" w:footer="0" w:header="0"/>
        </w:sectPr>
      </w:pPr>
    </w:p>
    <w:bookmarkStart w:id="100" w:name="page101"/>
    <w:bookmarkEnd w:id="100"/>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SEMPRA ENERGY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June 30, 2009</w:t>
            </w:r>
          </w:p>
        </w:tc>
        <w:tc>
          <w:tcPr>
            <w:tcW w:w="0" w:type="dxa"/>
            <w:vAlign w:val="bottom"/>
          </w:tcPr>
          <w:p>
            <w:pPr>
              <w:spacing w:after="0"/>
              <w:rPr>
                <w:sz w:val="1"/>
                <w:szCs w:val="1"/>
                <w:color w:val="auto"/>
              </w:rPr>
            </w:pPr>
          </w:p>
        </w:tc>
      </w:tr>
      <w:tr>
        <w:trPr>
          <w:trHeight w:val="208"/>
        </w:trPr>
        <w:tc>
          <w:tcPr>
            <w:tcW w:w="1580" w:type="dxa"/>
            <w:vAlign w:val="bottom"/>
          </w:tcPr>
          <w:p>
            <w:pPr>
              <w:spacing w:after="0"/>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and preferred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2"/>
        </w:trPr>
        <w:tc>
          <w:tcPr>
            <w:tcW w:w="1580" w:type="dxa"/>
            <w:vAlign w:val="bottom"/>
          </w:tcPr>
          <w:p>
            <w:pPr>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Interest portion of</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annual rentals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dividends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subsidiaries</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580" w:type="dxa"/>
            <w:vAlign w:val="bottom"/>
          </w:tcPr>
          <w:p>
            <w:pPr>
              <w:ind w:left="380"/>
              <w:spacing w:after="0"/>
              <w:rPr>
                <w:sz w:val="20"/>
                <w:szCs w:val="20"/>
                <w:color w:val="auto"/>
              </w:rPr>
            </w:pPr>
            <w:r>
              <w:rPr>
                <w:rFonts w:ascii="Arial" w:cs="Arial" w:eastAsia="Arial" w:hAnsi="Arial"/>
                <w:sz w:val="18"/>
                <w:szCs w:val="18"/>
                <w:color w:val="auto"/>
              </w:rPr>
              <w:t>Total fixed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640"/>
              <w:spacing w:after="0"/>
              <w:rPr>
                <w:sz w:val="20"/>
                <w:szCs w:val="20"/>
                <w:color w:val="auto"/>
              </w:rPr>
            </w:pPr>
            <w:r>
              <w:rPr>
                <w:rFonts w:ascii="Arial" w:cs="Arial" w:eastAsia="Arial" w:hAnsi="Arial"/>
                <w:sz w:val="18"/>
                <w:szCs w:val="18"/>
                <w:color w:val="auto"/>
              </w:rPr>
              <w:t>charges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dividends for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purpose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ratio</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80" w:type="dxa"/>
            <w:vAlign w:val="bottom"/>
            <w:vMerge w:val="restart"/>
          </w:tcPr>
          <w:p>
            <w:pPr>
              <w:spacing w:after="0"/>
              <w:rPr>
                <w:sz w:val="20"/>
                <w:szCs w:val="20"/>
                <w:color w:val="auto"/>
              </w:rPr>
            </w:pPr>
            <w:r>
              <w:rPr>
                <w:rFonts w:ascii="Arial" w:cs="Arial" w:eastAsia="Arial" w:hAnsi="Arial"/>
                <w:sz w:val="18"/>
                <w:szCs w:val="18"/>
                <w:color w:val="auto"/>
              </w:rPr>
              <w:t>Total fixed</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dividends for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purpose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ratio</w:t>
            </w:r>
          </w:p>
        </w:tc>
        <w:tc>
          <w:tcPr>
            <w:tcW w:w="38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1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Pretax income</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from</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continuing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before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adjustment for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income 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loss from</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82"/>
        </w:trPr>
        <w:tc>
          <w:tcPr>
            <w:tcW w:w="1580" w:type="dxa"/>
            <w:vAlign w:val="bottom"/>
          </w:tcPr>
          <w:p>
            <w:pPr>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120"/>
              <w:spacing w:after="0"/>
              <w:rPr>
                <w:sz w:val="20"/>
                <w:szCs w:val="20"/>
                <w:color w:val="auto"/>
              </w:rPr>
            </w:pPr>
            <w:r>
              <w:rPr>
                <w:rFonts w:ascii="Arial" w:cs="Arial" w:eastAsia="Arial" w:hAnsi="Arial"/>
                <w:sz w:val="18"/>
                <w:szCs w:val="18"/>
                <w:color w:val="auto"/>
              </w:rPr>
              <w:t>Total fixed</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charges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80"/>
              <w:spacing w:after="0"/>
              <w:rPr>
                <w:sz w:val="20"/>
                <w:szCs w:val="20"/>
                <w:color w:val="auto"/>
              </w:rPr>
            </w:pPr>
            <w:r>
              <w:rPr>
                <w:rFonts w:ascii="Arial" w:cs="Arial" w:eastAsia="Arial" w:hAnsi="Arial"/>
                <w:sz w:val="18"/>
                <w:szCs w:val="18"/>
                <w:color w:val="auto"/>
              </w:rPr>
              <w:t>(from above)</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456"/>
        </w:trPr>
        <w:tc>
          <w:tcPr>
            <w:tcW w:w="1580" w:type="dxa"/>
            <w:vAlign w:val="bottom"/>
          </w:tcPr>
          <w:p>
            <w:pPr>
              <w:ind w:left="120"/>
              <w:spacing w:after="0"/>
              <w:rPr>
                <w:sz w:val="20"/>
                <w:szCs w:val="20"/>
                <w:color w:val="auto"/>
              </w:rPr>
            </w:pPr>
            <w:r>
              <w:rPr>
                <w:rFonts w:ascii="Arial" w:cs="Arial" w:eastAsia="Arial" w:hAnsi="Arial"/>
                <w:sz w:val="18"/>
                <w:szCs w:val="18"/>
                <w:color w:val="auto"/>
              </w:rPr>
              <w:t>Distributed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income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80"/>
              <w:spacing w:after="0"/>
              <w:rPr>
                <w:sz w:val="20"/>
                <w:szCs w:val="20"/>
                <w:color w:val="auto"/>
              </w:rPr>
            </w:pPr>
            <w:r>
              <w:rPr>
                <w:rFonts w:ascii="Arial" w:cs="Arial" w:eastAsia="Arial" w:hAnsi="Arial"/>
                <w:sz w:val="18"/>
                <w:szCs w:val="18"/>
                <w:color w:val="auto"/>
              </w:rPr>
              <w:t>investees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482"/>
        </w:trPr>
        <w:tc>
          <w:tcPr>
            <w:tcW w:w="1580" w:type="dxa"/>
            <w:vAlign w:val="bottom"/>
          </w:tcPr>
          <w:p>
            <w:pPr>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120"/>
              <w:spacing w:after="0"/>
              <w:rPr>
                <w:sz w:val="20"/>
                <w:szCs w:val="20"/>
                <w:color w:val="auto"/>
              </w:rPr>
            </w:pPr>
            <w:r>
              <w:rPr>
                <w:rFonts w:ascii="Arial" w:cs="Arial" w:eastAsia="Arial" w:hAnsi="Arial"/>
                <w:sz w:val="18"/>
                <w:szCs w:val="18"/>
                <w:color w:val="auto"/>
              </w:rPr>
              <w:t>capitalized</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56"/>
        </w:trPr>
        <w:tc>
          <w:tcPr>
            <w:tcW w:w="1580" w:type="dxa"/>
            <w:vAlign w:val="bottom"/>
          </w:tcPr>
          <w:p>
            <w:pPr>
              <w:ind w:left="120"/>
              <w:spacing w:after="0"/>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dividends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subsidiaries</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44" w:orient="portrait"/>
          <w:cols w:equalWidth="0" w:num="1">
            <w:col w:w="11500"/>
          </w:cols>
          <w:pgMar w:left="260" w:top="880" w:right="139"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Total earnings for</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60"/>
              <w:spacing w:after="0" w:line="162" w:lineRule="exact"/>
              <w:rPr>
                <w:sz w:val="20"/>
                <w:szCs w:val="20"/>
                <w:color w:val="auto"/>
              </w:rPr>
            </w:pPr>
            <w:r>
              <w:rPr>
                <w:rFonts w:ascii="Arial" w:cs="Arial" w:eastAsia="Arial" w:hAnsi="Arial"/>
                <w:sz w:val="18"/>
                <w:szCs w:val="18"/>
                <w:color w:val="auto"/>
              </w:rPr>
              <w:t>purpose of</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ratio</w:t>
            </w:r>
          </w:p>
        </w:tc>
        <w:tc>
          <w:tcPr>
            <w:tcW w:w="6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2,376</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1,401</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to combined</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fixed charges</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and preferred</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6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3.59</w:t>
            </w: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5.47</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4.63</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75"/>
        </w:trPr>
        <w:tc>
          <w:tcPr>
            <w:tcW w:w="1580" w:type="dxa"/>
            <w:vAlign w:val="bottom"/>
          </w:tcPr>
          <w:p>
            <w:pPr>
              <w:ind w:left="260"/>
              <w:spacing w:after="0" w:line="175" w:lineRule="exact"/>
              <w:rPr>
                <w:sz w:val="20"/>
                <w:szCs w:val="20"/>
                <w:color w:val="auto"/>
              </w:rPr>
            </w:pPr>
            <w:r>
              <w:rPr>
                <w:rFonts w:ascii="Arial" w:cs="Arial" w:eastAsia="Arial" w:hAnsi="Arial"/>
                <w:sz w:val="18"/>
                <w:szCs w:val="18"/>
                <w:color w:val="auto"/>
              </w:rPr>
              <w:t>dividends</w:t>
            </w:r>
          </w:p>
        </w:tc>
        <w:tc>
          <w:tcPr>
            <w:tcW w:w="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to fixed</w:t>
            </w:r>
          </w:p>
        </w:tc>
        <w:tc>
          <w:tcPr>
            <w:tcW w:w="6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3.59</w:t>
            </w: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5.47</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4.63</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75"/>
        </w:trPr>
        <w:tc>
          <w:tcPr>
            <w:tcW w:w="1580" w:type="dxa"/>
            <w:vAlign w:val="bottom"/>
          </w:tcPr>
          <w:p>
            <w:pPr>
              <w:ind w:left="260"/>
              <w:spacing w:after="0" w:line="175" w:lineRule="exact"/>
              <w:rPr>
                <w:sz w:val="20"/>
                <w:szCs w:val="20"/>
                <w:color w:val="auto"/>
              </w:rPr>
            </w:pPr>
            <w:r>
              <w:rPr>
                <w:rFonts w:ascii="Arial" w:cs="Arial" w:eastAsia="Arial" w:hAnsi="Arial"/>
                <w:sz w:val="18"/>
                <w:szCs w:val="18"/>
                <w:color w:val="auto"/>
              </w:rPr>
              <w:t>charges</w:t>
            </w:r>
          </w:p>
        </w:tc>
        <w:tc>
          <w:tcPr>
            <w:tcW w:w="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1880" w:firstLine="1"/>
        <w:spacing w:after="0"/>
        <w:tabs>
          <w:tab w:leader="none" w:pos="3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500"/>
          </w:cols>
          <w:pgMar w:left="260" w:top="374" w:right="1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Fixed Charges and</w:t>
      </w:r>
    </w:p>
    <w:p>
      <w:pPr>
        <w:ind w:left="260"/>
        <w:spacing w:after="0" w:line="232"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62" w:lineRule="exact"/>
        <w:rPr>
          <w:sz w:val="20"/>
          <w:szCs w:val="20"/>
          <w:color w:val="auto"/>
        </w:rPr>
      </w:pPr>
    </w:p>
    <w:p>
      <w:pPr>
        <w:ind w:left="260" w:right="80" w:hanging="256"/>
        <w:spacing w:after="0"/>
        <w:rPr>
          <w:sz w:val="20"/>
          <w:szCs w:val="20"/>
          <w:color w:val="auto"/>
        </w:rPr>
      </w:pPr>
      <w:r>
        <w:rPr>
          <w:rFonts w:ascii="Arial" w:cs="Arial" w:eastAsia="Arial" w:hAnsi="Arial"/>
          <w:sz w:val="18"/>
          <w:szCs w:val="18"/>
          <w:color w:val="auto"/>
        </w:rPr>
        <w:t>Interest portion of annual rentals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dividends</w:t>
      </w:r>
    </w:p>
    <w:p>
      <w:pPr>
        <w:ind w:left="260"/>
        <w:spacing w:after="0"/>
        <w:rPr>
          <w:sz w:val="20"/>
          <w:szCs w:val="20"/>
          <w:color w:val="auto"/>
        </w:rPr>
      </w:pPr>
      <w:r>
        <w:rPr>
          <w:rFonts w:ascii="Arial" w:cs="Arial" w:eastAsia="Arial" w:hAnsi="Arial"/>
          <w:sz w:val="18"/>
          <w:szCs w:val="18"/>
          <w:color w:val="auto"/>
        </w:rPr>
        <w:t>(1)</w:t>
      </w:r>
    </w:p>
    <w:p>
      <w:pPr>
        <w:spacing w:after="0" w:line="262" w:lineRule="exact"/>
        <w:rPr>
          <w:sz w:val="20"/>
          <w:szCs w:val="20"/>
          <w:color w:val="auto"/>
        </w:rPr>
      </w:pPr>
    </w:p>
    <w:p>
      <w:pPr>
        <w:ind w:left="260" w:right="100" w:hanging="256"/>
        <w:spacing w:after="0" w:line="236" w:lineRule="auto"/>
        <w:rPr>
          <w:sz w:val="20"/>
          <w:szCs w:val="20"/>
          <w:color w:val="auto"/>
        </w:rPr>
      </w:pPr>
      <w:r>
        <w:rPr>
          <w:rFonts w:ascii="Arial" w:cs="Arial" w:eastAsia="Arial" w:hAnsi="Arial"/>
          <w:sz w:val="18"/>
          <w:szCs w:val="18"/>
          <w:color w:val="auto"/>
        </w:rPr>
        <w:t>Combined fixed charges and preferred stock dividends for purpose of ratio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62" w:lineRule="exact"/>
        <w:rPr>
          <w:sz w:val="20"/>
          <w:szCs w:val="20"/>
          <w:color w:val="auto"/>
        </w:rPr>
      </w:pPr>
    </w:p>
    <w:p>
      <w:pPr>
        <w:ind w:left="260" w:right="100" w:hanging="256"/>
        <w:spacing w:after="0" w:line="268" w:lineRule="auto"/>
        <w:rPr>
          <w:sz w:val="20"/>
          <w:szCs w:val="20"/>
          <w:color w:val="auto"/>
        </w:rPr>
      </w:pPr>
      <w:r>
        <w:rPr>
          <w:rFonts w:ascii="Arial" w:cs="Arial" w:eastAsia="Arial" w:hAnsi="Arial"/>
          <w:sz w:val="17"/>
          <w:szCs w:val="17"/>
          <w:color w:val="auto"/>
        </w:rPr>
        <w:t>Pretax income from continuing operations</w:t>
      </w:r>
    </w:p>
    <w:p>
      <w:pPr>
        <w:spacing w:after="0" w:line="233" w:lineRule="exact"/>
        <w:rPr>
          <w:sz w:val="20"/>
          <w:szCs w:val="20"/>
          <w:color w:val="auto"/>
        </w:rPr>
      </w:pPr>
    </w:p>
    <w:p>
      <w:pPr>
        <w:ind w:left="260" w:right="100" w:hanging="256"/>
        <w:spacing w:after="0"/>
        <w:rPr>
          <w:sz w:val="20"/>
          <w:szCs w:val="20"/>
          <w:color w:val="auto"/>
        </w:rPr>
      </w:pPr>
      <w:r>
        <w:rPr>
          <w:rFonts w:ascii="Arial" w:cs="Arial" w:eastAsia="Arial" w:hAnsi="Arial"/>
          <w:sz w:val="18"/>
          <w:szCs w:val="18"/>
          <w:color w:val="auto"/>
        </w:rPr>
        <w:t>Total fixed charges (from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Less: Interest capitalized</w:t>
      </w:r>
    </w:p>
    <w:p>
      <w:pPr>
        <w:spacing w:after="0" w:line="262" w:lineRule="exact"/>
        <w:rPr>
          <w:sz w:val="20"/>
          <w:szCs w:val="20"/>
          <w:color w:val="auto"/>
        </w:rPr>
      </w:pPr>
    </w:p>
    <w:p>
      <w:pPr>
        <w:ind w:left="260" w:hanging="256"/>
        <w:spacing w:after="0"/>
        <w:rPr>
          <w:sz w:val="20"/>
          <w:szCs w:val="20"/>
          <w:color w:val="auto"/>
        </w:rPr>
      </w:pPr>
      <w:r>
        <w:rPr>
          <w:rFonts w:ascii="Arial" w:cs="Arial" w:eastAsia="Arial" w:hAnsi="Arial"/>
          <w:sz w:val="18"/>
          <w:szCs w:val="18"/>
          <w:color w:val="auto"/>
        </w:rPr>
        <w:t>Total earnings for purpose of ratio</w:t>
      </w:r>
    </w:p>
    <w:p>
      <w:pPr>
        <w:spacing w:after="0" w:line="256" w:lineRule="exact"/>
        <w:rPr>
          <w:sz w:val="20"/>
          <w:szCs w:val="20"/>
          <w:color w:val="auto"/>
        </w:rPr>
      </w:pPr>
    </w:p>
    <w:p>
      <w:pPr>
        <w:ind w:left="260" w:right="40" w:hanging="256"/>
        <w:spacing w:after="0" w:line="254" w:lineRule="auto"/>
        <w:rPr>
          <w:sz w:val="20"/>
          <w:szCs w:val="20"/>
          <w:color w:val="auto"/>
        </w:rPr>
      </w:pPr>
      <w:r>
        <w:rPr>
          <w:rFonts w:ascii="Arial" w:cs="Arial" w:eastAsia="Arial" w:hAnsi="Arial"/>
          <w:sz w:val="17"/>
          <w:szCs w:val="17"/>
          <w:color w:val="auto"/>
        </w:rPr>
        <w:t>Ratio of earnings to combined fixed charges and preferred stock dividends</w:t>
      </w:r>
    </w:p>
    <w:p>
      <w:pPr>
        <w:spacing w:after="0" w:line="244" w:lineRule="exact"/>
        <w:rPr>
          <w:sz w:val="20"/>
          <w:szCs w:val="20"/>
          <w:color w:val="auto"/>
        </w:rPr>
      </w:pPr>
    </w:p>
    <w:p>
      <w:pPr>
        <w:ind w:left="260" w:right="80" w:hanging="256"/>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8"/>
          <w:szCs w:val="18"/>
          <w:b w:val="1"/>
          <w:bCs w:val="1"/>
          <w:color w:val="auto"/>
        </w:rPr>
        <w:t>EXHIBIT 12.2</w:t>
      </w:r>
    </w:p>
    <w:p>
      <w:pPr>
        <w:spacing w:after="0" w:line="29"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SAN DIEGO GAS &amp; ELECTRIC COMPANY</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0"/>
        <w:spacing w:after="0"/>
        <w:tabs>
          <w:tab w:leader="none" w:pos="1860" w:val="left"/>
          <w:tab w:leader="none" w:pos="3260" w:val="left"/>
          <w:tab w:leader="none" w:pos="4660" w:val="left"/>
          <w:tab w:leader="none" w:pos="6240" w:val="left"/>
          <w:tab w:leader="none" w:pos="7600" w:val="left"/>
        </w:tabs>
        <w:rPr>
          <w:sz w:val="20"/>
          <w:szCs w:val="20"/>
          <w:color w:val="auto"/>
        </w:rPr>
      </w:pPr>
      <w:r>
        <w:rPr>
          <w:rFonts w:ascii="Arial" w:cs="Arial" w:eastAsia="Arial" w:hAnsi="Arial"/>
          <w:sz w:val="18"/>
          <w:szCs w:val="18"/>
          <w:color w:val="auto"/>
        </w:rPr>
        <w:t>2004</w:t>
      </w:r>
      <w:r>
        <w:rPr>
          <w:sz w:val="20"/>
          <w:szCs w:val="20"/>
          <w:color w:val="auto"/>
        </w:rPr>
        <w:tab/>
      </w: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2006</w:t>
      </w:r>
      <w:r>
        <w:rPr>
          <w:sz w:val="20"/>
          <w:szCs w:val="20"/>
          <w:color w:val="auto"/>
        </w:rPr>
        <w:tab/>
      </w: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2008</w:t>
      </w:r>
      <w:r>
        <w:rPr>
          <w:sz w:val="20"/>
          <w:szCs w:val="20"/>
          <w:color w:val="auto"/>
        </w:rPr>
        <w:tab/>
      </w:r>
      <w:r>
        <w:rPr>
          <w:rFonts w:ascii="Arial" w:cs="Arial" w:eastAsia="Arial" w:hAnsi="Arial"/>
          <w:sz w:val="17"/>
          <w:szCs w:val="17"/>
          <w:color w:val="auto"/>
        </w:rPr>
        <w:t>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708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657"/>
        </w:trPr>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75"/>
        </w:trPr>
        <w:tc>
          <w:tcPr>
            <w:tcW w:w="6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657"/>
        </w:trPr>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1080" w:val="left"/>
          <w:tab w:leader="none" w:pos="1580" w:val="left"/>
          <w:tab w:leader="none" w:pos="2480" w:val="left"/>
          <w:tab w:leader="none" w:pos="3000" w:val="left"/>
          <w:tab w:leader="none" w:pos="3780" w:val="left"/>
          <w:tab w:leader="none" w:pos="4400" w:val="left"/>
          <w:tab w:leader="none" w:pos="5200" w:val="left"/>
          <w:tab w:leader="none" w:pos="5840" w:val="left"/>
          <w:tab w:leader="none" w:pos="6920" w:val="left"/>
          <w:tab w:leader="none" w:pos="7560" w:val="left"/>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7080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801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670"/>
        </w:trPr>
        <w:tc>
          <w:tcPr>
            <w:tcW w:w="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70"/>
        </w:trPr>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623"/>
        </w:trPr>
        <w:tc>
          <w:tcPr>
            <w:tcW w:w="6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435</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00" w:type="dxa"/>
            <w:vAlign w:val="bottom"/>
          </w:tcPr>
          <w:p>
            <w:pPr>
              <w:jc w:val="right"/>
              <w:spacing w:after="0"/>
              <w:rPr>
                <w:sz w:val="20"/>
                <w:szCs w:val="20"/>
                <w:color w:val="auto"/>
              </w:rPr>
            </w:pPr>
            <w:r>
              <w:rPr>
                <w:rFonts w:ascii="Arial" w:cs="Arial" w:eastAsia="Arial" w:hAnsi="Arial"/>
                <w:sz w:val="18"/>
                <w:szCs w:val="18"/>
                <w:color w:val="auto"/>
              </w:rPr>
              <w:t>5.35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r>
      <w:tr>
        <w:trPr>
          <w:trHeight w:val="20"/>
        </w:trPr>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610"/>
        </w:trPr>
        <w:tc>
          <w:tcPr>
            <w:tcW w:w="1300" w:type="dxa"/>
            <w:vAlign w:val="bottom"/>
          </w:tcPr>
          <w:p>
            <w:pPr>
              <w:jc w:val="right"/>
              <w:spacing w:after="0"/>
              <w:rPr>
                <w:sz w:val="20"/>
                <w:szCs w:val="20"/>
                <w:color w:val="auto"/>
              </w:rPr>
            </w:pPr>
            <w:r>
              <w:rPr>
                <w:rFonts w:ascii="Arial" w:cs="Arial" w:eastAsia="Arial" w:hAnsi="Arial"/>
                <w:sz w:val="18"/>
                <w:szCs w:val="18"/>
                <w:color w:val="auto"/>
              </w:rPr>
              <w:t>5.93</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6.57</w:t>
            </w:r>
          </w:p>
        </w:tc>
      </w:tr>
      <w:tr>
        <w:trPr>
          <w:trHeight w:val="20"/>
        </w:trPr>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060" w:space="360"/>
            <w:col w:w="8980"/>
          </w:cols>
          <w:pgMar w:left="260" w:top="880" w:right="239" w:bottom="1440" w:gutter="0" w:footer="0" w:header="0"/>
        </w:sectPr>
      </w:pPr>
    </w:p>
    <w:p>
      <w:pPr>
        <w:spacing w:after="0" w:line="295" w:lineRule="exact"/>
        <w:rPr>
          <w:sz w:val="20"/>
          <w:szCs w:val="20"/>
          <w:color w:val="auto"/>
        </w:rPr>
      </w:pPr>
    </w:p>
    <w:p>
      <w:pPr>
        <w:ind w:right="320" w:firstLine="1"/>
        <w:spacing w:after="0"/>
        <w:tabs>
          <w:tab w:leader="none" w:pos="3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880" w:right="239" w:bottom="1440" w:gutter="0" w:footer="0" w:header="0"/>
          <w:type w:val="continuous"/>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EXHIBIT 12.3</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PACIFIC ENTERPRISES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w:t>
            </w:r>
          </w:p>
        </w:tc>
        <w:tc>
          <w:tcPr>
            <w:tcW w:w="4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640" w:type="dxa"/>
            <w:vAlign w:val="bottom"/>
            <w:gridSpan w:val="2"/>
          </w:tcPr>
          <w:p>
            <w:pPr>
              <w:jc w:val="right"/>
              <w:ind w:right="171"/>
              <w:spacing w:after="0"/>
              <w:rPr>
                <w:sz w:val="20"/>
                <w:szCs w:val="20"/>
                <w:color w:val="auto"/>
              </w:rPr>
            </w:pPr>
            <w:r>
              <w:rPr>
                <w:rFonts w:ascii="Arial" w:cs="Arial" w:eastAsia="Arial" w:hAnsi="Arial"/>
                <w:sz w:val="18"/>
                <w:szCs w:val="18"/>
                <w:color w:val="auto"/>
              </w:rPr>
              <w:t>June 30, 2009</w:t>
            </w: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r>
              <w:rPr>
                <w:rFonts w:ascii="Arial" w:cs="Arial" w:eastAsia="Arial" w:hAnsi="Arial"/>
                <w:sz w:val="18"/>
                <w:szCs w:val="18"/>
                <w:color w:val="auto"/>
              </w:rPr>
              <w:t>Fixed Charges:</w:t>
            </w: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1780" w:type="dxa"/>
            <w:vAlign w:val="bottom"/>
          </w:tcPr>
          <w:p>
            <w:pPr>
              <w:spacing w:after="0"/>
              <w:rPr>
                <w:sz w:val="20"/>
                <w:szCs w:val="20"/>
                <w:color w:val="auto"/>
              </w:rPr>
            </w:pPr>
            <w:r>
              <w:rPr>
                <w:rFonts w:ascii="Arial" w:cs="Arial" w:eastAsia="Arial" w:hAnsi="Arial"/>
                <w:sz w:val="18"/>
                <w:szCs w:val="18"/>
                <w:color w:val="auto"/>
              </w:rPr>
              <w:t>Interest</w:t>
            </w:r>
          </w:p>
        </w:tc>
        <w:tc>
          <w:tcPr>
            <w:tcW w:w="102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900" w:type="dxa"/>
            <w:vAlign w:val="bottom"/>
            <w:gridSpan w:val="2"/>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Interest portion of</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780" w:type="dxa"/>
            <w:vAlign w:val="bottom"/>
          </w:tcPr>
          <w:p>
            <w:pPr>
              <w:ind w:left="260"/>
              <w:spacing w:after="0"/>
              <w:rPr>
                <w:sz w:val="20"/>
                <w:szCs w:val="20"/>
                <w:color w:val="auto"/>
              </w:rPr>
            </w:pPr>
            <w:r>
              <w:rPr>
                <w:rFonts w:ascii="Arial" w:cs="Arial" w:eastAsia="Arial" w:hAnsi="Arial"/>
                <w:sz w:val="18"/>
                <w:szCs w:val="18"/>
                <w:color w:val="auto"/>
              </w:rPr>
              <w:t>annual rentals</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Preferred dividends</w:t>
            </w:r>
          </w:p>
        </w:tc>
        <w:tc>
          <w:tcPr>
            <w:tcW w:w="10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of subsidiary (1)</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4"/>
        </w:trPr>
        <w:tc>
          <w:tcPr>
            <w:tcW w:w="1780" w:type="dxa"/>
            <w:vAlign w:val="bottom"/>
          </w:tcPr>
          <w:p>
            <w:pPr>
              <w:spacing w:after="0"/>
              <w:rPr>
                <w:sz w:val="20"/>
                <w:szCs w:val="20"/>
                <w:color w:val="auto"/>
              </w:rPr>
            </w:pPr>
            <w:r>
              <w:rPr>
                <w:rFonts w:ascii="Arial" w:cs="Arial" w:eastAsia="Arial" w:hAnsi="Arial"/>
                <w:sz w:val="18"/>
                <w:szCs w:val="18"/>
                <w:color w:val="auto"/>
              </w:rPr>
              <w:t>Total fixed charges</w:t>
            </w: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dividends</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780" w:type="dxa"/>
            <w:vAlign w:val="bottom"/>
          </w:tcPr>
          <w:p>
            <w:pPr>
              <w:spacing w:after="0"/>
              <w:rPr>
                <w:sz w:val="20"/>
                <w:szCs w:val="20"/>
                <w:color w:val="auto"/>
              </w:rPr>
            </w:pPr>
            <w:r>
              <w:rPr>
                <w:rFonts w:ascii="Arial" w:cs="Arial" w:eastAsia="Arial" w:hAnsi="Arial"/>
                <w:sz w:val="18"/>
                <w:szCs w:val="18"/>
                <w:color w:val="auto"/>
              </w:rPr>
              <w:t>Combined fixed</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charges and</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dividends for</w:t>
            </w:r>
          </w:p>
        </w:tc>
        <w:tc>
          <w:tcPr>
            <w:tcW w:w="1020" w:type="dxa"/>
            <w:vAlign w:val="bottom"/>
            <w:vMerge w:val="restart"/>
          </w:tcPr>
          <w:p>
            <w:pPr>
              <w:jc w:val="right"/>
              <w:ind w:right="651"/>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10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900" w:type="dxa"/>
            <w:vAlign w:val="bottom"/>
            <w:gridSpan w:val="2"/>
            <w:vMerge w:val="restart"/>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5"/>
        </w:trPr>
        <w:tc>
          <w:tcPr>
            <w:tcW w:w="1780" w:type="dxa"/>
            <w:vAlign w:val="bottom"/>
          </w:tcPr>
          <w:p>
            <w:pPr>
              <w:ind w:left="260"/>
              <w:spacing w:after="0" w:line="175" w:lineRule="exact"/>
              <w:rPr>
                <w:sz w:val="20"/>
                <w:szCs w:val="20"/>
                <w:color w:val="auto"/>
              </w:rPr>
            </w:pPr>
            <w:r>
              <w:rPr>
                <w:rFonts w:ascii="Arial" w:cs="Arial" w:eastAsia="Arial" w:hAnsi="Arial"/>
                <w:sz w:val="18"/>
                <w:szCs w:val="18"/>
                <w:color w:val="auto"/>
              </w:rPr>
              <w:t>purpose of ratio</w:t>
            </w:r>
          </w:p>
        </w:tc>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17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Pretax income from</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continuing</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8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020" w:type="dxa"/>
            <w:vAlign w:val="bottom"/>
          </w:tcPr>
          <w:p>
            <w:pPr>
              <w:jc w:val="right"/>
              <w:ind w:right="651"/>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391</w:t>
            </w: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900" w:type="dxa"/>
            <w:vAlign w:val="bottom"/>
            <w:gridSpan w:val="2"/>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Total fixed charges</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780" w:type="dxa"/>
            <w:vAlign w:val="bottom"/>
          </w:tcPr>
          <w:p>
            <w:pPr>
              <w:ind w:left="260"/>
              <w:spacing w:after="0"/>
              <w:rPr>
                <w:sz w:val="20"/>
                <w:szCs w:val="20"/>
                <w:color w:val="auto"/>
              </w:rPr>
            </w:pPr>
            <w:r>
              <w:rPr>
                <w:rFonts w:ascii="Arial" w:cs="Arial" w:eastAsia="Arial" w:hAnsi="Arial"/>
                <w:sz w:val="18"/>
                <w:szCs w:val="18"/>
                <w:color w:val="auto"/>
              </w:rPr>
              <w:t>(from above)</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Less: Interest</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780" w:type="dxa"/>
            <w:vAlign w:val="bottom"/>
          </w:tcPr>
          <w:p>
            <w:pPr>
              <w:ind w:left="260"/>
              <w:spacing w:after="0"/>
              <w:rPr>
                <w:sz w:val="20"/>
                <w:szCs w:val="20"/>
                <w:color w:val="auto"/>
              </w:rPr>
            </w:pPr>
            <w:r>
              <w:rPr>
                <w:rFonts w:ascii="Arial" w:cs="Arial" w:eastAsia="Arial" w:hAnsi="Arial"/>
                <w:sz w:val="18"/>
                <w:szCs w:val="18"/>
                <w:color w:val="auto"/>
              </w:rPr>
              <w:t>capitalized</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6"/>
        </w:trPr>
        <w:tc>
          <w:tcPr>
            <w:tcW w:w="1780" w:type="dxa"/>
            <w:vAlign w:val="bottom"/>
          </w:tcPr>
          <w:p>
            <w:pPr>
              <w:spacing w:after="0"/>
              <w:rPr>
                <w:sz w:val="20"/>
                <w:szCs w:val="20"/>
                <w:color w:val="auto"/>
              </w:rPr>
            </w:pPr>
            <w:r>
              <w:rPr>
                <w:rFonts w:ascii="Arial" w:cs="Arial" w:eastAsia="Arial" w:hAnsi="Arial"/>
                <w:sz w:val="18"/>
                <w:szCs w:val="18"/>
                <w:color w:val="auto"/>
              </w:rPr>
              <w:t>Less: Preferred</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dividends of</w:t>
            </w:r>
          </w:p>
        </w:tc>
        <w:tc>
          <w:tcPr>
            <w:tcW w:w="102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subsidiary (1)</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780" w:type="dxa"/>
            <w:vAlign w:val="bottom"/>
          </w:tcPr>
          <w:p>
            <w:pPr>
              <w:spacing w:after="0"/>
              <w:rPr>
                <w:sz w:val="20"/>
                <w:szCs w:val="20"/>
                <w:color w:val="auto"/>
              </w:rPr>
            </w:pPr>
            <w:r>
              <w:rPr>
                <w:rFonts w:ascii="Arial" w:cs="Arial" w:eastAsia="Arial" w:hAnsi="Arial"/>
                <w:sz w:val="18"/>
                <w:szCs w:val="18"/>
                <w:color w:val="auto"/>
              </w:rPr>
              <w:t>Total earnings for</w:t>
            </w:r>
          </w:p>
        </w:tc>
        <w:tc>
          <w:tcPr>
            <w:tcW w:w="1020" w:type="dxa"/>
            <w:vAlign w:val="bottom"/>
            <w:vMerge w:val="restart"/>
          </w:tcPr>
          <w:p>
            <w:pPr>
              <w:jc w:val="right"/>
              <w:ind w:right="651"/>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10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489</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900" w:type="dxa"/>
            <w:vAlign w:val="bottom"/>
            <w:gridSpan w:val="2"/>
            <w:vMerge w:val="restart"/>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75"/>
        </w:trPr>
        <w:tc>
          <w:tcPr>
            <w:tcW w:w="1780" w:type="dxa"/>
            <w:vAlign w:val="bottom"/>
          </w:tcPr>
          <w:p>
            <w:pPr>
              <w:ind w:left="260"/>
              <w:spacing w:after="0" w:line="175" w:lineRule="exact"/>
              <w:rPr>
                <w:sz w:val="20"/>
                <w:szCs w:val="20"/>
                <w:color w:val="auto"/>
              </w:rPr>
            </w:pPr>
            <w:r>
              <w:rPr>
                <w:rFonts w:ascii="Arial" w:cs="Arial" w:eastAsia="Arial" w:hAnsi="Arial"/>
                <w:sz w:val="18"/>
                <w:szCs w:val="18"/>
                <w:color w:val="auto"/>
              </w:rPr>
              <w:t>purpose of ratio</w:t>
            </w:r>
          </w:p>
        </w:tc>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7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combined fixed</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charges and</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8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w:t>
            </w:r>
          </w:p>
        </w:tc>
        <w:tc>
          <w:tcPr>
            <w:tcW w:w="102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175"/>
        </w:trPr>
        <w:tc>
          <w:tcPr>
            <w:tcW w:w="1780" w:type="dxa"/>
            <w:vAlign w:val="bottom"/>
          </w:tcPr>
          <w:p>
            <w:pPr>
              <w:ind w:left="260"/>
              <w:spacing w:after="0" w:line="175" w:lineRule="exact"/>
              <w:rPr>
                <w:sz w:val="20"/>
                <w:szCs w:val="20"/>
                <w:color w:val="auto"/>
              </w:rPr>
            </w:pPr>
            <w:r>
              <w:rPr>
                <w:rFonts w:ascii="Arial" w:cs="Arial" w:eastAsia="Arial" w:hAnsi="Arial"/>
                <w:sz w:val="18"/>
                <w:szCs w:val="18"/>
                <w:color w:val="auto"/>
              </w:rPr>
              <w:t>dividends</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7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175"/>
        </w:trPr>
        <w:tc>
          <w:tcPr>
            <w:tcW w:w="1780" w:type="dxa"/>
            <w:vAlign w:val="bottom"/>
          </w:tcPr>
          <w:p>
            <w:pPr>
              <w:ind w:left="260"/>
              <w:spacing w:after="0" w:line="175" w:lineRule="exact"/>
              <w:rPr>
                <w:sz w:val="20"/>
                <w:szCs w:val="20"/>
                <w:color w:val="auto"/>
              </w:rPr>
            </w:pPr>
            <w:r>
              <w:rPr>
                <w:rFonts w:ascii="Arial" w:cs="Arial" w:eastAsia="Arial" w:hAnsi="Arial"/>
                <w:sz w:val="18"/>
                <w:szCs w:val="18"/>
                <w:color w:val="auto"/>
              </w:rPr>
              <w:t>fixed charges</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0" w:firstLine="1"/>
        <w:spacing w:after="0"/>
        <w:tabs>
          <w:tab w:leader="none" w:pos="26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400"/>
          </w:cols>
          <w:pgMar w:left="260" w:top="880" w:right="239" w:bottom="985"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20"/>
          <w:szCs w:val="20"/>
          <w:b w:val="1"/>
          <w:bCs w:val="1"/>
          <w:color w:val="auto"/>
        </w:rPr>
        <w:t>EXHIBIT 12.4</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SOUTHERN CALIFORNIA GAS COMPANY</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COMPUTATION OF RATIO OF EARNINGS TO COMBINED FIXED CHARGES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 PREFERRED STOCK DIVIDENDS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2004</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 2009</w:t>
            </w: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Fixed Charges: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3060" w:type="dxa"/>
            <w:vAlign w:val="bottom"/>
          </w:tcPr>
          <w:p>
            <w:pPr>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78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70"/>
        </w:trPr>
        <w:tc>
          <w:tcPr>
            <w:tcW w:w="306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4"/>
        </w:trPr>
        <w:tc>
          <w:tcPr>
            <w:tcW w:w="3060" w:type="dxa"/>
            <w:vAlign w:val="bottom"/>
          </w:tcPr>
          <w:p>
            <w:pPr>
              <w:spacing w:after="0"/>
              <w:rPr>
                <w:sz w:val="20"/>
                <w:szCs w:val="20"/>
                <w:color w:val="auto"/>
              </w:rPr>
            </w:pPr>
            <w:r>
              <w:rPr>
                <w:rFonts w:ascii="Arial" w:cs="Arial" w:eastAsia="Arial" w:hAnsi="Arial"/>
                <w:sz w:val="18"/>
                <w:szCs w:val="18"/>
                <w:color w:val="auto"/>
              </w:rPr>
              <w:t>Total fixed charges</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70"/>
        </w:trPr>
        <w:tc>
          <w:tcPr>
            <w:tcW w:w="306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48"/>
        </w:trPr>
        <w:tc>
          <w:tcPr>
            <w:tcW w:w="306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6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 dividends for</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780" w:type="dxa"/>
            <w:vAlign w:val="bottom"/>
            <w:gridSpan w:val="2"/>
            <w:vMerge w:val="restart"/>
          </w:tcPr>
          <w:p>
            <w:pPr>
              <w:jc w:val="right"/>
              <w:ind w:right="211"/>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3060" w:type="dxa"/>
            <w:vAlign w:val="bottom"/>
          </w:tcPr>
          <w:p>
            <w:pPr>
              <w:ind w:left="260"/>
              <w:spacing w:after="0" w:line="175" w:lineRule="exact"/>
              <w:rPr>
                <w:sz w:val="20"/>
                <w:szCs w:val="20"/>
                <w:color w:val="auto"/>
              </w:rPr>
            </w:pPr>
            <w:r>
              <w:rPr>
                <w:rFonts w:ascii="Arial" w:cs="Arial" w:eastAsia="Arial" w:hAnsi="Arial"/>
                <w:sz w:val="18"/>
                <w:szCs w:val="18"/>
                <w:color w:val="auto"/>
              </w:rPr>
              <w:t>purpose of ratio</w:t>
            </w: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06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6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385</w:t>
            </w:r>
          </w:p>
        </w:tc>
        <w:tc>
          <w:tcPr>
            <w:tcW w:w="78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456"/>
        </w:trPr>
        <w:tc>
          <w:tcPr>
            <w:tcW w:w="3060" w:type="dxa"/>
            <w:vAlign w:val="bottom"/>
          </w:tcPr>
          <w:p>
            <w:pPr>
              <w:spacing w:after="0"/>
              <w:rPr>
                <w:sz w:val="20"/>
                <w:szCs w:val="20"/>
                <w:color w:val="auto"/>
              </w:rPr>
            </w:pPr>
            <w:r>
              <w:rPr>
                <w:rFonts w:ascii="Arial" w:cs="Arial" w:eastAsia="Arial" w:hAnsi="Arial"/>
                <w:sz w:val="18"/>
                <w:szCs w:val="18"/>
                <w:color w:val="auto"/>
              </w:rPr>
              <w:t>Add: Total fixed charges (from</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60" w:type="dxa"/>
            <w:vAlign w:val="bottom"/>
          </w:tcPr>
          <w:p>
            <w:pPr>
              <w:ind w:left="260"/>
              <w:spacing w:after="0"/>
              <w:rPr>
                <w:sz w:val="20"/>
                <w:szCs w:val="20"/>
                <w:color w:val="auto"/>
              </w:rPr>
            </w:pPr>
            <w:r>
              <w:rPr>
                <w:rFonts w:ascii="Arial" w:cs="Arial" w:eastAsia="Arial" w:hAnsi="Arial"/>
                <w:sz w:val="18"/>
                <w:szCs w:val="18"/>
                <w:color w:val="auto"/>
              </w:rPr>
              <w:t>above)</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70"/>
        </w:trPr>
        <w:tc>
          <w:tcPr>
            <w:tcW w:w="306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2"/>
        </w:trPr>
        <w:tc>
          <w:tcPr>
            <w:tcW w:w="306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78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60" w:type="dxa"/>
            <w:vAlign w:val="bottom"/>
          </w:tcPr>
          <w:p>
            <w:pPr>
              <w:ind w:left="260"/>
              <w:spacing w:after="0" w:line="201" w:lineRule="exact"/>
              <w:rPr>
                <w:sz w:val="20"/>
                <w:szCs w:val="20"/>
                <w:color w:val="auto"/>
              </w:rPr>
            </w:pPr>
            <w:r>
              <w:rPr>
                <w:rFonts w:ascii="Arial" w:cs="Arial" w:eastAsia="Arial" w:hAnsi="Arial"/>
                <w:sz w:val="18"/>
                <w:szCs w:val="18"/>
                <w:color w:val="auto"/>
              </w:rPr>
              <w:t>fixed charges and preferred</w:t>
            </w:r>
          </w:p>
        </w:tc>
        <w:tc>
          <w:tcPr>
            <w:tcW w:w="3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75"/>
        </w:trPr>
        <w:tc>
          <w:tcPr>
            <w:tcW w:w="3060" w:type="dxa"/>
            <w:vAlign w:val="bottom"/>
          </w:tcPr>
          <w:p>
            <w:pPr>
              <w:ind w:left="260"/>
              <w:spacing w:after="0" w:line="175" w:lineRule="exact"/>
              <w:rPr>
                <w:sz w:val="20"/>
                <w:szCs w:val="20"/>
                <w:color w:val="auto"/>
              </w:rPr>
            </w:pPr>
            <w:r>
              <w:rPr>
                <w:rFonts w:ascii="Arial" w:cs="Arial" w:eastAsia="Arial" w:hAnsi="Arial"/>
                <w:sz w:val="18"/>
                <w:szCs w:val="18"/>
                <w:color w:val="auto"/>
              </w:rPr>
              <w:t>stock dividends</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320" w:firstLine="1"/>
        <w:spacing w:after="0"/>
        <w:tabs>
          <w:tab w:leader="none" w:pos="3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63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Donald E. Felsinger, certify that:</w:t>
      </w:r>
    </w:p>
    <w:p>
      <w:pPr>
        <w:spacing w:after="0" w:line="268" w:lineRule="exact"/>
        <w:rPr>
          <w:sz w:val="20"/>
          <w:szCs w:val="20"/>
          <w:color w:val="auto"/>
        </w:rPr>
      </w:pPr>
    </w:p>
    <w:p>
      <w:pPr>
        <w:ind w:left="320" w:hanging="313"/>
        <w:spacing w:after="0"/>
        <w:tabs>
          <w:tab w:leader="none" w:pos="32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34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34920" cy="8255"/>
                    </a:xfrm>
                    <a:prstGeom prst="rect">
                      <a:avLst/>
                    </a:prstGeom>
                    <a:noFill/>
                  </pic:spPr>
                </pic:pic>
              </a:graphicData>
            </a:graphic>
          </wp:anchor>
        </w:drawing>
      </w:r>
    </w:p>
    <w:p>
      <w:pPr>
        <w:spacing w:after="0" w:line="51"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Donald E. Felsinger</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Mark A. Snell, certify that:</w:t>
      </w:r>
    </w:p>
    <w:p>
      <w:pPr>
        <w:spacing w:after="0" w:line="268" w:lineRule="exact"/>
        <w:rPr>
          <w:sz w:val="20"/>
          <w:szCs w:val="20"/>
          <w:color w:val="auto"/>
        </w:rPr>
      </w:pPr>
    </w:p>
    <w:p>
      <w:pPr>
        <w:ind w:left="320" w:hanging="313"/>
        <w:spacing w:after="0"/>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29845</wp:posOffset>
            </wp:positionV>
            <wp:extent cx="2484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84120" cy="8255"/>
                    </a:xfrm>
                    <a:prstGeom prst="rect">
                      <a:avLst/>
                    </a:prstGeom>
                    <a:noFill/>
                  </pic:spPr>
                </pic:pic>
              </a:graphicData>
            </a:graphic>
          </wp:anchor>
        </w:drawing>
      </w:r>
    </w:p>
    <w:p>
      <w:pPr>
        <w:spacing w:after="0" w:line="39" w:lineRule="exact"/>
        <w:rPr>
          <w:sz w:val="20"/>
          <w:szCs w:val="20"/>
          <w:color w:val="auto"/>
        </w:rPr>
      </w:pPr>
    </w:p>
    <w:p>
      <w:pPr>
        <w:ind w:left="10400"/>
        <w:spacing w:after="0"/>
        <w:rPr>
          <w:sz w:val="20"/>
          <w:szCs w:val="20"/>
          <w:color w:val="auto"/>
        </w:rPr>
      </w:pPr>
      <w:r>
        <w:rPr>
          <w:rFonts w:ascii="Arial" w:cs="Arial" w:eastAsia="Arial" w:hAnsi="Arial"/>
          <w:sz w:val="17"/>
          <w:szCs w:val="17"/>
          <w:color w:val="auto"/>
        </w:rPr>
        <w:t>Mark A. Snell</w:t>
      </w:r>
    </w:p>
    <w:p>
      <w:pPr>
        <w:spacing w:after="0" w:line="46"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1"/>
          <w:szCs w:val="21"/>
          <w:color w:val="auto"/>
        </w:rPr>
        <w:t>EXHIBIT 31.3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36830</wp:posOffset>
            </wp:positionV>
            <wp:extent cx="25857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85720"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1"/>
          <w:szCs w:val="21"/>
          <w:color w:val="auto"/>
        </w:rPr>
        <w:t>EXHIBIT 31.4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Schlax, certify that:</w:t>
      </w:r>
    </w:p>
    <w:p>
      <w:pPr>
        <w:spacing w:after="0" w:line="268" w:lineRule="exact"/>
        <w:rPr>
          <w:sz w:val="20"/>
          <w:szCs w:val="20"/>
          <w:color w:val="auto"/>
        </w:rPr>
      </w:pPr>
    </w:p>
    <w:p>
      <w:pPr>
        <w:ind w:left="320" w:hanging="313"/>
        <w:spacing w:after="0"/>
        <w:tabs>
          <w:tab w:leader="none" w:pos="3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4819015</wp:posOffset>
            </wp:positionH>
            <wp:positionV relativeFrom="paragraph">
              <wp:posOffset>36830</wp:posOffset>
            </wp:positionV>
            <wp:extent cx="24326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32685"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1"/>
          <w:szCs w:val="21"/>
          <w:color w:val="auto"/>
        </w:rPr>
        <w:t>EXHIBIT 31.5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 have reviewed this report on Form 10-Q of Pacific Enterprises;</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36830</wp:posOffset>
            </wp:positionV>
            <wp:extent cx="2126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26615"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1"/>
          <w:szCs w:val="21"/>
          <w:color w:val="auto"/>
        </w:rPr>
        <w:t>EXHIBIT 31.6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Schlax, certify that:</w:t>
      </w:r>
    </w:p>
    <w:p>
      <w:pPr>
        <w:spacing w:after="0" w:line="268" w:lineRule="exact"/>
        <w:rPr>
          <w:sz w:val="20"/>
          <w:szCs w:val="20"/>
          <w:color w:val="auto"/>
        </w:rPr>
      </w:pPr>
    </w:p>
    <w:p>
      <w:pPr>
        <w:ind w:left="320" w:hanging="313"/>
        <w:spacing w:after="0"/>
        <w:tabs>
          <w:tab w:leader="none" w:pos="32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 have reviewed this report on Form 10-Q of Pacific Enterprises;</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36830</wp:posOffset>
            </wp:positionV>
            <wp:extent cx="19227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1"/>
          <w:szCs w:val="21"/>
          <w:color w:val="auto"/>
        </w:rPr>
        <w:t>EXHIBIT 31.7</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1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4870450</wp:posOffset>
            </wp:positionH>
            <wp:positionV relativeFrom="paragraph">
              <wp:posOffset>36830</wp:posOffset>
            </wp:positionV>
            <wp:extent cx="2381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81885"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color w:val="auto"/>
        </w:rPr>
        <w:t>EXHIBIT 31.8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Schlax, certify that:</w:t>
      </w:r>
    </w:p>
    <w:p>
      <w:pPr>
        <w:spacing w:after="0" w:line="268" w:lineRule="exact"/>
        <w:rPr>
          <w:sz w:val="20"/>
          <w:szCs w:val="20"/>
          <w:color w:val="auto"/>
        </w:rPr>
      </w:pPr>
    </w:p>
    <w:p>
      <w:pPr>
        <w:ind w:left="320" w:hanging="313"/>
        <w:spacing w:after="0"/>
        <w:tabs>
          <w:tab w:leader="none" w:pos="32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July 31, 2009</w:t>
      </w:r>
    </w:p>
    <w:p>
      <w:pPr>
        <w:spacing w:after="0" w:line="288"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36830</wp:posOffset>
            </wp:positionV>
            <wp:extent cx="22796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1"/>
          <w:szCs w:val="2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Sempra Energy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36830</wp:posOffset>
            </wp:positionV>
            <wp:extent cx="22288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1"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Donald E. Felsinger</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1"/>
          <w:szCs w:val="21"/>
          <w:color w:val="auto"/>
        </w:rPr>
        <w:t>Exhibit 32.2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Sempra Energy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29845</wp:posOffset>
            </wp:positionV>
            <wp:extent cx="23310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39" w:lineRule="exact"/>
        <w:rPr>
          <w:sz w:val="20"/>
          <w:szCs w:val="20"/>
          <w:color w:val="auto"/>
        </w:rPr>
      </w:pPr>
    </w:p>
    <w:p>
      <w:pPr>
        <w:ind w:left="10400"/>
        <w:spacing w:after="0"/>
        <w:rPr>
          <w:sz w:val="20"/>
          <w:szCs w:val="20"/>
          <w:color w:val="auto"/>
        </w:rPr>
      </w:pPr>
      <w:r>
        <w:rPr>
          <w:rFonts w:ascii="Arial" w:cs="Arial" w:eastAsia="Arial" w:hAnsi="Arial"/>
          <w:sz w:val="17"/>
          <w:szCs w:val="17"/>
          <w:color w:val="auto"/>
        </w:rPr>
        <w:t>Mark A. Snell</w:t>
      </w:r>
    </w:p>
    <w:p>
      <w:pPr>
        <w:spacing w:after="0" w:line="46"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1"/>
          <w:szCs w:val="21"/>
          <w:color w:val="auto"/>
        </w:rPr>
        <w:t>Exhibit 32.3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San Diego Gas &amp; Electric Company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4870450</wp:posOffset>
            </wp:positionH>
            <wp:positionV relativeFrom="paragraph">
              <wp:posOffset>36830</wp:posOffset>
            </wp:positionV>
            <wp:extent cx="23818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81885"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1"/>
          <w:szCs w:val="21"/>
          <w:color w:val="auto"/>
        </w:rPr>
        <w:t>Exhibit 32.4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San Diego Gas &amp; Electric Company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36830</wp:posOffset>
            </wp:positionV>
            <wp:extent cx="23310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1"/>
          <w:szCs w:val="21"/>
          <w:color w:val="auto"/>
        </w:rPr>
        <w:t>Exhibit 32.5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Pacific Enterprises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36830</wp:posOffset>
            </wp:positionV>
            <wp:extent cx="1973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1"/>
          <w:szCs w:val="21"/>
          <w:color w:val="auto"/>
        </w:rPr>
        <w:t>Exhibit 32.6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Pacific Enterprises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36830</wp:posOffset>
            </wp:positionV>
            <wp:extent cx="1922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1"/>
          <w:szCs w:val="21"/>
          <w:color w:val="auto"/>
        </w:rPr>
        <w:t>Exhibit 32.7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Southern California Gas Company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36830</wp:posOffset>
            </wp:positionV>
            <wp:extent cx="22796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1"/>
          <w:szCs w:val="21"/>
          <w:color w:val="auto"/>
        </w:rPr>
        <w:t>Exhibit 32.8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Southern California Gas Company (the "Company") certifies that:</w:t>
      </w:r>
    </w:p>
    <w:p>
      <w:pPr>
        <w:spacing w:after="0" w:line="207" w:lineRule="exact"/>
        <w:rPr>
          <w:sz w:val="20"/>
          <w:szCs w:val="20"/>
          <w:color w:val="auto"/>
        </w:rPr>
      </w:pPr>
    </w:p>
    <w:p>
      <w:pPr>
        <w:ind w:left="1300" w:right="520" w:hanging="650"/>
        <w:spacing w:after="0" w:line="274" w:lineRule="auto"/>
        <w:tabs>
          <w:tab w:leader="none" w:pos="13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filed with the Securities and Exchange Commission for the quarter ended June 30, 2009 (the "Quarterly Report") fully complies with the requirements of Section 13(a) or Section 15(d), as applicable, of the Securities Exchange Act of 1934, as amended; and</w:t>
      </w:r>
    </w:p>
    <w:p>
      <w:pPr>
        <w:spacing w:after="0" w:line="203" w:lineRule="exact"/>
        <w:rPr>
          <w:rFonts w:ascii="Arial" w:cs="Arial" w:eastAsia="Arial" w:hAnsi="Arial"/>
          <w:sz w:val="20"/>
          <w:szCs w:val="20"/>
          <w:color w:val="auto"/>
        </w:rPr>
      </w:pPr>
    </w:p>
    <w:p>
      <w:pPr>
        <w:ind w:left="1300" w:right="140" w:hanging="650"/>
        <w:spacing w:after="0" w:line="270" w:lineRule="auto"/>
        <w:tabs>
          <w:tab w:leader="none" w:pos="130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July 31, 2009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36830</wp:posOffset>
            </wp:positionV>
            <wp:extent cx="22796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upperLetter"/>
      <w:start w:val="24"/>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1)"/>
      <w:numFmt w:val="decimal"/>
      <w:start w:val="443"/>
    </w:lvl>
  </w:abstractNum>
  <w:abstractNum w:abstractNumId="6">
    <w:nsid w:val="77AE35EB"/>
    <w:multiLevelType w:val="hybridMultilevel"/>
    <w:lvl w:ilvl="0">
      <w:lvlJc w:val="left"/>
      <w:lvlText w:val="(%1)"/>
      <w:numFmt w:val="decimal"/>
      <w:start w:val="152"/>
    </w:lvl>
  </w:abstractNum>
  <w:abstractNum w:abstractNumId="7">
    <w:nsid w:val="579BE4F1"/>
    <w:multiLevelType w:val="hybridMultilevel"/>
    <w:lvl w:ilvl="0">
      <w:lvlJc w:val="left"/>
      <w:lvlText w:val="%1"/>
      <w:numFmt w:val="decimal"/>
      <w:start w:val="176"/>
    </w:lvl>
    <w:lvl w:ilvl="1">
      <w:lvlJc w:val="left"/>
      <w:lvlText w:val="(%2)"/>
      <w:numFmt w:val="decimal"/>
      <w:start w:val="95"/>
    </w:lvl>
  </w:abstractNum>
  <w:abstractNum w:abstractNumId="8">
    <w:nsid w:val="310C50B3"/>
    <w:multiLevelType w:val="hybridMultilevel"/>
    <w:lvl w:ilvl="0">
      <w:lvlJc w:val="left"/>
      <w:lvlText w:val="%1"/>
      <w:numFmt w:val="decimal"/>
      <w:start w:val="33"/>
    </w:lvl>
  </w:abstractNum>
  <w:abstractNum w:abstractNumId="9">
    <w:nsid w:val="5FF87E05"/>
    <w:multiLevelType w:val="hybridMultilevel"/>
    <w:lvl w:ilvl="0">
      <w:lvlJc w:val="left"/>
      <w:lvlText w:val="(%1)"/>
      <w:numFmt w:val="decimal"/>
      <w:start w:val="387"/>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1)"/>
      <w:numFmt w:val="decimal"/>
      <w:start w:val="227"/>
    </w:lvl>
  </w:abstractNum>
  <w:abstractNum w:abstractNumId="13">
    <w:nsid w:val="4AD084E9"/>
    <w:multiLevelType w:val="hybridMultilevel"/>
    <w:lvl w:ilvl="0">
      <w:lvlJc w:val="left"/>
      <w:lvlText w:val="5"/>
      <w:numFmt w:val="bullet"/>
      <w:start w:val="1"/>
    </w:lvl>
  </w:abstractNum>
  <w:abstractNum w:abstractNumId="14">
    <w:nsid w:val="1F48EAA1"/>
    <w:multiLevelType w:val="hybridMultilevel"/>
    <w:lvl w:ilvl="0">
      <w:lvlJc w:val="left"/>
      <w:lvlText w:val="(%1)"/>
      <w:numFmt w:val="decimal"/>
      <w:start w:val="222"/>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1)"/>
      <w:numFmt w:val="decimal"/>
      <w:start w:val="2"/>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1)"/>
      <w:numFmt w:val="decimal"/>
      <w:start w:val="3"/>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1."/>
      <w:numFmt w:val="decimal"/>
      <w:start w:val="1"/>
    </w:lvl>
  </w:abstractNum>
  <w:abstractNum w:abstractNumId="46">
    <w:nsid w:val="1A27709E"/>
    <w:multiLevelType w:val="hybridMultilevel"/>
    <w:lvl w:ilvl="0">
      <w:lvlJc w:val="left"/>
      <w:lvlText w:val="%1."/>
      <w:numFmt w:val="decimal"/>
      <w:start w:val="5"/>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
      <w:numFmt w:val="bullet"/>
      <w:start w:val="1"/>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
      <w:numFmt w:val="bullet"/>
      <w:start w:val="1"/>
    </w:lvl>
  </w:abstractNum>
  <w:abstractNum w:abstractNumId="83">
    <w:nsid w:val="73A1821B"/>
    <w:multiLevelType w:val="hybridMultilevel"/>
    <w:lvl w:ilvl="0">
      <w:lvlJc w:val="left"/>
      <w:lvlText w:val="§"/>
      <w:numFmt w:val="bullet"/>
      <w:start w:val="1"/>
    </w:lvl>
  </w:abstractNum>
  <w:abstractNum w:abstractNumId="84">
    <w:nsid w:val="7DE67713"/>
    <w:multiLevelType w:val="hybridMultilevel"/>
    <w:lvl w:ilvl="0">
      <w:lvlJc w:val="left"/>
      <w:lvlText w:val="§"/>
      <w:numFmt w:val="bullet"/>
      <w:start w:val="1"/>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
      <w:numFmt w:val="bullet"/>
      <w:start w:val="1"/>
    </w:lvl>
  </w:abstractNum>
  <w:abstractNum w:abstractNumId="88">
    <w:nsid w:val="6A3DD3E8"/>
    <w:multiLevelType w:val="hybridMultilevel"/>
    <w:lvl w:ilvl="0">
      <w:lvlJc w:val="left"/>
      <w:lvlText w:val="§"/>
      <w:numFmt w:val="bullet"/>
      <w:start w:val="1"/>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
      <w:numFmt w:val="bullet"/>
      <w:start w:val="1"/>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
      <w:numFmt w:val="bullet"/>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1."/>
      <w:numFmt w:val="decimal"/>
      <w:start w:val="1"/>
    </w:lvl>
  </w:abstractNum>
  <w:abstractNum w:abstractNumId="99">
    <w:nsid w:val="97E1B4E"/>
    <w:multiLevelType w:val="hybridMultilevel"/>
    <w:lvl w:ilvl="0">
      <w:lvlJc w:val="left"/>
      <w:lvlText w:val="(%1)"/>
      <w:numFmt w:val="decimal"/>
      <w:start w:val="1"/>
    </w:lvl>
  </w:abstractNum>
  <w:abstractNum w:abstractNumId="100">
    <w:nsid w:val="51088277"/>
    <w:multiLevelType w:val="hybridMultilevel"/>
    <w:lvl w:ilvl="0">
      <w:lvlJc w:val="left"/>
      <w:lvlText w:val="(%1)"/>
      <w:numFmt w:val="decimal"/>
      <w:start w:val="1"/>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1."/>
      <w:numFmt w:val="decimal"/>
      <w:start w:val="1"/>
    </w:lvl>
    <w:lvl w:ilvl="1">
      <w:lvlJc w:val="left"/>
      <w:lvlText w:val="%2)"/>
      <w:numFmt w:val="lowerLetter"/>
      <w:start w:val="1"/>
    </w:lvl>
  </w:abstractNum>
  <w:abstractNum w:abstractNumId="104">
    <w:nsid w:val="7C58FD05"/>
    <w:multiLevelType w:val="hybridMultilevel"/>
    <w:lvl w:ilvl="0">
      <w:lvlJc w:val="left"/>
      <w:lvlText w:val="%1."/>
      <w:numFmt w:val="decimal"/>
      <w:start w:val="1"/>
    </w:lvl>
    <w:lvl w:ilvl="1">
      <w:lvlJc w:val="left"/>
      <w:lvlText w:val="%2)"/>
      <w:numFmt w:val="lowerLetter"/>
      <w:start w:val="1"/>
    </w:lvl>
  </w:abstractNum>
  <w:abstractNum w:abstractNumId="105">
    <w:nsid w:val="23D86AAC"/>
    <w:multiLevelType w:val="hybridMultilevel"/>
    <w:lvl w:ilvl="0">
      <w:lvlJc w:val="left"/>
      <w:lvlText w:val="%1."/>
      <w:numFmt w:val="decimal"/>
      <w:start w:val="1"/>
    </w:lvl>
    <w:lvl w:ilvl="1">
      <w:lvlJc w:val="left"/>
      <w:lvlText w:val="%2)"/>
      <w:numFmt w:val="lowerLetter"/>
      <w:start w:val="1"/>
    </w:lvl>
  </w:abstractNum>
  <w:abstractNum w:abstractNumId="106">
    <w:nsid w:val="45E6D486"/>
    <w:multiLevelType w:val="hybridMultilevel"/>
    <w:lvl w:ilvl="0">
      <w:lvlJc w:val="left"/>
      <w:lvlText w:val="%1."/>
      <w:numFmt w:val="decimal"/>
      <w:start w:val="1"/>
    </w:lvl>
    <w:lvl w:ilvl="1">
      <w:lvlJc w:val="left"/>
      <w:lvlText w:val="%2)"/>
      <w:numFmt w:val="lowerLetter"/>
      <w:start w:val="1"/>
    </w:lvl>
  </w:abstractNum>
  <w:abstractNum w:abstractNumId="107">
    <w:nsid w:val="5C10FE21"/>
    <w:multiLevelType w:val="hybridMultilevel"/>
    <w:lvl w:ilvl="0">
      <w:lvlJc w:val="left"/>
      <w:lvlText w:val="%1."/>
      <w:numFmt w:val="decimal"/>
      <w:start w:val="1"/>
    </w:lvl>
    <w:lvl w:ilvl="1">
      <w:lvlJc w:val="left"/>
      <w:lvlText w:val="%2)"/>
      <w:numFmt w:val="lowerLetter"/>
      <w:start w:val="1"/>
    </w:lvl>
  </w:abstractNum>
  <w:abstractNum w:abstractNumId="108">
    <w:nsid w:val="E7FFA2B"/>
    <w:multiLevelType w:val="hybridMultilevel"/>
    <w:lvl w:ilvl="0">
      <w:lvlJc w:val="left"/>
      <w:lvlText w:val="%1."/>
      <w:numFmt w:val="decimal"/>
      <w:start w:val="1"/>
    </w:lvl>
    <w:lvl w:ilvl="1">
      <w:lvlJc w:val="left"/>
      <w:lvlText w:val="%2)"/>
      <w:numFmt w:val="lowerLetter"/>
      <w:start w:val="1"/>
    </w:lvl>
  </w:abstractNum>
  <w:abstractNum w:abstractNumId="109">
    <w:nsid w:val="3C5991AA"/>
    <w:multiLevelType w:val="hybridMultilevel"/>
    <w:lvl w:ilvl="0">
      <w:lvlJc w:val="left"/>
      <w:lvlText w:val="%1."/>
      <w:numFmt w:val="decimal"/>
      <w:start w:val="1"/>
    </w:lvl>
    <w:lvl w:ilvl="1">
      <w:lvlJc w:val="left"/>
      <w:lvlText w:val="%2)"/>
      <w:numFmt w:val="lowerLetter"/>
      <w:start w:val="1"/>
    </w:lvl>
  </w:abstractNum>
  <w:abstractNum w:abstractNumId="110">
    <w:nsid w:val="4BD8591A"/>
    <w:multiLevelType w:val="hybridMultilevel"/>
    <w:lvl w:ilvl="0">
      <w:lvlJc w:val="left"/>
      <w:lvlText w:val="%1."/>
      <w:numFmt w:val="decimal"/>
      <w:start w:val="1"/>
    </w:lvl>
    <w:lvl w:ilvl="1">
      <w:lvlJc w:val="left"/>
      <w:lvlText w:val="%2)"/>
      <w:numFmt w:val="lowerLetter"/>
      <w:start w:val="1"/>
    </w:lvl>
  </w:abstractNum>
  <w:abstractNum w:abstractNumId="111">
    <w:nsid w:val="78DF6A55"/>
    <w:multiLevelType w:val="hybridMultilevel"/>
    <w:lvl w:ilvl="0">
      <w:lvlJc w:val="left"/>
      <w:lvlText w:val="(%1)"/>
      <w:numFmt w:val="lowerRoman"/>
      <w:start w:val="1"/>
    </w:lvl>
  </w:abstractNum>
  <w:abstractNum w:abstractNumId="112">
    <w:nsid w:val="39B7AAA2"/>
    <w:multiLevelType w:val="hybridMultilevel"/>
    <w:lvl w:ilvl="0">
      <w:lvlJc w:val="left"/>
      <w:lvlText w:val="(%1)"/>
      <w:numFmt w:val="lowerRoman"/>
      <w:start w:val="1"/>
    </w:lvl>
  </w:abstractNum>
  <w:abstractNum w:abstractNumId="113">
    <w:nsid w:val="2B0D8DBE"/>
    <w:multiLevelType w:val="hybridMultilevel"/>
    <w:lvl w:ilvl="0">
      <w:lvlJc w:val="left"/>
      <w:lvlText w:val="(%1)"/>
      <w:numFmt w:val="lowerRoman"/>
      <w:start w:val="1"/>
    </w:lvl>
  </w:abstractNum>
  <w:abstractNum w:abstractNumId="114">
    <w:nsid w:val="6C80EC70"/>
    <w:multiLevelType w:val="hybridMultilevel"/>
    <w:lvl w:ilvl="0">
      <w:lvlJc w:val="left"/>
      <w:lvlText w:val="(%1)"/>
      <w:numFmt w:val="lowerRoman"/>
      <w:start w:val="1"/>
    </w:lvl>
  </w:abstractNum>
  <w:abstractNum w:abstractNumId="115">
    <w:nsid w:val="379E21B5"/>
    <w:multiLevelType w:val="hybridMultilevel"/>
    <w:lvl w:ilvl="0">
      <w:lvlJc w:val="left"/>
      <w:lvlText w:val="(%1)"/>
      <w:numFmt w:val="lowerRoman"/>
      <w:start w:val="1"/>
    </w:lvl>
  </w:abstractNum>
  <w:abstractNum w:abstractNumId="116">
    <w:nsid w:val="69E373"/>
    <w:multiLevelType w:val="hybridMultilevel"/>
    <w:lvl w:ilvl="0">
      <w:lvlJc w:val="left"/>
      <w:lvlText w:val="(%1)"/>
      <w:numFmt w:val="lowerRoman"/>
      <w:start w:val="1"/>
    </w:lvl>
  </w:abstractNum>
  <w:abstractNum w:abstractNumId="117">
    <w:nsid w:val="2C27173B"/>
    <w:multiLevelType w:val="hybridMultilevel"/>
    <w:lvl w:ilvl="0">
      <w:lvlJc w:val="left"/>
      <w:lvlText w:val="(%1)"/>
      <w:numFmt w:val="lowerRoman"/>
      <w:start w:val="1"/>
    </w:lvl>
  </w:abstractNum>
  <w:abstractNum w:abstractNumId="118">
    <w:nsid w:val="4C9B090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2019-12-10T02:07:14Z</dcterms:created>
  <dcterms:modified xsi:type="dcterms:W3CDTF">2019-12-10T02:07:14Z</dcterms:modified>
</cp:coreProperties>
</file>