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4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 w:lineRule="exact"/>
        <w:rPr>
          <w:sz w:val="24"/>
          <w:szCs w:val="24"/>
          <w:color w:val="auto"/>
        </w:rPr>
      </w:pPr>
    </w:p>
    <w:p>
      <w:pPr>
        <w:ind w:left="640"/>
        <w:spacing w:after="0"/>
        <w:tabs>
          <w:tab w:leader="none" w:pos="598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June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3439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9160" cy="17145"/>
                    </a:xfrm>
                    <a:prstGeom prst="rect">
                      <a:avLst/>
                    </a:prstGeom>
                    <a:noFill/>
                  </pic:spPr>
                </pic:pic>
              </a:graphicData>
            </a:graphic>
          </wp:anchor>
        </w:drawing>
      </w:r>
    </w:p>
    <w:p>
      <w:pPr>
        <w:spacing w:after="0" w:line="272" w:lineRule="exact"/>
        <w:rPr>
          <w:sz w:val="24"/>
          <w:szCs w:val="24"/>
          <w:color w:val="auto"/>
        </w:rPr>
      </w:pPr>
    </w:p>
    <w:p>
      <w:pPr>
        <w:jc w:val="center"/>
        <w:ind w:left="560"/>
        <w:spacing w:after="0"/>
        <w:rPr>
          <w:sz w:val="20"/>
          <w:szCs w:val="20"/>
          <w:color w:val="auto"/>
        </w:rPr>
      </w:pPr>
      <w:r>
        <w:rPr>
          <w:rFonts w:ascii="Arial" w:cs="Arial" w:eastAsia="Arial" w:hAnsi="Arial"/>
          <w:sz w:val="18"/>
          <w:szCs w:val="18"/>
          <w:color w:val="auto"/>
        </w:rPr>
        <w:t>or</w:t>
      </w:r>
    </w:p>
    <w:p>
      <w:pPr>
        <w:spacing w:after="0" w:line="262"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For the transition period from</w:t>
            </w:r>
          </w:p>
        </w:tc>
        <w:tc>
          <w:tcPr>
            <w:tcW w:w="1960" w:type="dxa"/>
            <w:vAlign w:val="bottom"/>
            <w:gridSpan w:val="2"/>
          </w:tcPr>
          <w:p>
            <w:pPr>
              <w:ind w:left="600"/>
              <w:spacing w:after="0"/>
              <w:rPr>
                <w:sz w:val="20"/>
                <w:szCs w:val="20"/>
                <w:color w:val="auto"/>
              </w:rPr>
            </w:pPr>
            <w:r>
              <w:rPr>
                <w:rFonts w:ascii="Arial" w:cs="Arial" w:eastAsia="Arial" w:hAnsi="Arial"/>
                <w:sz w:val="18"/>
                <w:szCs w:val="18"/>
                <w:color w:val="auto"/>
              </w:rPr>
              <w:t>to</w:t>
            </w: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661"/>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Former name, former</w:t>
            </w: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address and former</w:t>
            </w: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Exact Name of Registrants as Specified in their</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fiscal year, if changed</w:t>
            </w:r>
          </w:p>
        </w:tc>
      </w:tr>
      <w:tr>
        <w:trPr>
          <w:trHeight w:val="237"/>
        </w:trPr>
        <w:tc>
          <w:tcPr>
            <w:tcW w:w="20" w:type="dxa"/>
            <w:vAlign w:val="bottom"/>
          </w:tcPr>
          <w:p>
            <w:pPr>
              <w:spacing w:after="0"/>
              <w:rPr>
                <w:sz w:val="20"/>
                <w:szCs w:val="20"/>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Commission File No.</w:t>
            </w:r>
          </w:p>
        </w:tc>
        <w:tc>
          <w:tcPr>
            <w:tcW w:w="400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Charters, Address and Telephone Number</w:t>
            </w:r>
          </w:p>
        </w:tc>
        <w:tc>
          <w:tcPr>
            <w:tcW w:w="1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8"/>
              </w:rPr>
              <w:t>States of Incorporation</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Identification Nos.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since last report</w:t>
            </w:r>
          </w:p>
        </w:tc>
      </w:tr>
      <w:tr>
        <w:trPr>
          <w:trHeight w:val="257"/>
        </w:trPr>
        <w:tc>
          <w:tcPr>
            <w:tcW w:w="20" w:type="dxa"/>
            <w:vAlign w:val="bottom"/>
          </w:tcPr>
          <w:p>
            <w:pPr>
              <w:spacing w:after="0"/>
              <w:rPr>
                <w:sz w:val="22"/>
                <w:szCs w:val="22"/>
                <w:color w:val="auto"/>
              </w:rPr>
            </w:pPr>
          </w:p>
        </w:tc>
        <w:tc>
          <w:tcPr>
            <w:tcW w:w="1980" w:type="dxa"/>
            <w:vAlign w:val="bottom"/>
          </w:tcPr>
          <w:p>
            <w:pPr>
              <w:jc w:val="right"/>
              <w:ind w:right="1310"/>
              <w:spacing w:after="0"/>
              <w:rPr>
                <w:sz w:val="20"/>
                <w:szCs w:val="20"/>
                <w:color w:val="auto"/>
              </w:rPr>
            </w:pPr>
            <w:r>
              <w:rPr>
                <w:rFonts w:ascii="Arial" w:cs="Arial" w:eastAsia="Arial" w:hAnsi="Arial"/>
                <w:sz w:val="18"/>
                <w:szCs w:val="18"/>
                <w:color w:val="auto"/>
                <w:w w:val="84"/>
              </w:rPr>
              <w:t>1-14201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SEMPRA ENERGY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33-0732627</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101 Ash Street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92101</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73"/>
        </w:trPr>
        <w:tc>
          <w:tcPr>
            <w:tcW w:w="2000" w:type="dxa"/>
            <w:vAlign w:val="bottom"/>
            <w:gridSpan w:val="2"/>
          </w:tcPr>
          <w:p>
            <w:pPr>
              <w:jc w:val="right"/>
              <w:ind w:right="1310"/>
              <w:spacing w:after="0"/>
              <w:rPr>
                <w:sz w:val="20"/>
                <w:szCs w:val="20"/>
                <w:color w:val="auto"/>
              </w:rPr>
            </w:pPr>
            <w:r>
              <w:rPr>
                <w:rFonts w:ascii="Arial" w:cs="Arial" w:eastAsia="Arial" w:hAnsi="Arial"/>
                <w:sz w:val="18"/>
                <w:szCs w:val="18"/>
                <w:color w:val="auto"/>
                <w:w w:val="87"/>
              </w:rPr>
              <w:t>1-03779</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GAS &amp; ELECTRIC COMPANY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95-1184800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8326 Century Park Court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92123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73"/>
        </w:trPr>
        <w:tc>
          <w:tcPr>
            <w:tcW w:w="2000" w:type="dxa"/>
            <w:vAlign w:val="bottom"/>
            <w:gridSpan w:val="2"/>
          </w:tcPr>
          <w:p>
            <w:pPr>
              <w:jc w:val="right"/>
              <w:ind w:right="1310"/>
              <w:spacing w:after="0"/>
              <w:rPr>
                <w:sz w:val="20"/>
                <w:szCs w:val="20"/>
                <w:color w:val="auto"/>
              </w:rPr>
            </w:pPr>
            <w:r>
              <w:rPr>
                <w:rFonts w:ascii="Arial" w:cs="Arial" w:eastAsia="Arial" w:hAnsi="Arial"/>
                <w:sz w:val="18"/>
                <w:szCs w:val="18"/>
                <w:color w:val="auto"/>
                <w:w w:val="87"/>
              </w:rPr>
              <w:t>1-01402</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SOUTHERN CALIFORNIA GAS COMPANY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95-1240705</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555 West Fifth Street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Los Angeles, California 90013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(213)244-1200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right="300"/>
        <w:spacing w:after="0" w:line="279"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210" w:lineRule="exact"/>
        <w:rPr>
          <w:sz w:val="24"/>
          <w:szCs w:val="24"/>
          <w:color w:val="auto"/>
        </w:rPr>
      </w:pPr>
    </w:p>
    <w:p>
      <w:pPr>
        <w:ind w:left="7080"/>
        <w:spacing w:after="0"/>
        <w:tabs>
          <w:tab w:leader="none" w:pos="7940" w:val="left"/>
          <w:tab w:leader="none" w:pos="97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8147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705"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31750</wp:posOffset>
            </wp:positionV>
            <wp:extent cx="831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right="240"/>
        <w:spacing w:after="0" w:line="27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Sempra Energy</w:t>
            </w: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vMerge w:val="continue"/>
          </w:tcPr>
          <w:p>
            <w:pPr>
              <w:spacing w:after="0"/>
              <w:rPr>
                <w:sz w:val="22"/>
                <w:szCs w:val="22"/>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vMerge w:val="continue"/>
          </w:tcPr>
          <w:p>
            <w:pPr>
              <w:spacing w:after="0"/>
              <w:rPr>
                <w:sz w:val="22"/>
                <w:szCs w:val="22"/>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6419850</wp:posOffset>
            </wp:positionH>
            <wp:positionV relativeFrom="paragraph">
              <wp:posOffset>-410845</wp:posOffset>
            </wp:positionV>
            <wp:extent cx="831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-213995</wp:posOffset>
            </wp:positionV>
            <wp:extent cx="831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-16510</wp:posOffset>
            </wp:positionV>
            <wp:extent cx="831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09" w:lineRule="exact"/>
        <w:rPr>
          <w:sz w:val="20"/>
          <w:szCs w:val="20"/>
          <w:color w:val="auto"/>
        </w:rPr>
      </w:pPr>
    </w:p>
    <w:p>
      <w:pPr>
        <w:ind w:right="180"/>
        <w:spacing w:after="0" w:line="32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ind w:left="500"/>
              <w:spacing w:after="0"/>
              <w:rPr>
                <w:sz w:val="20"/>
                <w:szCs w:val="20"/>
                <w:color w:val="auto"/>
              </w:rPr>
            </w:pPr>
            <w:r>
              <w:rPr>
                <w:rFonts w:ascii="Arial" w:cs="Arial" w:eastAsia="Arial" w:hAnsi="Arial"/>
                <w:sz w:val="18"/>
                <w:szCs w:val="18"/>
                <w:color w:val="auto"/>
              </w:rPr>
              <w:t>Large</w:t>
            </w:r>
          </w:p>
        </w:tc>
        <w:tc>
          <w:tcPr>
            <w:tcW w:w="1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60" w:type="dxa"/>
            <w:vAlign w:val="bottom"/>
            <w:gridSpan w:val="3"/>
          </w:tcPr>
          <w:p>
            <w:pPr>
              <w:jc w:val="right"/>
              <w:ind w:right="230"/>
              <w:spacing w:after="0"/>
              <w:rPr>
                <w:sz w:val="20"/>
                <w:szCs w:val="20"/>
                <w:color w:val="auto"/>
              </w:rPr>
            </w:pPr>
            <w:r>
              <w:rPr>
                <w:rFonts w:ascii="Arial" w:cs="Arial" w:eastAsia="Arial" w:hAnsi="Arial"/>
                <w:sz w:val="18"/>
                <w:szCs w:val="18"/>
                <w:color w:val="auto"/>
              </w:rPr>
              <w:t>Smaller reporting</w:t>
            </w:r>
          </w:p>
        </w:tc>
        <w:tc>
          <w:tcPr>
            <w:tcW w:w="0" w:type="dxa"/>
            <w:vAlign w:val="bottom"/>
          </w:tcPr>
          <w:p>
            <w:pPr>
              <w:spacing w:after="0"/>
              <w:rPr>
                <w:sz w:val="1"/>
                <w:szCs w:val="1"/>
                <w:color w:val="auto"/>
              </w:rPr>
            </w:pPr>
          </w:p>
        </w:tc>
      </w:tr>
      <w:tr>
        <w:trPr>
          <w:trHeight w:val="284"/>
        </w:trPr>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accelerated filer</w:t>
            </w:r>
          </w:p>
        </w:tc>
        <w:tc>
          <w:tcPr>
            <w:tcW w:w="2280" w:type="dxa"/>
            <w:vAlign w:val="bottom"/>
            <w:gridSpan w:val="2"/>
          </w:tcPr>
          <w:p>
            <w:pPr>
              <w:jc w:val="right"/>
              <w:ind w:right="290"/>
              <w:spacing w:after="0"/>
              <w:rPr>
                <w:sz w:val="20"/>
                <w:szCs w:val="20"/>
                <w:color w:val="auto"/>
              </w:rPr>
            </w:pPr>
            <w:r>
              <w:rPr>
                <w:rFonts w:ascii="Arial" w:cs="Arial" w:eastAsia="Arial" w:hAnsi="Arial"/>
                <w:sz w:val="18"/>
                <w:szCs w:val="18"/>
                <w:color w:val="auto"/>
              </w:rPr>
              <w:t>Accelerated filer</w:t>
            </w:r>
          </w:p>
        </w:tc>
        <w:tc>
          <w:tcPr>
            <w:tcW w:w="720" w:type="dxa"/>
            <w:vAlign w:val="bottom"/>
          </w:tcPr>
          <w:p>
            <w:pPr>
              <w:spacing w:after="0"/>
              <w:rPr>
                <w:sz w:val="24"/>
                <w:szCs w:val="24"/>
                <w:color w:val="auto"/>
              </w:rPr>
            </w:pPr>
          </w:p>
        </w:tc>
        <w:tc>
          <w:tcPr>
            <w:tcW w:w="1860" w:type="dxa"/>
            <w:vAlign w:val="bottom"/>
            <w:gridSpan w:val="3"/>
          </w:tcPr>
          <w:p>
            <w:pPr>
              <w:ind w:left="80"/>
              <w:spacing w:after="0"/>
              <w:rPr>
                <w:sz w:val="20"/>
                <w:szCs w:val="20"/>
                <w:color w:val="auto"/>
              </w:rPr>
            </w:pPr>
            <w:r>
              <w:rPr>
                <w:rFonts w:ascii="Arial" w:cs="Arial" w:eastAsia="Arial" w:hAnsi="Arial"/>
                <w:sz w:val="18"/>
                <w:szCs w:val="18"/>
                <w:color w:val="auto"/>
              </w:rPr>
              <w:t>Non-accelerated filer</w:t>
            </w:r>
          </w:p>
        </w:tc>
        <w:tc>
          <w:tcPr>
            <w:tcW w:w="540" w:type="dxa"/>
            <w:vAlign w:val="bottom"/>
          </w:tcPr>
          <w:p>
            <w:pPr>
              <w:spacing w:after="0"/>
              <w:rPr>
                <w:sz w:val="24"/>
                <w:szCs w:val="24"/>
                <w:color w:val="auto"/>
              </w:rPr>
            </w:pPr>
          </w:p>
        </w:tc>
        <w:tc>
          <w:tcPr>
            <w:tcW w:w="1320" w:type="dxa"/>
            <w:vAlign w:val="bottom"/>
            <w:gridSpan w:val="2"/>
          </w:tcPr>
          <w:p>
            <w:pPr>
              <w:jc w:val="right"/>
              <w:ind w:right="530"/>
              <w:spacing w:after="0"/>
              <w:rPr>
                <w:sz w:val="20"/>
                <w:szCs w:val="20"/>
                <w:color w:val="auto"/>
              </w:rPr>
            </w:pPr>
            <w:r>
              <w:rPr>
                <w:rFonts w:ascii="Arial" w:cs="Arial" w:eastAsia="Arial" w:hAnsi="Arial"/>
                <w:sz w:val="18"/>
                <w:szCs w:val="18"/>
                <w:color w:val="auto"/>
                <w:w w:val="93"/>
              </w:rPr>
              <w:t>company</w:t>
            </w:r>
          </w:p>
        </w:tc>
        <w:tc>
          <w:tcPr>
            <w:tcW w:w="0" w:type="dxa"/>
            <w:vAlign w:val="bottom"/>
          </w:tcPr>
          <w:p>
            <w:pPr>
              <w:spacing w:after="0"/>
              <w:rPr>
                <w:sz w:val="1"/>
                <w:szCs w:val="1"/>
                <w:color w:val="auto"/>
              </w:rPr>
            </w:pPr>
          </w:p>
        </w:tc>
      </w:tr>
      <w:tr>
        <w:trPr>
          <w:trHeight w:val="34"/>
        </w:trPr>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740" w:type="dxa"/>
            <w:vAlign w:val="bottom"/>
            <w:gridSpan w:val="2"/>
          </w:tcPr>
          <w:p>
            <w:pPr>
              <w:spacing w:after="0"/>
              <w:rPr>
                <w:sz w:val="20"/>
                <w:szCs w:val="20"/>
                <w:color w:val="auto"/>
              </w:rPr>
            </w:pPr>
            <w:r>
              <w:rPr>
                <w:rFonts w:ascii="Arial" w:cs="Arial" w:eastAsia="Arial" w:hAnsi="Arial"/>
                <w:sz w:val="18"/>
                <w:szCs w:val="18"/>
                <w:color w:val="auto"/>
              </w:rPr>
              <w:t>Sempra Energy</w:t>
            </w:r>
          </w:p>
        </w:tc>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50"/>
              <w:spacing w:after="0"/>
              <w:rPr>
                <w:sz w:val="20"/>
                <w:szCs w:val="20"/>
                <w:color w:val="auto"/>
              </w:rPr>
            </w:pPr>
            <w:r>
              <w:rPr>
                <w:rFonts w:ascii="Arial" w:cs="Arial" w:eastAsia="Arial" w:hAnsi="Arial"/>
                <w:sz w:val="18"/>
                <w:szCs w:val="18"/>
                <w:color w:val="auto"/>
              </w:rPr>
              <w:t>X ]</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San Diego Gas &amp; Electric</w:t>
            </w:r>
          </w:p>
        </w:tc>
        <w:tc>
          <w:tcPr>
            <w:tcW w:w="58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860" w:type="dxa"/>
            <w:vAlign w:val="bottom"/>
            <w:gridSpan w:val="3"/>
            <w:vMerge w:val="restart"/>
          </w:tcPr>
          <w:p>
            <w:pPr>
              <w:ind w:left="640"/>
              <w:spacing w:after="0"/>
              <w:rPr>
                <w:sz w:val="20"/>
                <w:szCs w:val="20"/>
                <w:color w:val="auto"/>
              </w:rPr>
            </w:pPr>
            <w:r>
              <w:rPr>
                <w:rFonts w:ascii="Arial" w:cs="Arial" w:eastAsia="Arial" w:hAnsi="Arial"/>
                <w:sz w:val="18"/>
                <w:szCs w:val="18"/>
                <w:color w:val="auto"/>
              </w:rPr>
              <w:t>[ X ]</w:t>
            </w:r>
          </w:p>
        </w:tc>
        <w:tc>
          <w:tcPr>
            <w:tcW w:w="9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2"/>
          </w:tcPr>
          <w:p>
            <w:pPr>
              <w:ind w:left="340"/>
              <w:spacing w:after="0"/>
              <w:rPr>
                <w:sz w:val="20"/>
                <w:szCs w:val="20"/>
                <w:color w:val="auto"/>
              </w:rPr>
            </w:pPr>
            <w:r>
              <w:rPr>
                <w:rFonts w:ascii="Arial" w:cs="Arial" w:eastAsia="Arial" w:hAnsi="Arial"/>
                <w:sz w:val="18"/>
                <w:szCs w:val="18"/>
                <w:color w:val="auto"/>
              </w:rPr>
              <w:t>Company</w:t>
            </w:r>
          </w:p>
        </w:tc>
        <w:tc>
          <w:tcPr>
            <w:tcW w:w="5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gridSpan w:val="3"/>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Southern California Gas</w:t>
            </w:r>
          </w:p>
        </w:tc>
        <w:tc>
          <w:tcPr>
            <w:tcW w:w="58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860" w:type="dxa"/>
            <w:vAlign w:val="bottom"/>
            <w:gridSpan w:val="3"/>
            <w:vMerge w:val="restart"/>
          </w:tcPr>
          <w:p>
            <w:pPr>
              <w:ind w:left="640"/>
              <w:spacing w:after="0"/>
              <w:rPr>
                <w:sz w:val="20"/>
                <w:szCs w:val="20"/>
                <w:color w:val="auto"/>
              </w:rPr>
            </w:pPr>
            <w:r>
              <w:rPr>
                <w:rFonts w:ascii="Arial" w:cs="Arial" w:eastAsia="Arial" w:hAnsi="Arial"/>
                <w:sz w:val="18"/>
                <w:szCs w:val="18"/>
                <w:color w:val="auto"/>
              </w:rPr>
              <w:t>[ X ]</w:t>
            </w:r>
          </w:p>
        </w:tc>
        <w:tc>
          <w:tcPr>
            <w:tcW w:w="9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2"/>
          </w:tcPr>
          <w:p>
            <w:pPr>
              <w:ind w:left="340"/>
              <w:spacing w:after="0"/>
              <w:rPr>
                <w:sz w:val="20"/>
                <w:szCs w:val="20"/>
                <w:color w:val="auto"/>
              </w:rPr>
            </w:pPr>
            <w:r>
              <w:rPr>
                <w:rFonts w:ascii="Arial" w:cs="Arial" w:eastAsia="Arial" w:hAnsi="Arial"/>
                <w:sz w:val="18"/>
                <w:szCs w:val="18"/>
                <w:color w:val="auto"/>
              </w:rPr>
              <w:t>Company</w:t>
            </w:r>
          </w:p>
        </w:tc>
        <w:tc>
          <w:tcPr>
            <w:tcW w:w="58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1860" w:type="dxa"/>
            <w:vAlign w:val="bottom"/>
            <w:gridSpan w:val="3"/>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60" w:type="dxa"/>
            <w:vAlign w:val="bottom"/>
            <w:gridSpan w:val="8"/>
          </w:tcPr>
          <w:p>
            <w:pPr>
              <w:spacing w:after="0"/>
              <w:rPr>
                <w:sz w:val="20"/>
                <w:szCs w:val="20"/>
                <w:color w:val="auto"/>
              </w:rPr>
            </w:pPr>
            <w:r>
              <w:rPr>
                <w:rFonts w:ascii="Arial" w:cs="Arial" w:eastAsia="Arial" w:hAnsi="Arial"/>
                <w:sz w:val="18"/>
                <w:szCs w:val="18"/>
                <w:color w:val="auto"/>
                <w:w w:val="94"/>
              </w:rPr>
              <w:t>Indicate by check mark whether the registrant is a shell company (as defined in Rule 12b-2 of the Exchange Act).</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740" w:type="dxa"/>
            <w:vAlign w:val="bottom"/>
            <w:gridSpan w:val="2"/>
          </w:tcPr>
          <w:p>
            <w:pPr>
              <w:spacing w:after="0"/>
              <w:rPr>
                <w:sz w:val="20"/>
                <w:szCs w:val="20"/>
                <w:color w:val="auto"/>
              </w:rPr>
            </w:pPr>
            <w:r>
              <w:rPr>
                <w:rFonts w:ascii="Arial" w:cs="Arial" w:eastAsia="Arial" w:hAnsi="Arial"/>
                <w:sz w:val="18"/>
                <w:szCs w:val="18"/>
                <w:color w:val="auto"/>
              </w:rPr>
              <w:t>Sempra Energy</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color w:val="auto"/>
              </w:rPr>
              <w:t>Yes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No</w:t>
            </w: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w w:val="95"/>
              </w:rPr>
              <w:t>San Diego Gas &amp; Electric Company</w:t>
            </w:r>
          </w:p>
        </w:tc>
        <w:tc>
          <w:tcPr>
            <w:tcW w:w="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gridSpan w:val="2"/>
            <w:vMerge w:val="continue"/>
          </w:tcPr>
          <w:p>
            <w:pPr>
              <w:spacing w:after="0"/>
              <w:rPr>
                <w:sz w:val="22"/>
                <w:szCs w:val="22"/>
                <w:color w:val="auto"/>
              </w:rPr>
            </w:pPr>
          </w:p>
        </w:tc>
        <w:tc>
          <w:tcPr>
            <w:tcW w:w="5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color w:val="auto"/>
              </w:rPr>
              <w:t>Yes</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No</w:t>
            </w: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w w:val="99"/>
              </w:rPr>
              <w:t>Southern California Gas Company</w:t>
            </w:r>
          </w:p>
        </w:tc>
        <w:tc>
          <w:tcPr>
            <w:tcW w:w="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gridSpan w:val="2"/>
            <w:vMerge w:val="continue"/>
          </w:tcPr>
          <w:p>
            <w:pPr>
              <w:spacing w:after="0"/>
              <w:rPr>
                <w:sz w:val="22"/>
                <w:szCs w:val="22"/>
                <w:color w:val="auto"/>
              </w:rPr>
            </w:pPr>
          </w:p>
        </w:tc>
        <w:tc>
          <w:tcPr>
            <w:tcW w:w="5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color w:val="auto"/>
              </w:rPr>
              <w:t>Yes</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No</w:t>
            </w: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w w:val="93"/>
              </w:rPr>
              <w:t>Common stock outstanding on July 30, 2012:</w:t>
            </w:r>
          </w:p>
        </w:tc>
        <w:tc>
          <w:tcPr>
            <w:tcW w:w="8040" w:type="dxa"/>
            <w:vAlign w:val="bottom"/>
          </w:tcPr>
          <w:p>
            <w:pPr>
              <w:spacing w:after="0"/>
              <w:rPr>
                <w:sz w:val="20"/>
                <w:szCs w:val="20"/>
                <w:color w:val="auto"/>
              </w:rPr>
            </w:pP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rPr>
              <w:t>Sempra Energy</w:t>
            </w:r>
          </w:p>
        </w:tc>
        <w:tc>
          <w:tcPr>
            <w:tcW w:w="8040" w:type="dxa"/>
            <w:vAlign w:val="bottom"/>
          </w:tcPr>
          <w:p>
            <w:pPr>
              <w:ind w:left="100"/>
              <w:spacing w:after="0"/>
              <w:rPr>
                <w:sz w:val="20"/>
                <w:szCs w:val="20"/>
                <w:color w:val="auto"/>
              </w:rPr>
            </w:pPr>
            <w:r>
              <w:rPr>
                <w:rFonts w:ascii="Arial" w:cs="Arial" w:eastAsia="Arial" w:hAnsi="Arial"/>
                <w:sz w:val="18"/>
                <w:szCs w:val="18"/>
                <w:color w:val="auto"/>
              </w:rPr>
              <w:t>241,699,518 shares</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8040" w:type="dxa"/>
            <w:vAlign w:val="bottom"/>
          </w:tcPr>
          <w:p>
            <w:pPr>
              <w:ind w:left="100"/>
              <w:spacing w:after="0"/>
              <w:rPr>
                <w:sz w:val="20"/>
                <w:szCs w:val="20"/>
                <w:color w:val="auto"/>
              </w:rPr>
            </w:pPr>
            <w:r>
              <w:rPr>
                <w:rFonts w:ascii="Arial" w:cs="Arial" w:eastAsia="Arial" w:hAnsi="Arial"/>
                <w:sz w:val="18"/>
                <w:szCs w:val="18"/>
                <w:color w:val="auto"/>
              </w:rPr>
              <w:t>Wholly owned by Enova Corporation, which is wholly owned by Sempra Energy</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8040" w:type="dxa"/>
            <w:vAlign w:val="bottom"/>
          </w:tcPr>
          <w:p>
            <w:pPr>
              <w:ind w:left="100"/>
              <w:spacing w:after="0"/>
              <w:rPr>
                <w:sz w:val="20"/>
                <w:szCs w:val="20"/>
                <w:color w:val="auto"/>
              </w:rPr>
            </w:pPr>
            <w:r>
              <w:rPr>
                <w:rFonts w:ascii="Arial" w:cs="Arial" w:eastAsia="Arial" w:hAnsi="Arial"/>
                <w:sz w:val="18"/>
                <w:szCs w:val="18"/>
                <w:color w:val="auto"/>
              </w:rPr>
              <w:t>Wholly owned by Pacific Enterprises, which is wholly owned by Sempra Energy</w:t>
            </w:r>
          </w:p>
        </w:tc>
      </w:tr>
      <w:tr>
        <w:trPr>
          <w:trHeight w:val="466"/>
        </w:trPr>
        <w:tc>
          <w:tcPr>
            <w:tcW w:w="338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color w:val="auto"/>
        </w:rPr>
        <w:t>SEMPRA ENERGY FORM 10-Q</w:t>
      </w:r>
    </w:p>
    <w:p>
      <w:pPr>
        <w:spacing w:after="0" w:line="236" w:lineRule="auto"/>
        <w:rPr>
          <w:sz w:val="20"/>
          <w:szCs w:val="20"/>
          <w:color w:val="auto"/>
        </w:rPr>
      </w:pPr>
      <w:r>
        <w:rPr>
          <w:rFonts w:ascii="Arial" w:cs="Arial" w:eastAsia="Arial" w:hAnsi="Arial"/>
          <w:sz w:val="25"/>
          <w:szCs w:val="25"/>
          <w:color w:val="auto"/>
        </w:rPr>
        <w:t>SAN DIEGO GAS &amp; ELECTRIC COMPANY FORM 10-Q</w:t>
      </w:r>
    </w:p>
    <w:p>
      <w:pPr>
        <w:spacing w:after="0" w:line="237" w:lineRule="auto"/>
        <w:rPr>
          <w:sz w:val="20"/>
          <w:szCs w:val="20"/>
          <w:color w:val="auto"/>
        </w:rPr>
      </w:pPr>
      <w:r>
        <w:rPr>
          <w:rFonts w:ascii="Arial" w:cs="Arial" w:eastAsia="Arial" w:hAnsi="Arial"/>
          <w:sz w:val="25"/>
          <w:szCs w:val="25"/>
          <w:color w:val="auto"/>
        </w:rPr>
        <w:t>SOUTHERN CALIFORNIA GAS COMPANY FORM 10-Q</w:t>
      </w:r>
    </w:p>
    <w:p>
      <w:pPr>
        <w:spacing w:after="0" w:line="237" w:lineRule="auto"/>
        <w:rPr>
          <w:sz w:val="20"/>
          <w:szCs w:val="20"/>
          <w:color w:val="auto"/>
        </w:rPr>
      </w:pPr>
      <w:r>
        <w:rPr>
          <w:rFonts w:ascii="Arial" w:cs="Arial" w:eastAsia="Arial" w:hAnsi="Arial"/>
          <w:sz w:val="25"/>
          <w:szCs w:val="25"/>
          <w:color w:val="auto"/>
        </w:rPr>
        <w:t>TABLE OF CONTENTS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6"/>
                <w:szCs w:val="16"/>
                <w:i w:val="1"/>
                <w:iCs w:val="1"/>
                <w:color w:val="auto"/>
              </w:rPr>
              <w:t>Page</w:t>
            </w:r>
          </w:p>
        </w:tc>
        <w:tc>
          <w:tcPr>
            <w:tcW w:w="0" w:type="dxa"/>
            <w:vAlign w:val="bottom"/>
          </w:tcPr>
          <w:p>
            <w:pPr>
              <w:spacing w:after="0"/>
              <w:rPr>
                <w:sz w:val="1"/>
                <w:szCs w:val="1"/>
                <w:color w:val="auto"/>
              </w:rPr>
            </w:pPr>
          </w:p>
        </w:tc>
      </w:tr>
      <w:tr>
        <w:trPr>
          <w:trHeight w:val="195"/>
        </w:trPr>
        <w:tc>
          <w:tcPr>
            <w:tcW w:w="9660" w:type="dxa"/>
            <w:vAlign w:val="bottom"/>
            <w:gridSpan w:val="3"/>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640" w:type="dxa"/>
            <w:vAlign w:val="bottom"/>
            <w:tcBorders>
              <w:bottom w:val="single" w:sz="8" w:color="auto"/>
            </w:tcBorders>
            <w:gridSpan w:val="2"/>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640" w:type="dxa"/>
            <w:vAlign w:val="bottom"/>
            <w:gridSpan w:val="2"/>
          </w:tcPr>
          <w:p>
            <w:pPr>
              <w:spacing w:after="0"/>
              <w:rPr>
                <w:sz w:val="20"/>
                <w:szCs w:val="20"/>
                <w:color w:val="auto"/>
              </w:rPr>
            </w:pPr>
            <w:r>
              <w:rPr>
                <w:rFonts w:ascii="Arial" w:cs="Arial" w:eastAsia="Arial" w:hAnsi="Arial"/>
                <w:sz w:val="16"/>
                <w:szCs w:val="16"/>
                <w:b w:val="1"/>
                <w:bCs w:val="1"/>
                <w:color w:val="auto"/>
              </w:rPr>
              <w:t>PART I – FINANCIAL INFORMATION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Financial Statements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2.</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3.</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Quantitative and Qualitative Disclosures About Market Risk</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5"/>
        </w:trPr>
        <w:tc>
          <w:tcPr>
            <w:tcW w:w="14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8240" w:type="dxa"/>
            <w:vAlign w:val="bottom"/>
          </w:tcPr>
          <w:p>
            <w:pPr>
              <w:ind w:left="620"/>
              <w:spacing w:after="0"/>
              <w:rPr>
                <w:sz w:val="20"/>
                <w:szCs w:val="20"/>
                <w:color w:val="auto"/>
              </w:rPr>
            </w:pPr>
            <w:r>
              <w:rPr>
                <w:rFonts w:ascii="Arial" w:cs="Arial" w:eastAsia="Arial" w:hAnsi="Arial"/>
                <w:sz w:val="16"/>
                <w:szCs w:val="16"/>
                <w:color w:val="auto"/>
              </w:rPr>
              <w:t>Controls and Procedures</w:t>
            </w:r>
          </w:p>
        </w:tc>
        <w:tc>
          <w:tcPr>
            <w:tcW w:w="1760" w:type="dxa"/>
            <w:vAlign w:val="bottom"/>
          </w:tcPr>
          <w:p>
            <w:pPr>
              <w:jc w:val="center"/>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6"/>
        </w:trPr>
        <w:tc>
          <w:tcPr>
            <w:tcW w:w="9660" w:type="dxa"/>
            <w:vAlign w:val="bottom"/>
            <w:tcBorders>
              <w:bottom w:val="single" w:sz="8" w:color="auto"/>
            </w:tcBorders>
            <w:gridSpan w:val="3"/>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660" w:type="dxa"/>
            <w:vAlign w:val="bottom"/>
            <w:gridSpan w:val="3"/>
          </w:tcPr>
          <w:p>
            <w:pPr>
              <w:spacing w:after="0"/>
              <w:rPr>
                <w:sz w:val="20"/>
                <w:szCs w:val="20"/>
                <w:color w:val="auto"/>
              </w:rPr>
            </w:pPr>
            <w:r>
              <w:rPr>
                <w:rFonts w:ascii="Arial" w:cs="Arial" w:eastAsia="Arial" w:hAnsi="Arial"/>
                <w:sz w:val="16"/>
                <w:szCs w:val="16"/>
                <w:b w:val="1"/>
                <w:bCs w:val="1"/>
                <w:color w:val="auto"/>
              </w:rPr>
              <w:t>PART II – OTHER INFORMATION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Legal Proceedings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1A.</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Risk Factors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95"/>
        </w:trPr>
        <w:tc>
          <w:tcPr>
            <w:tcW w:w="14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8240" w:type="dxa"/>
            <w:vAlign w:val="bottom"/>
          </w:tcPr>
          <w:p>
            <w:pPr>
              <w:ind w:left="620"/>
              <w:spacing w:after="0"/>
              <w:rPr>
                <w:sz w:val="20"/>
                <w:szCs w:val="20"/>
                <w:color w:val="auto"/>
              </w:rPr>
            </w:pPr>
            <w:r>
              <w:rPr>
                <w:rFonts w:ascii="Arial" w:cs="Arial" w:eastAsia="Arial" w:hAnsi="Arial"/>
                <w:sz w:val="16"/>
                <w:szCs w:val="16"/>
                <w:color w:val="auto"/>
              </w:rPr>
              <w:t>Exhibits</w:t>
            </w:r>
          </w:p>
        </w:tc>
        <w:tc>
          <w:tcPr>
            <w:tcW w:w="1760" w:type="dxa"/>
            <w:vAlign w:val="bottom"/>
          </w:tcPr>
          <w:p>
            <w:pPr>
              <w:jc w:val="center"/>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91"/>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Signatures</w:t>
            </w:r>
          </w:p>
        </w:tc>
        <w:tc>
          <w:tcPr>
            <w:tcW w:w="8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500" w:right="420"/>
        <w:spacing w:after="0" w:line="260" w:lineRule="auto"/>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125" w:lineRule="exact"/>
        <w:rPr>
          <w:sz w:val="20"/>
          <w:szCs w:val="20"/>
          <w:color w:val="auto"/>
        </w:rPr>
      </w:pPr>
    </w:p>
    <w:p>
      <w:pPr>
        <w:jc w:val="both"/>
        <w:ind w:left="500" w:right="240"/>
        <w:spacing w:after="0" w:line="289"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ectPr>
          <w:pgSz w:w="11900" w:h="16838" w:orient="portrait"/>
          <w:cols w:equalWidth="0" w:num="1">
            <w:col w:w="11420"/>
          </w:cols>
          <w:pgMar w:left="240" w:top="962" w:right="239" w:bottom="18" w:gutter="0" w:footer="0" w:header="0"/>
        </w:sectPr>
      </w:pPr>
    </w:p>
    <w:bookmarkStart w:id="2" w:name="page3"/>
    <w:bookmarkEnd w:id="2"/>
    <w:p>
      <w:pPr>
        <w:jc w:val="both"/>
        <w:spacing w:after="0" w:line="289" w:lineRule="auto"/>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INFORMATION REGARDING FORWARD-LOOKING STATEMENTS</w:t>
      </w:r>
    </w:p>
    <w:p>
      <w:pPr>
        <w:spacing w:after="0" w:line="19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this report, when we use words such as “believes,” “expects,” “anticipates,” “plans,” “estimates,” “projects,” “contemplates,” “intends,” “depends,” “should,” “could,” “would,” “will,” “may,” “potential,” “target,” “pursue,” “goals,” or similar expressions, or when we discuss our guidance, strategy, plans, goals, initiatives, objectives or intentions, we are making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48" w:lineRule="exact"/>
        <w:rPr>
          <w:sz w:val="20"/>
          <w:szCs w:val="20"/>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regional, national and international economic, competitive, political, legislative and regulatory conditions and developments;</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by the California Public Utilities Commission, California State Legislature, Federal Energy Regulatory Commission, U.S. Department of Energy, Nuclear Regulatory Commission, California Energy Commission, California Air Resources Board, and other regulatory, governmental and environmental bodies in the United States and other countries in which we operate;</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markets conditions, including the availability of credit and the liquidity of our investments;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interest and exchange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benchmark interest rates, generally U.S. Treasury bond and Moody’s A-rated utility bond yields, on our California Utilities’ cost of capital;</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business development efforts and construction, maintenance and capital projects, including risks inherent in the ability to obtain, and the timing of granting of, permits, licenses, certificates and other authorizations;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markets, including the timing and extent of changes and volatility in commodity prices;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electric power, natural gas and liquefied natural gas, including disruptions caused by failures in the North American transmission grid, pipeline explosions and equipment failures;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catastrophic accidents, and conservation efforts;</w:t>
      </w:r>
    </w:p>
    <w:p>
      <w:pPr>
        <w:spacing w:after="0" w:line="252" w:lineRule="exact"/>
        <w:rPr>
          <w:rFonts w:ascii="Arial" w:cs="Arial" w:eastAsia="Arial" w:hAnsi="Arial"/>
          <w:sz w:val="18"/>
          <w:szCs w:val="18"/>
          <w:color w:val="auto"/>
        </w:rPr>
      </w:pPr>
    </w:p>
    <w:p>
      <w:pPr>
        <w:ind w:left="340" w:hanging="188"/>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inherent in nuclear power generation and radioactive materials storage, including the catastrophic release of such materials, the disallowance of the recovery of the investment in or operating costs of the generation facility due to an extended outage, and increased regulatory oversight;</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posed by decisions and actions of third parties who control the operations of investments in which we do not have a controlling interest;</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wars, terrorist attacks and cybersecurity threats;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regulatory, environmental and legal decisions and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expropriation of assets by foreign governments and title and other property disputes;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status of deregulation of retail natural gas and electricity delivery;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or determination not to enter into long-term supply and sales agreements or long-term firm capacity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resolution of litigation;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uncertainties, all of which are difficult to predict and many of which are beyond our control.</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caution you not to rely unduly on any forward-looking statements. You should review and consider carefully the risks, uncertainties and other factors that affect our business as described in this report and in our Annual Report on Form 10-K and other reports that we file with the Securities and Exchange Commission.</w:t>
      </w:r>
    </w:p>
    <w:p>
      <w:pPr>
        <w:sectPr>
          <w:pgSz w:w="11900" w:h="16838" w:orient="portrait"/>
          <w:cols w:equalWidth="0" w:num="1">
            <w:col w:w="11420"/>
          </w:cols>
          <w:pgMar w:left="240" w:top="744" w:right="239" w:bottom="1440" w:gutter="0" w:footer="0" w:header="0"/>
        </w:sectPr>
      </w:pPr>
    </w:p>
    <w:bookmarkStart w:id="4" w:name="page5"/>
    <w:bookmarkEnd w:id="4"/>
    <w:p>
      <w:pPr>
        <w:spacing w:after="0"/>
        <w:rPr>
          <w:sz w:val="20"/>
          <w:szCs w:val="20"/>
          <w:color w:val="auto"/>
        </w:rPr>
      </w:pPr>
      <w:r>
        <w:rPr>
          <w:rFonts w:ascii="Arial" w:cs="Arial" w:eastAsia="Arial" w:hAnsi="Arial"/>
          <w:sz w:val="23"/>
          <w:szCs w:val="23"/>
          <w:color w:val="auto"/>
        </w:rPr>
        <w:t>PART I –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Three months ended June 30,</w:t>
            </w: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3"/>
        </w:trPr>
        <w:tc>
          <w:tcPr>
            <w:tcW w:w="6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2011(1)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2012</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2011(1)</w:t>
            </w:r>
          </w:p>
        </w:tc>
        <w:tc>
          <w:tcPr>
            <w:tcW w:w="0" w:type="dxa"/>
            <w:vAlign w:val="bottom"/>
          </w:tcPr>
          <w:p>
            <w:pPr>
              <w:spacing w:after="0"/>
              <w:rPr>
                <w:sz w:val="1"/>
                <w:szCs w:val="1"/>
                <w:color w:val="auto"/>
              </w:rPr>
            </w:pPr>
          </w:p>
        </w:tc>
      </w:tr>
      <w:tr>
        <w:trPr>
          <w:trHeight w:val="191"/>
        </w:trPr>
        <w:tc>
          <w:tcPr>
            <w:tcW w:w="6500" w:type="dxa"/>
            <w:vAlign w:val="bottom"/>
            <w:vMerge w:val="restart"/>
          </w:tcPr>
          <w:p>
            <w:pPr>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jc w:val="right"/>
              <w:ind w:right="880"/>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Utilities</w:t>
            </w:r>
          </w:p>
        </w:tc>
        <w:tc>
          <w:tcPr>
            <w:tcW w:w="2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1,838</w:t>
            </w:r>
          </w:p>
        </w:tc>
        <w:tc>
          <w:tcPr>
            <w:tcW w:w="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1,922</w:t>
            </w:r>
          </w:p>
        </w:tc>
        <w:tc>
          <w:tcPr>
            <w:tcW w:w="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3,929</w:t>
            </w:r>
          </w:p>
        </w:tc>
        <w:tc>
          <w:tcPr>
            <w:tcW w:w="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3,868</w:t>
            </w:r>
          </w:p>
        </w:tc>
        <w:tc>
          <w:tcPr>
            <w:tcW w:w="0" w:type="dxa"/>
            <w:vAlign w:val="bottom"/>
          </w:tcPr>
          <w:p>
            <w:pPr>
              <w:spacing w:after="0"/>
              <w:rPr>
                <w:sz w:val="1"/>
                <w:szCs w:val="1"/>
                <w:color w:val="auto"/>
              </w:rPr>
            </w:pPr>
          </w:p>
        </w:tc>
      </w:tr>
      <w:tr>
        <w:trPr>
          <w:trHeight w:val="194"/>
        </w:trPr>
        <w:tc>
          <w:tcPr>
            <w:tcW w:w="650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164"/>
        </w:trPr>
        <w:tc>
          <w:tcPr>
            <w:tcW w:w="6500" w:type="dxa"/>
            <w:vAlign w:val="bottom"/>
          </w:tcPr>
          <w:p>
            <w:pPr>
              <w:ind w:left="180"/>
              <w:spacing w:after="0" w:line="164" w:lineRule="exact"/>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2,089</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2,422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4,472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Arial" w:cs="Arial" w:eastAsia="Arial" w:hAnsi="Arial"/>
                <w:sz w:val="16"/>
                <w:szCs w:val="16"/>
                <w:color w:val="auto"/>
              </w:rPr>
              <w:t>4,856</w:t>
            </w: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EXPENSES AND OTHER INCOME</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Utilities: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180"/>
              <w:spacing w:after="0" w:line="176" w:lineRule="exact"/>
              <w:rPr>
                <w:sz w:val="20"/>
                <w:szCs w:val="20"/>
                <w:color w:val="auto"/>
              </w:rPr>
            </w:pPr>
            <w:r>
              <w:rPr>
                <w:rFonts w:ascii="Arial" w:cs="Arial" w:eastAsia="Arial" w:hAnsi="Arial"/>
                <w:sz w:val="16"/>
                <w:szCs w:val="16"/>
                <w:color w:val="auto"/>
              </w:rPr>
              <w:t>Cost of natural gas</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(221)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(403)</w:t>
            </w:r>
          </w:p>
        </w:tc>
        <w:tc>
          <w:tcPr>
            <w:tcW w:w="20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(652)</w:t>
            </w: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176"/>
        </w:trPr>
        <w:tc>
          <w:tcPr>
            <w:tcW w:w="6500" w:type="dxa"/>
            <w:vAlign w:val="bottom"/>
          </w:tcPr>
          <w:p>
            <w:pPr>
              <w:ind w:left="180"/>
              <w:spacing w:after="0" w:line="176" w:lineRule="exact"/>
              <w:rPr>
                <w:sz w:val="20"/>
                <w:szCs w:val="20"/>
                <w:color w:val="auto"/>
              </w:rPr>
            </w:pPr>
            <w:r>
              <w:rPr>
                <w:rFonts w:ascii="Arial" w:cs="Arial" w:eastAsia="Arial" w:hAnsi="Arial"/>
                <w:sz w:val="16"/>
                <w:szCs w:val="16"/>
                <w:color w:val="auto"/>
              </w:rPr>
              <w:t>Cost of electric fuel and purchased power</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(349)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(397)</w:t>
            </w:r>
          </w:p>
        </w:tc>
        <w:tc>
          <w:tcPr>
            <w:tcW w:w="20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(737)</w:t>
            </w: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Energy-related businesses: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180"/>
              <w:spacing w:after="0" w:line="176" w:lineRule="exact"/>
              <w:rPr>
                <w:sz w:val="20"/>
                <w:szCs w:val="20"/>
                <w:color w:val="auto"/>
              </w:rPr>
            </w:pPr>
            <w:r>
              <w:rPr>
                <w:rFonts w:ascii="Arial" w:cs="Arial" w:eastAsia="Arial" w:hAnsi="Arial"/>
                <w:sz w:val="16"/>
                <w:szCs w:val="16"/>
                <w:color w:val="auto"/>
              </w:rPr>
              <w:t>Cost of natural gas, electric fuel and purchased power</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(212)</w:t>
            </w:r>
          </w:p>
        </w:tc>
        <w:tc>
          <w:tcPr>
            <w:tcW w:w="20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(210)</w:t>
            </w: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176"/>
        </w:trPr>
        <w:tc>
          <w:tcPr>
            <w:tcW w:w="6500" w:type="dxa"/>
            <w:vAlign w:val="bottom"/>
          </w:tcPr>
          <w:p>
            <w:pPr>
              <w:ind w:left="180"/>
              <w:spacing w:after="0" w:line="176" w:lineRule="exact"/>
              <w:rPr>
                <w:sz w:val="20"/>
                <w:szCs w:val="20"/>
                <w:color w:val="auto"/>
              </w:rPr>
            </w:pPr>
            <w:r>
              <w:rPr>
                <w:rFonts w:ascii="Arial" w:cs="Arial" w:eastAsia="Arial" w:hAnsi="Arial"/>
                <w:sz w:val="16"/>
                <w:szCs w:val="16"/>
                <w:color w:val="auto"/>
              </w:rPr>
              <w:t>Other cost of sales</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(32)</w:t>
            </w:r>
          </w:p>
        </w:tc>
        <w:tc>
          <w:tcPr>
            <w:tcW w:w="20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(74)</w:t>
            </w: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Operation and maintenance</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(720)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(673)</w:t>
            </w:r>
          </w:p>
        </w:tc>
        <w:tc>
          <w:tcPr>
            <w:tcW w:w="20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(1,391)</w:t>
            </w: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(266)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(248)</w:t>
            </w:r>
          </w:p>
        </w:tc>
        <w:tc>
          <w:tcPr>
            <w:tcW w:w="20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(523)</w:t>
            </w: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Franchise fees and other taxes</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(79)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(80)</w:t>
            </w:r>
          </w:p>
        </w:tc>
        <w:tc>
          <w:tcPr>
            <w:tcW w:w="20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(175)</w:t>
            </w: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Equity (losses) earnings, before income tax:</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180"/>
              <w:spacing w:after="0" w:line="176" w:lineRule="exact"/>
              <w:rPr>
                <w:sz w:val="20"/>
                <w:szCs w:val="20"/>
                <w:color w:val="auto"/>
              </w:rPr>
            </w:pPr>
            <w:r>
              <w:rPr>
                <w:rFonts w:ascii="Arial" w:cs="Arial" w:eastAsia="Arial" w:hAnsi="Arial"/>
                <w:sz w:val="16"/>
                <w:szCs w:val="16"/>
                <w:color w:val="auto"/>
              </w:rPr>
              <w:t>Rockies Express Pipeline LLC</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(290)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(279)</w:t>
            </w: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6"/>
        </w:trPr>
        <w:tc>
          <w:tcPr>
            <w:tcW w:w="6500" w:type="dxa"/>
            <w:vAlign w:val="bottom"/>
          </w:tcPr>
          <w:p>
            <w:pPr>
              <w:ind w:left="180"/>
              <w:spacing w:after="0" w:line="176" w:lineRule="exact"/>
              <w:rPr>
                <w:sz w:val="20"/>
                <w:szCs w:val="20"/>
                <w:color w:val="auto"/>
              </w:rPr>
            </w:pPr>
            <w:r>
              <w:rPr>
                <w:rFonts w:ascii="Arial" w:cs="Arial" w:eastAsia="Arial" w:hAnsi="Arial"/>
                <w:sz w:val="16"/>
                <w:szCs w:val="16"/>
                <w:color w:val="auto"/>
              </w:rPr>
              <w:t>Other</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w:t>
            </w:r>
          </w:p>
        </w:tc>
        <w:tc>
          <w:tcPr>
            <w:tcW w:w="20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Remeasurement of equity method investments</w:t>
            </w:r>
          </w:p>
        </w:tc>
        <w:tc>
          <w:tcPr>
            <w:tcW w:w="22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277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Other income, net</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93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4"/>
        </w:trPr>
        <w:tc>
          <w:tcPr>
            <w:tcW w:w="650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(118)</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(226)</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164"/>
        </w:trPr>
        <w:tc>
          <w:tcPr>
            <w:tcW w:w="6500" w:type="dxa"/>
            <w:vAlign w:val="bottom"/>
          </w:tcPr>
          <w:p>
            <w:pPr>
              <w:spacing w:after="0" w:line="164" w:lineRule="exact"/>
              <w:rPr>
                <w:sz w:val="20"/>
                <w:szCs w:val="20"/>
                <w:color w:val="auto"/>
              </w:rPr>
            </w:pPr>
            <w:r>
              <w:rPr>
                <w:rFonts w:ascii="Arial" w:cs="Arial" w:eastAsia="Arial" w:hAnsi="Arial"/>
                <w:sz w:val="16"/>
                <w:szCs w:val="16"/>
                <w:color w:val="auto"/>
              </w:rPr>
              <w:t>(Losses) income before income taxes and equity earnings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180"/>
              <w:spacing w:after="0" w:line="176" w:lineRule="exact"/>
              <w:rPr>
                <w:sz w:val="20"/>
                <w:szCs w:val="20"/>
                <w:color w:val="auto"/>
              </w:rPr>
            </w:pPr>
            <w:r>
              <w:rPr>
                <w:rFonts w:ascii="Arial" w:cs="Arial" w:eastAsia="Arial" w:hAnsi="Arial"/>
                <w:sz w:val="16"/>
                <w:szCs w:val="16"/>
                <w:color w:val="auto"/>
              </w:rPr>
              <w:t>of certain unconsolidated subsidiaries</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305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Income tax benefit (expense)</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118</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(100)</w:t>
            </w:r>
          </w:p>
        </w:tc>
        <w:tc>
          <w:tcPr>
            <w:tcW w:w="2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94"/>
        </w:trPr>
        <w:tc>
          <w:tcPr>
            <w:tcW w:w="6500" w:type="dxa"/>
            <w:vAlign w:val="bottom"/>
          </w:tcPr>
          <w:p>
            <w:pPr>
              <w:spacing w:after="0"/>
              <w:rPr>
                <w:sz w:val="20"/>
                <w:szCs w:val="20"/>
                <w:color w:val="auto"/>
              </w:rPr>
            </w:pPr>
            <w:r>
              <w:rPr>
                <w:rFonts w:ascii="Arial" w:cs="Arial" w:eastAsia="Arial" w:hAnsi="Arial"/>
                <w:sz w:val="16"/>
                <w:szCs w:val="16"/>
                <w:color w:val="auto"/>
              </w:rPr>
              <w:t>Equity earnings, net of income tax</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4"/>
        </w:trPr>
        <w:tc>
          <w:tcPr>
            <w:tcW w:w="6500" w:type="dxa"/>
            <w:vAlign w:val="bottom"/>
          </w:tcPr>
          <w:p>
            <w:pPr>
              <w:spacing w:after="0" w:line="164" w:lineRule="exact"/>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74</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494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325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6"/>
                <w:szCs w:val="16"/>
                <w:color w:val="auto"/>
              </w:rPr>
              <w:t>(Earnings) losses attributable to noncontrolling interests</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(24)</w:t>
            </w: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4"/>
        </w:trPr>
        <w:tc>
          <w:tcPr>
            <w:tcW w:w="650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3"/>
        </w:trPr>
        <w:tc>
          <w:tcPr>
            <w:tcW w:w="6500" w:type="dxa"/>
            <w:vAlign w:val="bottom"/>
          </w:tcPr>
          <w:p>
            <w:pPr>
              <w:spacing w:after="0" w:line="176" w:lineRule="exact"/>
              <w:rPr>
                <w:sz w:val="20"/>
                <w:szCs w:val="20"/>
                <w:color w:val="auto"/>
              </w:rPr>
            </w:pPr>
            <w:r>
              <w:rPr>
                <w:rFonts w:ascii="Arial" w:cs="Arial" w:eastAsia="Arial" w:hAnsi="Arial"/>
                <w:sz w:val="16"/>
                <w:szCs w:val="16"/>
                <w:color w:val="auto"/>
              </w:rPr>
              <w:t>Earnings</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62</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503</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298</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358"/>
        </w:trPr>
        <w:tc>
          <w:tcPr>
            <w:tcW w:w="650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183"/>
        </w:trPr>
        <w:tc>
          <w:tcPr>
            <w:tcW w:w="6500" w:type="dxa"/>
            <w:vAlign w:val="bottom"/>
          </w:tcPr>
          <w:p>
            <w:pPr>
              <w:spacing w:after="0" w:line="176" w:lineRule="exact"/>
              <w:rPr>
                <w:sz w:val="20"/>
                <w:szCs w:val="20"/>
                <w:color w:val="auto"/>
              </w:rPr>
            </w:pPr>
            <w:r>
              <w:rPr>
                <w:rFonts w:ascii="Arial" w:cs="Arial" w:eastAsia="Arial" w:hAnsi="Arial"/>
                <w:sz w:val="16"/>
                <w:szCs w:val="16"/>
                <w:color w:val="auto"/>
              </w:rPr>
              <w:t>Weighted-average number of shares outstanding, basic (thousands)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241,141</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239,415</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240,853</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239,769</w:t>
            </w:r>
          </w:p>
        </w:tc>
        <w:tc>
          <w:tcPr>
            <w:tcW w:w="0" w:type="dxa"/>
            <w:vAlign w:val="bottom"/>
          </w:tcPr>
          <w:p>
            <w:pPr>
              <w:spacing w:after="0"/>
              <w:rPr>
                <w:sz w:val="1"/>
                <w:szCs w:val="1"/>
                <w:color w:val="auto"/>
              </w:rPr>
            </w:pPr>
          </w:p>
        </w:tc>
      </w:tr>
      <w:tr>
        <w:trPr>
          <w:trHeight w:val="358"/>
        </w:trPr>
        <w:tc>
          <w:tcPr>
            <w:tcW w:w="65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183"/>
        </w:trPr>
        <w:tc>
          <w:tcPr>
            <w:tcW w:w="6500" w:type="dxa"/>
            <w:vAlign w:val="bottom"/>
          </w:tcPr>
          <w:p>
            <w:pPr>
              <w:spacing w:after="0" w:line="176" w:lineRule="exact"/>
              <w:rPr>
                <w:sz w:val="20"/>
                <w:szCs w:val="20"/>
                <w:color w:val="auto"/>
              </w:rPr>
            </w:pPr>
            <w:r>
              <w:rPr>
                <w:rFonts w:ascii="Arial" w:cs="Arial" w:eastAsia="Arial" w:hAnsi="Arial"/>
                <w:sz w:val="16"/>
                <w:szCs w:val="16"/>
                <w:color w:val="auto"/>
              </w:rPr>
              <w:t>Weighted-average number of shares outstanding, diluted (thousands)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246,260</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240,761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245,766</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241,154</w:t>
            </w:r>
          </w:p>
        </w:tc>
        <w:tc>
          <w:tcPr>
            <w:tcW w:w="0" w:type="dxa"/>
            <w:vAlign w:val="bottom"/>
          </w:tcPr>
          <w:p>
            <w:pPr>
              <w:spacing w:after="0"/>
              <w:rPr>
                <w:sz w:val="1"/>
                <w:szCs w:val="1"/>
                <w:color w:val="auto"/>
              </w:rPr>
            </w:pPr>
          </w:p>
        </w:tc>
      </w:tr>
      <w:tr>
        <w:trPr>
          <w:trHeight w:val="195"/>
        </w:trPr>
        <w:tc>
          <w:tcPr>
            <w:tcW w:w="6500" w:type="dxa"/>
            <w:vAlign w:val="bottom"/>
          </w:tcPr>
          <w:p>
            <w:pPr>
              <w:spacing w:after="0"/>
              <w:rPr>
                <w:sz w:val="20"/>
                <w:szCs w:val="20"/>
                <w:color w:val="auto"/>
              </w:rPr>
            </w:pPr>
            <w:r>
              <w:rPr>
                <w:rFonts w:ascii="Arial" w:cs="Arial" w:eastAsia="Arial" w:hAnsi="Arial"/>
                <w:sz w:val="16"/>
                <w:szCs w:val="16"/>
                <w:color w:val="auto"/>
              </w:rPr>
              <w:t>Dividends declared per share of common stock</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0.60</w:t>
            </w:r>
          </w:p>
        </w:tc>
        <w:tc>
          <w:tcPr>
            <w:tcW w:w="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0.48</w:t>
            </w:r>
          </w:p>
        </w:tc>
        <w:tc>
          <w:tcPr>
            <w:tcW w:w="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1.20</w:t>
            </w:r>
          </w:p>
        </w:tc>
        <w:tc>
          <w:tcPr>
            <w:tcW w:w="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4620" w:firstLine="8"/>
        <w:spacing w:after="0" w:line="277" w:lineRule="auto"/>
        <w:tabs>
          <w:tab w:leader="none" w:pos="48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 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right="5500"/>
        <w:spacing w:after="0" w:line="230"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6"/>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center"/>
              <w:ind w:right="141"/>
              <w:spacing w:after="0" w:line="159" w:lineRule="exact"/>
              <w:rPr>
                <w:sz w:val="20"/>
                <w:szCs w:val="20"/>
                <w:color w:val="auto"/>
              </w:rPr>
            </w:pPr>
            <w:r>
              <w:rPr>
                <w:rFonts w:ascii="Arial" w:cs="Arial" w:eastAsia="Arial" w:hAnsi="Arial"/>
                <w:sz w:val="14"/>
                <w:szCs w:val="14"/>
                <w:color w:val="auto"/>
              </w:rPr>
              <w:t>Three months ended June 30,</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9"/>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2011(1)</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91"/>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left="582"/>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6"/>
        </w:trPr>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color w:val="auto"/>
              </w:rPr>
              <w:t>Non-</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63"/>
              <w:spacing w:after="0"/>
              <w:rPr>
                <w:sz w:val="20"/>
                <w:szCs w:val="20"/>
                <w:color w:val="auto"/>
              </w:rPr>
            </w:pPr>
            <w:r>
              <w:rPr>
                <w:rFonts w:ascii="Arial" w:cs="Arial" w:eastAsia="Arial" w:hAnsi="Arial"/>
                <w:sz w:val="14"/>
                <w:szCs w:val="14"/>
                <w:color w:val="auto"/>
                <w:w w:val="98"/>
              </w:rPr>
              <w:t>Non-</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color w:val="auto"/>
              </w:rPr>
              <w:t>Sempra</w:t>
            </w:r>
          </w:p>
        </w:tc>
        <w:tc>
          <w:tcPr>
            <w:tcW w:w="160" w:type="dxa"/>
            <w:vAlign w:val="bottom"/>
          </w:tcPr>
          <w:p>
            <w:pPr>
              <w:spacing w:after="0"/>
              <w:rPr>
                <w:sz w:val="15"/>
                <w:szCs w:val="15"/>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color w:val="auto"/>
              </w:rPr>
              <w:t>controlling</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ind w:right="241"/>
              <w:spacing w:after="0"/>
              <w:rPr>
                <w:sz w:val="20"/>
                <w:szCs w:val="20"/>
                <w:color w:val="auto"/>
              </w:rPr>
            </w:pPr>
            <w:r>
              <w:rPr>
                <w:rFonts w:ascii="Arial" w:cs="Arial" w:eastAsia="Arial" w:hAnsi="Arial"/>
                <w:sz w:val="14"/>
                <w:szCs w:val="14"/>
                <w:color w:val="auto"/>
              </w:rPr>
              <w:t>Sempra</w:t>
            </w:r>
          </w:p>
        </w:tc>
        <w:tc>
          <w:tcPr>
            <w:tcW w:w="160" w:type="dxa"/>
            <w:vAlign w:val="bottom"/>
          </w:tcPr>
          <w:p>
            <w:pPr>
              <w:spacing w:after="0"/>
              <w:rPr>
                <w:sz w:val="15"/>
                <w:szCs w:val="15"/>
                <w:color w:val="auto"/>
              </w:rPr>
            </w:pPr>
          </w:p>
        </w:tc>
        <w:tc>
          <w:tcPr>
            <w:tcW w:w="940" w:type="dxa"/>
            <w:vAlign w:val="bottom"/>
          </w:tcPr>
          <w:p>
            <w:pPr>
              <w:jc w:val="center"/>
              <w:ind w:right="163"/>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8"/>
        </w:trPr>
        <w:tc>
          <w:tcPr>
            <w:tcW w:w="4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Energy</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color w:val="auto"/>
              </w:rPr>
              <w:t>Interests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color w:val="auto"/>
              </w:rPr>
              <w:t>Energy</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Total</w:t>
            </w:r>
          </w:p>
        </w:tc>
      </w:tr>
      <w:tr>
        <w:trPr>
          <w:trHeight w:val="183"/>
        </w:trPr>
        <w:tc>
          <w:tcPr>
            <w:tcW w:w="4560" w:type="dxa"/>
            <w:vAlign w:val="bottom"/>
          </w:tcPr>
          <w:p>
            <w:pPr>
              <w:spacing w:after="0" w:line="176" w:lineRule="exact"/>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63</w:t>
            </w: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
              <w:spacing w:after="0" w:line="176" w:lineRule="exact"/>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2"/>
              <w:spacing w:after="0" w:line="176" w:lineRule="exact"/>
              <w:rPr>
                <w:sz w:val="20"/>
                <w:szCs w:val="20"/>
                <w:color w:val="auto"/>
              </w:rPr>
            </w:pPr>
            <w:r>
              <w:rPr>
                <w:rFonts w:ascii="Arial" w:cs="Arial" w:eastAsia="Arial" w:hAnsi="Arial"/>
                <w:sz w:val="16"/>
                <w:szCs w:val="16"/>
                <w:color w:val="auto"/>
              </w:rPr>
              <w:t>74</w:t>
            </w:r>
          </w:p>
        </w:tc>
        <w:tc>
          <w:tcPr>
            <w:tcW w:w="36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506</w:t>
            </w: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494</w:t>
            </w:r>
          </w:p>
        </w:tc>
      </w:tr>
      <w:tr>
        <w:trPr>
          <w:trHeight w:val="164"/>
        </w:trPr>
        <w:tc>
          <w:tcPr>
            <w:tcW w:w="4560" w:type="dxa"/>
            <w:vAlign w:val="bottom"/>
          </w:tcPr>
          <w:p>
            <w:pPr>
              <w:spacing w:after="0" w:line="164" w:lineRule="exact"/>
              <w:rPr>
                <w:sz w:val="20"/>
                <w:szCs w:val="20"/>
                <w:color w:val="auto"/>
              </w:rPr>
            </w:pPr>
            <w:r>
              <w:rPr>
                <w:rFonts w:ascii="Arial" w:cs="Arial" w:eastAsia="Arial" w:hAnsi="Arial"/>
                <w:sz w:val="16"/>
                <w:szCs w:val="16"/>
                <w:color w:val="auto"/>
              </w:rPr>
              <w:t>Other comprehensive income (loss), net of tax:</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6"/>
        </w:trPr>
        <w:tc>
          <w:tcPr>
            <w:tcW w:w="4560" w:type="dxa"/>
            <w:vAlign w:val="bottom"/>
          </w:tcPr>
          <w:p>
            <w:pPr>
              <w:ind w:left="180"/>
              <w:spacing w:after="0" w:line="176" w:lineRule="exact"/>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5"/>
                <w:szCs w:val="15"/>
                <w:color w:val="auto"/>
              </w:rPr>
            </w:pPr>
          </w:p>
        </w:tc>
        <w:tc>
          <w:tcPr>
            <w:tcW w:w="1040" w:type="dxa"/>
            <w:vAlign w:val="bottom"/>
          </w:tcPr>
          <w:p>
            <w:pPr>
              <w:jc w:val="right"/>
              <w:ind w:right="82"/>
              <w:spacing w:after="0" w:line="176" w:lineRule="exact"/>
              <w:rPr>
                <w:sz w:val="20"/>
                <w:szCs w:val="20"/>
                <w:color w:val="auto"/>
              </w:rPr>
            </w:pPr>
            <w:r>
              <w:rPr>
                <w:rFonts w:ascii="Arial" w:cs="Arial" w:eastAsia="Arial" w:hAnsi="Arial"/>
                <w:sz w:val="16"/>
                <w:szCs w:val="16"/>
                <w:color w:val="auto"/>
              </w:rPr>
              <w:t>(34)</w:t>
            </w:r>
          </w:p>
        </w:tc>
        <w:tc>
          <w:tcPr>
            <w:tcW w:w="360" w:type="dxa"/>
            <w:vAlign w:val="bottom"/>
          </w:tcPr>
          <w:p>
            <w:pPr>
              <w:spacing w:after="0"/>
              <w:rPr>
                <w:sz w:val="15"/>
                <w:szCs w:val="15"/>
                <w:color w:val="auto"/>
              </w:rPr>
            </w:pPr>
          </w:p>
        </w:tc>
        <w:tc>
          <w:tcPr>
            <w:tcW w:w="860" w:type="dxa"/>
            <w:vAlign w:val="bottom"/>
          </w:tcPr>
          <w:p>
            <w:pPr>
              <w:jc w:val="right"/>
              <w:ind w:right="1"/>
              <w:spacing w:after="0" w:line="176" w:lineRule="exact"/>
              <w:rPr>
                <w:sz w:val="20"/>
                <w:szCs w:val="20"/>
                <w:color w:val="auto"/>
              </w:rPr>
            </w:pPr>
            <w:r>
              <w:rPr>
                <w:rFonts w:ascii="Arial" w:cs="Arial" w:eastAsia="Arial" w:hAnsi="Arial"/>
                <w:sz w:val="16"/>
                <w:szCs w:val="16"/>
                <w:color w:val="auto"/>
              </w:rPr>
              <w:t>29</w:t>
            </w:r>
          </w:p>
        </w:tc>
        <w:tc>
          <w:tcPr>
            <w:tcW w:w="160" w:type="dxa"/>
            <w:vAlign w:val="bottom"/>
          </w:tcPr>
          <w:p>
            <w:pPr>
              <w:spacing w:after="0"/>
              <w:rPr>
                <w:sz w:val="15"/>
                <w:szCs w:val="15"/>
                <w:color w:val="auto"/>
              </w:rPr>
            </w:pPr>
          </w:p>
        </w:tc>
        <w:tc>
          <w:tcPr>
            <w:tcW w:w="940" w:type="dxa"/>
            <w:vAlign w:val="bottom"/>
          </w:tcPr>
          <w:p>
            <w:pPr>
              <w:jc w:val="right"/>
              <w:ind w:right="3"/>
              <w:spacing w:after="0" w:line="176" w:lineRule="exact"/>
              <w:rPr>
                <w:sz w:val="20"/>
                <w:szCs w:val="20"/>
                <w:color w:val="auto"/>
              </w:rPr>
            </w:pPr>
            <w:r>
              <w:rPr>
                <w:rFonts w:ascii="Arial" w:cs="Arial" w:eastAsia="Arial" w:hAnsi="Arial"/>
                <w:sz w:val="16"/>
                <w:szCs w:val="16"/>
                <w:color w:val="auto"/>
              </w:rPr>
              <w:t>6</w:t>
            </w:r>
          </w:p>
        </w:tc>
        <w:tc>
          <w:tcPr>
            <w:tcW w:w="2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35</w:t>
            </w:r>
          </w:p>
        </w:tc>
      </w:tr>
      <w:tr>
        <w:trPr>
          <w:trHeight w:val="195"/>
        </w:trPr>
        <w:tc>
          <w:tcPr>
            <w:tcW w:w="4560" w:type="dxa"/>
            <w:vAlign w:val="bottom"/>
          </w:tcPr>
          <w:p>
            <w:pPr>
              <w:ind w:left="180"/>
              <w:spacing w:after="0"/>
              <w:rPr>
                <w:sz w:val="20"/>
                <w:szCs w:val="20"/>
                <w:color w:val="auto"/>
              </w:rPr>
            </w:pPr>
            <w:r>
              <w:rPr>
                <w:rFonts w:ascii="Arial" w:cs="Arial" w:eastAsia="Arial" w:hAnsi="Arial"/>
                <w:sz w:val="16"/>
                <w:szCs w:val="16"/>
                <w:color w:val="auto"/>
              </w:rPr>
              <w:t>Reclassification to net income of foreign currency</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7"/>
        </w:trPr>
        <w:tc>
          <w:tcPr>
            <w:tcW w:w="4560" w:type="dxa"/>
            <w:vAlign w:val="bottom"/>
          </w:tcPr>
          <w:p>
            <w:pPr>
              <w:ind w:left="360"/>
              <w:spacing w:after="0"/>
              <w:rPr>
                <w:sz w:val="20"/>
                <w:szCs w:val="20"/>
                <w:color w:val="auto"/>
              </w:rPr>
            </w:pPr>
            <w:r>
              <w:rPr>
                <w:rFonts w:ascii="Arial" w:cs="Arial" w:eastAsia="Arial" w:hAnsi="Arial"/>
                <w:sz w:val="16"/>
                <w:szCs w:val="16"/>
                <w:color w:val="auto"/>
              </w:rPr>
              <w:t>translation adjustments related to equity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76"/>
        </w:trPr>
        <w:tc>
          <w:tcPr>
            <w:tcW w:w="4560" w:type="dxa"/>
            <w:vAlign w:val="bottom"/>
          </w:tcPr>
          <w:p>
            <w:pPr>
              <w:ind w:left="360"/>
              <w:spacing w:after="0" w:line="176" w:lineRule="exact"/>
              <w:rPr>
                <w:sz w:val="20"/>
                <w:szCs w:val="20"/>
                <w:color w:val="auto"/>
              </w:rPr>
            </w:pPr>
            <w:r>
              <w:rPr>
                <w:rFonts w:ascii="Arial" w:cs="Arial" w:eastAsia="Arial" w:hAnsi="Arial"/>
                <w:sz w:val="16"/>
                <w:szCs w:val="16"/>
                <w:color w:val="auto"/>
              </w:rPr>
              <w:t>method investments(2)</w:t>
            </w:r>
          </w:p>
        </w:tc>
        <w:tc>
          <w:tcPr>
            <w:tcW w:w="2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82"/>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r>
      <w:tr>
        <w:trPr>
          <w:trHeight w:val="176"/>
        </w:trPr>
        <w:tc>
          <w:tcPr>
            <w:tcW w:w="4560" w:type="dxa"/>
            <w:vAlign w:val="bottom"/>
          </w:tcPr>
          <w:p>
            <w:pPr>
              <w:ind w:left="180"/>
              <w:spacing w:after="0" w:line="176" w:lineRule="exact"/>
              <w:rPr>
                <w:sz w:val="20"/>
                <w:szCs w:val="20"/>
                <w:color w:val="auto"/>
              </w:rPr>
            </w:pPr>
            <w:r>
              <w:rPr>
                <w:rFonts w:ascii="Arial" w:cs="Arial" w:eastAsia="Arial" w:hAnsi="Arial"/>
                <w:sz w:val="16"/>
                <w:szCs w:val="16"/>
                <w:color w:val="auto"/>
              </w:rPr>
              <w:t>Net actuarial gain</w:t>
            </w:r>
          </w:p>
        </w:tc>
        <w:tc>
          <w:tcPr>
            <w:tcW w:w="220" w:type="dxa"/>
            <w:vAlign w:val="bottom"/>
          </w:tcPr>
          <w:p>
            <w:pPr>
              <w:spacing w:after="0"/>
              <w:rPr>
                <w:sz w:val="15"/>
                <w:szCs w:val="15"/>
                <w:color w:val="auto"/>
              </w:rPr>
            </w:pPr>
          </w:p>
        </w:tc>
        <w:tc>
          <w:tcPr>
            <w:tcW w:w="900" w:type="dxa"/>
            <w:vAlign w:val="bottom"/>
          </w:tcPr>
          <w:p>
            <w:pPr>
              <w:jc w:val="right"/>
              <w:ind w:right="1"/>
              <w:spacing w:after="0" w:line="176" w:lineRule="exact"/>
              <w:rPr>
                <w:sz w:val="20"/>
                <w:szCs w:val="20"/>
                <w:color w:val="auto"/>
              </w:rPr>
            </w:pPr>
            <w:r>
              <w:rPr>
                <w:rFonts w:ascii="Arial" w:cs="Arial" w:eastAsia="Arial" w:hAnsi="Arial"/>
                <w:sz w:val="16"/>
                <w:szCs w:val="16"/>
                <w:color w:val="auto"/>
              </w:rPr>
              <w:t>4</w:t>
            </w: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122"/>
              <w:spacing w:after="0" w:line="176" w:lineRule="exact"/>
              <w:rPr>
                <w:sz w:val="20"/>
                <w:szCs w:val="20"/>
                <w:color w:val="auto"/>
              </w:rPr>
            </w:pPr>
            <w:r>
              <w:rPr>
                <w:rFonts w:ascii="Arial" w:cs="Arial" w:eastAsia="Arial" w:hAnsi="Arial"/>
                <w:sz w:val="16"/>
                <w:szCs w:val="16"/>
                <w:color w:val="auto"/>
              </w:rPr>
              <w:t>4</w:t>
            </w:r>
          </w:p>
        </w:tc>
        <w:tc>
          <w:tcPr>
            <w:tcW w:w="360" w:type="dxa"/>
            <w:vAlign w:val="bottom"/>
          </w:tcPr>
          <w:p>
            <w:pPr>
              <w:spacing w:after="0"/>
              <w:rPr>
                <w:sz w:val="15"/>
                <w:szCs w:val="15"/>
                <w:color w:val="auto"/>
              </w:rPr>
            </w:pPr>
          </w:p>
        </w:tc>
        <w:tc>
          <w:tcPr>
            <w:tcW w:w="860" w:type="dxa"/>
            <w:vAlign w:val="bottom"/>
          </w:tcPr>
          <w:p>
            <w:pPr>
              <w:jc w:val="right"/>
              <w:ind w:right="1"/>
              <w:spacing w:after="0" w:line="176" w:lineRule="exact"/>
              <w:rPr>
                <w:sz w:val="20"/>
                <w:szCs w:val="20"/>
                <w:color w:val="auto"/>
              </w:rPr>
            </w:pPr>
            <w:r>
              <w:rPr>
                <w:rFonts w:ascii="Arial" w:cs="Arial" w:eastAsia="Arial" w:hAnsi="Arial"/>
                <w:sz w:val="16"/>
                <w:szCs w:val="16"/>
                <w:color w:val="auto"/>
              </w:rPr>
              <w:t>5</w:t>
            </w: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94"/>
        </w:trPr>
        <w:tc>
          <w:tcPr>
            <w:tcW w:w="45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183"/>
        </w:trPr>
        <w:tc>
          <w:tcPr>
            <w:tcW w:w="4560" w:type="dxa"/>
            <w:vAlign w:val="bottom"/>
          </w:tcPr>
          <w:p>
            <w:pPr>
              <w:spacing w:after="0" w:line="176" w:lineRule="exact"/>
              <w:rPr>
                <w:sz w:val="20"/>
                <w:szCs w:val="20"/>
                <w:color w:val="auto"/>
              </w:rPr>
            </w:pPr>
            <w:r>
              <w:rPr>
                <w:rFonts w:ascii="Arial" w:cs="Arial" w:eastAsia="Arial" w:hAnsi="Arial"/>
                <w:sz w:val="16"/>
                <w:szCs w:val="16"/>
                <w:color w:val="auto"/>
              </w:rPr>
              <w:t>Total other comprehensive loss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2"/>
              <w:spacing w:after="0" w:line="176" w:lineRule="exact"/>
              <w:rPr>
                <w:sz w:val="20"/>
                <w:szCs w:val="20"/>
                <w:color w:val="auto"/>
              </w:rPr>
            </w:pPr>
            <w:r>
              <w:rPr>
                <w:rFonts w:ascii="Arial" w:cs="Arial" w:eastAsia="Arial" w:hAnsi="Arial"/>
                <w:sz w:val="16"/>
                <w:szCs w:val="16"/>
                <w:color w:val="auto"/>
              </w:rPr>
              <w:t>(48)</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w:t>
            </w:r>
          </w:p>
        </w:tc>
      </w:tr>
      <w:tr>
        <w:trPr>
          <w:trHeight w:val="164"/>
        </w:trPr>
        <w:tc>
          <w:tcPr>
            <w:tcW w:w="4560" w:type="dxa"/>
            <w:vAlign w:val="bottom"/>
          </w:tcPr>
          <w:p>
            <w:pPr>
              <w:spacing w:after="0" w:line="164" w:lineRule="exact"/>
              <w:rPr>
                <w:sz w:val="20"/>
                <w:szCs w:val="20"/>
                <w:color w:val="auto"/>
              </w:rPr>
            </w:pPr>
            <w:r>
              <w:rPr>
                <w:rFonts w:ascii="Arial" w:cs="Arial" w:eastAsia="Arial" w:hAnsi="Arial"/>
                <w:sz w:val="16"/>
                <w:szCs w:val="16"/>
                <w:color w:val="auto"/>
              </w:rPr>
              <w:t>Total comprehensive income (loss)</w:t>
            </w:r>
          </w:p>
        </w:tc>
        <w:tc>
          <w:tcPr>
            <w:tcW w:w="220" w:type="dxa"/>
            <w:vAlign w:val="bottom"/>
          </w:tcPr>
          <w:p>
            <w:pPr>
              <w:spacing w:after="0"/>
              <w:rPr>
                <w:sz w:val="14"/>
                <w:szCs w:val="14"/>
                <w:color w:val="auto"/>
              </w:rPr>
            </w:pPr>
          </w:p>
        </w:tc>
        <w:tc>
          <w:tcPr>
            <w:tcW w:w="900" w:type="dxa"/>
            <w:vAlign w:val="bottom"/>
          </w:tcPr>
          <w:p>
            <w:pPr>
              <w:jc w:val="right"/>
              <w:ind w:right="1"/>
              <w:spacing w:after="0" w:line="164" w:lineRule="exact"/>
              <w:rPr>
                <w:sz w:val="20"/>
                <w:szCs w:val="20"/>
                <w:color w:val="auto"/>
              </w:rPr>
            </w:pPr>
            <w:r>
              <w:rPr>
                <w:rFonts w:ascii="Arial" w:cs="Arial" w:eastAsia="Arial" w:hAnsi="Arial"/>
                <w:sz w:val="16"/>
                <w:szCs w:val="16"/>
                <w:color w:val="auto"/>
              </w:rPr>
              <w:t>25</w:t>
            </w:r>
          </w:p>
        </w:tc>
        <w:tc>
          <w:tcPr>
            <w:tcW w:w="160" w:type="dxa"/>
            <w:vAlign w:val="bottom"/>
          </w:tcPr>
          <w:p>
            <w:pPr>
              <w:spacing w:after="0"/>
              <w:rPr>
                <w:sz w:val="14"/>
                <w:szCs w:val="14"/>
                <w:color w:val="auto"/>
              </w:rPr>
            </w:pPr>
          </w:p>
        </w:tc>
        <w:tc>
          <w:tcPr>
            <w:tcW w:w="940" w:type="dxa"/>
            <w:vAlign w:val="bottom"/>
          </w:tcPr>
          <w:p>
            <w:pPr>
              <w:jc w:val="right"/>
              <w:ind w:right="3"/>
              <w:spacing w:after="0" w:line="164"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4"/>
                <w:szCs w:val="14"/>
                <w:color w:val="auto"/>
              </w:rPr>
            </w:pPr>
          </w:p>
        </w:tc>
        <w:tc>
          <w:tcPr>
            <w:tcW w:w="1040" w:type="dxa"/>
            <w:vAlign w:val="bottom"/>
          </w:tcPr>
          <w:p>
            <w:pPr>
              <w:jc w:val="right"/>
              <w:ind w:right="122"/>
              <w:spacing w:after="0" w:line="164" w:lineRule="exact"/>
              <w:rPr>
                <w:sz w:val="20"/>
                <w:szCs w:val="20"/>
                <w:color w:val="auto"/>
              </w:rPr>
            </w:pPr>
            <w:r>
              <w:rPr>
                <w:rFonts w:ascii="Arial" w:cs="Arial" w:eastAsia="Arial" w:hAnsi="Arial"/>
                <w:sz w:val="16"/>
                <w:szCs w:val="16"/>
                <w:color w:val="auto"/>
              </w:rPr>
              <w:t>26</w:t>
            </w:r>
          </w:p>
        </w:tc>
        <w:tc>
          <w:tcPr>
            <w:tcW w:w="360" w:type="dxa"/>
            <w:vAlign w:val="bottom"/>
          </w:tcPr>
          <w:p>
            <w:pPr>
              <w:spacing w:after="0"/>
              <w:rPr>
                <w:sz w:val="14"/>
                <w:szCs w:val="14"/>
                <w:color w:val="auto"/>
              </w:rPr>
            </w:pPr>
          </w:p>
        </w:tc>
        <w:tc>
          <w:tcPr>
            <w:tcW w:w="860" w:type="dxa"/>
            <w:vAlign w:val="bottom"/>
          </w:tcPr>
          <w:p>
            <w:pPr>
              <w:jc w:val="right"/>
              <w:ind w:right="1"/>
              <w:spacing w:after="0" w:line="164" w:lineRule="exact"/>
              <w:rPr>
                <w:sz w:val="20"/>
                <w:szCs w:val="20"/>
                <w:color w:val="auto"/>
              </w:rPr>
            </w:pPr>
            <w:r>
              <w:rPr>
                <w:rFonts w:ascii="Arial" w:cs="Arial" w:eastAsia="Arial" w:hAnsi="Arial"/>
                <w:sz w:val="16"/>
                <w:szCs w:val="16"/>
                <w:color w:val="auto"/>
              </w:rPr>
              <w:t>480</w:t>
            </w:r>
          </w:p>
        </w:tc>
        <w:tc>
          <w:tcPr>
            <w:tcW w:w="16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Arial" w:cs="Arial" w:eastAsia="Arial" w:hAnsi="Arial"/>
                <w:sz w:val="16"/>
                <w:szCs w:val="16"/>
                <w:color w:val="auto"/>
              </w:rPr>
              <w:t>(16)</w:t>
            </w:r>
          </w:p>
        </w:tc>
        <w:tc>
          <w:tcPr>
            <w:tcW w:w="26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6"/>
                <w:szCs w:val="16"/>
                <w:color w:val="auto"/>
              </w:rPr>
              <w:t>464</w:t>
            </w:r>
          </w:p>
        </w:tc>
      </w:tr>
      <w:tr>
        <w:trPr>
          <w:trHeight w:val="194"/>
        </w:trPr>
        <w:tc>
          <w:tcPr>
            <w:tcW w:w="456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64"/>
        </w:trPr>
        <w:tc>
          <w:tcPr>
            <w:tcW w:w="4560" w:type="dxa"/>
            <w:vAlign w:val="bottom"/>
          </w:tcPr>
          <w:p>
            <w:pPr>
              <w:spacing w:after="0" w:line="164" w:lineRule="exact"/>
              <w:rPr>
                <w:sz w:val="20"/>
                <w:szCs w:val="20"/>
                <w:color w:val="auto"/>
              </w:rPr>
            </w:pPr>
            <w:r>
              <w:rPr>
                <w:rFonts w:ascii="Arial" w:cs="Arial" w:eastAsia="Arial" w:hAnsi="Arial"/>
                <w:sz w:val="16"/>
                <w:szCs w:val="16"/>
                <w:color w:val="auto"/>
              </w:rPr>
              <w:t>Total comprehensive income (loss), after preferred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4"/>
        </w:trPr>
        <w:tc>
          <w:tcPr>
            <w:tcW w:w="45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of subsidiaries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25</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r>
      <w:tr>
        <w:trPr>
          <w:trHeight w:val="169"/>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center"/>
              <w:ind w:right="121"/>
              <w:spacing w:after="0"/>
              <w:rPr>
                <w:sz w:val="20"/>
                <w:szCs w:val="20"/>
                <w:color w:val="auto"/>
              </w:rPr>
            </w:pPr>
            <w:r>
              <w:rPr>
                <w:rFonts w:ascii="Arial" w:cs="Arial" w:eastAsia="Arial" w:hAnsi="Arial"/>
                <w:sz w:val="14"/>
                <w:szCs w:val="14"/>
                <w:color w:val="auto"/>
              </w:rPr>
              <w:t>Six months ended June 30,</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9"/>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2011(1)</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91"/>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left="582"/>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6"/>
        </w:trPr>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color w:val="auto"/>
              </w:rPr>
              <w:t>Non-</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63"/>
              <w:spacing w:after="0"/>
              <w:rPr>
                <w:sz w:val="20"/>
                <w:szCs w:val="20"/>
                <w:color w:val="auto"/>
              </w:rPr>
            </w:pPr>
            <w:r>
              <w:rPr>
                <w:rFonts w:ascii="Arial" w:cs="Arial" w:eastAsia="Arial" w:hAnsi="Arial"/>
                <w:sz w:val="14"/>
                <w:szCs w:val="14"/>
                <w:color w:val="auto"/>
                <w:w w:val="98"/>
              </w:rPr>
              <w:t>Non-</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color w:val="auto"/>
              </w:rPr>
              <w:t>Sempra</w:t>
            </w:r>
          </w:p>
        </w:tc>
        <w:tc>
          <w:tcPr>
            <w:tcW w:w="160" w:type="dxa"/>
            <w:vAlign w:val="bottom"/>
          </w:tcPr>
          <w:p>
            <w:pPr>
              <w:spacing w:after="0"/>
              <w:rPr>
                <w:sz w:val="15"/>
                <w:szCs w:val="15"/>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color w:val="auto"/>
              </w:rPr>
              <w:t>controlling</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ind w:right="241"/>
              <w:spacing w:after="0"/>
              <w:rPr>
                <w:sz w:val="20"/>
                <w:szCs w:val="20"/>
                <w:color w:val="auto"/>
              </w:rPr>
            </w:pPr>
            <w:r>
              <w:rPr>
                <w:rFonts w:ascii="Arial" w:cs="Arial" w:eastAsia="Arial" w:hAnsi="Arial"/>
                <w:sz w:val="14"/>
                <w:szCs w:val="14"/>
                <w:color w:val="auto"/>
              </w:rPr>
              <w:t>Sempra</w:t>
            </w:r>
          </w:p>
        </w:tc>
        <w:tc>
          <w:tcPr>
            <w:tcW w:w="160" w:type="dxa"/>
            <w:vAlign w:val="bottom"/>
          </w:tcPr>
          <w:p>
            <w:pPr>
              <w:spacing w:after="0"/>
              <w:rPr>
                <w:sz w:val="15"/>
                <w:szCs w:val="15"/>
                <w:color w:val="auto"/>
              </w:rPr>
            </w:pPr>
          </w:p>
        </w:tc>
        <w:tc>
          <w:tcPr>
            <w:tcW w:w="940" w:type="dxa"/>
            <w:vAlign w:val="bottom"/>
          </w:tcPr>
          <w:p>
            <w:pPr>
              <w:jc w:val="center"/>
              <w:ind w:right="163"/>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8"/>
        </w:trPr>
        <w:tc>
          <w:tcPr>
            <w:tcW w:w="4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Energy</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color w:val="auto"/>
              </w:rPr>
              <w:t>Interests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color w:val="auto"/>
              </w:rPr>
              <w:t>Energy</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Total</w:t>
            </w:r>
          </w:p>
        </w:tc>
      </w:tr>
      <w:tr>
        <w:trPr>
          <w:trHeight w:val="183"/>
        </w:trPr>
        <w:tc>
          <w:tcPr>
            <w:tcW w:w="4560" w:type="dxa"/>
            <w:vAlign w:val="bottom"/>
          </w:tcPr>
          <w:p>
            <w:pPr>
              <w:spacing w:after="0" w:line="176" w:lineRule="exact"/>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301</w:t>
            </w: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
              <w:spacing w:after="0" w:line="176" w:lineRule="exact"/>
              <w:rPr>
                <w:sz w:val="20"/>
                <w:szCs w:val="20"/>
                <w:color w:val="auto"/>
              </w:rPr>
            </w:pPr>
            <w:r>
              <w:rPr>
                <w:rFonts w:ascii="Arial" w:cs="Arial" w:eastAsia="Arial" w:hAnsi="Arial"/>
                <w:sz w:val="16"/>
                <w:szCs w:val="16"/>
                <w:color w:val="auto"/>
              </w:rPr>
              <w:t>24</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2"/>
              <w:spacing w:after="0" w:line="176" w:lineRule="exact"/>
              <w:rPr>
                <w:sz w:val="20"/>
                <w:szCs w:val="20"/>
                <w:color w:val="auto"/>
              </w:rPr>
            </w:pPr>
            <w:r>
              <w:rPr>
                <w:rFonts w:ascii="Arial" w:cs="Arial" w:eastAsia="Arial" w:hAnsi="Arial"/>
                <w:sz w:val="16"/>
                <w:szCs w:val="16"/>
                <w:color w:val="auto"/>
              </w:rPr>
              <w:t>325</w:t>
            </w:r>
          </w:p>
        </w:tc>
        <w:tc>
          <w:tcPr>
            <w:tcW w:w="36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762</w:t>
            </w: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754</w:t>
            </w:r>
          </w:p>
        </w:tc>
      </w:tr>
      <w:tr>
        <w:trPr>
          <w:trHeight w:val="164"/>
        </w:trPr>
        <w:tc>
          <w:tcPr>
            <w:tcW w:w="4560" w:type="dxa"/>
            <w:vAlign w:val="bottom"/>
          </w:tcPr>
          <w:p>
            <w:pPr>
              <w:spacing w:after="0" w:line="164" w:lineRule="exact"/>
              <w:rPr>
                <w:sz w:val="20"/>
                <w:szCs w:val="20"/>
                <w:color w:val="auto"/>
              </w:rPr>
            </w:pPr>
            <w:r>
              <w:rPr>
                <w:rFonts w:ascii="Arial" w:cs="Arial" w:eastAsia="Arial" w:hAnsi="Arial"/>
                <w:sz w:val="16"/>
                <w:szCs w:val="16"/>
                <w:color w:val="auto"/>
              </w:rPr>
              <w:t>Other comprehensive income (loss), net of tax:</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6"/>
        </w:trPr>
        <w:tc>
          <w:tcPr>
            <w:tcW w:w="4560" w:type="dxa"/>
            <w:vAlign w:val="bottom"/>
          </w:tcPr>
          <w:p>
            <w:pPr>
              <w:ind w:left="180"/>
              <w:spacing w:after="0" w:line="176" w:lineRule="exact"/>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5"/>
                <w:szCs w:val="15"/>
                <w:color w:val="auto"/>
              </w:rPr>
            </w:pPr>
          </w:p>
        </w:tc>
        <w:tc>
          <w:tcPr>
            <w:tcW w:w="900" w:type="dxa"/>
            <w:vAlign w:val="bottom"/>
          </w:tcPr>
          <w:p>
            <w:pPr>
              <w:jc w:val="right"/>
              <w:ind w:right="1"/>
              <w:spacing w:after="0" w:line="176" w:lineRule="exact"/>
              <w:rPr>
                <w:sz w:val="20"/>
                <w:szCs w:val="20"/>
                <w:color w:val="auto"/>
              </w:rPr>
            </w:pPr>
            <w:r>
              <w:rPr>
                <w:rFonts w:ascii="Arial" w:cs="Arial" w:eastAsia="Arial" w:hAnsi="Arial"/>
                <w:sz w:val="16"/>
                <w:szCs w:val="16"/>
                <w:color w:val="auto"/>
              </w:rPr>
              <w:t>34</w:t>
            </w:r>
          </w:p>
        </w:tc>
        <w:tc>
          <w:tcPr>
            <w:tcW w:w="160" w:type="dxa"/>
            <w:vAlign w:val="bottom"/>
          </w:tcPr>
          <w:p>
            <w:pPr>
              <w:spacing w:after="0"/>
              <w:rPr>
                <w:sz w:val="15"/>
                <w:szCs w:val="15"/>
                <w:color w:val="auto"/>
              </w:rPr>
            </w:pPr>
          </w:p>
        </w:tc>
        <w:tc>
          <w:tcPr>
            <w:tcW w:w="940" w:type="dxa"/>
            <w:vAlign w:val="bottom"/>
          </w:tcPr>
          <w:p>
            <w:pPr>
              <w:jc w:val="right"/>
              <w:ind w:right="3"/>
              <w:spacing w:after="0" w:line="176" w:lineRule="exact"/>
              <w:rPr>
                <w:sz w:val="20"/>
                <w:szCs w:val="20"/>
                <w:color w:val="auto"/>
              </w:rPr>
            </w:pPr>
            <w:r>
              <w:rPr>
                <w:rFonts w:ascii="Arial" w:cs="Arial" w:eastAsia="Arial" w:hAnsi="Arial"/>
                <w:sz w:val="16"/>
                <w:szCs w:val="16"/>
                <w:color w:val="auto"/>
              </w:rPr>
              <w:t>3</w:t>
            </w:r>
          </w:p>
        </w:tc>
        <w:tc>
          <w:tcPr>
            <w:tcW w:w="180" w:type="dxa"/>
            <w:vAlign w:val="bottom"/>
          </w:tcPr>
          <w:p>
            <w:pPr>
              <w:spacing w:after="0"/>
              <w:rPr>
                <w:sz w:val="15"/>
                <w:szCs w:val="15"/>
                <w:color w:val="auto"/>
              </w:rPr>
            </w:pPr>
          </w:p>
        </w:tc>
        <w:tc>
          <w:tcPr>
            <w:tcW w:w="1040" w:type="dxa"/>
            <w:vAlign w:val="bottom"/>
          </w:tcPr>
          <w:p>
            <w:pPr>
              <w:jc w:val="right"/>
              <w:ind w:right="122"/>
              <w:spacing w:after="0" w:line="176" w:lineRule="exact"/>
              <w:rPr>
                <w:sz w:val="20"/>
                <w:szCs w:val="20"/>
                <w:color w:val="auto"/>
              </w:rPr>
            </w:pPr>
            <w:r>
              <w:rPr>
                <w:rFonts w:ascii="Arial" w:cs="Arial" w:eastAsia="Arial" w:hAnsi="Arial"/>
                <w:sz w:val="16"/>
                <w:szCs w:val="16"/>
                <w:color w:val="auto"/>
              </w:rPr>
              <w:t>37</w:t>
            </w:r>
          </w:p>
        </w:tc>
        <w:tc>
          <w:tcPr>
            <w:tcW w:w="360" w:type="dxa"/>
            <w:vAlign w:val="bottom"/>
          </w:tcPr>
          <w:p>
            <w:pPr>
              <w:spacing w:after="0"/>
              <w:rPr>
                <w:sz w:val="15"/>
                <w:szCs w:val="15"/>
                <w:color w:val="auto"/>
              </w:rPr>
            </w:pPr>
          </w:p>
        </w:tc>
        <w:tc>
          <w:tcPr>
            <w:tcW w:w="860" w:type="dxa"/>
            <w:vAlign w:val="bottom"/>
          </w:tcPr>
          <w:p>
            <w:pPr>
              <w:jc w:val="right"/>
              <w:ind w:right="1"/>
              <w:spacing w:after="0" w:line="176" w:lineRule="exact"/>
              <w:rPr>
                <w:sz w:val="20"/>
                <w:szCs w:val="20"/>
                <w:color w:val="auto"/>
              </w:rPr>
            </w:pPr>
            <w:r>
              <w:rPr>
                <w:rFonts w:ascii="Arial" w:cs="Arial" w:eastAsia="Arial" w:hAnsi="Arial"/>
                <w:sz w:val="16"/>
                <w:szCs w:val="16"/>
                <w:color w:val="auto"/>
              </w:rPr>
              <w:t>23</w:t>
            </w:r>
          </w:p>
        </w:tc>
        <w:tc>
          <w:tcPr>
            <w:tcW w:w="160" w:type="dxa"/>
            <w:vAlign w:val="bottom"/>
          </w:tcPr>
          <w:p>
            <w:pPr>
              <w:spacing w:after="0"/>
              <w:rPr>
                <w:sz w:val="15"/>
                <w:szCs w:val="15"/>
                <w:color w:val="auto"/>
              </w:rPr>
            </w:pPr>
          </w:p>
        </w:tc>
        <w:tc>
          <w:tcPr>
            <w:tcW w:w="940" w:type="dxa"/>
            <w:vAlign w:val="bottom"/>
          </w:tcPr>
          <w:p>
            <w:pPr>
              <w:jc w:val="right"/>
              <w:ind w:right="3"/>
              <w:spacing w:after="0" w:line="176" w:lineRule="exact"/>
              <w:rPr>
                <w:sz w:val="20"/>
                <w:szCs w:val="20"/>
                <w:color w:val="auto"/>
              </w:rPr>
            </w:pPr>
            <w:r>
              <w:rPr>
                <w:rFonts w:ascii="Arial" w:cs="Arial" w:eastAsia="Arial" w:hAnsi="Arial"/>
                <w:sz w:val="16"/>
                <w:szCs w:val="16"/>
                <w:color w:val="auto"/>
              </w:rPr>
              <w:t>6</w:t>
            </w:r>
          </w:p>
        </w:tc>
        <w:tc>
          <w:tcPr>
            <w:tcW w:w="2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r>
      <w:tr>
        <w:trPr>
          <w:trHeight w:val="195"/>
        </w:trPr>
        <w:tc>
          <w:tcPr>
            <w:tcW w:w="4560" w:type="dxa"/>
            <w:vAlign w:val="bottom"/>
          </w:tcPr>
          <w:p>
            <w:pPr>
              <w:ind w:left="180"/>
              <w:spacing w:after="0"/>
              <w:rPr>
                <w:sz w:val="20"/>
                <w:szCs w:val="20"/>
                <w:color w:val="auto"/>
              </w:rPr>
            </w:pPr>
            <w:r>
              <w:rPr>
                <w:rFonts w:ascii="Arial" w:cs="Arial" w:eastAsia="Arial" w:hAnsi="Arial"/>
                <w:sz w:val="16"/>
                <w:szCs w:val="16"/>
                <w:color w:val="auto"/>
              </w:rPr>
              <w:t>Reclassification to net income of foreign currency</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ectPr>
          <w:pgSz w:w="11900" w:h="16838" w:orient="portrait"/>
          <w:cols w:equalWidth="0" w:num="1">
            <w:col w:w="11420"/>
          </w:cols>
          <w:pgMar w:left="240" w:top="53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Pr>
          <w:p>
            <w:pPr>
              <w:ind w:left="360"/>
              <w:spacing w:after="0"/>
              <w:rPr>
                <w:sz w:val="20"/>
                <w:szCs w:val="20"/>
                <w:color w:val="auto"/>
              </w:rPr>
            </w:pPr>
            <w:r>
              <w:rPr>
                <w:rFonts w:ascii="Arial" w:cs="Arial" w:eastAsia="Arial" w:hAnsi="Arial"/>
                <w:sz w:val="16"/>
                <w:szCs w:val="16"/>
                <w:color w:val="auto"/>
              </w:rPr>
              <w:t>translation adjustments related to equity</w:t>
            </w: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7"/>
        </w:trPr>
        <w:tc>
          <w:tcPr>
            <w:tcW w:w="4560" w:type="dxa"/>
            <w:vAlign w:val="bottom"/>
          </w:tcPr>
          <w:p>
            <w:pPr>
              <w:ind w:left="360"/>
              <w:spacing w:after="0"/>
              <w:rPr>
                <w:sz w:val="20"/>
                <w:szCs w:val="20"/>
                <w:color w:val="auto"/>
              </w:rPr>
            </w:pPr>
            <w:r>
              <w:rPr>
                <w:rFonts w:ascii="Arial" w:cs="Arial" w:eastAsia="Arial" w:hAnsi="Arial"/>
                <w:sz w:val="16"/>
                <w:szCs w:val="16"/>
                <w:color w:val="auto"/>
              </w:rPr>
              <w:t>method investments(2)</w:t>
            </w: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176"/>
        </w:trPr>
        <w:tc>
          <w:tcPr>
            <w:tcW w:w="4560" w:type="dxa"/>
            <w:vAlign w:val="bottom"/>
          </w:tcPr>
          <w:p>
            <w:pPr>
              <w:ind w:left="180"/>
              <w:spacing w:after="0" w:line="176" w:lineRule="exact"/>
              <w:rPr>
                <w:sz w:val="20"/>
                <w:szCs w:val="20"/>
                <w:color w:val="auto"/>
              </w:rPr>
            </w:pPr>
            <w:r>
              <w:rPr>
                <w:rFonts w:ascii="Arial" w:cs="Arial" w:eastAsia="Arial" w:hAnsi="Arial"/>
                <w:sz w:val="16"/>
                <w:szCs w:val="16"/>
                <w:color w:val="auto"/>
              </w:rPr>
              <w:t>Net actuarial gain</w:t>
            </w:r>
          </w:p>
        </w:tc>
        <w:tc>
          <w:tcPr>
            <w:tcW w:w="4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48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78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5</w:t>
            </w:r>
          </w:p>
        </w:tc>
        <w:tc>
          <w:tcPr>
            <w:tcW w:w="5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44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r>
      <w:tr>
        <w:trPr>
          <w:trHeight w:val="194"/>
        </w:trPr>
        <w:tc>
          <w:tcPr>
            <w:tcW w:w="45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4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w:t>
            </w:r>
          </w:p>
        </w:tc>
        <w:tc>
          <w:tcPr>
            <w:tcW w:w="5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83"/>
        </w:trPr>
        <w:tc>
          <w:tcPr>
            <w:tcW w:w="4560" w:type="dxa"/>
            <w:vAlign w:val="bottom"/>
          </w:tcPr>
          <w:p>
            <w:pPr>
              <w:spacing w:after="0" w:line="176" w:lineRule="exact"/>
              <w:rPr>
                <w:sz w:val="20"/>
                <w:szCs w:val="20"/>
                <w:color w:val="auto"/>
              </w:rPr>
            </w:pPr>
            <w:r>
              <w:rPr>
                <w:rFonts w:ascii="Arial" w:cs="Arial" w:eastAsia="Arial" w:hAnsi="Arial"/>
                <w:sz w:val="16"/>
                <w:szCs w:val="16"/>
                <w:color w:val="auto"/>
              </w:rPr>
              <w:t>Total other comprehensive income (loss)</w:t>
            </w: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w:t>
            </w: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w:t>
            </w: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27</w:t>
            </w:r>
          </w:p>
        </w:tc>
        <w:tc>
          <w:tcPr>
            <w:tcW w:w="5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w:t>
            </w: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(31)</w:t>
            </w:r>
          </w:p>
        </w:tc>
      </w:tr>
      <w:tr>
        <w:trPr>
          <w:trHeight w:val="164"/>
        </w:trPr>
        <w:tc>
          <w:tcPr>
            <w:tcW w:w="4560" w:type="dxa"/>
            <w:vAlign w:val="bottom"/>
          </w:tcPr>
          <w:p>
            <w:pPr>
              <w:spacing w:after="0" w:line="164" w:lineRule="exact"/>
              <w:rPr>
                <w:sz w:val="20"/>
                <w:szCs w:val="20"/>
                <w:color w:val="auto"/>
              </w:rPr>
            </w:pPr>
            <w:r>
              <w:rPr>
                <w:rFonts w:ascii="Arial" w:cs="Arial" w:eastAsia="Arial" w:hAnsi="Arial"/>
                <w:sz w:val="16"/>
                <w:szCs w:val="16"/>
                <w:color w:val="auto"/>
              </w:rPr>
              <w:t>Total comprehensive income (loss)</w:t>
            </w:r>
          </w:p>
        </w:tc>
        <w:tc>
          <w:tcPr>
            <w:tcW w:w="460" w:type="dxa"/>
            <w:vAlign w:val="bottom"/>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Arial" w:cs="Arial" w:eastAsia="Arial" w:hAnsi="Arial"/>
                <w:sz w:val="16"/>
                <w:szCs w:val="16"/>
                <w:color w:val="auto"/>
              </w:rPr>
              <w:t>334</w:t>
            </w:r>
          </w:p>
        </w:tc>
        <w:tc>
          <w:tcPr>
            <w:tcW w:w="48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Arial" w:cs="Arial" w:eastAsia="Arial" w:hAnsi="Arial"/>
                <w:sz w:val="16"/>
                <w:szCs w:val="16"/>
                <w:color w:val="auto"/>
              </w:rPr>
              <w:t>18</w:t>
            </w:r>
          </w:p>
        </w:tc>
        <w:tc>
          <w:tcPr>
            <w:tcW w:w="440" w:type="dxa"/>
            <w:vAlign w:val="bottom"/>
          </w:tcPr>
          <w:p>
            <w:pPr>
              <w:spacing w:after="0"/>
              <w:rPr>
                <w:sz w:val="14"/>
                <w:szCs w:val="14"/>
                <w:color w:val="auto"/>
              </w:rPr>
            </w:pPr>
          </w:p>
        </w:tc>
        <w:tc>
          <w:tcPr>
            <w:tcW w:w="780" w:type="dxa"/>
            <w:vAlign w:val="bottom"/>
          </w:tcPr>
          <w:p>
            <w:pPr>
              <w:jc w:val="right"/>
              <w:ind w:right="119"/>
              <w:spacing w:after="0" w:line="164" w:lineRule="exact"/>
              <w:rPr>
                <w:sz w:val="20"/>
                <w:szCs w:val="20"/>
                <w:color w:val="auto"/>
              </w:rPr>
            </w:pPr>
            <w:r>
              <w:rPr>
                <w:rFonts w:ascii="Arial" w:cs="Arial" w:eastAsia="Arial" w:hAnsi="Arial"/>
                <w:sz w:val="16"/>
                <w:szCs w:val="16"/>
                <w:color w:val="auto"/>
              </w:rPr>
              <w:t>352</w:t>
            </w:r>
          </w:p>
        </w:tc>
        <w:tc>
          <w:tcPr>
            <w:tcW w:w="540" w:type="dxa"/>
            <w:vAlign w:val="bottom"/>
          </w:tcPr>
          <w:p>
            <w:pPr>
              <w:spacing w:after="0"/>
              <w:rPr>
                <w:sz w:val="14"/>
                <w:szCs w:val="14"/>
                <w:color w:val="auto"/>
              </w:rPr>
            </w:pPr>
          </w:p>
        </w:tc>
        <w:tc>
          <w:tcPr>
            <w:tcW w:w="680" w:type="dxa"/>
            <w:vAlign w:val="bottom"/>
          </w:tcPr>
          <w:p>
            <w:pPr>
              <w:jc w:val="right"/>
              <w:spacing w:after="0" w:line="164" w:lineRule="exact"/>
              <w:rPr>
                <w:sz w:val="20"/>
                <w:szCs w:val="20"/>
                <w:color w:val="auto"/>
              </w:rPr>
            </w:pPr>
            <w:r>
              <w:rPr>
                <w:rFonts w:ascii="Arial" w:cs="Arial" w:eastAsia="Arial" w:hAnsi="Arial"/>
                <w:sz w:val="16"/>
                <w:szCs w:val="16"/>
                <w:color w:val="auto"/>
              </w:rPr>
              <w:t>734</w:t>
            </w:r>
          </w:p>
        </w:tc>
        <w:tc>
          <w:tcPr>
            <w:tcW w:w="440" w:type="dxa"/>
            <w:vAlign w:val="bottom"/>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Arial" w:cs="Arial" w:eastAsia="Arial" w:hAnsi="Arial"/>
                <w:sz w:val="16"/>
                <w:szCs w:val="16"/>
                <w:color w:val="auto"/>
              </w:rPr>
              <w:t>(11)</w:t>
            </w:r>
          </w:p>
        </w:tc>
        <w:tc>
          <w:tcPr>
            <w:tcW w:w="460" w:type="dxa"/>
            <w:vAlign w:val="bottom"/>
          </w:tcPr>
          <w:p>
            <w:pPr>
              <w:spacing w:after="0"/>
              <w:rPr>
                <w:sz w:val="14"/>
                <w:szCs w:val="14"/>
                <w:color w:val="auto"/>
              </w:rPr>
            </w:pPr>
          </w:p>
        </w:tc>
        <w:tc>
          <w:tcPr>
            <w:tcW w:w="640" w:type="dxa"/>
            <w:vAlign w:val="bottom"/>
          </w:tcPr>
          <w:p>
            <w:pPr>
              <w:jc w:val="right"/>
              <w:spacing w:after="0" w:line="164" w:lineRule="exact"/>
              <w:rPr>
                <w:sz w:val="20"/>
                <w:szCs w:val="20"/>
                <w:color w:val="auto"/>
              </w:rPr>
            </w:pPr>
            <w:r>
              <w:rPr>
                <w:rFonts w:ascii="Arial" w:cs="Arial" w:eastAsia="Arial" w:hAnsi="Arial"/>
                <w:sz w:val="16"/>
                <w:szCs w:val="16"/>
                <w:color w:val="auto"/>
              </w:rPr>
              <w:t>723</w:t>
            </w:r>
          </w:p>
        </w:tc>
      </w:tr>
      <w:tr>
        <w:trPr>
          <w:trHeight w:val="194"/>
        </w:trPr>
        <w:tc>
          <w:tcPr>
            <w:tcW w:w="456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4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5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64"/>
        </w:trPr>
        <w:tc>
          <w:tcPr>
            <w:tcW w:w="4560" w:type="dxa"/>
            <w:vAlign w:val="bottom"/>
          </w:tcPr>
          <w:p>
            <w:pPr>
              <w:spacing w:after="0" w:line="164" w:lineRule="exact"/>
              <w:rPr>
                <w:sz w:val="20"/>
                <w:szCs w:val="20"/>
                <w:color w:val="auto"/>
              </w:rPr>
            </w:pPr>
            <w:r>
              <w:rPr>
                <w:rFonts w:ascii="Arial" w:cs="Arial" w:eastAsia="Arial" w:hAnsi="Arial"/>
                <w:sz w:val="16"/>
                <w:szCs w:val="16"/>
                <w:color w:val="auto"/>
              </w:rPr>
              <w:t>Total comprehensive income (loss), after preferred</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5"/>
        </w:trPr>
        <w:tc>
          <w:tcPr>
            <w:tcW w:w="4560" w:type="dxa"/>
            <w:vAlign w:val="bottom"/>
          </w:tcPr>
          <w:p>
            <w:pPr>
              <w:ind w:left="180"/>
              <w:spacing w:after="0"/>
              <w:rPr>
                <w:sz w:val="20"/>
                <w:szCs w:val="20"/>
                <w:color w:val="auto"/>
              </w:rPr>
            </w:pPr>
            <w:r>
              <w:rPr>
                <w:rFonts w:ascii="Arial" w:cs="Arial" w:eastAsia="Arial" w:hAnsi="Arial"/>
                <w:sz w:val="16"/>
                <w:szCs w:val="16"/>
                <w:color w:val="auto"/>
              </w:rPr>
              <w:t>dividends of subsidiaries</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331</w:t>
            </w:r>
          </w:p>
        </w:tc>
        <w:tc>
          <w:tcPr>
            <w:tcW w:w="4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349</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729</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80" w:hanging="472"/>
        <w:spacing w:after="0"/>
        <w:tabs>
          <w:tab w:leader="none" w:pos="4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w:t>
      </w:r>
    </w:p>
    <w:p>
      <w:pPr>
        <w:spacing w:after="0" w:line="15" w:lineRule="exact"/>
        <w:rPr>
          <w:rFonts w:ascii="Arial" w:cs="Arial" w:eastAsia="Arial" w:hAnsi="Arial"/>
          <w:sz w:val="14"/>
          <w:szCs w:val="14"/>
          <w:i w:val="1"/>
          <w:iCs w:val="1"/>
          <w:color w:val="auto"/>
        </w:rPr>
      </w:pPr>
    </w:p>
    <w:p>
      <w:pPr>
        <w:ind w:left="480" w:hanging="472"/>
        <w:spacing w:after="0"/>
        <w:tabs>
          <w:tab w:leader="none" w:pos="4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Related to the acquisition of Chilquinta Energía and Luz del Sur.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8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2011(1)(2)</w:t>
            </w:r>
          </w:p>
        </w:tc>
        <w:tc>
          <w:tcPr>
            <w:tcW w:w="0" w:type="dxa"/>
            <w:vAlign w:val="bottom"/>
          </w:tcPr>
          <w:p>
            <w:pPr>
              <w:spacing w:after="0"/>
              <w:rPr>
                <w:sz w:val="1"/>
                <w:szCs w:val="1"/>
                <w:color w:val="auto"/>
              </w:rPr>
            </w:pPr>
          </w:p>
        </w:tc>
      </w:tr>
      <w:tr>
        <w:trPr>
          <w:trHeight w:val="191"/>
        </w:trPr>
        <w:tc>
          <w:tcPr>
            <w:tcW w:w="858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tcPr>
          <w:p>
            <w:pPr>
              <w:spacing w:after="0" w:line="176" w:lineRule="exact"/>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221</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Trade accounts receivable,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853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Other accounts and notes receivable,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249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balancing accounts — undercollected</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Settlement receivable related to wildfire litigation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2,040</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2,332</w:t>
            </w:r>
          </w:p>
        </w:tc>
        <w:tc>
          <w:tcPr>
            <w:tcW w:w="0" w:type="dxa"/>
            <w:vAlign w:val="bottom"/>
          </w:tcPr>
          <w:p>
            <w:pPr>
              <w:spacing w:after="0"/>
              <w:rPr>
                <w:sz w:val="1"/>
                <w:szCs w:val="1"/>
                <w:color w:val="auto"/>
              </w:rPr>
            </w:pPr>
          </w:p>
        </w:tc>
      </w:tr>
      <w:tr>
        <w:trPr>
          <w:trHeight w:val="367"/>
        </w:trPr>
        <w:tc>
          <w:tcPr>
            <w:tcW w:w="858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1,050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assets arising from wildfire litigation costs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668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1,123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Nuclear decommissioning trusts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847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1,639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1,067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Other intangible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441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investments and other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7,565</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7,452</w:t>
            </w:r>
          </w:p>
        </w:tc>
        <w:tc>
          <w:tcPr>
            <w:tcW w:w="0" w:type="dxa"/>
            <w:vAlign w:val="bottom"/>
          </w:tcPr>
          <w:p>
            <w:pPr>
              <w:spacing w:after="0"/>
              <w:rPr>
                <w:sz w:val="1"/>
                <w:szCs w:val="1"/>
                <w:color w:val="auto"/>
              </w:rPr>
            </w:pPr>
          </w:p>
        </w:tc>
      </w:tr>
      <w:tr>
        <w:trPr>
          <w:trHeight w:val="367"/>
        </w:trPr>
        <w:tc>
          <w:tcPr>
            <w:tcW w:w="85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32,647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31,192</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(8,050)</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(7,727)</w:t>
            </w:r>
          </w:p>
        </w:tc>
        <w:tc>
          <w:tcPr>
            <w:tcW w:w="0" w:type="dxa"/>
            <w:vAlign w:val="bottom"/>
          </w:tcPr>
          <w:p>
            <w:pPr>
              <w:spacing w:after="0"/>
              <w:rPr>
                <w:sz w:val="1"/>
                <w:szCs w:val="1"/>
                <w:color w:val="auto"/>
              </w:rPr>
            </w:pPr>
          </w:p>
        </w:tc>
      </w:tr>
      <w:tr>
        <w:trPr>
          <w:trHeight w:val="164"/>
        </w:trPr>
        <w:tc>
          <w:tcPr>
            <w:tcW w:w="8580" w:type="dxa"/>
            <w:vAlign w:val="bottom"/>
          </w:tcPr>
          <w:p>
            <w:pPr>
              <w:ind w:left="360"/>
              <w:spacing w:after="0" w:line="164" w:lineRule="exact"/>
              <w:rPr>
                <w:sz w:val="20"/>
                <w:szCs w:val="20"/>
                <w:color w:val="auto"/>
              </w:rPr>
            </w:pPr>
            <w:r>
              <w:rPr>
                <w:rFonts w:ascii="Arial" w:cs="Arial" w:eastAsia="Arial" w:hAnsi="Arial"/>
                <w:sz w:val="16"/>
                <w:szCs w:val="16"/>
                <w:color w:val="auto"/>
              </w:rPr>
              <w:t>Property, plant and equipment, net ($482 and $494 at June 30, 2012 and</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24,597</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23,465</w:t>
            </w:r>
          </w:p>
        </w:tc>
        <w:tc>
          <w:tcPr>
            <w:tcW w:w="0" w:type="dxa"/>
            <w:vAlign w:val="bottom"/>
          </w:tcPr>
          <w:p>
            <w:pPr>
              <w:spacing w:after="0"/>
              <w:rPr>
                <w:sz w:val="1"/>
                <w:szCs w:val="1"/>
                <w:color w:val="auto"/>
              </w:rPr>
            </w:pPr>
          </w:p>
        </w:tc>
      </w:tr>
      <w:tr>
        <w:trPr>
          <w:trHeight w:val="167"/>
        </w:trPr>
        <w:tc>
          <w:tcPr>
            <w:tcW w:w="8580" w:type="dxa"/>
            <w:vAlign w:val="bottom"/>
          </w:tcPr>
          <w:p>
            <w:pPr>
              <w:ind w:left="540"/>
              <w:spacing w:after="0" w:line="160" w:lineRule="exact"/>
              <w:rPr>
                <w:sz w:val="20"/>
                <w:szCs w:val="20"/>
                <w:color w:val="auto"/>
              </w:rPr>
            </w:pPr>
            <w:r>
              <w:rPr>
                <w:rFonts w:ascii="Arial" w:cs="Arial" w:eastAsia="Arial" w:hAnsi="Arial"/>
                <w:sz w:val="16"/>
                <w:szCs w:val="16"/>
                <w:color w:val="auto"/>
              </w:rPr>
              <w:t>December 31, 2011, respectively, related to VIE)</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580" w:type="dxa"/>
            <w:vAlign w:val="bottom"/>
          </w:tcPr>
          <w:p>
            <w:pPr>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34,202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w:t>
      </w:r>
    </w:p>
    <w:p>
      <w:pPr>
        <w:spacing w:after="0" w:line="13" w:lineRule="exact"/>
        <w:rPr>
          <w:rFonts w:ascii="Arial" w:cs="Arial" w:eastAsia="Arial" w:hAnsi="Arial"/>
          <w:sz w:val="14"/>
          <w:szCs w:val="14"/>
          <w:i w:val="1"/>
          <w:iCs w:val="1"/>
          <w:color w:val="auto"/>
        </w:rPr>
      </w:pPr>
    </w:p>
    <w:p>
      <w:pPr>
        <w:ind w:left="500" w:hanging="492"/>
        <w:spacing w:after="0"/>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340"/>
              <w:spacing w:after="0"/>
              <w:rPr>
                <w:sz w:val="20"/>
                <w:szCs w:val="20"/>
                <w:color w:val="auto"/>
              </w:rPr>
            </w:pPr>
            <w:r>
              <w:rPr>
                <w:rFonts w:ascii="Arial" w:cs="Arial" w:eastAsia="Arial" w:hAnsi="Arial"/>
                <w:sz w:val="14"/>
                <w:szCs w:val="14"/>
                <w:color w:val="auto"/>
              </w:rPr>
              <w:t>June 30,</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8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2011(1)(2)</w:t>
            </w:r>
          </w:p>
        </w:tc>
        <w:tc>
          <w:tcPr>
            <w:tcW w:w="0" w:type="dxa"/>
            <w:vAlign w:val="bottom"/>
          </w:tcPr>
          <w:p>
            <w:pPr>
              <w:spacing w:after="0"/>
              <w:rPr>
                <w:sz w:val="1"/>
                <w:szCs w:val="1"/>
                <w:color w:val="auto"/>
              </w:rPr>
            </w:pPr>
          </w:p>
        </w:tc>
      </w:tr>
      <w:tr>
        <w:trPr>
          <w:trHeight w:val="191"/>
        </w:trPr>
        <w:tc>
          <w:tcPr>
            <w:tcW w:w="8580" w:type="dxa"/>
            <w:vAlign w:val="bottom"/>
            <w:vMerge w:val="restart"/>
          </w:tcPr>
          <w:p>
            <w:pPr>
              <w:spacing w:after="0"/>
              <w:rPr>
                <w:sz w:val="20"/>
                <w:szCs w:val="20"/>
                <w:color w:val="auto"/>
              </w:rPr>
            </w:pPr>
            <w:r>
              <w:rPr>
                <w:rFonts w:ascii="Arial" w:cs="Arial" w:eastAsia="Arial" w:hAnsi="Arial"/>
                <w:sz w:val="16"/>
                <w:szCs w:val="16"/>
                <w:color w:val="auto"/>
              </w:rPr>
              <w:t>LIABILITIES AND EQUITY</w:t>
            </w:r>
          </w:p>
        </w:tc>
        <w:tc>
          <w:tcPr>
            <w:tcW w:w="280" w:type="dxa"/>
            <w:vAlign w:val="bottom"/>
          </w:tcPr>
          <w:p>
            <w:pPr>
              <w:spacing w:after="0"/>
              <w:rPr>
                <w:sz w:val="16"/>
                <w:szCs w:val="16"/>
                <w:color w:val="auto"/>
              </w:rPr>
            </w:pPr>
          </w:p>
        </w:tc>
        <w:tc>
          <w:tcPr>
            <w:tcW w:w="1260" w:type="dxa"/>
            <w:vAlign w:val="bottom"/>
          </w:tcPr>
          <w:p>
            <w:pPr>
              <w:jc w:val="center"/>
              <w:ind w:right="340"/>
              <w:spacing w:after="0"/>
              <w:rPr>
                <w:sz w:val="20"/>
                <w:szCs w:val="20"/>
                <w:color w:val="auto"/>
              </w:rPr>
            </w:pPr>
            <w:r>
              <w:rPr>
                <w:rFonts w:ascii="Arial" w:cs="Arial" w:eastAsia="Arial" w:hAnsi="Arial"/>
                <w:sz w:val="14"/>
                <w:szCs w:val="14"/>
                <w:color w:val="auto"/>
              </w:rPr>
              <w:t>(unaudited)</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tcPr>
          <w:p>
            <w:pPr>
              <w:spacing w:after="0" w:line="176" w:lineRule="exact"/>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Short-term debt</w:t>
            </w: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713</w:t>
            </w: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Accounts payable — trade</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903</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Accounts payable — other</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109</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5"/>
                <w:szCs w:val="15"/>
                <w:color w:val="auto"/>
              </w:rPr>
            </w:pPr>
          </w:p>
        </w:tc>
        <w:tc>
          <w:tcPr>
            <w:tcW w:w="1260" w:type="dxa"/>
            <w:vAlign w:val="bottom"/>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163</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Dividends and interest payable</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256</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222</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balancing accounts — overcollected</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270</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698</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91</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Customer deposits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145</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Reserve for wildfire litigation</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305</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559</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4,434</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4,152</w:t>
            </w:r>
          </w:p>
        </w:tc>
        <w:tc>
          <w:tcPr>
            <w:tcW w:w="0" w:type="dxa"/>
            <w:vAlign w:val="bottom"/>
          </w:tcPr>
          <w:p>
            <w:pPr>
              <w:spacing w:after="0"/>
              <w:rPr>
                <w:sz w:val="1"/>
                <w:szCs w:val="1"/>
                <w:color w:val="auto"/>
              </w:rPr>
            </w:pPr>
          </w:p>
        </w:tc>
      </w:tr>
      <w:tr>
        <w:trPr>
          <w:trHeight w:val="164"/>
        </w:trPr>
        <w:tc>
          <w:tcPr>
            <w:tcW w:w="8580" w:type="dxa"/>
            <w:vAlign w:val="bottom"/>
          </w:tcPr>
          <w:p>
            <w:pPr>
              <w:spacing w:after="0" w:line="164" w:lineRule="exact"/>
              <w:rPr>
                <w:sz w:val="20"/>
                <w:szCs w:val="20"/>
                <w:color w:val="auto"/>
              </w:rPr>
            </w:pPr>
            <w:r>
              <w:rPr>
                <w:rFonts w:ascii="Arial" w:cs="Arial" w:eastAsia="Arial" w:hAnsi="Arial"/>
                <w:sz w:val="16"/>
                <w:szCs w:val="16"/>
                <w:color w:val="auto"/>
              </w:rPr>
              <w:t>Long-term debt ($340 and $345 at June 30, 2012 and December 31, 2011, respectively,</w:t>
            </w:r>
          </w:p>
        </w:tc>
        <w:tc>
          <w:tcPr>
            <w:tcW w:w="280" w:type="dxa"/>
            <w:vAlign w:val="bottom"/>
          </w:tcPr>
          <w:p>
            <w:pPr>
              <w:spacing w:after="0"/>
              <w:rPr>
                <w:sz w:val="14"/>
                <w:szCs w:val="14"/>
                <w:color w:val="auto"/>
              </w:rPr>
            </w:pPr>
          </w:p>
        </w:tc>
        <w:tc>
          <w:tcPr>
            <w:tcW w:w="1260" w:type="dxa"/>
            <w:vAlign w:val="bottom"/>
            <w:vMerge w:val="restart"/>
          </w:tcPr>
          <w:p>
            <w:pPr>
              <w:jc w:val="right"/>
              <w:ind w:right="100"/>
              <w:spacing w:after="0"/>
              <w:rPr>
                <w:sz w:val="20"/>
                <w:szCs w:val="20"/>
                <w:color w:val="auto"/>
              </w:rPr>
            </w:pPr>
            <w:r>
              <w:rPr>
                <w:rFonts w:ascii="Arial" w:cs="Arial" w:eastAsia="Arial" w:hAnsi="Arial"/>
                <w:sz w:val="16"/>
                <w:szCs w:val="16"/>
                <w:color w:val="auto"/>
              </w:rPr>
              <w:t>10,315</w:t>
            </w:r>
          </w:p>
        </w:tc>
        <w:tc>
          <w:tcPr>
            <w:tcW w:w="2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10,078</w:t>
            </w:r>
          </w:p>
        </w:tc>
        <w:tc>
          <w:tcPr>
            <w:tcW w:w="0" w:type="dxa"/>
            <w:vAlign w:val="bottom"/>
          </w:tcPr>
          <w:p>
            <w:pPr>
              <w:spacing w:after="0"/>
              <w:rPr>
                <w:sz w:val="1"/>
                <w:szCs w:val="1"/>
                <w:color w:val="auto"/>
              </w:rPr>
            </w:pPr>
          </w:p>
        </w:tc>
      </w:tr>
      <w:tr>
        <w:trPr>
          <w:trHeight w:val="167"/>
        </w:trPr>
        <w:tc>
          <w:tcPr>
            <w:tcW w:w="8580" w:type="dxa"/>
            <w:vAlign w:val="bottom"/>
          </w:tcPr>
          <w:p>
            <w:pPr>
              <w:ind w:left="360"/>
              <w:spacing w:after="0" w:line="160" w:lineRule="exact"/>
              <w:rPr>
                <w:sz w:val="20"/>
                <w:szCs w:val="20"/>
                <w:color w:val="auto"/>
              </w:rPr>
            </w:pPr>
            <w:r>
              <w:rPr>
                <w:rFonts w:ascii="Arial" w:cs="Arial" w:eastAsia="Arial" w:hAnsi="Arial"/>
                <w:sz w:val="16"/>
                <w:szCs w:val="16"/>
                <w:color w:val="auto"/>
              </w:rPr>
              <w:t>related to VIE)</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8"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Customer advances for construction</w:t>
            </w:r>
          </w:p>
        </w:tc>
        <w:tc>
          <w:tcPr>
            <w:tcW w:w="540" w:type="dxa"/>
            <w:vAlign w:val="bottom"/>
          </w:tcPr>
          <w:p>
            <w:pPr>
              <w:spacing w:after="0"/>
              <w:rPr>
                <w:sz w:val="15"/>
                <w:szCs w:val="15"/>
                <w:color w:val="auto"/>
              </w:rPr>
            </w:pPr>
          </w:p>
        </w:tc>
        <w:tc>
          <w:tcPr>
            <w:tcW w:w="10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148</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142</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540" w:type="dxa"/>
            <w:vAlign w:val="bottom"/>
          </w:tcPr>
          <w:p>
            <w:pPr>
              <w:spacing w:after="0"/>
              <w:rPr>
                <w:sz w:val="15"/>
                <w:szCs w:val="15"/>
                <w:color w:val="auto"/>
              </w:rPr>
            </w:pPr>
          </w:p>
        </w:tc>
        <w:tc>
          <w:tcPr>
            <w:tcW w:w="10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1,345</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1,423</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income taxes</w:t>
            </w:r>
          </w:p>
        </w:tc>
        <w:tc>
          <w:tcPr>
            <w:tcW w:w="540" w:type="dxa"/>
            <w:vAlign w:val="bottom"/>
          </w:tcPr>
          <w:p>
            <w:pPr>
              <w:spacing w:after="0"/>
              <w:rPr>
                <w:sz w:val="15"/>
                <w:szCs w:val="15"/>
                <w:color w:val="auto"/>
              </w:rPr>
            </w:pPr>
          </w:p>
        </w:tc>
        <w:tc>
          <w:tcPr>
            <w:tcW w:w="10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1,544</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1,520</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investment tax credits</w:t>
            </w:r>
          </w:p>
        </w:tc>
        <w:tc>
          <w:tcPr>
            <w:tcW w:w="540" w:type="dxa"/>
            <w:vAlign w:val="bottom"/>
          </w:tcPr>
          <w:p>
            <w:pPr>
              <w:spacing w:after="0"/>
              <w:rPr>
                <w:sz w:val="15"/>
                <w:szCs w:val="15"/>
                <w:color w:val="auto"/>
              </w:rPr>
            </w:pPr>
          </w:p>
        </w:tc>
        <w:tc>
          <w:tcPr>
            <w:tcW w:w="10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48</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liabilities arising from removal obligations</w:t>
            </w:r>
          </w:p>
        </w:tc>
        <w:tc>
          <w:tcPr>
            <w:tcW w:w="540" w:type="dxa"/>
            <w:vAlign w:val="bottom"/>
          </w:tcPr>
          <w:p>
            <w:pPr>
              <w:spacing w:after="0"/>
              <w:rPr>
                <w:sz w:val="15"/>
                <w:szCs w:val="15"/>
                <w:color w:val="auto"/>
              </w:rPr>
            </w:pPr>
          </w:p>
        </w:tc>
        <w:tc>
          <w:tcPr>
            <w:tcW w:w="10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2,614</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2,551</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Asset retirement obligations</w:t>
            </w:r>
          </w:p>
        </w:tc>
        <w:tc>
          <w:tcPr>
            <w:tcW w:w="540" w:type="dxa"/>
            <w:vAlign w:val="bottom"/>
          </w:tcPr>
          <w:p>
            <w:pPr>
              <w:spacing w:after="0"/>
              <w:rPr>
                <w:sz w:val="15"/>
                <w:szCs w:val="15"/>
                <w:color w:val="auto"/>
              </w:rPr>
            </w:pPr>
          </w:p>
        </w:tc>
        <w:tc>
          <w:tcPr>
            <w:tcW w:w="10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1,947</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1,905</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Other regulatory liabilities</w:t>
            </w:r>
          </w:p>
        </w:tc>
        <w:tc>
          <w:tcPr>
            <w:tcW w:w="540" w:type="dxa"/>
            <w:vAlign w:val="bottom"/>
          </w:tcPr>
          <w:p>
            <w:pPr>
              <w:spacing w:after="0"/>
              <w:rPr>
                <w:sz w:val="15"/>
                <w:szCs w:val="15"/>
                <w:color w:val="auto"/>
              </w:rPr>
            </w:pPr>
          </w:p>
        </w:tc>
        <w:tc>
          <w:tcPr>
            <w:tcW w:w="10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68</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87</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540" w:type="dxa"/>
            <w:vAlign w:val="bottom"/>
          </w:tcPr>
          <w:p>
            <w:pPr>
              <w:spacing w:after="0"/>
              <w:rPr>
                <w:sz w:val="15"/>
                <w:szCs w:val="15"/>
                <w:color w:val="auto"/>
              </w:rPr>
            </w:pPr>
          </w:p>
        </w:tc>
        <w:tc>
          <w:tcPr>
            <w:tcW w:w="10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285</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301</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Reserve for wildfire litigation</w:t>
            </w:r>
          </w:p>
        </w:tc>
        <w:tc>
          <w:tcPr>
            <w:tcW w:w="540" w:type="dxa"/>
            <w:vAlign w:val="bottom"/>
          </w:tcPr>
          <w:p>
            <w:pPr>
              <w:spacing w:after="0"/>
              <w:rPr>
                <w:sz w:val="15"/>
                <w:szCs w:val="15"/>
                <w:color w:val="auto"/>
              </w:rPr>
            </w:pPr>
          </w:p>
        </w:tc>
        <w:tc>
          <w:tcPr>
            <w:tcW w:w="10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171</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911</w:t>
            </w: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deferred credits and other liabilities</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9,081</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8,762</w:t>
            </w:r>
          </w:p>
        </w:tc>
      </w:tr>
      <w:tr>
        <w:trPr>
          <w:trHeight w:val="183"/>
        </w:trPr>
        <w:tc>
          <w:tcPr>
            <w:tcW w:w="8580" w:type="dxa"/>
            <w:vAlign w:val="bottom"/>
          </w:tcPr>
          <w:p>
            <w:pPr>
              <w:spacing w:after="0" w:line="176" w:lineRule="exact"/>
              <w:rPr>
                <w:sz w:val="20"/>
                <w:szCs w:val="20"/>
                <w:color w:val="auto"/>
              </w:rPr>
            </w:pPr>
            <w:r>
              <w:rPr>
                <w:rFonts w:ascii="Arial" w:cs="Arial" w:eastAsia="Arial" w:hAnsi="Arial"/>
                <w:sz w:val="16"/>
                <w:szCs w:val="16"/>
                <w:color w:val="auto"/>
              </w:rPr>
              <w:t>Contingently redeemable preferred stock of subsidiary</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79</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r>
      <w:tr>
        <w:trPr>
          <w:trHeight w:val="291"/>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5"/>
        </w:trPr>
        <w:tc>
          <w:tcPr>
            <w:tcW w:w="8580" w:type="dxa"/>
            <w:vAlign w:val="bottom"/>
          </w:tcPr>
          <w:p>
            <w:pPr>
              <w:spacing w:after="0"/>
              <w:rPr>
                <w:sz w:val="20"/>
                <w:szCs w:val="20"/>
                <w:color w:val="auto"/>
              </w:rPr>
            </w:pPr>
            <w:r>
              <w:rPr>
                <w:rFonts w:ascii="Arial" w:cs="Arial" w:eastAsia="Arial" w:hAnsi="Arial"/>
                <w:sz w:val="16"/>
                <w:szCs w:val="16"/>
                <w:color w:val="auto"/>
              </w:rPr>
              <w:t>Equity:</w:t>
            </w: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Preferred stock (50 million shares authorized; none issued)</w:t>
            </w:r>
          </w:p>
        </w:tc>
        <w:tc>
          <w:tcPr>
            <w:tcW w:w="540" w:type="dxa"/>
            <w:vAlign w:val="bottom"/>
          </w:tcPr>
          <w:p>
            <w:pPr>
              <w:spacing w:after="0"/>
              <w:rPr>
                <w:sz w:val="15"/>
                <w:szCs w:val="15"/>
                <w:color w:val="auto"/>
              </w:rPr>
            </w:pPr>
          </w:p>
        </w:tc>
        <w:tc>
          <w:tcPr>
            <w:tcW w:w="10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Common stock (750 million shares authorized; 242 million and 240 million shares</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6"/>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outstanding at June 30, 2012 and December 31, 2011, respectively; no par value)</w:t>
            </w:r>
          </w:p>
        </w:tc>
        <w:tc>
          <w:tcPr>
            <w:tcW w:w="540" w:type="dxa"/>
            <w:vAlign w:val="bottom"/>
          </w:tcPr>
          <w:p>
            <w:pPr>
              <w:spacing w:after="0"/>
              <w:rPr>
                <w:sz w:val="15"/>
                <w:szCs w:val="15"/>
                <w:color w:val="auto"/>
              </w:rPr>
            </w:pPr>
          </w:p>
        </w:tc>
        <w:tc>
          <w:tcPr>
            <w:tcW w:w="10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2,164</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2,104</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Retained earnings</w:t>
            </w:r>
          </w:p>
        </w:tc>
        <w:tc>
          <w:tcPr>
            <w:tcW w:w="540" w:type="dxa"/>
            <w:vAlign w:val="bottom"/>
          </w:tcPr>
          <w:p>
            <w:pPr>
              <w:spacing w:after="0"/>
              <w:rPr>
                <w:sz w:val="15"/>
                <w:szCs w:val="15"/>
                <w:color w:val="auto"/>
              </w:rPr>
            </w:pPr>
          </w:p>
        </w:tc>
        <w:tc>
          <w:tcPr>
            <w:tcW w:w="10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8,171</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8,162</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compensation</w:t>
            </w:r>
          </w:p>
        </w:tc>
        <w:tc>
          <w:tcPr>
            <w:tcW w:w="540" w:type="dxa"/>
            <w:vAlign w:val="bottom"/>
          </w:tcPr>
          <w:p>
            <w:pPr>
              <w:spacing w:after="0"/>
              <w:rPr>
                <w:sz w:val="15"/>
                <w:szCs w:val="15"/>
                <w:color w:val="auto"/>
              </w:rPr>
            </w:pPr>
          </w:p>
        </w:tc>
        <w:tc>
          <w:tcPr>
            <w:tcW w:w="10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(456)</w:t>
            </w: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r>
      <w:tr>
        <w:trPr>
          <w:trHeight w:val="164"/>
        </w:trPr>
        <w:tc>
          <w:tcPr>
            <w:tcW w:w="8580" w:type="dxa"/>
            <w:vAlign w:val="bottom"/>
          </w:tcPr>
          <w:p>
            <w:pPr>
              <w:ind w:left="360"/>
              <w:spacing w:after="0" w:line="164" w:lineRule="exact"/>
              <w:rPr>
                <w:sz w:val="20"/>
                <w:szCs w:val="20"/>
                <w:color w:val="auto"/>
              </w:rPr>
            </w:pPr>
            <w:r>
              <w:rPr>
                <w:rFonts w:ascii="Arial" w:cs="Arial" w:eastAsia="Arial" w:hAnsi="Arial"/>
                <w:sz w:val="16"/>
                <w:szCs w:val="16"/>
                <w:color w:val="auto"/>
              </w:rPr>
              <w:t>Total Sempra Energy shareholders’ equity</w:t>
            </w:r>
          </w:p>
        </w:tc>
        <w:tc>
          <w:tcPr>
            <w:tcW w:w="540" w:type="dxa"/>
            <w:vAlign w:val="bottom"/>
          </w:tcPr>
          <w:p>
            <w:pPr>
              <w:spacing w:after="0"/>
              <w:rPr>
                <w:sz w:val="14"/>
                <w:szCs w:val="14"/>
                <w:color w:val="auto"/>
              </w:rPr>
            </w:pPr>
          </w:p>
        </w:tc>
        <w:tc>
          <w:tcPr>
            <w:tcW w:w="1020" w:type="dxa"/>
            <w:vAlign w:val="bottom"/>
          </w:tcPr>
          <w:p>
            <w:pPr>
              <w:jc w:val="right"/>
              <w:ind w:right="119"/>
              <w:spacing w:after="0" w:line="164" w:lineRule="exact"/>
              <w:rPr>
                <w:sz w:val="20"/>
                <w:szCs w:val="20"/>
                <w:color w:val="auto"/>
              </w:rPr>
            </w:pPr>
            <w:r>
              <w:rPr>
                <w:rFonts w:ascii="Arial" w:cs="Arial" w:eastAsia="Arial" w:hAnsi="Arial"/>
                <w:sz w:val="16"/>
                <w:szCs w:val="16"/>
                <w:color w:val="auto"/>
              </w:rPr>
              <w:t>9,879</w:t>
            </w:r>
          </w:p>
        </w:tc>
        <w:tc>
          <w:tcPr>
            <w:tcW w:w="48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9,775</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Preferred stock of subsidiaries</w:t>
            </w:r>
          </w:p>
        </w:tc>
        <w:tc>
          <w:tcPr>
            <w:tcW w:w="540" w:type="dxa"/>
            <w:vAlign w:val="bottom"/>
          </w:tcPr>
          <w:p>
            <w:pPr>
              <w:spacing w:after="0"/>
              <w:rPr>
                <w:sz w:val="15"/>
                <w:szCs w:val="15"/>
                <w:color w:val="auto"/>
              </w:rPr>
            </w:pPr>
          </w:p>
        </w:tc>
        <w:tc>
          <w:tcPr>
            <w:tcW w:w="10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20</w:t>
            </w:r>
          </w:p>
        </w:tc>
        <w:tc>
          <w:tcPr>
            <w:tcW w:w="4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Other noncontrolling interests</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394</w:t>
            </w: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equity</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10,293</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10,178</w:t>
            </w:r>
          </w:p>
        </w:tc>
      </w:tr>
      <w:tr>
        <w:trPr>
          <w:trHeight w:val="195"/>
        </w:trPr>
        <w:tc>
          <w:tcPr>
            <w:tcW w:w="858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34,202</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w:t>
      </w:r>
    </w:p>
    <w:p>
      <w:pPr>
        <w:spacing w:after="0" w:line="23" w:lineRule="exact"/>
        <w:rPr>
          <w:rFonts w:ascii="Arial" w:cs="Arial" w:eastAsia="Arial" w:hAnsi="Arial"/>
          <w:sz w:val="14"/>
          <w:szCs w:val="14"/>
          <w:i w:val="1"/>
          <w:iCs w:val="1"/>
          <w:color w:val="auto"/>
        </w:rPr>
      </w:pPr>
    </w:p>
    <w:p>
      <w:pPr>
        <w:ind w:left="500" w:hanging="492"/>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7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right"/>
              <w:ind w:right="380"/>
              <w:spacing w:after="0" w:line="159" w:lineRule="exact"/>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color w:val="auto"/>
              </w:rPr>
              <w:t>2012</w:t>
            </w: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color w:val="auto"/>
              </w:rPr>
              <w:t>2011(1)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48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149"/>
        </w:trPr>
        <w:tc>
          <w:tcPr>
            <w:tcW w:w="748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Net income</w:t>
            </w:r>
          </w:p>
        </w:tc>
        <w:tc>
          <w:tcPr>
            <w:tcW w:w="1700" w:type="dxa"/>
            <w:vAlign w:val="bottom"/>
            <w:gridSpan w:val="2"/>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325</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754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Adjustments to reconcile net income to net cash provided</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360"/>
              <w:spacing w:after="0" w:line="176" w:lineRule="exact"/>
              <w:rPr>
                <w:sz w:val="20"/>
                <w:szCs w:val="20"/>
                <w:color w:val="auto"/>
              </w:rPr>
            </w:pPr>
            <w:r>
              <w:rPr>
                <w:rFonts w:ascii="Arial" w:cs="Arial" w:eastAsia="Arial" w:hAnsi="Arial"/>
                <w:sz w:val="16"/>
                <w:szCs w:val="16"/>
                <w:color w:val="auto"/>
              </w:rPr>
              <w:t>by operating activities: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540"/>
              <w:spacing w:after="0" w:line="176" w:lineRule="exact"/>
              <w:rPr>
                <w:sz w:val="20"/>
                <w:szCs w:val="20"/>
                <w:color w:val="auto"/>
              </w:rPr>
            </w:pPr>
            <w:r>
              <w:rPr>
                <w:rFonts w:ascii="Arial" w:cs="Arial" w:eastAsia="Arial" w:hAnsi="Arial"/>
                <w:sz w:val="16"/>
                <w:szCs w:val="16"/>
                <w:color w:val="auto"/>
              </w:rPr>
              <w:t>Depreciation and amortization</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523</w:t>
            </w: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478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540"/>
              <w:spacing w:after="0" w:line="176" w:lineRule="exact"/>
              <w:rPr>
                <w:sz w:val="20"/>
                <w:szCs w:val="20"/>
                <w:color w:val="auto"/>
              </w:rPr>
            </w:pPr>
            <w:r>
              <w:rPr>
                <w:rFonts w:ascii="Arial" w:cs="Arial" w:eastAsia="Arial" w:hAnsi="Arial"/>
                <w:sz w:val="16"/>
                <w:szCs w:val="16"/>
                <w:color w:val="auto"/>
              </w:rPr>
              <w:t>Deferred income taxes and investment tax credits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(53)</w:t>
            </w: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540"/>
              <w:spacing w:after="0" w:line="176" w:lineRule="exact"/>
              <w:rPr>
                <w:sz w:val="20"/>
                <w:szCs w:val="20"/>
                <w:color w:val="auto"/>
              </w:rPr>
            </w:pPr>
            <w:r>
              <w:rPr>
                <w:rFonts w:ascii="Arial" w:cs="Arial" w:eastAsia="Arial" w:hAnsi="Arial"/>
                <w:sz w:val="16"/>
                <w:szCs w:val="16"/>
                <w:color w:val="auto"/>
              </w:rPr>
              <w:t>Equity losses (earnings)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262</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76"/>
        </w:trPr>
        <w:tc>
          <w:tcPr>
            <w:tcW w:w="7480" w:type="dxa"/>
            <w:vAlign w:val="bottom"/>
          </w:tcPr>
          <w:p>
            <w:pPr>
              <w:ind w:left="540"/>
              <w:spacing w:after="0" w:line="176" w:lineRule="exact"/>
              <w:rPr>
                <w:sz w:val="20"/>
                <w:szCs w:val="20"/>
                <w:color w:val="auto"/>
              </w:rPr>
            </w:pPr>
            <w:r>
              <w:rPr>
                <w:rFonts w:ascii="Arial" w:cs="Arial" w:eastAsia="Arial" w:hAnsi="Arial"/>
                <w:sz w:val="16"/>
                <w:szCs w:val="16"/>
                <w:color w:val="auto"/>
              </w:rPr>
              <w:t>Remeasurement of equity method investments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76"/>
        </w:trPr>
        <w:tc>
          <w:tcPr>
            <w:tcW w:w="7480" w:type="dxa"/>
            <w:vAlign w:val="bottom"/>
          </w:tcPr>
          <w:p>
            <w:pPr>
              <w:ind w:left="54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7480" w:type="dxa"/>
            <w:vAlign w:val="bottom"/>
          </w:tcPr>
          <w:p>
            <w:pPr>
              <w:ind w:left="540"/>
              <w:spacing w:after="0" w:line="176" w:lineRule="exact"/>
              <w:rPr>
                <w:sz w:val="20"/>
                <w:szCs w:val="20"/>
                <w:color w:val="auto"/>
              </w:rPr>
            </w:pPr>
            <w:r>
              <w:rPr>
                <w:rFonts w:ascii="Arial" w:cs="Arial" w:eastAsia="Arial" w:hAnsi="Arial"/>
                <w:sz w:val="16"/>
                <w:szCs w:val="16"/>
                <w:color w:val="auto"/>
              </w:rPr>
              <w:t>Other</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Net change in other working capital components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Distributions from RBS Sempra Commodities LLP</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48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3"/>
        </w:trPr>
        <w:tc>
          <w:tcPr>
            <w:tcW w:w="748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operating activities</w:t>
            </w:r>
          </w:p>
        </w:tc>
        <w:tc>
          <w:tcPr>
            <w:tcW w:w="14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1,152</w:t>
            </w: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74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Expenditures for property, plant and equipment</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(1,517)</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Expenditures for investments and acquisition of businesses, net of cash acquired</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(303)</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Proceeds from sale of joint venture interest</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Distributions from RBS Sempra Commodities LLP</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Distributions from other investments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31</w:t>
            </w: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Purchases of nuclear decommissioning and other trust assets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(327)</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Proceeds from sales by nuclear decommissioning and other trusts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329</w:t>
            </w: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Decrease in restricted cash</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68</w:t>
            </w: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388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Increase in restricted cash</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(61)</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94"/>
        </w:trPr>
        <w:tc>
          <w:tcPr>
            <w:tcW w:w="7480" w:type="dxa"/>
            <w:vAlign w:val="bottom"/>
          </w:tcPr>
          <w:p>
            <w:pPr>
              <w:ind w:left="180"/>
              <w:spacing w:after="0"/>
              <w:rPr>
                <w:sz w:val="20"/>
                <w:szCs w:val="20"/>
                <w:color w:val="auto"/>
              </w:rPr>
            </w:pPr>
            <w:r>
              <w:rPr>
                <w:rFonts w:ascii="Arial" w:cs="Arial" w:eastAsia="Arial" w:hAnsi="Arial"/>
                <w:sz w:val="16"/>
                <w:szCs w:val="16"/>
                <w:color w:val="auto"/>
              </w:rPr>
              <w:t>Other</w:t>
            </w:r>
          </w:p>
        </w:tc>
        <w:tc>
          <w:tcPr>
            <w:tcW w:w="1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3"/>
        </w:trPr>
        <w:tc>
          <w:tcPr>
            <w:tcW w:w="748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investing activities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(1,781)</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367"/>
        </w:trPr>
        <w:tc>
          <w:tcPr>
            <w:tcW w:w="74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4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Common dividends paid</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(260)</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Redemption of subsidiary preferred stock</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Preferred dividends paid by subsidiaries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Issuances of common stock</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Repurchases of common stock</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Issuances of debt (maturities greater than 90 days)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1,167</w:t>
            </w: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870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Payments on debt (maturities greater than 90 days)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(559)</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Increase (decrease) in short-term debt, net</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241</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194"/>
        </w:trPr>
        <w:tc>
          <w:tcPr>
            <w:tcW w:w="7480" w:type="dxa"/>
            <w:vAlign w:val="bottom"/>
          </w:tcPr>
          <w:p>
            <w:pPr>
              <w:ind w:left="180"/>
              <w:spacing w:after="0"/>
              <w:rPr>
                <w:sz w:val="20"/>
                <w:szCs w:val="20"/>
                <w:color w:val="auto"/>
              </w:rPr>
            </w:pPr>
            <w:r>
              <w:rPr>
                <w:rFonts w:ascii="Arial" w:cs="Arial" w:eastAsia="Arial" w:hAnsi="Arial"/>
                <w:sz w:val="16"/>
                <w:szCs w:val="16"/>
                <w:color w:val="auto"/>
              </w:rPr>
              <w:t>Other</w:t>
            </w:r>
          </w:p>
        </w:tc>
        <w:tc>
          <w:tcPr>
            <w:tcW w:w="1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8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(used in) financing activities</w:t>
            </w:r>
          </w:p>
        </w:tc>
        <w:tc>
          <w:tcPr>
            <w:tcW w:w="1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594</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4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67"/>
        </w:trPr>
        <w:tc>
          <w:tcPr>
            <w:tcW w:w="7480" w:type="dxa"/>
            <w:vAlign w:val="bottom"/>
          </w:tcPr>
          <w:p>
            <w:pPr>
              <w:spacing w:after="0"/>
              <w:rPr>
                <w:sz w:val="20"/>
                <w:szCs w:val="20"/>
                <w:color w:val="auto"/>
              </w:rPr>
            </w:pPr>
            <w:r>
              <w:rPr>
                <w:rFonts w:ascii="Arial" w:cs="Arial" w:eastAsia="Arial" w:hAnsi="Arial"/>
                <w:sz w:val="16"/>
                <w:szCs w:val="16"/>
                <w:color w:val="auto"/>
              </w:rPr>
              <w:t>Decrease in cash and cash equivalents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94"/>
        </w:trPr>
        <w:tc>
          <w:tcPr>
            <w:tcW w:w="748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480" w:type="dxa"/>
            <w:vAlign w:val="bottom"/>
          </w:tcPr>
          <w:p>
            <w:pPr>
              <w:spacing w:after="0"/>
              <w:rPr>
                <w:sz w:val="20"/>
                <w:szCs w:val="20"/>
                <w:color w:val="auto"/>
              </w:rPr>
            </w:pPr>
            <w:r>
              <w:rPr>
                <w:rFonts w:ascii="Arial" w:cs="Arial" w:eastAsia="Arial" w:hAnsi="Arial"/>
                <w:sz w:val="16"/>
                <w:szCs w:val="16"/>
                <w:color w:val="auto"/>
              </w:rPr>
              <w:t>Cash and cash equivalents, June 30</w:t>
            </w:r>
          </w:p>
        </w:tc>
        <w:tc>
          <w:tcPr>
            <w:tcW w:w="14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221</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0" w:gutter="0" w:footer="0" w:header="0"/>
        </w:sectPr>
      </w:pPr>
    </w:p>
    <w:p>
      <w:pPr>
        <w:ind w:right="4560" w:firstLine="8"/>
        <w:spacing w:after="0" w:line="277" w:lineRule="auto"/>
        <w:tabs>
          <w:tab w:leader="none" w:pos="5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 See Notes to Condensed Consolidated Financial Statements.</w:t>
      </w:r>
    </w:p>
    <w:p>
      <w:pPr>
        <w:sectPr>
          <w:pgSz w:w="11900" w:h="16838" w:orient="portrait"/>
          <w:cols w:equalWidth="0" w:num="1">
            <w:col w:w="11420"/>
          </w:cols>
          <w:pgMar w:left="240" w:top="119" w:right="239" w:bottom="0" w:gutter="0" w:footer="0" w:header="0"/>
          <w:type w:val="continuous"/>
        </w:sectPr>
      </w:pPr>
    </w:p>
    <w:bookmarkStart w:id="7" w:name="page8"/>
    <w:bookmarkEnd w:id="7"/>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8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320"/>
              <w:spacing w:after="0" w:line="159" w:lineRule="exact"/>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3"/>
        </w:trPr>
        <w:tc>
          <w:tcPr>
            <w:tcW w:w="88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1"/>
        </w:trPr>
        <w:tc>
          <w:tcPr>
            <w:tcW w:w="886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860" w:type="dxa"/>
            <w:vAlign w:val="bottom"/>
          </w:tcPr>
          <w:p>
            <w:pPr>
              <w:ind w:left="180"/>
              <w:spacing w:after="0" w:line="176" w:lineRule="exact"/>
              <w:rPr>
                <w:sz w:val="20"/>
                <w:szCs w:val="20"/>
                <w:color w:val="auto"/>
              </w:rPr>
            </w:pPr>
            <w:r>
              <w:rPr>
                <w:rFonts w:ascii="Arial" w:cs="Arial" w:eastAsia="Arial" w:hAnsi="Arial"/>
                <w:sz w:val="16"/>
                <w:szCs w:val="16"/>
                <w:color w:val="auto"/>
              </w:rPr>
              <w:t>Interest payments, net of amounts capitalized</w:t>
            </w:r>
          </w:p>
        </w:tc>
        <w:tc>
          <w:tcPr>
            <w:tcW w:w="860" w:type="dxa"/>
            <w:vAlign w:val="bottom"/>
            <w:gridSpan w:val="2"/>
          </w:tcPr>
          <w:p>
            <w:pPr>
              <w:jc w:val="right"/>
              <w:ind w:right="686"/>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209</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195"/>
        </w:trPr>
        <w:tc>
          <w:tcPr>
            <w:tcW w:w="886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93</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2"/>
        </w:trPr>
        <w:tc>
          <w:tcPr>
            <w:tcW w:w="886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860" w:type="dxa"/>
            <w:vAlign w:val="bottom"/>
          </w:tcPr>
          <w:p>
            <w:pPr>
              <w:ind w:left="80"/>
              <w:spacing w:after="0" w:line="176" w:lineRule="exact"/>
              <w:rPr>
                <w:sz w:val="20"/>
                <w:szCs w:val="20"/>
                <w:color w:val="auto"/>
              </w:rPr>
            </w:pPr>
            <w:r>
              <w:rPr>
                <w:rFonts w:ascii="Arial" w:cs="Arial" w:eastAsia="Arial" w:hAnsi="Arial"/>
                <w:sz w:val="16"/>
                <w:szCs w:val="16"/>
                <w:color w:val="auto"/>
              </w:rPr>
              <w:t>Acquisition of businesses:</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60" w:type="dxa"/>
            <w:vAlign w:val="bottom"/>
          </w:tcPr>
          <w:p>
            <w:pPr>
              <w:ind w:left="320"/>
              <w:spacing w:after="0" w:line="176" w:lineRule="exact"/>
              <w:rPr>
                <w:sz w:val="20"/>
                <w:szCs w:val="20"/>
                <w:color w:val="auto"/>
              </w:rPr>
            </w:pPr>
            <w:r>
              <w:rPr>
                <w:rFonts w:ascii="Arial" w:cs="Arial" w:eastAsia="Arial" w:hAnsi="Arial"/>
                <w:sz w:val="16"/>
                <w:szCs w:val="16"/>
                <w:color w:val="auto"/>
              </w:rPr>
              <w:t>Assets acquired</w:t>
            </w:r>
          </w:p>
        </w:tc>
        <w:tc>
          <w:tcPr>
            <w:tcW w:w="860" w:type="dxa"/>
            <w:vAlign w:val="bottom"/>
            <w:gridSpan w:val="2"/>
          </w:tcPr>
          <w:p>
            <w:pPr>
              <w:jc w:val="right"/>
              <w:ind w:right="686"/>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2,815</w:t>
            </w:r>
          </w:p>
        </w:tc>
        <w:tc>
          <w:tcPr>
            <w:tcW w:w="0" w:type="dxa"/>
            <w:vAlign w:val="bottom"/>
          </w:tcPr>
          <w:p>
            <w:pPr>
              <w:spacing w:after="0"/>
              <w:rPr>
                <w:sz w:val="1"/>
                <w:szCs w:val="1"/>
                <w:color w:val="auto"/>
              </w:rPr>
            </w:pPr>
          </w:p>
        </w:tc>
      </w:tr>
      <w:tr>
        <w:trPr>
          <w:trHeight w:val="176"/>
        </w:trPr>
        <w:tc>
          <w:tcPr>
            <w:tcW w:w="8860" w:type="dxa"/>
            <w:vAlign w:val="bottom"/>
          </w:tcPr>
          <w:p>
            <w:pPr>
              <w:ind w:left="320"/>
              <w:spacing w:after="0" w:line="176" w:lineRule="exact"/>
              <w:rPr>
                <w:sz w:val="20"/>
                <w:szCs w:val="20"/>
                <w:color w:val="auto"/>
              </w:rPr>
            </w:pPr>
            <w:r>
              <w:rPr>
                <w:rFonts w:ascii="Arial" w:cs="Arial" w:eastAsia="Arial" w:hAnsi="Arial"/>
                <w:sz w:val="16"/>
                <w:szCs w:val="16"/>
                <w:color w:val="auto"/>
              </w:rPr>
              <w:t>Cash paid, net of cash acquired</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176"/>
        </w:trPr>
        <w:tc>
          <w:tcPr>
            <w:tcW w:w="8860" w:type="dxa"/>
            <w:vAlign w:val="bottom"/>
          </w:tcPr>
          <w:p>
            <w:pPr>
              <w:ind w:left="320"/>
              <w:spacing w:after="0" w:line="176" w:lineRule="exact"/>
              <w:rPr>
                <w:sz w:val="20"/>
                <w:szCs w:val="20"/>
                <w:color w:val="auto"/>
              </w:rPr>
            </w:pPr>
            <w:r>
              <w:rPr>
                <w:rFonts w:ascii="Arial" w:cs="Arial" w:eastAsia="Arial" w:hAnsi="Arial"/>
                <w:sz w:val="16"/>
                <w:szCs w:val="16"/>
                <w:color w:val="auto"/>
              </w:rPr>
              <w:t>Fair value of equity method investments immediately prior to the acquisition</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176"/>
        </w:trPr>
        <w:tc>
          <w:tcPr>
            <w:tcW w:w="8860" w:type="dxa"/>
            <w:vAlign w:val="bottom"/>
          </w:tcPr>
          <w:p>
            <w:pPr>
              <w:ind w:left="320"/>
              <w:spacing w:after="0" w:line="176" w:lineRule="exact"/>
              <w:rPr>
                <w:sz w:val="20"/>
                <w:szCs w:val="20"/>
                <w:color w:val="auto"/>
              </w:rPr>
            </w:pPr>
            <w:r>
              <w:rPr>
                <w:rFonts w:ascii="Arial" w:cs="Arial" w:eastAsia="Arial" w:hAnsi="Arial"/>
                <w:sz w:val="16"/>
                <w:szCs w:val="16"/>
                <w:color w:val="auto"/>
              </w:rPr>
              <w:t>Fair value of noncontrolling interests</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94"/>
        </w:trPr>
        <w:tc>
          <w:tcPr>
            <w:tcW w:w="8860" w:type="dxa"/>
            <w:vAlign w:val="bottom"/>
          </w:tcPr>
          <w:p>
            <w:pPr>
              <w:ind w:left="320"/>
              <w:spacing w:after="0"/>
              <w:rPr>
                <w:sz w:val="20"/>
                <w:szCs w:val="20"/>
                <w:color w:val="auto"/>
              </w:rPr>
            </w:pPr>
            <w:r>
              <w:rPr>
                <w:rFonts w:ascii="Arial" w:cs="Arial" w:eastAsia="Arial" w:hAnsi="Arial"/>
                <w:sz w:val="16"/>
                <w:szCs w:val="16"/>
                <w:color w:val="auto"/>
              </w:rPr>
              <w:t>Additional consideration accrued</w:t>
            </w:r>
          </w:p>
        </w:tc>
        <w:tc>
          <w:tcPr>
            <w:tcW w:w="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3"/>
        </w:trPr>
        <w:tc>
          <w:tcPr>
            <w:tcW w:w="8860" w:type="dxa"/>
            <w:vAlign w:val="bottom"/>
          </w:tcPr>
          <w:p>
            <w:pPr>
              <w:ind w:left="320"/>
              <w:spacing w:after="0" w:line="176" w:lineRule="exact"/>
              <w:rPr>
                <w:sz w:val="20"/>
                <w:szCs w:val="20"/>
                <w:color w:val="auto"/>
              </w:rPr>
            </w:pPr>
            <w:r>
              <w:rPr>
                <w:rFonts w:ascii="Arial" w:cs="Arial" w:eastAsia="Arial" w:hAnsi="Arial"/>
                <w:sz w:val="16"/>
                <w:szCs w:val="16"/>
                <w:color w:val="auto"/>
              </w:rPr>
              <w:t>Liabilities assumed</w:t>
            </w: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340"/>
        </w:trPr>
        <w:tc>
          <w:tcPr>
            <w:tcW w:w="886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860" w:type="dxa"/>
            <w:vAlign w:val="bottom"/>
            <w:gridSpan w:val="2"/>
          </w:tcPr>
          <w:p>
            <w:pPr>
              <w:jc w:val="right"/>
              <w:ind w:right="686"/>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354</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95"/>
        </w:trPr>
        <w:tc>
          <w:tcPr>
            <w:tcW w:w="886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149</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1"/>
        </w:trPr>
        <w:tc>
          <w:tcPr>
            <w:tcW w:w="482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gridSpan w:val="2"/>
          </w:tcPr>
          <w:p>
            <w:pPr>
              <w:jc w:val="right"/>
              <w:ind w:right="4"/>
              <w:spacing w:after="0"/>
              <w:rPr>
                <w:sz w:val="20"/>
                <w:szCs w:val="20"/>
                <w:color w:val="auto"/>
              </w:rPr>
            </w:pPr>
            <w:r>
              <w:rPr>
                <w:rFonts w:ascii="Arial" w:cs="Arial" w:eastAsia="Arial" w:hAnsi="Arial"/>
                <w:sz w:val="14"/>
                <w:szCs w:val="14"/>
                <w:color w:val="auto"/>
              </w:rPr>
              <w:t>(unaudited)</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180"/>
              <w:spacing w:after="0" w:line="176" w:lineRule="exact"/>
              <w:rPr>
                <w:sz w:val="20"/>
                <w:szCs w:val="20"/>
                <w:color w:val="auto"/>
              </w:rPr>
            </w:pPr>
            <w:r>
              <w:rPr>
                <w:rFonts w:ascii="Arial" w:cs="Arial" w:eastAsia="Arial" w:hAnsi="Arial"/>
                <w:sz w:val="16"/>
                <w:szCs w:val="16"/>
                <w:color w:val="auto"/>
              </w:rPr>
              <w:t>Electric</w:t>
            </w:r>
          </w:p>
        </w:tc>
        <w:tc>
          <w:tcPr>
            <w:tcW w:w="1880" w:type="dxa"/>
            <w:vAlign w:val="bottom"/>
            <w:gridSpan w:val="2"/>
          </w:tcPr>
          <w:p>
            <w:pPr>
              <w:jc w:val="right"/>
              <w:ind w:right="806"/>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680</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583</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1,351</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194"/>
        </w:trPr>
        <w:tc>
          <w:tcPr>
            <w:tcW w:w="482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183"/>
        </w:trPr>
        <w:tc>
          <w:tcPr>
            <w:tcW w:w="4820" w:type="dxa"/>
            <w:vAlign w:val="bottom"/>
          </w:tcPr>
          <w:p>
            <w:pPr>
              <w:ind w:left="360"/>
              <w:spacing w:after="0" w:line="176" w:lineRule="exact"/>
              <w:rPr>
                <w:sz w:val="20"/>
                <w:szCs w:val="20"/>
                <w:color w:val="auto"/>
              </w:rPr>
            </w:pPr>
            <w:r>
              <w:rPr>
                <w:rFonts w:ascii="Arial" w:cs="Arial" w:eastAsia="Arial" w:hAnsi="Arial"/>
                <w:sz w:val="16"/>
                <w:szCs w:val="16"/>
                <w:color w:val="auto"/>
              </w:rPr>
              <w:t>Total operating revenues</w:t>
            </w:r>
          </w:p>
        </w:tc>
        <w:tc>
          <w:tcPr>
            <w:tcW w:w="9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780</w:t>
            </w:r>
          </w:p>
        </w:tc>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697</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1,614</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164"/>
        </w:trPr>
        <w:tc>
          <w:tcPr>
            <w:tcW w:w="4820" w:type="dxa"/>
            <w:vAlign w:val="bottom"/>
          </w:tcPr>
          <w:p>
            <w:pPr>
              <w:spacing w:after="0" w:line="164" w:lineRule="exact"/>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180"/>
              <w:spacing w:after="0" w:line="176" w:lineRule="exact"/>
              <w:rPr>
                <w:sz w:val="20"/>
                <w:szCs w:val="20"/>
                <w:color w:val="auto"/>
              </w:rPr>
            </w:pPr>
            <w:r>
              <w:rPr>
                <w:rFonts w:ascii="Arial" w:cs="Arial" w:eastAsia="Arial" w:hAnsi="Arial"/>
                <w:sz w:val="16"/>
                <w:szCs w:val="16"/>
                <w:color w:val="auto"/>
              </w:rPr>
              <w:t>Cost of electric fuel and purchased power</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140</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156</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303</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76"/>
        </w:trPr>
        <w:tc>
          <w:tcPr>
            <w:tcW w:w="4820" w:type="dxa"/>
            <w:vAlign w:val="bottom"/>
          </w:tcPr>
          <w:p>
            <w:pPr>
              <w:ind w:left="180"/>
              <w:spacing w:after="0" w:line="176" w:lineRule="exact"/>
              <w:rPr>
                <w:sz w:val="20"/>
                <w:szCs w:val="20"/>
                <w:color w:val="auto"/>
              </w:rPr>
            </w:pPr>
            <w:r>
              <w:rPr>
                <w:rFonts w:ascii="Arial" w:cs="Arial" w:eastAsia="Arial" w:hAnsi="Arial"/>
                <w:sz w:val="16"/>
                <w:szCs w:val="16"/>
                <w:color w:val="auto"/>
              </w:rPr>
              <w:t>Cost of natural gas</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101</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76"/>
        </w:trPr>
        <w:tc>
          <w:tcPr>
            <w:tcW w:w="4820" w:type="dxa"/>
            <w:vAlign w:val="bottom"/>
          </w:tcPr>
          <w:p>
            <w:pPr>
              <w:ind w:left="180"/>
              <w:spacing w:after="0" w:line="176" w:lineRule="exact"/>
              <w:rPr>
                <w:sz w:val="20"/>
                <w:szCs w:val="20"/>
                <w:color w:val="auto"/>
              </w:rPr>
            </w:pPr>
            <w:r>
              <w:rPr>
                <w:rFonts w:ascii="Arial" w:cs="Arial" w:eastAsia="Arial" w:hAnsi="Arial"/>
                <w:sz w:val="16"/>
                <w:szCs w:val="16"/>
                <w:color w:val="auto"/>
              </w:rPr>
              <w:t>Operation and maintenance</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275</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228</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543</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76"/>
        </w:trPr>
        <w:tc>
          <w:tcPr>
            <w:tcW w:w="4820" w:type="dxa"/>
            <w:vAlign w:val="bottom"/>
          </w:tcPr>
          <w:p>
            <w:pPr>
              <w:ind w:left="180"/>
              <w:spacing w:after="0" w:line="176" w:lineRule="exact"/>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119</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231</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94"/>
        </w:trPr>
        <w:tc>
          <w:tcPr>
            <w:tcW w:w="482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83"/>
        </w:trPr>
        <w:tc>
          <w:tcPr>
            <w:tcW w:w="4820" w:type="dxa"/>
            <w:vAlign w:val="bottom"/>
          </w:tcPr>
          <w:p>
            <w:pPr>
              <w:ind w:left="360"/>
              <w:spacing w:after="0" w:line="176" w:lineRule="exact"/>
              <w:rPr>
                <w:sz w:val="20"/>
                <w:szCs w:val="20"/>
                <w:color w:val="auto"/>
              </w:rPr>
            </w:pPr>
            <w:r>
              <w:rPr>
                <w:rFonts w:ascii="Arial" w:cs="Arial" w:eastAsia="Arial" w:hAnsi="Arial"/>
                <w:sz w:val="16"/>
                <w:szCs w:val="16"/>
                <w:color w:val="auto"/>
              </w:rPr>
              <w:t>Total operating expenses</w:t>
            </w:r>
          </w:p>
        </w:tc>
        <w:tc>
          <w:tcPr>
            <w:tcW w:w="9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611</w:t>
            </w:r>
          </w:p>
        </w:tc>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584</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1,267</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164"/>
        </w:trPr>
        <w:tc>
          <w:tcPr>
            <w:tcW w:w="4820" w:type="dxa"/>
            <w:vAlign w:val="bottom"/>
          </w:tcPr>
          <w:p>
            <w:pPr>
              <w:spacing w:after="0" w:line="164" w:lineRule="exact"/>
              <w:rPr>
                <w:sz w:val="20"/>
                <w:szCs w:val="20"/>
                <w:color w:val="auto"/>
              </w:rPr>
            </w:pPr>
            <w:r>
              <w:rPr>
                <w:rFonts w:ascii="Arial" w:cs="Arial" w:eastAsia="Arial" w:hAnsi="Arial"/>
                <w:sz w:val="16"/>
                <w:szCs w:val="16"/>
                <w:color w:val="auto"/>
              </w:rPr>
              <w:t>Operating income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169</w:t>
            </w: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113</w:t>
            </w:r>
          </w:p>
        </w:tc>
        <w:tc>
          <w:tcPr>
            <w:tcW w:w="46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347</w:t>
            </w: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76"/>
        </w:trPr>
        <w:tc>
          <w:tcPr>
            <w:tcW w:w="4820" w:type="dxa"/>
            <w:vAlign w:val="bottom"/>
          </w:tcPr>
          <w:p>
            <w:pPr>
              <w:spacing w:after="0" w:line="176" w:lineRule="exact"/>
              <w:rPr>
                <w:sz w:val="20"/>
                <w:szCs w:val="20"/>
                <w:color w:val="auto"/>
              </w:rPr>
            </w:pPr>
            <w:r>
              <w:rPr>
                <w:rFonts w:ascii="Arial" w:cs="Arial" w:eastAsia="Arial" w:hAnsi="Arial"/>
                <w:sz w:val="16"/>
                <w:szCs w:val="16"/>
                <w:color w:val="auto"/>
              </w:rPr>
              <w:t>Other income, net</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4"/>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64"/>
        </w:trPr>
        <w:tc>
          <w:tcPr>
            <w:tcW w:w="4820" w:type="dxa"/>
            <w:vAlign w:val="bottom"/>
          </w:tcPr>
          <w:p>
            <w:pPr>
              <w:spacing w:after="0" w:line="164" w:lineRule="exact"/>
              <w:rPr>
                <w:sz w:val="20"/>
                <w:szCs w:val="20"/>
                <w:color w:val="auto"/>
              </w:rPr>
            </w:pPr>
            <w:r>
              <w:rPr>
                <w:rFonts w:ascii="Arial" w:cs="Arial" w:eastAsia="Arial" w:hAnsi="Arial"/>
                <w:sz w:val="16"/>
                <w:szCs w:val="16"/>
                <w:color w:val="auto"/>
              </w:rPr>
              <w:t>Income before income taxes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154</w:t>
            </w: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95</w:t>
            </w:r>
          </w:p>
        </w:tc>
        <w:tc>
          <w:tcPr>
            <w:tcW w:w="46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326</w:t>
            </w: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94"/>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64"/>
        </w:trPr>
        <w:tc>
          <w:tcPr>
            <w:tcW w:w="4820" w:type="dxa"/>
            <w:vAlign w:val="bottom"/>
          </w:tcPr>
          <w:p>
            <w:pPr>
              <w:spacing w:after="0" w:line="164" w:lineRule="exact"/>
              <w:rPr>
                <w:sz w:val="20"/>
                <w:szCs w:val="20"/>
                <w:color w:val="auto"/>
              </w:rPr>
            </w:pPr>
            <w:r>
              <w:rPr>
                <w:rFonts w:ascii="Arial" w:cs="Arial" w:eastAsia="Arial" w:hAnsi="Arial"/>
                <w:sz w:val="16"/>
                <w:szCs w:val="16"/>
                <w:color w:val="auto"/>
              </w:rPr>
              <w:t>Net income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101</w:t>
            </w: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53</w:t>
            </w:r>
          </w:p>
        </w:tc>
        <w:tc>
          <w:tcPr>
            <w:tcW w:w="46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213</w:t>
            </w: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94"/>
        </w:trPr>
        <w:tc>
          <w:tcPr>
            <w:tcW w:w="482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w:t>
            </w:r>
          </w:p>
        </w:tc>
        <w:tc>
          <w:tcPr>
            <w:tcW w:w="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4"/>
        </w:trPr>
        <w:tc>
          <w:tcPr>
            <w:tcW w:w="4820" w:type="dxa"/>
            <w:vAlign w:val="bottom"/>
          </w:tcPr>
          <w:p>
            <w:pPr>
              <w:spacing w:after="0" w:line="164" w:lineRule="exact"/>
              <w:rPr>
                <w:sz w:val="20"/>
                <w:szCs w:val="20"/>
                <w:color w:val="auto"/>
              </w:rPr>
            </w:pPr>
            <w:r>
              <w:rPr>
                <w:rFonts w:ascii="Arial" w:cs="Arial" w:eastAsia="Arial" w:hAnsi="Arial"/>
                <w:sz w:val="16"/>
                <w:szCs w:val="16"/>
                <w:color w:val="auto"/>
              </w:rPr>
              <w:t>Earnings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96</w:t>
            </w: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72</w:t>
            </w:r>
          </w:p>
        </w:tc>
        <w:tc>
          <w:tcPr>
            <w:tcW w:w="46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202</w:t>
            </w: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94"/>
        </w:trPr>
        <w:tc>
          <w:tcPr>
            <w:tcW w:w="482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20"/>
                <w:szCs w:val="20"/>
                <w:color w:val="auto"/>
              </w:rPr>
            </w:pPr>
            <w:r>
              <w:rPr>
                <w:rFonts w:ascii="Arial" w:cs="Arial" w:eastAsia="Arial" w:hAnsi="Arial"/>
                <w:sz w:val="16"/>
                <w:szCs w:val="16"/>
                <w:color w:val="auto"/>
              </w:rPr>
              <w:t>Earnings attributable to common shares</w:t>
            </w:r>
          </w:p>
        </w:tc>
        <w:tc>
          <w:tcPr>
            <w:tcW w:w="920" w:type="dxa"/>
            <w:vAlign w:val="bottom"/>
          </w:tcPr>
          <w:p>
            <w:pPr>
              <w:spacing w:after="0"/>
              <w:rPr>
                <w:sz w:val="16"/>
                <w:szCs w:val="16"/>
                <w:color w:val="auto"/>
              </w:rPr>
            </w:pP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95</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71</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200</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right="5500"/>
        <w:spacing w:after="0" w:line="230"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6"/>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right="121"/>
              <w:spacing w:after="0" w:line="159" w:lineRule="exact"/>
              <w:rPr>
                <w:sz w:val="20"/>
                <w:szCs w:val="20"/>
                <w:color w:val="auto"/>
              </w:rPr>
            </w:pPr>
            <w:r>
              <w:rPr>
                <w:rFonts w:ascii="Arial" w:cs="Arial" w:eastAsia="Arial" w:hAnsi="Arial"/>
                <w:sz w:val="14"/>
                <w:szCs w:val="14"/>
                <w:color w:val="auto"/>
              </w:rPr>
              <w:t>Three months ended June 30,</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left="563"/>
              <w:spacing w:after="0"/>
              <w:rPr>
                <w:sz w:val="20"/>
                <w:szCs w:val="20"/>
                <w:color w:val="auto"/>
              </w:rPr>
            </w:pPr>
            <w:r>
              <w:rPr>
                <w:rFonts w:ascii="Arial" w:cs="Arial" w:eastAsia="Arial" w:hAnsi="Arial"/>
                <w:sz w:val="14"/>
                <w:szCs w:val="14"/>
                <w:color w:val="auto"/>
              </w:rPr>
              <w:t>(unaudited)</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124"/>
              <w:spacing w:after="0"/>
              <w:rPr>
                <w:sz w:val="20"/>
                <w:szCs w:val="20"/>
                <w:color w:val="auto"/>
              </w:rPr>
            </w:pPr>
            <w:r>
              <w:rPr>
                <w:rFonts w:ascii="Arial" w:cs="Arial" w:eastAsia="Arial" w:hAnsi="Arial"/>
                <w:sz w:val="14"/>
                <w:szCs w:val="14"/>
                <w:color w:val="auto"/>
              </w:rPr>
              <w:t>Non-</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color w:val="auto"/>
              </w:rPr>
              <w:t>controlling</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124"/>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SDG&amp;E</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color w:val="auto"/>
              </w:rPr>
              <w:t>Interest</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w w:val="97"/>
              </w:rPr>
              <w:t>SDG&amp;E</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color w:val="auto"/>
              </w:rPr>
              <w:t>Interest</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4660" w:type="dxa"/>
            <w:vAlign w:val="bottom"/>
          </w:tcPr>
          <w:p>
            <w:pPr>
              <w:spacing w:after="0" w:line="176" w:lineRule="exact"/>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96</w:t>
            </w: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
              <w:spacing w:after="0" w:line="176" w:lineRule="exact"/>
              <w:rPr>
                <w:sz w:val="20"/>
                <w:szCs w:val="20"/>
                <w:color w:val="auto"/>
              </w:rPr>
            </w:pPr>
            <w:r>
              <w:rPr>
                <w:rFonts w:ascii="Arial" w:cs="Arial" w:eastAsia="Arial" w:hAnsi="Arial"/>
                <w:sz w:val="16"/>
                <w:szCs w:val="16"/>
                <w:color w:val="auto"/>
              </w:rPr>
              <w:t>5</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03"/>
              <w:spacing w:after="0" w:line="176" w:lineRule="exact"/>
              <w:rPr>
                <w:sz w:val="20"/>
                <w:szCs w:val="20"/>
                <w:color w:val="auto"/>
              </w:rPr>
            </w:pPr>
            <w:r>
              <w:rPr>
                <w:rFonts w:ascii="Arial" w:cs="Arial" w:eastAsia="Arial" w:hAnsi="Arial"/>
                <w:sz w:val="16"/>
                <w:szCs w:val="16"/>
                <w:color w:val="auto"/>
              </w:rPr>
              <w:t>101</w:t>
            </w:r>
          </w:p>
        </w:tc>
        <w:tc>
          <w:tcPr>
            <w:tcW w:w="38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72</w:t>
            </w: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w:t>
            </w:r>
          </w:p>
        </w:tc>
        <w:tc>
          <w:tcPr>
            <w:tcW w:w="26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5"/>
                <w:szCs w:val="15"/>
                <w:color w:val="auto"/>
              </w:rPr>
            </w:pPr>
          </w:p>
        </w:tc>
        <w:tc>
          <w:tcPr>
            <w:tcW w:w="1020" w:type="dxa"/>
            <w:vAlign w:val="bottom"/>
            <w:vMerge w:val="restart"/>
          </w:tcPr>
          <w:p>
            <w:pPr>
              <w:jc w:val="right"/>
              <w:ind w:right="63"/>
              <w:spacing w:after="0"/>
              <w:rPr>
                <w:sz w:val="20"/>
                <w:szCs w:val="20"/>
                <w:color w:val="auto"/>
              </w:rPr>
            </w:pPr>
            <w:r>
              <w:rPr>
                <w:rFonts w:ascii="Arial" w:cs="Arial" w:eastAsia="Arial" w:hAnsi="Arial"/>
                <w:sz w:val="16"/>
                <w:szCs w:val="16"/>
                <w:color w:val="auto"/>
              </w:rPr>
              <w:t>(9)</w:t>
            </w: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5"/>
        </w:trPr>
        <w:tc>
          <w:tcPr>
            <w:tcW w:w="4660" w:type="dxa"/>
            <w:vAlign w:val="bottom"/>
          </w:tcPr>
          <w:p>
            <w:pPr>
              <w:ind w:left="180"/>
              <w:spacing w:after="0" w:line="168" w:lineRule="exact"/>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tcPr>
          <w:p>
            <w:pPr>
              <w:spacing w:after="0" w:line="176" w:lineRule="exact"/>
              <w:rPr>
                <w:sz w:val="20"/>
                <w:szCs w:val="20"/>
                <w:color w:val="auto"/>
              </w:rPr>
            </w:pPr>
            <w:r>
              <w:rPr>
                <w:rFonts w:ascii="Arial" w:cs="Arial" w:eastAsia="Arial" w:hAnsi="Arial"/>
                <w:sz w:val="16"/>
                <w:szCs w:val="16"/>
                <w:color w:val="auto"/>
              </w:rPr>
              <w:t>Total other comprehensive loss</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3"/>
              <w:spacing w:after="0" w:line="176" w:lineRule="exact"/>
              <w:rPr>
                <w:sz w:val="20"/>
                <w:szCs w:val="20"/>
                <w:color w:val="auto"/>
              </w:rPr>
            </w:pPr>
            <w:r>
              <w:rPr>
                <w:rFonts w:ascii="Arial" w:cs="Arial" w:eastAsia="Arial" w:hAnsi="Arial"/>
                <w:sz w:val="16"/>
                <w:szCs w:val="16"/>
                <w:color w:val="auto"/>
              </w:rPr>
              <w:t>(9)</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comprehensive income (loss)</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96</w:t>
            </w: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03"/>
              <w:spacing w:after="0" w:line="176" w:lineRule="exact"/>
              <w:rPr>
                <w:sz w:val="20"/>
                <w:szCs w:val="20"/>
                <w:color w:val="auto"/>
              </w:rPr>
            </w:pPr>
            <w:r>
              <w:rPr>
                <w:rFonts w:ascii="Arial" w:cs="Arial" w:eastAsia="Arial" w:hAnsi="Arial"/>
                <w:sz w:val="16"/>
                <w:szCs w:val="16"/>
                <w:color w:val="auto"/>
              </w:rPr>
              <w:t>92</w:t>
            </w:r>
          </w:p>
        </w:tc>
        <w:tc>
          <w:tcPr>
            <w:tcW w:w="38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72</w:t>
            </w: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w:t>
            </w:r>
          </w:p>
        </w:tc>
        <w:tc>
          <w:tcPr>
            <w:tcW w:w="26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right="141"/>
              <w:spacing w:after="0"/>
              <w:rPr>
                <w:sz w:val="20"/>
                <w:szCs w:val="20"/>
                <w:color w:val="auto"/>
              </w:rPr>
            </w:pPr>
            <w:r>
              <w:rPr>
                <w:rFonts w:ascii="Arial" w:cs="Arial" w:eastAsia="Arial" w:hAnsi="Arial"/>
                <w:sz w:val="14"/>
                <w:szCs w:val="14"/>
                <w:color w:val="auto"/>
              </w:rPr>
              <w:t>Six months ended June 30,</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left="563"/>
              <w:spacing w:after="0"/>
              <w:rPr>
                <w:sz w:val="20"/>
                <w:szCs w:val="20"/>
                <w:color w:val="auto"/>
              </w:rPr>
            </w:pPr>
            <w:r>
              <w:rPr>
                <w:rFonts w:ascii="Arial" w:cs="Arial" w:eastAsia="Arial" w:hAnsi="Arial"/>
                <w:sz w:val="14"/>
                <w:szCs w:val="14"/>
                <w:color w:val="auto"/>
              </w:rPr>
              <w:t>(unaudited)</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124"/>
              <w:spacing w:after="0"/>
              <w:rPr>
                <w:sz w:val="20"/>
                <w:szCs w:val="20"/>
                <w:color w:val="auto"/>
              </w:rPr>
            </w:pPr>
            <w:r>
              <w:rPr>
                <w:rFonts w:ascii="Arial" w:cs="Arial" w:eastAsia="Arial" w:hAnsi="Arial"/>
                <w:sz w:val="14"/>
                <w:szCs w:val="14"/>
                <w:color w:val="auto"/>
              </w:rPr>
              <w:t>Non-</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color w:val="auto"/>
              </w:rPr>
              <w:t>controlling</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124"/>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SDG&amp;E</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color w:val="auto"/>
              </w:rPr>
              <w:t>Interest</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w w:val="97"/>
              </w:rPr>
              <w:t>SDG&amp;E</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color w:val="auto"/>
              </w:rPr>
              <w:t>Interest</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4660" w:type="dxa"/>
            <w:vAlign w:val="bottom"/>
          </w:tcPr>
          <w:p>
            <w:pPr>
              <w:spacing w:after="0" w:line="176" w:lineRule="exact"/>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202</w:t>
            </w: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
              <w:spacing w:after="0" w:line="176" w:lineRule="exact"/>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03"/>
              <w:spacing w:after="0" w:line="176" w:lineRule="exact"/>
              <w:rPr>
                <w:sz w:val="20"/>
                <w:szCs w:val="20"/>
                <w:color w:val="auto"/>
              </w:rPr>
            </w:pPr>
            <w:r>
              <w:rPr>
                <w:rFonts w:ascii="Arial" w:cs="Arial" w:eastAsia="Arial" w:hAnsi="Arial"/>
                <w:sz w:val="16"/>
                <w:szCs w:val="16"/>
                <w:color w:val="auto"/>
              </w:rPr>
              <w:t>213</w:t>
            </w:r>
          </w:p>
        </w:tc>
        <w:tc>
          <w:tcPr>
            <w:tcW w:w="38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162</w:t>
            </w: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5"/>
                <w:szCs w:val="15"/>
                <w:color w:val="auto"/>
              </w:rPr>
            </w:pPr>
          </w:p>
        </w:tc>
        <w:tc>
          <w:tcPr>
            <w:tcW w:w="1020" w:type="dxa"/>
            <w:vAlign w:val="bottom"/>
            <w:vMerge w:val="restart"/>
          </w:tcPr>
          <w:p>
            <w:pPr>
              <w:jc w:val="right"/>
              <w:ind w:right="63"/>
              <w:spacing w:after="0"/>
              <w:rPr>
                <w:sz w:val="20"/>
                <w:szCs w:val="20"/>
                <w:color w:val="auto"/>
              </w:rPr>
            </w:pPr>
            <w:r>
              <w:rPr>
                <w:rFonts w:ascii="Arial" w:cs="Arial" w:eastAsia="Arial" w:hAnsi="Arial"/>
                <w:sz w:val="16"/>
                <w:szCs w:val="16"/>
                <w:color w:val="auto"/>
              </w:rPr>
              <w:t>(9)</w:t>
            </w: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5"/>
        </w:trPr>
        <w:tc>
          <w:tcPr>
            <w:tcW w:w="4660" w:type="dxa"/>
            <w:vAlign w:val="bottom"/>
          </w:tcPr>
          <w:p>
            <w:pPr>
              <w:ind w:left="180"/>
              <w:spacing w:after="0" w:line="168" w:lineRule="exact"/>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094"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20"/>
                <w:szCs w:val="20"/>
                <w:color w:val="auto"/>
              </w:rPr>
            </w:pPr>
            <w:r>
              <w:rPr>
                <w:rFonts w:ascii="Arial" w:cs="Arial" w:eastAsia="Arial" w:hAnsi="Arial"/>
                <w:sz w:val="16"/>
                <w:szCs w:val="16"/>
                <w:color w:val="auto"/>
              </w:rPr>
              <w:t>Total other comprehensive loss</w:t>
            </w: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w:t>
            </w: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195"/>
        </w:trPr>
        <w:tc>
          <w:tcPr>
            <w:tcW w:w="4660" w:type="dxa"/>
            <w:vAlign w:val="bottom"/>
          </w:tcPr>
          <w:p>
            <w:pPr>
              <w:spacing w:after="0"/>
              <w:rPr>
                <w:sz w:val="20"/>
                <w:szCs w:val="20"/>
                <w:color w:val="auto"/>
              </w:rPr>
            </w:pPr>
            <w:r>
              <w:rPr>
                <w:rFonts w:ascii="Arial" w:cs="Arial" w:eastAsia="Arial" w:hAnsi="Arial"/>
                <w:sz w:val="16"/>
                <w:szCs w:val="16"/>
                <w:color w:val="auto"/>
              </w:rPr>
              <w:t>Total comprehensive income (loss)</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202</w:t>
            </w:r>
          </w:p>
        </w:tc>
        <w:tc>
          <w:tcPr>
            <w:tcW w:w="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204</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162</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18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2011(1)</w:t>
            </w:r>
          </w:p>
        </w:tc>
        <w:tc>
          <w:tcPr>
            <w:tcW w:w="0" w:type="dxa"/>
            <w:vAlign w:val="bottom"/>
          </w:tcPr>
          <w:p>
            <w:pPr>
              <w:spacing w:after="0"/>
              <w:rPr>
                <w:sz w:val="1"/>
                <w:szCs w:val="1"/>
                <w:color w:val="auto"/>
              </w:rPr>
            </w:pPr>
          </w:p>
        </w:tc>
      </w:tr>
      <w:tr>
        <w:trPr>
          <w:trHeight w:val="191"/>
        </w:trPr>
        <w:tc>
          <w:tcPr>
            <w:tcW w:w="858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gridSpan w:val="2"/>
          </w:tcPr>
          <w:p>
            <w:pPr>
              <w:spacing w:after="0" w:line="176" w:lineRule="exact"/>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76"/>
        </w:trPr>
        <w:tc>
          <w:tcPr>
            <w:tcW w:w="858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Accounts receivable – trade,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229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76"/>
        </w:trPr>
        <w:tc>
          <w:tcPr>
            <w:tcW w:w="858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Accounts receivable – other,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233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balancing accounts,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Settlement receivable related to wildfire litigation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868</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367"/>
        </w:trPr>
        <w:tc>
          <w:tcPr>
            <w:tcW w:w="858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taxes recoverable in rates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606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167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299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wildfire litigation costs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668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212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Nuclear decommissioning trusts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847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2,890</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367"/>
        </w:trPr>
        <w:tc>
          <w:tcPr>
            <w:tcW w:w="858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13,648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13,003</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Less accumulated depreciation and amortization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(3,110)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Property, plant and equipment, net ($482 and $494 at June 30, 2012 and</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10,538</w:t>
            </w: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10,040</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8400" w:type="dxa"/>
            <w:vAlign w:val="bottom"/>
          </w:tcPr>
          <w:p>
            <w:pPr>
              <w:ind w:left="360"/>
              <w:spacing w:after="0" w:line="160" w:lineRule="exact"/>
              <w:rPr>
                <w:sz w:val="20"/>
                <w:szCs w:val="20"/>
                <w:color w:val="auto"/>
              </w:rPr>
            </w:pPr>
            <w:r>
              <w:rPr>
                <w:rFonts w:ascii="Arial" w:cs="Arial" w:eastAsia="Arial" w:hAnsi="Arial"/>
                <w:sz w:val="16"/>
                <w:szCs w:val="16"/>
                <w:color w:val="auto"/>
              </w:rPr>
              <w:t>December 31, 2011, respectively, related to VIE)</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5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14,296</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13,555</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8400" w:type="dxa"/>
            <w:vAlign w:val="bottom"/>
          </w:tcPr>
          <w:p>
            <w:pPr>
              <w:ind w:left="320"/>
              <w:spacing w:after="0"/>
              <w:rPr>
                <w:sz w:val="20"/>
                <w:szCs w:val="20"/>
                <w:color w:val="auto"/>
              </w:rPr>
            </w:pPr>
            <w:r>
              <w:rPr>
                <w:rFonts w:ascii="Arial" w:cs="Arial" w:eastAsia="Arial" w:hAnsi="Arial"/>
                <w:sz w:val="14"/>
                <w:szCs w:val="14"/>
                <w:i w:val="1"/>
                <w:iCs w:val="1"/>
                <w:color w:val="auto"/>
              </w:rPr>
              <w:t>Derived from audited financial statements.</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color w:val="auto"/>
              </w:rPr>
              <w:t>June 30,</w:t>
            </w:r>
          </w:p>
        </w:tc>
        <w:tc>
          <w:tcPr>
            <w:tcW w:w="20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8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2011(1)</w:t>
            </w:r>
          </w:p>
        </w:tc>
        <w:tc>
          <w:tcPr>
            <w:tcW w:w="0" w:type="dxa"/>
            <w:vAlign w:val="bottom"/>
          </w:tcPr>
          <w:p>
            <w:pPr>
              <w:spacing w:after="0"/>
              <w:rPr>
                <w:sz w:val="1"/>
                <w:szCs w:val="1"/>
                <w:color w:val="auto"/>
              </w:rPr>
            </w:pPr>
          </w:p>
        </w:tc>
      </w:tr>
      <w:tr>
        <w:trPr>
          <w:trHeight w:val="191"/>
        </w:trPr>
        <w:tc>
          <w:tcPr>
            <w:tcW w:w="8580" w:type="dxa"/>
            <w:vAlign w:val="bottom"/>
            <w:vMerge w:val="restart"/>
          </w:tcPr>
          <w:p>
            <w:pPr>
              <w:spacing w:after="0"/>
              <w:rPr>
                <w:sz w:val="20"/>
                <w:szCs w:val="20"/>
                <w:color w:val="auto"/>
              </w:rPr>
            </w:pPr>
            <w:r>
              <w:rPr>
                <w:rFonts w:ascii="Arial" w:cs="Arial" w:eastAsia="Arial" w:hAnsi="Arial"/>
                <w:sz w:val="16"/>
                <w:szCs w:val="16"/>
                <w:color w:val="auto"/>
              </w:rPr>
              <w:t>LIABILITIES AND EQUITY</w:t>
            </w:r>
          </w:p>
        </w:tc>
        <w:tc>
          <w:tcPr>
            <w:tcW w:w="200" w:type="dxa"/>
            <w:vAlign w:val="bottom"/>
          </w:tcPr>
          <w:p>
            <w:pPr>
              <w:spacing w:after="0"/>
              <w:rPr>
                <w:sz w:val="16"/>
                <w:szCs w:val="16"/>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tcPr>
          <w:p>
            <w:pPr>
              <w:spacing w:after="0" w:line="176" w:lineRule="exact"/>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Short-term debt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173</w:t>
            </w: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272</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Due to unconsolidated affiliates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3"/>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74</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58</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Reserve for wildfire litigation</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305</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1,167</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164"/>
        </w:trPr>
        <w:tc>
          <w:tcPr>
            <w:tcW w:w="8580" w:type="dxa"/>
            <w:vAlign w:val="bottom"/>
          </w:tcPr>
          <w:p>
            <w:pPr>
              <w:spacing w:after="0" w:line="164" w:lineRule="exact"/>
              <w:rPr>
                <w:sz w:val="20"/>
                <w:szCs w:val="20"/>
                <w:color w:val="auto"/>
              </w:rPr>
            </w:pPr>
            <w:r>
              <w:rPr>
                <w:rFonts w:ascii="Arial" w:cs="Arial" w:eastAsia="Arial" w:hAnsi="Arial"/>
                <w:sz w:val="16"/>
                <w:szCs w:val="16"/>
                <w:color w:val="auto"/>
              </w:rPr>
              <w:t>Long-term debt ($340 and $345 at June 30, 2012 and December 31, 2011,</w:t>
            </w: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4,298</w:t>
            </w:r>
          </w:p>
        </w:tc>
        <w:tc>
          <w:tcPr>
            <w:tcW w:w="2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4,058</w:t>
            </w:r>
          </w:p>
        </w:tc>
        <w:tc>
          <w:tcPr>
            <w:tcW w:w="0" w:type="dxa"/>
            <w:vAlign w:val="bottom"/>
          </w:tcPr>
          <w:p>
            <w:pPr>
              <w:spacing w:after="0"/>
              <w:rPr>
                <w:sz w:val="1"/>
                <w:szCs w:val="1"/>
                <w:color w:val="auto"/>
              </w:rPr>
            </w:pPr>
          </w:p>
        </w:tc>
      </w:tr>
      <w:tr>
        <w:trPr>
          <w:trHeight w:val="167"/>
        </w:trPr>
        <w:tc>
          <w:tcPr>
            <w:tcW w:w="8580" w:type="dxa"/>
            <w:vAlign w:val="bottom"/>
          </w:tcPr>
          <w:p>
            <w:pPr>
              <w:ind w:left="180"/>
              <w:spacing w:after="0" w:line="160" w:lineRule="exact"/>
              <w:rPr>
                <w:sz w:val="20"/>
                <w:szCs w:val="20"/>
                <w:color w:val="auto"/>
              </w:rPr>
            </w:pPr>
            <w:r>
              <w:rPr>
                <w:rFonts w:ascii="Arial" w:cs="Arial" w:eastAsia="Arial" w:hAnsi="Arial"/>
                <w:sz w:val="16"/>
                <w:szCs w:val="16"/>
                <w:color w:val="auto"/>
              </w:rPr>
              <w:t>respectively, related to VIE)</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Customer advances for construction</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334</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1,399</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investment tax credits</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liabilities arising from removal obligations</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1,518</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714</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229</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Reserve for wildfire litigation</w:t>
            </w:r>
          </w:p>
        </w:tc>
        <w:tc>
          <w:tcPr>
            <w:tcW w:w="2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171</w:t>
            </w:r>
          </w:p>
        </w:tc>
        <w:tc>
          <w:tcPr>
            <w:tcW w:w="2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4,710</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183"/>
        </w:trPr>
        <w:tc>
          <w:tcPr>
            <w:tcW w:w="8580" w:type="dxa"/>
            <w:vAlign w:val="bottom"/>
          </w:tcPr>
          <w:p>
            <w:pPr>
              <w:spacing w:after="0" w:line="176" w:lineRule="exact"/>
              <w:rPr>
                <w:sz w:val="20"/>
                <w:szCs w:val="20"/>
                <w:color w:val="auto"/>
              </w:rPr>
            </w:pPr>
            <w:r>
              <w:rPr>
                <w:rFonts w:ascii="Arial" w:cs="Arial" w:eastAsia="Arial" w:hAnsi="Arial"/>
                <w:sz w:val="16"/>
                <w:szCs w:val="16"/>
                <w:color w:val="auto"/>
              </w:rPr>
              <w:t>Contingently redeemable preferred stock</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8"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59"/>
        </w:trPr>
        <w:tc>
          <w:tcPr>
            <w:tcW w:w="8580" w:type="dxa"/>
            <w:vAlign w:val="bottom"/>
          </w:tcPr>
          <w:p>
            <w:pPr>
              <w:spacing w:after="0"/>
              <w:rPr>
                <w:sz w:val="20"/>
                <w:szCs w:val="20"/>
                <w:color w:val="auto"/>
              </w:rPr>
            </w:pPr>
            <w:r>
              <w:rPr>
                <w:rFonts w:ascii="Arial" w:cs="Arial" w:eastAsia="Arial" w:hAnsi="Arial"/>
                <w:sz w:val="16"/>
                <w:szCs w:val="16"/>
                <w:color w:val="auto"/>
              </w:rPr>
              <w:t>Equity:</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Common stock (255 million shares authorized; 117 million shares outstanding;</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no par value)</w:t>
            </w:r>
          </w:p>
        </w:tc>
        <w:tc>
          <w:tcPr>
            <w:tcW w:w="48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1,338</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1,338</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Retained earnings</w:t>
            </w:r>
          </w:p>
        </w:tc>
        <w:tc>
          <w:tcPr>
            <w:tcW w:w="48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2,611</w:t>
            </w:r>
          </w:p>
        </w:tc>
        <w:tc>
          <w:tcPr>
            <w:tcW w:w="5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2,411</w:t>
            </w: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64"/>
        </w:trPr>
        <w:tc>
          <w:tcPr>
            <w:tcW w:w="8580" w:type="dxa"/>
            <w:vAlign w:val="bottom"/>
          </w:tcPr>
          <w:p>
            <w:pPr>
              <w:ind w:left="360"/>
              <w:spacing w:after="0" w:line="164" w:lineRule="exact"/>
              <w:rPr>
                <w:sz w:val="20"/>
                <w:szCs w:val="20"/>
                <w:color w:val="auto"/>
              </w:rPr>
            </w:pPr>
            <w:r>
              <w:rPr>
                <w:rFonts w:ascii="Arial" w:cs="Arial" w:eastAsia="Arial" w:hAnsi="Arial"/>
                <w:sz w:val="16"/>
                <w:szCs w:val="16"/>
                <w:color w:val="auto"/>
              </w:rPr>
              <w:t>Total SDG&amp;E shareholder's equity</w:t>
            </w:r>
          </w:p>
        </w:tc>
        <w:tc>
          <w:tcPr>
            <w:tcW w:w="480" w:type="dxa"/>
            <w:vAlign w:val="bottom"/>
          </w:tcPr>
          <w:p>
            <w:pPr>
              <w:spacing w:after="0"/>
              <w:rPr>
                <w:sz w:val="14"/>
                <w:szCs w:val="14"/>
                <w:color w:val="auto"/>
              </w:rPr>
            </w:pPr>
          </w:p>
        </w:tc>
        <w:tc>
          <w:tcPr>
            <w:tcW w:w="920" w:type="dxa"/>
            <w:vAlign w:val="bottom"/>
          </w:tcPr>
          <w:p>
            <w:pPr>
              <w:jc w:val="right"/>
              <w:spacing w:after="0" w:line="164" w:lineRule="exact"/>
              <w:rPr>
                <w:sz w:val="20"/>
                <w:szCs w:val="20"/>
                <w:color w:val="auto"/>
              </w:rPr>
            </w:pPr>
            <w:r>
              <w:rPr>
                <w:rFonts w:ascii="Arial" w:cs="Arial" w:eastAsia="Arial" w:hAnsi="Arial"/>
                <w:sz w:val="16"/>
                <w:szCs w:val="16"/>
                <w:color w:val="auto"/>
              </w:rPr>
              <w:t>3,939</w:t>
            </w:r>
          </w:p>
        </w:tc>
        <w:tc>
          <w:tcPr>
            <w:tcW w:w="50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Arial" w:cs="Arial" w:eastAsia="Arial" w:hAnsi="Arial"/>
                <w:sz w:val="16"/>
                <w:szCs w:val="16"/>
                <w:color w:val="auto"/>
              </w:rPr>
              <w:t>3,739</w:t>
            </w: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equity</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4,042</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3,841</w:t>
            </w:r>
          </w:p>
        </w:tc>
      </w:tr>
      <w:tr>
        <w:trPr>
          <w:trHeight w:val="183"/>
        </w:trPr>
        <w:tc>
          <w:tcPr>
            <w:tcW w:w="85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liabilities and equity</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14,296</w:t>
            </w:r>
          </w:p>
        </w:tc>
        <w:tc>
          <w:tcPr>
            <w:tcW w:w="500" w:type="dxa"/>
            <w:vAlign w:val="bottom"/>
            <w:tcBorders>
              <w:bottom w:val="single" w:sz="8" w:color="auto"/>
            </w:tcBorders>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13,555</w:t>
            </w:r>
          </w:p>
        </w:tc>
      </w:tr>
    </w:tbl>
    <w:p>
      <w:pPr>
        <w:spacing w:after="0" w:line="4"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left="440"/>
              <w:spacing w:after="0"/>
              <w:rPr>
                <w:sz w:val="20"/>
                <w:szCs w:val="20"/>
                <w:color w:val="auto"/>
              </w:rPr>
            </w:pPr>
            <w:r>
              <w:rPr>
                <w:rFonts w:ascii="Arial" w:cs="Arial" w:eastAsia="Arial" w:hAnsi="Arial"/>
                <w:sz w:val="14"/>
                <w:szCs w:val="14"/>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left="440"/>
              <w:spacing w:after="0" w:line="157" w:lineRule="exact"/>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1"/>
        </w:trPr>
        <w:tc>
          <w:tcPr>
            <w:tcW w:w="854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16"/>
                <w:szCs w:val="16"/>
                <w:color w:val="auto"/>
              </w:rPr>
            </w:pPr>
          </w:p>
        </w:tc>
        <w:tc>
          <w:tcPr>
            <w:tcW w:w="1680" w:type="dxa"/>
            <w:vAlign w:val="bottom"/>
            <w:gridSpan w:val="2"/>
          </w:tcPr>
          <w:p>
            <w:pPr>
              <w:jc w:val="center"/>
              <w:ind w:left="440"/>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213</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83"/>
        </w:trPr>
        <w:tc>
          <w:tcPr>
            <w:tcW w:w="85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360"/>
              <w:spacing w:after="0" w:line="176" w:lineRule="exact"/>
              <w:rPr>
                <w:sz w:val="20"/>
                <w:szCs w:val="20"/>
                <w:color w:val="auto"/>
              </w:rPr>
            </w:pPr>
            <w:r>
              <w:rPr>
                <w:rFonts w:ascii="Arial" w:cs="Arial" w:eastAsia="Arial" w:hAnsi="Arial"/>
                <w:sz w:val="16"/>
                <w:szCs w:val="16"/>
                <w:color w:val="auto"/>
              </w:rPr>
              <w:t>operating activities: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540"/>
              <w:spacing w:after="0" w:line="176" w:lineRule="exact"/>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231</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76"/>
        </w:trPr>
        <w:tc>
          <w:tcPr>
            <w:tcW w:w="8540" w:type="dxa"/>
            <w:vAlign w:val="bottom"/>
          </w:tcPr>
          <w:p>
            <w:pPr>
              <w:ind w:left="540"/>
              <w:spacing w:after="0" w:line="176" w:lineRule="exact"/>
              <w:rPr>
                <w:sz w:val="20"/>
                <w:szCs w:val="20"/>
                <w:color w:val="auto"/>
              </w:rPr>
            </w:pPr>
            <w:r>
              <w:rPr>
                <w:rFonts w:ascii="Arial" w:cs="Arial" w:eastAsia="Arial" w:hAnsi="Arial"/>
                <w:sz w:val="16"/>
                <w:szCs w:val="16"/>
                <w:color w:val="auto"/>
              </w:rPr>
              <w:t>Deferred income taxes and investment tax credits</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308</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76"/>
        </w:trPr>
        <w:tc>
          <w:tcPr>
            <w:tcW w:w="8540" w:type="dxa"/>
            <w:vAlign w:val="bottom"/>
          </w:tcPr>
          <w:p>
            <w:pPr>
              <w:ind w:left="540"/>
              <w:spacing w:after="0" w:line="176" w:lineRule="exact"/>
              <w:rPr>
                <w:sz w:val="20"/>
                <w:szCs w:val="20"/>
                <w:color w:val="auto"/>
              </w:rPr>
            </w:pPr>
            <w:r>
              <w:rPr>
                <w:rFonts w:ascii="Arial" w:cs="Arial" w:eastAsia="Arial" w:hAnsi="Arial"/>
                <w:sz w:val="16"/>
                <w:szCs w:val="16"/>
                <w:color w:val="auto"/>
              </w:rPr>
              <w:t>Fixed price contracts and other derivatives</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6"/>
        </w:trPr>
        <w:tc>
          <w:tcPr>
            <w:tcW w:w="8540" w:type="dxa"/>
            <w:vAlign w:val="bottom"/>
          </w:tcPr>
          <w:p>
            <w:pPr>
              <w:ind w:left="540"/>
              <w:spacing w:after="0" w:line="176" w:lineRule="exact"/>
              <w:rPr>
                <w:sz w:val="20"/>
                <w:szCs w:val="20"/>
                <w:color w:val="auto"/>
              </w:rPr>
            </w:pPr>
            <w:r>
              <w:rPr>
                <w:rFonts w:ascii="Arial" w:cs="Arial" w:eastAsia="Arial" w:hAnsi="Arial"/>
                <w:sz w:val="16"/>
                <w:szCs w:val="16"/>
                <w:color w:val="auto"/>
              </w:rPr>
              <w:t>Other</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(51)</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Net change in other working capital components</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(438)</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Changes in other assets</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4"/>
        </w:trPr>
        <w:tc>
          <w:tcPr>
            <w:tcW w:w="854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3"/>
        </w:trPr>
        <w:tc>
          <w:tcPr>
            <w:tcW w:w="854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309</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367"/>
        </w:trPr>
        <w:tc>
          <w:tcPr>
            <w:tcW w:w="85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Expenditures for property, plant and equipment</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(729)</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Purchases of nuclear decommissioning trust assets</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(325)</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Proceeds from sales by nuclear decommissioning trusts</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320</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Decrease in restricted cash</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61</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94"/>
        </w:trPr>
        <w:tc>
          <w:tcPr>
            <w:tcW w:w="854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183"/>
        </w:trPr>
        <w:tc>
          <w:tcPr>
            <w:tcW w:w="854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(721)</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367"/>
        </w:trPr>
        <w:tc>
          <w:tcPr>
            <w:tcW w:w="85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Capital contribution</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Preferred dividends paid</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Issuance of long-term debt</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249</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Payments on long-term debt</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Increase in short-term debt, net</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173</w:t>
            </w:r>
          </w:p>
        </w:tc>
        <w:tc>
          <w:tcPr>
            <w:tcW w:w="5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540" w:type="dxa"/>
            <w:vAlign w:val="bottom"/>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54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412</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40"/>
        </w:trPr>
        <w:tc>
          <w:tcPr>
            <w:tcW w:w="8540" w:type="dxa"/>
            <w:vAlign w:val="bottom"/>
          </w:tcPr>
          <w:p>
            <w:pPr>
              <w:spacing w:after="0"/>
              <w:rPr>
                <w:sz w:val="20"/>
                <w:szCs w:val="20"/>
                <w:color w:val="auto"/>
              </w:rPr>
            </w:pPr>
            <w:r>
              <w:rPr>
                <w:rFonts w:ascii="Arial" w:cs="Arial" w:eastAsia="Arial" w:hAnsi="Arial"/>
                <w:sz w:val="16"/>
                <w:szCs w:val="16"/>
                <w:color w:val="auto"/>
              </w:rPr>
              <w:t>Decrease in cash and cash equivalents</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4"/>
        </w:trPr>
        <w:tc>
          <w:tcPr>
            <w:tcW w:w="854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83"/>
        </w:trPr>
        <w:tc>
          <w:tcPr>
            <w:tcW w:w="8540" w:type="dxa"/>
            <w:vAlign w:val="bottom"/>
          </w:tcPr>
          <w:p>
            <w:pPr>
              <w:spacing w:after="0" w:line="176" w:lineRule="exact"/>
              <w:rPr>
                <w:sz w:val="20"/>
                <w:szCs w:val="20"/>
                <w:color w:val="auto"/>
              </w:rPr>
            </w:pPr>
            <w:r>
              <w:rPr>
                <w:rFonts w:ascii="Arial" w:cs="Arial" w:eastAsia="Arial" w:hAnsi="Arial"/>
                <w:sz w:val="16"/>
                <w:szCs w:val="16"/>
                <w:color w:val="auto"/>
              </w:rPr>
              <w:t>Cash and cash equivalents, June 30</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w:t>
            </w:r>
          </w:p>
        </w:tc>
        <w:tc>
          <w:tcPr>
            <w:tcW w:w="520" w:type="dxa"/>
            <w:vAlign w:val="bottom"/>
            <w:tcBorders>
              <w:bottom w:val="single" w:sz="8" w:color="auto"/>
            </w:tcBorders>
          </w:tcPr>
          <w:p>
            <w:pPr>
              <w:jc w:val="right"/>
              <w:ind w:right="339"/>
              <w:spacing w:after="0" w:line="176"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40"/>
        </w:trPr>
        <w:tc>
          <w:tcPr>
            <w:tcW w:w="854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Interest payments, net of amounts capitalized</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69</w:t>
            </w:r>
          </w:p>
        </w:tc>
        <w:tc>
          <w:tcPr>
            <w:tcW w:w="520" w:type="dxa"/>
            <w:vAlign w:val="bottom"/>
          </w:tcPr>
          <w:p>
            <w:pPr>
              <w:jc w:val="right"/>
              <w:ind w:right="339"/>
              <w:spacing w:after="0" w:line="176"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Income tax (refunds) payments, net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2"/>
        </w:trPr>
        <w:tc>
          <w:tcPr>
            <w:tcW w:w="854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Accrued capital expenditures</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108</w:t>
            </w:r>
          </w:p>
        </w:tc>
        <w:tc>
          <w:tcPr>
            <w:tcW w:w="520" w:type="dxa"/>
            <w:vAlign w:val="bottom"/>
          </w:tcPr>
          <w:p>
            <w:pPr>
              <w:jc w:val="right"/>
              <w:ind w:right="339"/>
              <w:spacing w:after="0" w:line="176"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color w:val="auto"/>
              </w:rPr>
              <w:t>Six months ended June 30,</w:t>
            </w:r>
          </w:p>
        </w:tc>
      </w:tr>
      <w:tr>
        <w:trPr>
          <w:trHeight w:val="183"/>
        </w:trPr>
        <w:tc>
          <w:tcPr>
            <w:tcW w:w="40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2011</w:t>
            </w:r>
          </w:p>
        </w:tc>
      </w:tr>
      <w:tr>
        <w:trPr>
          <w:trHeight w:val="191"/>
        </w:trPr>
        <w:tc>
          <w:tcPr>
            <w:tcW w:w="4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43"/>
        </w:trPr>
        <w:tc>
          <w:tcPr>
            <w:tcW w:w="4080" w:type="dxa"/>
            <w:vAlign w:val="bottom"/>
          </w:tcPr>
          <w:p>
            <w:pPr>
              <w:spacing w:after="0"/>
              <w:rPr>
                <w:sz w:val="20"/>
                <w:szCs w:val="20"/>
                <w:color w:val="auto"/>
              </w:rPr>
            </w:pPr>
            <w:r>
              <w:rPr>
                <w:rFonts w:ascii="Arial" w:cs="Arial" w:eastAsia="Arial" w:hAnsi="Arial"/>
                <w:sz w:val="16"/>
                <w:szCs w:val="16"/>
                <w:color w:val="auto"/>
              </w:rPr>
              <w:t>Operating revenues</w:t>
            </w:r>
          </w:p>
        </w:tc>
        <w:tc>
          <w:tcPr>
            <w:tcW w:w="2620" w:type="dxa"/>
            <w:vAlign w:val="bottom"/>
            <w:gridSpan w:val="2"/>
          </w:tcPr>
          <w:p>
            <w:pPr>
              <w:jc w:val="right"/>
              <w:ind w:right="80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720</w:t>
            </w:r>
          </w:p>
        </w:tc>
        <w:tc>
          <w:tcPr>
            <w:tcW w:w="1040" w:type="dxa"/>
            <w:vAlign w:val="bottom"/>
          </w:tcPr>
          <w:p>
            <w:pPr>
              <w:jc w:val="right"/>
              <w:ind w:right="86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876</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1,600</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1,932</w:t>
            </w:r>
          </w:p>
        </w:tc>
      </w:tr>
      <w:tr>
        <w:trPr>
          <w:trHeight w:val="164"/>
        </w:trPr>
        <w:tc>
          <w:tcPr>
            <w:tcW w:w="4080" w:type="dxa"/>
            <w:vAlign w:val="bottom"/>
          </w:tcPr>
          <w:p>
            <w:pPr>
              <w:spacing w:after="0" w:line="164" w:lineRule="exact"/>
              <w:rPr>
                <w:sz w:val="20"/>
                <w:szCs w:val="20"/>
                <w:color w:val="auto"/>
              </w:rPr>
            </w:pPr>
            <w:r>
              <w:rPr>
                <w:rFonts w:ascii="Arial" w:cs="Arial" w:eastAsia="Arial" w:hAnsi="Arial"/>
                <w:sz w:val="16"/>
                <w:szCs w:val="16"/>
                <w:color w:val="auto"/>
              </w:rPr>
              <w:t>Operating expenses</w:t>
            </w:r>
          </w:p>
        </w:tc>
        <w:tc>
          <w:tcPr>
            <w:tcW w:w="16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176"/>
        </w:trPr>
        <w:tc>
          <w:tcPr>
            <w:tcW w:w="4080" w:type="dxa"/>
            <w:vAlign w:val="bottom"/>
          </w:tcPr>
          <w:p>
            <w:pPr>
              <w:ind w:left="180"/>
              <w:spacing w:after="0" w:line="176" w:lineRule="exact"/>
              <w:rPr>
                <w:sz w:val="20"/>
                <w:szCs w:val="20"/>
                <w:color w:val="auto"/>
              </w:rPr>
            </w:pPr>
            <w:r>
              <w:rPr>
                <w:rFonts w:ascii="Arial" w:cs="Arial" w:eastAsia="Arial" w:hAnsi="Arial"/>
                <w:sz w:val="16"/>
                <w:szCs w:val="16"/>
                <w:color w:val="auto"/>
              </w:rPr>
              <w:t>Cost of natural gas</w:t>
            </w:r>
          </w:p>
        </w:tc>
        <w:tc>
          <w:tcPr>
            <w:tcW w:w="1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179</w:t>
            </w:r>
          </w:p>
        </w:tc>
        <w:tc>
          <w:tcPr>
            <w:tcW w:w="10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335</w:t>
            </w:r>
          </w:p>
        </w:tc>
        <w:tc>
          <w:tcPr>
            <w:tcW w:w="4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528</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866</w:t>
            </w:r>
          </w:p>
        </w:tc>
      </w:tr>
      <w:tr>
        <w:trPr>
          <w:trHeight w:val="176"/>
        </w:trPr>
        <w:tc>
          <w:tcPr>
            <w:tcW w:w="4080" w:type="dxa"/>
            <w:vAlign w:val="bottom"/>
          </w:tcPr>
          <w:p>
            <w:pPr>
              <w:ind w:left="180"/>
              <w:spacing w:after="0" w:line="176" w:lineRule="exact"/>
              <w:rPr>
                <w:sz w:val="20"/>
                <w:szCs w:val="20"/>
                <w:color w:val="auto"/>
              </w:rPr>
            </w:pPr>
            <w:r>
              <w:rPr>
                <w:rFonts w:ascii="Arial" w:cs="Arial" w:eastAsia="Arial" w:hAnsi="Arial"/>
                <w:sz w:val="16"/>
                <w:szCs w:val="16"/>
                <w:color w:val="auto"/>
              </w:rPr>
              <w:t>Operation and maintenance</w:t>
            </w:r>
          </w:p>
        </w:tc>
        <w:tc>
          <w:tcPr>
            <w:tcW w:w="1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328</w:t>
            </w:r>
          </w:p>
        </w:tc>
        <w:tc>
          <w:tcPr>
            <w:tcW w:w="10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327</w:t>
            </w:r>
          </w:p>
        </w:tc>
        <w:tc>
          <w:tcPr>
            <w:tcW w:w="4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617</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615</w:t>
            </w:r>
          </w:p>
        </w:tc>
      </w:tr>
      <w:tr>
        <w:trPr>
          <w:trHeight w:val="176"/>
        </w:trPr>
        <w:tc>
          <w:tcPr>
            <w:tcW w:w="4080" w:type="dxa"/>
            <w:vAlign w:val="bottom"/>
          </w:tcPr>
          <w:p>
            <w:pPr>
              <w:ind w:left="180"/>
              <w:spacing w:after="0" w:line="176" w:lineRule="exact"/>
              <w:rPr>
                <w:sz w:val="20"/>
                <w:szCs w:val="20"/>
                <w:color w:val="auto"/>
              </w:rPr>
            </w:pPr>
            <w:r>
              <w:rPr>
                <w:rFonts w:ascii="Arial" w:cs="Arial" w:eastAsia="Arial" w:hAnsi="Arial"/>
                <w:sz w:val="16"/>
                <w:szCs w:val="16"/>
                <w:color w:val="auto"/>
              </w:rPr>
              <w:t>Depreciation and amortization</w:t>
            </w:r>
          </w:p>
        </w:tc>
        <w:tc>
          <w:tcPr>
            <w:tcW w:w="1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90</w:t>
            </w:r>
          </w:p>
        </w:tc>
        <w:tc>
          <w:tcPr>
            <w:tcW w:w="10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82</w:t>
            </w:r>
          </w:p>
        </w:tc>
        <w:tc>
          <w:tcPr>
            <w:tcW w:w="4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177</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163</w:t>
            </w:r>
          </w:p>
        </w:tc>
      </w:tr>
      <w:tr>
        <w:trPr>
          <w:trHeight w:val="194"/>
        </w:trPr>
        <w:tc>
          <w:tcPr>
            <w:tcW w:w="408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16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183"/>
        </w:trPr>
        <w:tc>
          <w:tcPr>
            <w:tcW w:w="4080" w:type="dxa"/>
            <w:vAlign w:val="bottom"/>
          </w:tcPr>
          <w:p>
            <w:pPr>
              <w:ind w:left="360"/>
              <w:spacing w:after="0" w:line="176" w:lineRule="exact"/>
              <w:rPr>
                <w:sz w:val="20"/>
                <w:szCs w:val="20"/>
                <w:color w:val="auto"/>
              </w:rPr>
            </w:pPr>
            <w:r>
              <w:rPr>
                <w:rFonts w:ascii="Arial" w:cs="Arial" w:eastAsia="Arial" w:hAnsi="Arial"/>
                <w:sz w:val="16"/>
                <w:szCs w:val="16"/>
                <w:color w:val="auto"/>
              </w:rPr>
              <w:t>Total operating expenses</w:t>
            </w:r>
          </w:p>
        </w:tc>
        <w:tc>
          <w:tcPr>
            <w:tcW w:w="16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625</w:t>
            </w: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773</w:t>
            </w: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1,386</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1,710</w:t>
            </w:r>
          </w:p>
        </w:tc>
      </w:tr>
      <w:tr>
        <w:trPr>
          <w:trHeight w:val="195"/>
        </w:trPr>
        <w:tc>
          <w:tcPr>
            <w:tcW w:w="4080" w:type="dxa"/>
            <w:vAlign w:val="bottom"/>
          </w:tcPr>
          <w:p>
            <w:pPr>
              <w:spacing w:after="0"/>
              <w:rPr>
                <w:sz w:val="20"/>
                <w:szCs w:val="20"/>
                <w:color w:val="auto"/>
              </w:rPr>
            </w:pPr>
            <w:r>
              <w:rPr>
                <w:rFonts w:ascii="Arial" w:cs="Arial" w:eastAsia="Arial" w:hAnsi="Arial"/>
                <w:sz w:val="16"/>
                <w:szCs w:val="16"/>
                <w:color w:val="auto"/>
              </w:rPr>
              <w:t>Operating income</w:t>
            </w:r>
          </w:p>
        </w:tc>
        <w:tc>
          <w:tcPr>
            <w:tcW w:w="1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95</w:t>
            </w:r>
          </w:p>
        </w:tc>
        <w:tc>
          <w:tcPr>
            <w:tcW w:w="10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103</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222</w:t>
            </w:r>
          </w:p>
        </w:tc>
      </w:tr>
    </w:tbl>
    <w:p>
      <w:pPr>
        <w:sectPr>
          <w:pgSz w:w="11900" w:h="16838" w:orient="portrait"/>
          <w:cols w:equalWidth="0" w:num="1">
            <w:col w:w="11420"/>
          </w:cols>
          <w:pgMar w:left="240" w:top="330"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20"/>
                <w:szCs w:val="20"/>
                <w:color w:val="auto"/>
              </w:rPr>
            </w:pPr>
            <w:r>
              <w:rPr>
                <w:rFonts w:ascii="Arial" w:cs="Arial" w:eastAsia="Arial" w:hAnsi="Arial"/>
                <w:sz w:val="16"/>
                <w:szCs w:val="16"/>
                <w:color w:val="auto"/>
              </w:rPr>
              <w:t>Other income, net</w:t>
            </w: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4"/>
        </w:trPr>
        <w:tc>
          <w:tcPr>
            <w:tcW w:w="4300" w:type="dxa"/>
            <w:vAlign w:val="bottom"/>
          </w:tcPr>
          <w:p>
            <w:pPr>
              <w:spacing w:after="0"/>
              <w:rPr>
                <w:sz w:val="20"/>
                <w:szCs w:val="20"/>
                <w:color w:val="auto"/>
              </w:rPr>
            </w:pPr>
            <w:r>
              <w:rPr>
                <w:rFonts w:ascii="Arial" w:cs="Arial" w:eastAsia="Arial" w:hAnsi="Arial"/>
                <w:sz w:val="16"/>
                <w:szCs w:val="16"/>
                <w:color w:val="auto"/>
              </w:rPr>
              <w:t>Interest expense</w:t>
            </w:r>
          </w:p>
        </w:tc>
        <w:tc>
          <w:tcPr>
            <w:tcW w:w="14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164"/>
        </w:trPr>
        <w:tc>
          <w:tcPr>
            <w:tcW w:w="4300" w:type="dxa"/>
            <w:vAlign w:val="bottom"/>
          </w:tcPr>
          <w:p>
            <w:pPr>
              <w:spacing w:after="0" w:line="164" w:lineRule="exact"/>
              <w:rPr>
                <w:sz w:val="20"/>
                <w:szCs w:val="20"/>
                <w:color w:val="auto"/>
              </w:rPr>
            </w:pPr>
            <w:r>
              <w:rPr>
                <w:rFonts w:ascii="Arial" w:cs="Arial" w:eastAsia="Arial" w:hAnsi="Arial"/>
                <w:sz w:val="16"/>
                <w:szCs w:val="16"/>
                <w:color w:val="auto"/>
              </w:rPr>
              <w:t>Income before income taxes</w:t>
            </w: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82</w:t>
            </w:r>
          </w:p>
        </w:tc>
        <w:tc>
          <w:tcPr>
            <w:tcW w:w="60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Arial" w:cs="Arial" w:eastAsia="Arial" w:hAnsi="Arial"/>
                <w:sz w:val="16"/>
                <w:szCs w:val="16"/>
                <w:color w:val="auto"/>
              </w:rPr>
              <w:t>88</w:t>
            </w:r>
          </w:p>
        </w:tc>
        <w:tc>
          <w:tcPr>
            <w:tcW w:w="60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Arial" w:cs="Arial" w:eastAsia="Arial" w:hAnsi="Arial"/>
                <w:sz w:val="16"/>
                <w:szCs w:val="16"/>
                <w:color w:val="auto"/>
              </w:rPr>
              <w:t>188</w:t>
            </w:r>
          </w:p>
        </w:tc>
        <w:tc>
          <w:tcPr>
            <w:tcW w:w="60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6"/>
                <w:szCs w:val="16"/>
                <w:color w:val="auto"/>
              </w:rPr>
              <w:t>193</w:t>
            </w:r>
          </w:p>
        </w:tc>
      </w:tr>
      <w:tr>
        <w:trPr>
          <w:trHeight w:val="194"/>
        </w:trPr>
        <w:tc>
          <w:tcPr>
            <w:tcW w:w="4300" w:type="dxa"/>
            <w:vAlign w:val="bottom"/>
          </w:tcPr>
          <w:p>
            <w:pPr>
              <w:spacing w:after="0"/>
              <w:rPr>
                <w:sz w:val="20"/>
                <w:szCs w:val="20"/>
                <w:color w:val="auto"/>
              </w:rPr>
            </w:pPr>
            <w:r>
              <w:rPr>
                <w:rFonts w:ascii="Arial" w:cs="Arial" w:eastAsia="Arial" w:hAnsi="Arial"/>
                <w:sz w:val="16"/>
                <w:szCs w:val="16"/>
                <w:color w:val="auto"/>
              </w:rPr>
              <w:t>Income tax expense</w:t>
            </w:r>
          </w:p>
        </w:tc>
        <w:tc>
          <w:tcPr>
            <w:tcW w:w="14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164"/>
        </w:trPr>
        <w:tc>
          <w:tcPr>
            <w:tcW w:w="4300" w:type="dxa"/>
            <w:vAlign w:val="bottom"/>
          </w:tcPr>
          <w:p>
            <w:pPr>
              <w:spacing w:after="0" w:line="164" w:lineRule="exact"/>
              <w:rPr>
                <w:sz w:val="20"/>
                <w:szCs w:val="20"/>
                <w:color w:val="auto"/>
              </w:rPr>
            </w:pPr>
            <w:r>
              <w:rPr>
                <w:rFonts w:ascii="Arial" w:cs="Arial" w:eastAsia="Arial" w:hAnsi="Arial"/>
                <w:sz w:val="16"/>
                <w:szCs w:val="16"/>
                <w:color w:val="auto"/>
              </w:rPr>
              <w:t>Net income</w:t>
            </w: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54</w:t>
            </w:r>
          </w:p>
        </w:tc>
        <w:tc>
          <w:tcPr>
            <w:tcW w:w="60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Arial" w:cs="Arial" w:eastAsia="Arial" w:hAnsi="Arial"/>
                <w:sz w:val="16"/>
                <w:szCs w:val="16"/>
                <w:color w:val="auto"/>
              </w:rPr>
              <w:t>60</w:t>
            </w:r>
          </w:p>
        </w:tc>
        <w:tc>
          <w:tcPr>
            <w:tcW w:w="60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Arial" w:cs="Arial" w:eastAsia="Arial" w:hAnsi="Arial"/>
                <w:sz w:val="16"/>
                <w:szCs w:val="16"/>
                <w:color w:val="auto"/>
              </w:rPr>
              <w:t>120</w:t>
            </w:r>
          </w:p>
        </w:tc>
        <w:tc>
          <w:tcPr>
            <w:tcW w:w="60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6"/>
                <w:szCs w:val="16"/>
                <w:color w:val="auto"/>
              </w:rPr>
              <w:t>128</w:t>
            </w:r>
          </w:p>
        </w:tc>
      </w:tr>
      <w:tr>
        <w:trPr>
          <w:trHeight w:val="194"/>
        </w:trPr>
        <w:tc>
          <w:tcPr>
            <w:tcW w:w="430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14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95"/>
        </w:trPr>
        <w:tc>
          <w:tcPr>
            <w:tcW w:w="4300" w:type="dxa"/>
            <w:vAlign w:val="bottom"/>
          </w:tcPr>
          <w:p>
            <w:pPr>
              <w:spacing w:after="0"/>
              <w:rPr>
                <w:sz w:val="20"/>
                <w:szCs w:val="20"/>
                <w:color w:val="auto"/>
              </w:rPr>
            </w:pPr>
            <w:r>
              <w:rPr>
                <w:rFonts w:ascii="Arial" w:cs="Arial" w:eastAsia="Arial" w:hAnsi="Arial"/>
                <w:sz w:val="16"/>
                <w:szCs w:val="16"/>
                <w:color w:val="auto"/>
              </w:rPr>
              <w:t>Earnings attributable to common shares</w:t>
            </w:r>
          </w:p>
        </w:tc>
        <w:tc>
          <w:tcPr>
            <w:tcW w:w="1440" w:type="dxa"/>
            <w:vAlign w:val="bottom"/>
          </w:tcPr>
          <w:p>
            <w:pPr>
              <w:spacing w:after="0"/>
              <w:rPr>
                <w:sz w:val="16"/>
                <w:szCs w:val="16"/>
                <w:color w:val="auto"/>
              </w:rPr>
            </w:pP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119</w:t>
            </w: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5500"/>
        <w:spacing w:after="0" w:line="252" w:lineRule="auto"/>
        <w:rPr>
          <w:sz w:val="20"/>
          <w:szCs w:val="20"/>
          <w:color w:val="auto"/>
        </w:rPr>
      </w:pPr>
      <w:r>
        <w:rPr>
          <w:rFonts w:ascii="Arial" w:cs="Arial" w:eastAsia="Arial" w:hAnsi="Arial"/>
          <w:sz w:val="16"/>
          <w:szCs w:val="16"/>
          <w:b w:val="1"/>
          <w:bCs w:val="1"/>
          <w:color w:val="auto"/>
        </w:rPr>
        <w:t>SOUTHERN CALIFORNIA GAS COMPANY AND SUBSIDIARIES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334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7960" w:type="dxa"/>
            <w:vAlign w:val="bottom"/>
          </w:tcPr>
          <w:p>
            <w:pPr>
              <w:spacing w:after="0"/>
              <w:rPr>
                <w:sz w:val="14"/>
                <w:szCs w:val="14"/>
                <w:color w:val="auto"/>
              </w:rPr>
            </w:pPr>
          </w:p>
        </w:tc>
        <w:tc>
          <w:tcPr>
            <w:tcW w:w="3000" w:type="dxa"/>
            <w:vAlign w:val="bottom"/>
            <w:tcBorders>
              <w:bottom w:val="single" w:sz="8" w:color="auto"/>
            </w:tcBorders>
            <w:gridSpan w:val="3"/>
          </w:tcPr>
          <w:p>
            <w:pPr>
              <w:jc w:val="center"/>
              <w:ind w:left="403"/>
              <w:spacing w:after="0" w:line="159" w:lineRule="exact"/>
              <w:rPr>
                <w:sz w:val="20"/>
                <w:szCs w:val="20"/>
                <w:color w:val="auto"/>
              </w:rPr>
            </w:pPr>
            <w:r>
              <w:rPr>
                <w:rFonts w:ascii="Arial" w:cs="Arial" w:eastAsia="Arial" w:hAnsi="Arial"/>
                <w:sz w:val="14"/>
                <w:szCs w:val="14"/>
                <w:color w:val="auto"/>
              </w:rPr>
              <w:t>Three months ended June 30,</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9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center"/>
              <w:ind w:left="221"/>
              <w:spacing w:after="0"/>
              <w:rPr>
                <w:sz w:val="20"/>
                <w:szCs w:val="20"/>
                <w:color w:val="auto"/>
              </w:rPr>
            </w:pPr>
            <w:r>
              <w:rPr>
                <w:rFonts w:ascii="Arial" w:cs="Arial" w:eastAsia="Arial" w:hAnsi="Arial"/>
                <w:sz w:val="14"/>
                <w:szCs w:val="14"/>
                <w:color w:val="auto"/>
              </w:rPr>
              <w:t>(unaudited)</w:t>
            </w: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60" w:type="dxa"/>
            <w:vAlign w:val="bottom"/>
          </w:tcPr>
          <w:p>
            <w:pPr>
              <w:spacing w:after="0" w:line="176" w:lineRule="exact"/>
              <w:rPr>
                <w:sz w:val="20"/>
                <w:szCs w:val="20"/>
                <w:color w:val="auto"/>
              </w:rPr>
            </w:pPr>
            <w:r>
              <w:rPr>
                <w:rFonts w:ascii="Arial" w:cs="Arial" w:eastAsia="Arial" w:hAnsi="Arial"/>
                <w:sz w:val="16"/>
                <w:szCs w:val="16"/>
                <w:color w:val="auto"/>
              </w:rPr>
              <w:t>Net income</w:t>
            </w:r>
          </w:p>
        </w:tc>
        <w:tc>
          <w:tcPr>
            <w:tcW w:w="1040" w:type="dxa"/>
            <w:vAlign w:val="bottom"/>
          </w:tcPr>
          <w:p>
            <w:pPr>
              <w:jc w:val="right"/>
              <w:ind w:right="683"/>
              <w:spacing w:after="0" w:line="176"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581"/>
              <w:spacing w:after="0" w:line="176" w:lineRule="exact"/>
              <w:rPr>
                <w:sz w:val="20"/>
                <w:szCs w:val="20"/>
                <w:color w:val="auto"/>
              </w:rPr>
            </w:pPr>
            <w:r>
              <w:rPr>
                <w:rFonts w:ascii="Arial" w:cs="Arial" w:eastAsia="Arial" w:hAnsi="Arial"/>
                <w:sz w:val="16"/>
                <w:szCs w:val="16"/>
                <w:color w:val="auto"/>
              </w:rPr>
              <w:t>54</w:t>
            </w:r>
          </w:p>
        </w:tc>
        <w:tc>
          <w:tcPr>
            <w:tcW w:w="880" w:type="dxa"/>
            <w:vAlign w:val="bottom"/>
          </w:tcPr>
          <w:p>
            <w:pPr>
              <w:jc w:val="right"/>
              <w:ind w:right="702"/>
              <w:spacing w:after="0" w:line="176"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5"/>
        </w:trPr>
        <w:tc>
          <w:tcPr>
            <w:tcW w:w="796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Pr>
          <w:p>
            <w:pPr>
              <w:spacing w:after="0"/>
              <w:rPr>
                <w:sz w:val="16"/>
                <w:szCs w:val="16"/>
                <w:color w:val="auto"/>
              </w:rPr>
            </w:pPr>
          </w:p>
        </w:tc>
        <w:tc>
          <w:tcPr>
            <w:tcW w:w="1080" w:type="dxa"/>
            <w:vAlign w:val="bottom"/>
            <w:vMerge w:val="restart"/>
          </w:tcPr>
          <w:p>
            <w:pPr>
              <w:jc w:val="right"/>
              <w:ind w:right="581"/>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5"/>
        </w:trPr>
        <w:tc>
          <w:tcPr>
            <w:tcW w:w="7960" w:type="dxa"/>
            <w:vAlign w:val="bottom"/>
          </w:tcPr>
          <w:p>
            <w:pPr>
              <w:ind w:left="180"/>
              <w:spacing w:after="0" w:line="168" w:lineRule="exact"/>
              <w:rPr>
                <w:sz w:val="20"/>
                <w:szCs w:val="20"/>
                <w:color w:val="auto"/>
              </w:rPr>
            </w:pPr>
            <w:r>
              <w:rPr>
                <w:rFonts w:ascii="Arial" w:cs="Arial" w:eastAsia="Arial" w:hAnsi="Arial"/>
                <w:sz w:val="16"/>
                <w:szCs w:val="16"/>
                <w:color w:val="auto"/>
              </w:rPr>
              <w:t>Financial Instruments</w:t>
            </w: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960" w:type="dxa"/>
            <w:vAlign w:val="bottom"/>
          </w:tcPr>
          <w:p>
            <w:pPr>
              <w:spacing w:after="0" w:line="176" w:lineRule="exact"/>
              <w:rPr>
                <w:sz w:val="20"/>
                <w:szCs w:val="20"/>
                <w:color w:val="auto"/>
              </w:rPr>
            </w:pPr>
            <w:r>
              <w:rPr>
                <w:rFonts w:ascii="Arial" w:cs="Arial" w:eastAsia="Arial" w:hAnsi="Arial"/>
                <w:sz w:val="16"/>
                <w:szCs w:val="16"/>
                <w:color w:val="auto"/>
              </w:rPr>
              <w:t>Total other comprehensive income</w:t>
            </w: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81"/>
              <w:spacing w:after="0" w:line="176" w:lineRule="exact"/>
              <w:rPr>
                <w:sz w:val="20"/>
                <w:szCs w:val="20"/>
                <w:color w:val="auto"/>
              </w:rPr>
            </w:pPr>
            <w:r>
              <w:rPr>
                <w:rFonts w:ascii="Arial" w:cs="Arial" w:eastAsia="Arial" w:hAnsi="Arial"/>
                <w:sz w:val="16"/>
                <w:szCs w:val="16"/>
                <w:color w:val="auto"/>
              </w:rPr>
              <w:t>1</w:t>
            </w: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796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comprehensive income</w:t>
            </w:r>
          </w:p>
        </w:tc>
        <w:tc>
          <w:tcPr>
            <w:tcW w:w="1040" w:type="dxa"/>
            <w:vAlign w:val="bottom"/>
            <w:tcBorders>
              <w:bottom w:val="single" w:sz="8" w:color="auto"/>
            </w:tcBorders>
          </w:tcPr>
          <w:p>
            <w:pPr>
              <w:jc w:val="right"/>
              <w:ind w:right="683"/>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81"/>
              <w:spacing w:after="0" w:line="176" w:lineRule="exact"/>
              <w:rPr>
                <w:sz w:val="20"/>
                <w:szCs w:val="20"/>
                <w:color w:val="auto"/>
              </w:rPr>
            </w:pPr>
            <w:r>
              <w:rPr>
                <w:rFonts w:ascii="Arial" w:cs="Arial" w:eastAsia="Arial" w:hAnsi="Arial"/>
                <w:sz w:val="16"/>
                <w:szCs w:val="16"/>
                <w:color w:val="auto"/>
              </w:rPr>
              <w:t>55</w:t>
            </w:r>
          </w:p>
        </w:tc>
        <w:tc>
          <w:tcPr>
            <w:tcW w:w="880" w:type="dxa"/>
            <w:vAlign w:val="bottom"/>
            <w:tcBorders>
              <w:bottom w:val="single" w:sz="8" w:color="auto"/>
            </w:tcBorders>
          </w:tcPr>
          <w:p>
            <w:pPr>
              <w:jc w:val="right"/>
              <w:ind w:right="702"/>
              <w:spacing w:after="0" w:line="176"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69"/>
        </w:trPr>
        <w:tc>
          <w:tcPr>
            <w:tcW w:w="7960" w:type="dxa"/>
            <w:vAlign w:val="bottom"/>
          </w:tcPr>
          <w:p>
            <w:pPr>
              <w:spacing w:after="0"/>
              <w:rPr>
                <w:sz w:val="14"/>
                <w:szCs w:val="14"/>
                <w:color w:val="auto"/>
              </w:rPr>
            </w:pPr>
          </w:p>
        </w:tc>
        <w:tc>
          <w:tcPr>
            <w:tcW w:w="3000" w:type="dxa"/>
            <w:vAlign w:val="bottom"/>
            <w:tcBorders>
              <w:bottom w:val="single" w:sz="8" w:color="auto"/>
            </w:tcBorders>
            <w:gridSpan w:val="3"/>
          </w:tcPr>
          <w:p>
            <w:pPr>
              <w:jc w:val="center"/>
              <w:ind w:left="383"/>
              <w:spacing w:after="0"/>
              <w:rPr>
                <w:sz w:val="20"/>
                <w:szCs w:val="20"/>
                <w:color w:val="auto"/>
              </w:rPr>
            </w:pPr>
            <w:r>
              <w:rPr>
                <w:rFonts w:ascii="Arial" w:cs="Arial" w:eastAsia="Arial" w:hAnsi="Arial"/>
                <w:sz w:val="14"/>
                <w:szCs w:val="14"/>
                <w:color w:val="auto"/>
              </w:rPr>
              <w:t>Six months ended June 30,</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9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center"/>
              <w:ind w:left="221"/>
              <w:spacing w:after="0"/>
              <w:rPr>
                <w:sz w:val="20"/>
                <w:szCs w:val="20"/>
                <w:color w:val="auto"/>
              </w:rPr>
            </w:pPr>
            <w:r>
              <w:rPr>
                <w:rFonts w:ascii="Arial" w:cs="Arial" w:eastAsia="Arial" w:hAnsi="Arial"/>
                <w:sz w:val="14"/>
                <w:szCs w:val="14"/>
                <w:color w:val="auto"/>
              </w:rPr>
              <w:t>(unaudited)</w:t>
            </w: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60" w:type="dxa"/>
            <w:vAlign w:val="bottom"/>
          </w:tcPr>
          <w:p>
            <w:pPr>
              <w:spacing w:after="0" w:line="176" w:lineRule="exact"/>
              <w:rPr>
                <w:sz w:val="20"/>
                <w:szCs w:val="20"/>
                <w:color w:val="auto"/>
              </w:rPr>
            </w:pPr>
            <w:r>
              <w:rPr>
                <w:rFonts w:ascii="Arial" w:cs="Arial" w:eastAsia="Arial" w:hAnsi="Arial"/>
                <w:sz w:val="16"/>
                <w:szCs w:val="16"/>
                <w:color w:val="auto"/>
              </w:rPr>
              <w:t>Net income</w:t>
            </w:r>
          </w:p>
        </w:tc>
        <w:tc>
          <w:tcPr>
            <w:tcW w:w="1040" w:type="dxa"/>
            <w:vAlign w:val="bottom"/>
          </w:tcPr>
          <w:p>
            <w:pPr>
              <w:jc w:val="right"/>
              <w:ind w:right="683"/>
              <w:spacing w:after="0" w:line="176"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581"/>
              <w:spacing w:after="0" w:line="176" w:lineRule="exact"/>
              <w:rPr>
                <w:sz w:val="20"/>
                <w:szCs w:val="20"/>
                <w:color w:val="auto"/>
              </w:rPr>
            </w:pPr>
            <w:r>
              <w:rPr>
                <w:rFonts w:ascii="Arial" w:cs="Arial" w:eastAsia="Arial" w:hAnsi="Arial"/>
                <w:sz w:val="16"/>
                <w:szCs w:val="16"/>
                <w:color w:val="auto"/>
              </w:rPr>
              <w:t>120</w:t>
            </w:r>
          </w:p>
        </w:tc>
        <w:tc>
          <w:tcPr>
            <w:tcW w:w="880" w:type="dxa"/>
            <w:vAlign w:val="bottom"/>
          </w:tcPr>
          <w:p>
            <w:pPr>
              <w:jc w:val="right"/>
              <w:ind w:right="702"/>
              <w:spacing w:after="0" w:line="176"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95"/>
        </w:trPr>
        <w:tc>
          <w:tcPr>
            <w:tcW w:w="796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Pr>
          <w:p>
            <w:pPr>
              <w:spacing w:after="0"/>
              <w:rPr>
                <w:sz w:val="16"/>
                <w:szCs w:val="16"/>
                <w:color w:val="auto"/>
              </w:rPr>
            </w:pPr>
          </w:p>
        </w:tc>
        <w:tc>
          <w:tcPr>
            <w:tcW w:w="1080" w:type="dxa"/>
            <w:vAlign w:val="bottom"/>
            <w:vMerge w:val="restart"/>
          </w:tcPr>
          <w:p>
            <w:pPr>
              <w:jc w:val="right"/>
              <w:ind w:right="581"/>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5"/>
        </w:trPr>
        <w:tc>
          <w:tcPr>
            <w:tcW w:w="7960" w:type="dxa"/>
            <w:vAlign w:val="bottom"/>
          </w:tcPr>
          <w:p>
            <w:pPr>
              <w:ind w:left="180"/>
              <w:spacing w:after="0" w:line="168" w:lineRule="exact"/>
              <w:rPr>
                <w:sz w:val="20"/>
                <w:szCs w:val="20"/>
                <w:color w:val="auto"/>
              </w:rPr>
            </w:pPr>
            <w:r>
              <w:rPr>
                <w:rFonts w:ascii="Arial" w:cs="Arial" w:eastAsia="Arial" w:hAnsi="Arial"/>
                <w:sz w:val="16"/>
                <w:szCs w:val="16"/>
                <w:color w:val="auto"/>
              </w:rPr>
              <w:t>Financial Instruments</w:t>
            </w: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960" w:type="dxa"/>
            <w:vAlign w:val="bottom"/>
          </w:tcPr>
          <w:p>
            <w:pPr>
              <w:spacing w:after="0" w:line="176" w:lineRule="exact"/>
              <w:rPr>
                <w:sz w:val="20"/>
                <w:szCs w:val="20"/>
                <w:color w:val="auto"/>
              </w:rPr>
            </w:pPr>
            <w:r>
              <w:rPr>
                <w:rFonts w:ascii="Arial" w:cs="Arial" w:eastAsia="Arial" w:hAnsi="Arial"/>
                <w:sz w:val="16"/>
                <w:szCs w:val="16"/>
                <w:color w:val="auto"/>
              </w:rPr>
              <w:t>Total other comprehensive income</w:t>
            </w: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81"/>
              <w:spacing w:after="0" w:line="176" w:lineRule="exact"/>
              <w:rPr>
                <w:sz w:val="20"/>
                <w:szCs w:val="20"/>
                <w:color w:val="auto"/>
              </w:rPr>
            </w:pPr>
            <w:r>
              <w:rPr>
                <w:rFonts w:ascii="Arial" w:cs="Arial" w:eastAsia="Arial" w:hAnsi="Arial"/>
                <w:sz w:val="16"/>
                <w:szCs w:val="16"/>
                <w:color w:val="auto"/>
              </w:rPr>
              <w:t>1</w:t>
            </w: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796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104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81"/>
              <w:spacing w:after="0"/>
              <w:rPr>
                <w:sz w:val="20"/>
                <w:szCs w:val="20"/>
                <w:color w:val="auto"/>
              </w:rPr>
            </w:pPr>
            <w:r>
              <w:rPr>
                <w:rFonts w:ascii="Arial" w:cs="Arial" w:eastAsia="Arial" w:hAnsi="Arial"/>
                <w:sz w:val="16"/>
                <w:szCs w:val="16"/>
                <w:color w:val="auto"/>
              </w:rPr>
              <w:t>121</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2011(1)</w:t>
            </w:r>
          </w:p>
        </w:tc>
        <w:tc>
          <w:tcPr>
            <w:tcW w:w="0" w:type="dxa"/>
            <w:vAlign w:val="bottom"/>
          </w:tcPr>
          <w:p>
            <w:pPr>
              <w:spacing w:after="0"/>
              <w:rPr>
                <w:sz w:val="1"/>
                <w:szCs w:val="1"/>
                <w:color w:val="auto"/>
              </w:rPr>
            </w:pPr>
          </w:p>
        </w:tc>
      </w:tr>
      <w:tr>
        <w:trPr>
          <w:trHeight w:val="191"/>
        </w:trPr>
        <w:tc>
          <w:tcPr>
            <w:tcW w:w="8580" w:type="dxa"/>
            <w:vAlign w:val="bottom"/>
            <w:gridSpan w:val="3"/>
            <w:vMerge w:val="restart"/>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gridSpan w:val="3"/>
          </w:tcPr>
          <w:p>
            <w:pPr>
              <w:spacing w:after="0" w:line="176" w:lineRule="exact"/>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6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Accounts receivable – trade,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294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6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Accounts receivable – other,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297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Temporary LIFO liquidation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804</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359"/>
        </w:trPr>
        <w:tc>
          <w:tcPr>
            <w:tcW w:w="858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741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887</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340"/>
        </w:trPr>
        <w:tc>
          <w:tcPr>
            <w:tcW w:w="8580" w:type="dxa"/>
            <w:vAlign w:val="bottom"/>
            <w:gridSpan w:val="3"/>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10,781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10,565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(4,034)</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6,747</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6,600</w:t>
            </w:r>
          </w:p>
        </w:tc>
        <w:tc>
          <w:tcPr>
            <w:tcW w:w="0" w:type="dxa"/>
            <w:vAlign w:val="bottom"/>
          </w:tcPr>
          <w:p>
            <w:pPr>
              <w:spacing w:after="0"/>
              <w:rPr>
                <w:sz w:val="1"/>
                <w:szCs w:val="1"/>
                <w:color w:val="auto"/>
              </w:rPr>
            </w:pPr>
          </w:p>
        </w:tc>
      </w:tr>
      <w:tr>
        <w:trPr>
          <w:trHeight w:val="183"/>
        </w:trPr>
        <w:tc>
          <w:tcPr>
            <w:tcW w:w="8580" w:type="dxa"/>
            <w:vAlign w:val="bottom"/>
            <w:gridSpan w:val="3"/>
          </w:tcPr>
          <w:p>
            <w:pPr>
              <w:spacing w:after="0" w:line="176" w:lineRule="exact"/>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8,438</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8,475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i w:val="1"/>
                <w:iCs w:val="1"/>
                <w:color w:val="auto"/>
                <w:w w:val="81"/>
              </w:rPr>
              <w:t>(1)</w:t>
            </w:r>
          </w:p>
        </w:tc>
        <w:tc>
          <w:tcPr>
            <w:tcW w:w="8400" w:type="dxa"/>
            <w:vAlign w:val="bottom"/>
            <w:tcBorders>
              <w:top w:val="single" w:sz="8" w:color="auto"/>
            </w:tcBorders>
          </w:tcPr>
          <w:p>
            <w:pPr>
              <w:ind w:left="320"/>
              <w:spacing w:after="0" w:line="153" w:lineRule="exact"/>
              <w:rPr>
                <w:sz w:val="20"/>
                <w:szCs w:val="20"/>
                <w:color w:val="auto"/>
              </w:rPr>
            </w:pPr>
            <w:r>
              <w:rPr>
                <w:rFonts w:ascii="Arial" w:cs="Arial" w:eastAsia="Arial" w:hAnsi="Arial"/>
                <w:sz w:val="14"/>
                <w:szCs w:val="14"/>
                <w:i w:val="1"/>
                <w:iCs w:val="1"/>
                <w:color w:val="auto"/>
              </w:rPr>
              <w:t>Derived from audited financial statements.</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580" w:type="dxa"/>
            <w:vAlign w:val="bottom"/>
            <w:gridSpan w:val="3"/>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960" w:type="dxa"/>
            <w:vAlign w:val="bottom"/>
          </w:tcPr>
          <w:p>
            <w:pPr>
              <w:spacing w:after="0"/>
              <w:rPr>
                <w:sz w:val="14"/>
                <w:szCs w:val="14"/>
                <w:color w:val="auto"/>
              </w:rPr>
            </w:pPr>
          </w:p>
        </w:tc>
        <w:tc>
          <w:tcPr>
            <w:tcW w:w="3700" w:type="dxa"/>
            <w:vAlign w:val="bottom"/>
          </w:tcPr>
          <w:p>
            <w:pPr>
              <w:jc w:val="center"/>
              <w:ind w:left="2866"/>
              <w:spacing w:after="0"/>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8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59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jc w:val="center"/>
              <w:ind w:left="2826"/>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2011(1)</w:t>
            </w:r>
          </w:p>
        </w:tc>
        <w:tc>
          <w:tcPr>
            <w:tcW w:w="0" w:type="dxa"/>
            <w:vAlign w:val="bottom"/>
          </w:tcPr>
          <w:p>
            <w:pPr>
              <w:spacing w:after="0"/>
              <w:rPr>
                <w:sz w:val="1"/>
                <w:szCs w:val="1"/>
                <w:color w:val="auto"/>
              </w:rPr>
            </w:pPr>
          </w:p>
        </w:tc>
      </w:tr>
      <w:tr>
        <w:trPr>
          <w:trHeight w:val="191"/>
        </w:trPr>
        <w:tc>
          <w:tcPr>
            <w:tcW w:w="5960" w:type="dxa"/>
            <w:vAlign w:val="bottom"/>
            <w:vMerge w:val="restart"/>
          </w:tcPr>
          <w:p>
            <w:pPr>
              <w:spacing w:after="0"/>
              <w:rPr>
                <w:sz w:val="20"/>
                <w:szCs w:val="20"/>
                <w:color w:val="auto"/>
              </w:rPr>
            </w:pPr>
            <w:r>
              <w:rPr>
                <w:rFonts w:ascii="Arial" w:cs="Arial" w:eastAsia="Arial" w:hAnsi="Arial"/>
                <w:sz w:val="16"/>
                <w:szCs w:val="16"/>
                <w:color w:val="auto"/>
              </w:rPr>
              <w:t>LIABILITIES AND SHAREHOLDERS' EQUITY</w:t>
            </w:r>
          </w:p>
        </w:tc>
        <w:tc>
          <w:tcPr>
            <w:tcW w:w="3700" w:type="dxa"/>
            <w:vAlign w:val="bottom"/>
          </w:tcPr>
          <w:p>
            <w:pPr>
              <w:jc w:val="center"/>
              <w:ind w:left="2866"/>
              <w:spacing w:after="0"/>
              <w:rPr>
                <w:sz w:val="20"/>
                <w:szCs w:val="20"/>
                <w:color w:val="auto"/>
              </w:rPr>
            </w:pPr>
            <w:r>
              <w:rPr>
                <w:rFonts w:ascii="Arial" w:cs="Arial" w:eastAsia="Arial" w:hAnsi="Arial"/>
                <w:sz w:val="14"/>
                <w:szCs w:val="14"/>
                <w:color w:val="auto"/>
              </w:rPr>
              <w:t>(unaudited)</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60" w:type="dxa"/>
            <w:vAlign w:val="bottom"/>
            <w:vMerge w:val="continue"/>
          </w:tcPr>
          <w:p>
            <w:pPr>
              <w:spacing w:after="0"/>
              <w:rPr>
                <w:sz w:val="12"/>
                <w:szCs w:val="12"/>
                <w:color w:val="auto"/>
              </w:rPr>
            </w:pPr>
          </w:p>
        </w:tc>
        <w:tc>
          <w:tcPr>
            <w:tcW w:w="3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line="176" w:lineRule="exact"/>
              <w:rPr>
                <w:sz w:val="20"/>
                <w:szCs w:val="20"/>
                <w:color w:val="auto"/>
              </w:rPr>
            </w:pPr>
            <w:r>
              <w:rPr>
                <w:rFonts w:ascii="Arial" w:cs="Arial" w:eastAsia="Arial" w:hAnsi="Arial"/>
                <w:sz w:val="16"/>
                <w:szCs w:val="16"/>
                <w:color w:val="auto"/>
              </w:rPr>
              <w:t>Current liabilities:</w:t>
            </w:r>
          </w:p>
        </w:tc>
        <w:tc>
          <w:tcPr>
            <w:tcW w:w="3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tcPr>
          <w:p>
            <w:pPr>
              <w:ind w:left="180"/>
              <w:spacing w:after="0" w:line="176" w:lineRule="exact"/>
              <w:rPr>
                <w:sz w:val="20"/>
                <w:szCs w:val="20"/>
                <w:color w:val="auto"/>
              </w:rPr>
            </w:pPr>
            <w:r>
              <w:rPr>
                <w:rFonts w:ascii="Arial" w:cs="Arial" w:eastAsia="Arial" w:hAnsi="Arial"/>
                <w:sz w:val="16"/>
                <w:szCs w:val="16"/>
                <w:color w:val="auto"/>
              </w:rPr>
              <w:t>Accounts payable – trade</w:t>
            </w:r>
          </w:p>
        </w:tc>
        <w:tc>
          <w:tcPr>
            <w:tcW w:w="3700" w:type="dxa"/>
            <w:vAlign w:val="bottom"/>
          </w:tcPr>
          <w:p>
            <w:pPr>
              <w:jc w:val="right"/>
              <w:ind w:right="926"/>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w w:val="97"/>
              </w:rPr>
              <w:t>219</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176"/>
        </w:trPr>
        <w:tc>
          <w:tcPr>
            <w:tcW w:w="5960" w:type="dxa"/>
            <w:vAlign w:val="bottom"/>
          </w:tcPr>
          <w:p>
            <w:pPr>
              <w:ind w:left="180"/>
              <w:spacing w:after="0" w:line="176" w:lineRule="exact"/>
              <w:rPr>
                <w:sz w:val="20"/>
                <w:szCs w:val="20"/>
                <w:color w:val="auto"/>
              </w:rPr>
            </w:pPr>
            <w:r>
              <w:rPr>
                <w:rFonts w:ascii="Arial" w:cs="Arial" w:eastAsia="Arial" w:hAnsi="Arial"/>
                <w:sz w:val="16"/>
                <w:szCs w:val="16"/>
                <w:color w:val="auto"/>
              </w:rPr>
              <w:t>Accounts payable – other</w:t>
            </w:r>
          </w:p>
        </w:tc>
        <w:tc>
          <w:tcPr>
            <w:tcW w:w="37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65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76"/>
        </w:trPr>
        <w:tc>
          <w:tcPr>
            <w:tcW w:w="5960" w:type="dxa"/>
            <w:vAlign w:val="bottom"/>
          </w:tcPr>
          <w:p>
            <w:pPr>
              <w:ind w:left="180"/>
              <w:spacing w:after="0" w:line="176" w:lineRule="exact"/>
              <w:rPr>
                <w:sz w:val="20"/>
                <w:szCs w:val="20"/>
                <w:color w:val="auto"/>
              </w:rPr>
            </w:pPr>
            <w:r>
              <w:rPr>
                <w:rFonts w:ascii="Arial" w:cs="Arial" w:eastAsia="Arial" w:hAnsi="Arial"/>
                <w:sz w:val="16"/>
                <w:szCs w:val="16"/>
                <w:color w:val="auto"/>
              </w:rPr>
              <w:t>Due to unconsolidated affiliate</w:t>
            </w:r>
          </w:p>
        </w:tc>
        <w:tc>
          <w:tcPr>
            <w:tcW w:w="37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5960" w:type="dxa"/>
            <w:vAlign w:val="bottom"/>
          </w:tcPr>
          <w:p>
            <w:pPr>
              <w:ind w:left="180"/>
              <w:spacing w:after="0" w:line="176" w:lineRule="exact"/>
              <w:rPr>
                <w:sz w:val="20"/>
                <w:szCs w:val="20"/>
                <w:color w:val="auto"/>
              </w:rPr>
            </w:pPr>
            <w:r>
              <w:rPr>
                <w:rFonts w:ascii="Arial" w:cs="Arial" w:eastAsia="Arial" w:hAnsi="Arial"/>
                <w:sz w:val="16"/>
                <w:szCs w:val="16"/>
                <w:color w:val="auto"/>
              </w:rPr>
              <w:t>Deferred income taxes</w:t>
            </w:r>
          </w:p>
        </w:tc>
        <w:tc>
          <w:tcPr>
            <w:tcW w:w="37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43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5"/>
        </w:trPr>
        <w:tc>
          <w:tcPr>
            <w:tcW w:w="596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37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92</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9"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270</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Current portion of long-term debt</w:t>
            </w: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255</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257</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Customer deposits</w:t>
            </w: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76</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current liabilities</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1,142</w:t>
            </w: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1,147</w:t>
            </w:r>
          </w:p>
        </w:tc>
      </w:tr>
      <w:tr>
        <w:trPr>
          <w:trHeight w:val="183"/>
        </w:trPr>
        <w:tc>
          <w:tcPr>
            <w:tcW w:w="8580" w:type="dxa"/>
            <w:vAlign w:val="bottom"/>
          </w:tcPr>
          <w:p>
            <w:pPr>
              <w:spacing w:after="0" w:line="176" w:lineRule="exact"/>
              <w:rPr>
                <w:sz w:val="20"/>
                <w:szCs w:val="20"/>
                <w:color w:val="auto"/>
              </w:rPr>
            </w:pPr>
            <w:r>
              <w:rPr>
                <w:rFonts w:ascii="Arial" w:cs="Arial" w:eastAsia="Arial" w:hAnsi="Arial"/>
                <w:sz w:val="16"/>
                <w:szCs w:val="16"/>
                <w:color w:val="auto"/>
              </w:rPr>
              <w:t>Long-term debt</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1,062</w:t>
            </w: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1,064</w:t>
            </w:r>
          </w:p>
        </w:tc>
      </w:tr>
      <w:tr>
        <w:trPr>
          <w:trHeight w:val="164"/>
        </w:trPr>
        <w:tc>
          <w:tcPr>
            <w:tcW w:w="8580" w:type="dxa"/>
            <w:vAlign w:val="bottom"/>
          </w:tcPr>
          <w:p>
            <w:pPr>
              <w:spacing w:after="0" w:line="164" w:lineRule="exact"/>
              <w:rPr>
                <w:sz w:val="20"/>
                <w:szCs w:val="20"/>
                <w:color w:val="auto"/>
              </w:rPr>
            </w:pPr>
            <w:r>
              <w:rPr>
                <w:rFonts w:ascii="Arial" w:cs="Arial" w:eastAsia="Arial" w:hAnsi="Arial"/>
                <w:sz w:val="16"/>
                <w:szCs w:val="16"/>
                <w:color w:val="auto"/>
              </w:rPr>
              <w:t>Deferred credits and other liabilities: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Customer advances for construction</w:t>
            </w: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112</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110</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766</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833</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income taxes</w:t>
            </w: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623</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576</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investment tax credits</w:t>
            </w: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liabilities arising from removal obligations</w:t>
            </w: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1,082</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1,075</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Asset retirement obligations</w:t>
            </w: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1,185</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1,161</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taxes refundable in rates</w:t>
            </w: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68</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87</w:t>
            </w: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deferred credits and other liabilities</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4,071</w:t>
            </w: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4,071</w:t>
            </w:r>
          </w:p>
        </w:tc>
      </w:tr>
      <w:tr>
        <w:trPr>
          <w:trHeight w:val="359"/>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2"/>
        </w:trPr>
        <w:tc>
          <w:tcPr>
            <w:tcW w:w="8580" w:type="dxa"/>
            <w:vAlign w:val="bottom"/>
          </w:tcPr>
          <w:p>
            <w:pPr>
              <w:spacing w:after="0"/>
              <w:rPr>
                <w:sz w:val="20"/>
                <w:szCs w:val="20"/>
                <w:color w:val="auto"/>
              </w:rPr>
            </w:pPr>
            <w:r>
              <w:rPr>
                <w:rFonts w:ascii="Arial" w:cs="Arial" w:eastAsia="Arial" w:hAnsi="Arial"/>
                <w:sz w:val="16"/>
                <w:szCs w:val="16"/>
                <w:color w:val="auto"/>
              </w:rPr>
              <w:t>Shareholders' equity:</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Preferred stock</w:t>
            </w: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Common stock (100 million shares authorized; 91 million shares outstanding;</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no par value)</w:t>
            </w: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866</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866</w:t>
            </w: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Retained earnings</w:t>
            </w: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1,295</w:t>
            </w:r>
          </w:p>
        </w:tc>
        <w:tc>
          <w:tcPr>
            <w:tcW w:w="5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1,326</w:t>
            </w: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shareholders' equity</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2,163</w:t>
            </w: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2,193</w:t>
            </w:r>
          </w:p>
        </w:tc>
      </w:tr>
      <w:tr>
        <w:trPr>
          <w:trHeight w:val="195"/>
        </w:trPr>
        <w:tc>
          <w:tcPr>
            <w:tcW w:w="8580" w:type="dxa"/>
            <w:vAlign w:val="bottom"/>
          </w:tcPr>
          <w:p>
            <w:pPr>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8,438</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6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Six months ended June 30,</w:t>
            </w: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86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2"/>
          </w:tcPr>
          <w:p>
            <w:pPr>
              <w:jc w:val="right"/>
              <w:ind w:right="445"/>
              <w:spacing w:after="0"/>
              <w:rPr>
                <w:sz w:val="20"/>
                <w:szCs w:val="20"/>
                <w:color w:val="auto"/>
              </w:rPr>
            </w:pPr>
            <w:r>
              <w:rPr>
                <w:rFonts w:ascii="Arial" w:cs="Arial" w:eastAsia="Arial" w:hAnsi="Arial"/>
                <w:sz w:val="14"/>
                <w:szCs w:val="14"/>
                <w:color w:val="auto"/>
              </w:rPr>
              <w:t>(unaudited)</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86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860" w:type="dxa"/>
            <w:vAlign w:val="bottom"/>
          </w:tcPr>
          <w:p>
            <w:pPr>
              <w:ind w:left="180"/>
              <w:spacing w:after="0" w:line="176" w:lineRule="exact"/>
              <w:rPr>
                <w:sz w:val="20"/>
                <w:szCs w:val="20"/>
                <w:color w:val="auto"/>
              </w:rPr>
            </w:pPr>
            <w:r>
              <w:rPr>
                <w:rFonts w:ascii="Arial" w:cs="Arial" w:eastAsia="Arial" w:hAnsi="Arial"/>
                <w:sz w:val="16"/>
                <w:szCs w:val="16"/>
                <w:color w:val="auto"/>
              </w:rPr>
              <w:t>Net income</w:t>
            </w:r>
          </w:p>
        </w:tc>
        <w:tc>
          <w:tcPr>
            <w:tcW w:w="2840" w:type="dxa"/>
            <w:vAlign w:val="bottom"/>
            <w:gridSpan w:val="2"/>
          </w:tcPr>
          <w:p>
            <w:pPr>
              <w:jc w:val="right"/>
              <w:ind w:right="663"/>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120</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76"/>
        </w:trPr>
        <w:tc>
          <w:tcPr>
            <w:tcW w:w="6860" w:type="dxa"/>
            <w:vAlign w:val="bottom"/>
          </w:tcPr>
          <w:p>
            <w:pPr>
              <w:ind w:left="180"/>
              <w:spacing w:after="0" w:line="176" w:lineRule="exact"/>
              <w:rPr>
                <w:sz w:val="20"/>
                <w:szCs w:val="20"/>
                <w:color w:val="auto"/>
              </w:rPr>
            </w:pPr>
            <w:r>
              <w:rPr>
                <w:rFonts w:ascii="Arial" w:cs="Arial" w:eastAsia="Arial" w:hAnsi="Arial"/>
                <w:sz w:val="16"/>
                <w:szCs w:val="16"/>
                <w:color w:val="auto"/>
              </w:rPr>
              <w:t>Adjustments to reconcile net income to net cash provided by</w:t>
            </w: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60" w:type="dxa"/>
            <w:vAlign w:val="bottom"/>
          </w:tcPr>
          <w:p>
            <w:pPr>
              <w:ind w:left="360"/>
              <w:spacing w:after="0" w:line="176" w:lineRule="exact"/>
              <w:rPr>
                <w:sz w:val="20"/>
                <w:szCs w:val="20"/>
                <w:color w:val="auto"/>
              </w:rPr>
            </w:pPr>
            <w:r>
              <w:rPr>
                <w:rFonts w:ascii="Arial" w:cs="Arial" w:eastAsia="Arial" w:hAnsi="Arial"/>
                <w:sz w:val="16"/>
                <w:szCs w:val="16"/>
                <w:color w:val="auto"/>
              </w:rPr>
              <w:t>operating activities:</w:t>
            </w: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60" w:type="dxa"/>
            <w:vAlign w:val="bottom"/>
          </w:tcPr>
          <w:p>
            <w:pPr>
              <w:ind w:left="540"/>
              <w:spacing w:after="0" w:line="176" w:lineRule="exact"/>
              <w:rPr>
                <w:sz w:val="20"/>
                <w:szCs w:val="20"/>
                <w:color w:val="auto"/>
              </w:rPr>
            </w:pPr>
            <w:r>
              <w:rPr>
                <w:rFonts w:ascii="Arial" w:cs="Arial" w:eastAsia="Arial" w:hAnsi="Arial"/>
                <w:sz w:val="16"/>
                <w:szCs w:val="16"/>
                <w:color w:val="auto"/>
              </w:rPr>
              <w:t>Depreciation and amortization</w:t>
            </w: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177</w:t>
            </w:r>
          </w:p>
        </w:tc>
        <w:tc>
          <w:tcPr>
            <w:tcW w:w="88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76"/>
        </w:trPr>
        <w:tc>
          <w:tcPr>
            <w:tcW w:w="6860" w:type="dxa"/>
            <w:vAlign w:val="bottom"/>
          </w:tcPr>
          <w:p>
            <w:pPr>
              <w:ind w:left="540"/>
              <w:spacing w:after="0" w:line="176" w:lineRule="exact"/>
              <w:rPr>
                <w:sz w:val="20"/>
                <w:szCs w:val="20"/>
                <w:color w:val="auto"/>
              </w:rPr>
            </w:pPr>
            <w:r>
              <w:rPr>
                <w:rFonts w:ascii="Arial" w:cs="Arial" w:eastAsia="Arial" w:hAnsi="Arial"/>
                <w:sz w:val="16"/>
                <w:szCs w:val="16"/>
                <w:color w:val="auto"/>
              </w:rPr>
              <w:t>Deferred income taxes and investment tax credits</w:t>
            </w: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c>
          <w:tcPr>
            <w:tcW w:w="88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76"/>
        </w:trPr>
        <w:tc>
          <w:tcPr>
            <w:tcW w:w="6860" w:type="dxa"/>
            <w:vAlign w:val="bottom"/>
          </w:tcPr>
          <w:p>
            <w:pPr>
              <w:ind w:left="540"/>
              <w:spacing w:after="0" w:line="176" w:lineRule="exact"/>
              <w:rPr>
                <w:sz w:val="20"/>
                <w:szCs w:val="20"/>
                <w:color w:val="auto"/>
              </w:rPr>
            </w:pPr>
            <w:r>
              <w:rPr>
                <w:rFonts w:ascii="Arial" w:cs="Arial" w:eastAsia="Arial" w:hAnsi="Arial"/>
                <w:sz w:val="16"/>
                <w:szCs w:val="16"/>
                <w:color w:val="auto"/>
              </w:rPr>
              <w:t>Other</w:t>
            </w: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88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6"/>
        </w:trPr>
        <w:tc>
          <w:tcPr>
            <w:tcW w:w="6860" w:type="dxa"/>
            <w:vAlign w:val="bottom"/>
          </w:tcPr>
          <w:p>
            <w:pPr>
              <w:ind w:left="180"/>
              <w:spacing w:after="0" w:line="176" w:lineRule="exact"/>
              <w:rPr>
                <w:sz w:val="20"/>
                <w:szCs w:val="20"/>
                <w:color w:val="auto"/>
              </w:rPr>
            </w:pPr>
            <w:r>
              <w:rPr>
                <w:rFonts w:ascii="Arial" w:cs="Arial" w:eastAsia="Arial" w:hAnsi="Arial"/>
                <w:sz w:val="16"/>
                <w:szCs w:val="16"/>
                <w:color w:val="auto"/>
              </w:rPr>
              <w:t>Net change in other working capital components</w:t>
            </w: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385</w:t>
            </w:r>
          </w:p>
        </w:tc>
        <w:tc>
          <w:tcPr>
            <w:tcW w:w="88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6"/>
        </w:trPr>
        <w:tc>
          <w:tcPr>
            <w:tcW w:w="6860" w:type="dxa"/>
            <w:vAlign w:val="bottom"/>
          </w:tcPr>
          <w:p>
            <w:pPr>
              <w:ind w:left="180"/>
              <w:spacing w:after="0" w:line="176" w:lineRule="exact"/>
              <w:rPr>
                <w:sz w:val="20"/>
                <w:szCs w:val="20"/>
                <w:color w:val="auto"/>
              </w:rPr>
            </w:pPr>
            <w:r>
              <w:rPr>
                <w:rFonts w:ascii="Arial" w:cs="Arial" w:eastAsia="Arial" w:hAnsi="Arial"/>
                <w:sz w:val="16"/>
                <w:szCs w:val="16"/>
                <w:color w:val="auto"/>
              </w:rPr>
              <w:t>Changes in other assets</w:t>
            </w: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88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4"/>
        </w:trPr>
        <w:tc>
          <w:tcPr>
            <w:tcW w:w="686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20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686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operating activities</w:t>
            </w:r>
          </w:p>
        </w:tc>
        <w:tc>
          <w:tcPr>
            <w:tcW w:w="20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712</w:t>
            </w: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340"/>
        </w:trPr>
        <w:tc>
          <w:tcPr>
            <w:tcW w:w="68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860" w:type="dxa"/>
            <w:vAlign w:val="bottom"/>
          </w:tcPr>
          <w:p>
            <w:pPr>
              <w:ind w:left="180"/>
              <w:spacing w:after="0" w:line="176" w:lineRule="exact"/>
              <w:rPr>
                <w:sz w:val="20"/>
                <w:szCs w:val="20"/>
                <w:color w:val="auto"/>
              </w:rPr>
            </w:pPr>
            <w:r>
              <w:rPr>
                <w:rFonts w:ascii="Arial" w:cs="Arial" w:eastAsia="Arial" w:hAnsi="Arial"/>
                <w:sz w:val="16"/>
                <w:szCs w:val="16"/>
                <w:color w:val="auto"/>
              </w:rPr>
              <w:t>Expenditures for property, plant and equipment</w:t>
            </w: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(316)</w:t>
            </w:r>
          </w:p>
        </w:tc>
        <w:tc>
          <w:tcPr>
            <w:tcW w:w="88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94"/>
        </w:trPr>
        <w:tc>
          <w:tcPr>
            <w:tcW w:w="6860" w:type="dxa"/>
            <w:vAlign w:val="bottom"/>
          </w:tcPr>
          <w:p>
            <w:pPr>
              <w:ind w:left="180"/>
              <w:spacing w:after="0"/>
              <w:rPr>
                <w:sz w:val="20"/>
                <w:szCs w:val="20"/>
                <w:color w:val="auto"/>
              </w:rPr>
            </w:pPr>
            <w:r>
              <w:rPr>
                <w:rFonts w:ascii="Arial" w:cs="Arial" w:eastAsia="Arial" w:hAnsi="Arial"/>
                <w:sz w:val="16"/>
                <w:szCs w:val="16"/>
                <w:color w:val="auto"/>
              </w:rPr>
              <w:t>Increase in loans to affiliates, net</w:t>
            </w:r>
          </w:p>
        </w:tc>
        <w:tc>
          <w:tcPr>
            <w:tcW w:w="20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183"/>
        </w:trPr>
        <w:tc>
          <w:tcPr>
            <w:tcW w:w="686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investing activities</w:t>
            </w:r>
          </w:p>
        </w:tc>
        <w:tc>
          <w:tcPr>
            <w:tcW w:w="20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(586)</w:t>
            </w: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340"/>
        </w:trPr>
        <w:tc>
          <w:tcPr>
            <w:tcW w:w="68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860" w:type="dxa"/>
            <w:vAlign w:val="bottom"/>
          </w:tcPr>
          <w:p>
            <w:pPr>
              <w:ind w:left="180"/>
              <w:spacing w:after="0" w:line="176" w:lineRule="exact"/>
              <w:rPr>
                <w:sz w:val="20"/>
                <w:szCs w:val="20"/>
                <w:color w:val="auto"/>
              </w:rPr>
            </w:pPr>
            <w:r>
              <w:rPr>
                <w:rFonts w:ascii="Arial" w:cs="Arial" w:eastAsia="Arial" w:hAnsi="Arial"/>
                <w:sz w:val="16"/>
                <w:szCs w:val="16"/>
                <w:color w:val="auto"/>
              </w:rPr>
              <w:t>Common dividends paid</w:t>
            </w: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(150)</w:t>
            </w:r>
          </w:p>
        </w:tc>
        <w:tc>
          <w:tcPr>
            <w:tcW w:w="88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76"/>
        </w:trPr>
        <w:tc>
          <w:tcPr>
            <w:tcW w:w="6860" w:type="dxa"/>
            <w:vAlign w:val="bottom"/>
          </w:tcPr>
          <w:p>
            <w:pPr>
              <w:ind w:left="180"/>
              <w:spacing w:after="0" w:line="176" w:lineRule="exact"/>
              <w:rPr>
                <w:sz w:val="20"/>
                <w:szCs w:val="20"/>
                <w:color w:val="auto"/>
              </w:rPr>
            </w:pPr>
            <w:r>
              <w:rPr>
                <w:rFonts w:ascii="Arial" w:cs="Arial" w:eastAsia="Arial" w:hAnsi="Arial"/>
                <w:sz w:val="16"/>
                <w:szCs w:val="16"/>
                <w:color w:val="auto"/>
              </w:rPr>
              <w:t>Payment of long-term debt</w:t>
            </w: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94"/>
        </w:trPr>
        <w:tc>
          <w:tcPr>
            <w:tcW w:w="686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20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686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financing activities</w:t>
            </w:r>
          </w:p>
        </w:tc>
        <w:tc>
          <w:tcPr>
            <w:tcW w:w="20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(151)</w:t>
            </w: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40"/>
        </w:trPr>
        <w:tc>
          <w:tcPr>
            <w:tcW w:w="6860" w:type="dxa"/>
            <w:vAlign w:val="bottom"/>
          </w:tcPr>
          <w:p>
            <w:pPr>
              <w:spacing w:after="0"/>
              <w:rPr>
                <w:sz w:val="20"/>
                <w:szCs w:val="20"/>
                <w:color w:val="auto"/>
              </w:rPr>
            </w:pPr>
            <w:r>
              <w:rPr>
                <w:rFonts w:ascii="Arial" w:cs="Arial" w:eastAsia="Arial" w:hAnsi="Arial"/>
                <w:sz w:val="16"/>
                <w:szCs w:val="16"/>
                <w:color w:val="auto"/>
              </w:rPr>
              <w:t>Decrease in cash and cash equivalents</w:t>
            </w: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w:t>
            </w:r>
          </w:p>
        </w:tc>
        <w:tc>
          <w:tcPr>
            <w:tcW w:w="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194"/>
        </w:trPr>
        <w:tc>
          <w:tcPr>
            <w:tcW w:w="686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20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83"/>
        </w:trPr>
        <w:tc>
          <w:tcPr>
            <w:tcW w:w="6860" w:type="dxa"/>
            <w:vAlign w:val="bottom"/>
          </w:tcPr>
          <w:p>
            <w:pPr>
              <w:spacing w:after="0" w:line="176" w:lineRule="exact"/>
              <w:rPr>
                <w:sz w:val="20"/>
                <w:szCs w:val="20"/>
                <w:color w:val="auto"/>
              </w:rPr>
            </w:pPr>
            <w:r>
              <w:rPr>
                <w:rFonts w:ascii="Arial" w:cs="Arial" w:eastAsia="Arial" w:hAnsi="Arial"/>
                <w:sz w:val="16"/>
                <w:szCs w:val="16"/>
                <w:color w:val="auto"/>
              </w:rPr>
              <w:t>Cash and cash equivalents, June 30</w:t>
            </w:r>
          </w:p>
        </w:tc>
        <w:tc>
          <w:tcPr>
            <w:tcW w:w="2000" w:type="dxa"/>
            <w:vAlign w:val="bottom"/>
          </w:tcPr>
          <w:p>
            <w:pPr>
              <w:spacing w:after="0"/>
              <w:rPr>
                <w:sz w:val="15"/>
                <w:szCs w:val="15"/>
                <w:color w:val="auto"/>
              </w:rPr>
            </w:pPr>
          </w:p>
        </w:tc>
        <w:tc>
          <w:tcPr>
            <w:tcW w:w="840" w:type="dxa"/>
            <w:vAlign w:val="bottom"/>
            <w:tcBorders>
              <w:bottom w:val="single" w:sz="8" w:color="auto"/>
            </w:tcBorders>
          </w:tcPr>
          <w:p>
            <w:pPr>
              <w:jc w:val="right"/>
              <w:ind w:right="663"/>
              <w:spacing w:after="0" w:line="176" w:lineRule="exact"/>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w:t>
            </w:r>
          </w:p>
        </w:tc>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40"/>
        </w:trPr>
        <w:tc>
          <w:tcPr>
            <w:tcW w:w="686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860" w:type="dxa"/>
            <w:vAlign w:val="bottom"/>
          </w:tcPr>
          <w:p>
            <w:pPr>
              <w:ind w:left="180"/>
              <w:spacing w:after="0" w:line="176" w:lineRule="exact"/>
              <w:rPr>
                <w:sz w:val="20"/>
                <w:szCs w:val="20"/>
                <w:color w:val="auto"/>
              </w:rPr>
            </w:pPr>
            <w:r>
              <w:rPr>
                <w:rFonts w:ascii="Arial" w:cs="Arial" w:eastAsia="Arial" w:hAnsi="Arial"/>
                <w:sz w:val="16"/>
                <w:szCs w:val="16"/>
                <w:color w:val="auto"/>
              </w:rPr>
              <w:t>Interest payments, net of amounts capitalized</w:t>
            </w:r>
          </w:p>
        </w:tc>
        <w:tc>
          <w:tcPr>
            <w:tcW w:w="2840" w:type="dxa"/>
            <w:vAlign w:val="bottom"/>
            <w:gridSpan w:val="2"/>
          </w:tcPr>
          <w:p>
            <w:pPr>
              <w:jc w:val="right"/>
              <w:ind w:right="663"/>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31</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5"/>
        </w:trPr>
        <w:tc>
          <w:tcPr>
            <w:tcW w:w="686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2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2"/>
        </w:trPr>
        <w:tc>
          <w:tcPr>
            <w:tcW w:w="686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2840" w:type="dxa"/>
            <w:vAlign w:val="bottom"/>
            <w:gridSpan w:val="2"/>
          </w:tcPr>
          <w:p>
            <w:pPr>
              <w:jc w:val="right"/>
              <w:ind w:right="663"/>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67</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119" w:right="239" w:bottom="1440" w:gutter="0" w:footer="0" w:header="0"/>
        </w:sectPr>
      </w:pPr>
    </w:p>
    <w:bookmarkStart w:id="12" w:name="page13"/>
    <w:bookmarkEnd w:id="12"/>
    <w:p>
      <w:pPr>
        <w:spacing w:after="0"/>
        <w:rPr>
          <w:sz w:val="20"/>
          <w:szCs w:val="20"/>
          <w:color w:val="auto"/>
        </w:rPr>
      </w:pPr>
      <w:r>
        <w:rPr>
          <w:rFonts w:ascii="Arial" w:cs="Arial" w:eastAsia="Arial" w:hAnsi="Arial"/>
          <w:sz w:val="23"/>
          <w:szCs w:val="23"/>
          <w:color w:val="auto"/>
        </w:rPr>
        <w:t>SEMPRA ENERGY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NOTE 1. GENERAL</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2012 Business Segment Realignment</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January 1, 2012, management realigned some of the company’s major subsidiaries to better fit its strategic direction and to enhance the management and integration of our assets. This realignment resulted in a change in reportable segments in 2012. In accordance with accounting principles generally accepted in the United States (GAAP), historical information for Sempra Energy has been restated in its Condensed Consolidated Financial Statements and these Notes to reflect the effect of this change. All discussions of our operating units and reportable segments in these Notes reflect the new segments and operating structure.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Sempra Energy’s Condensed Consolidated Financial Statements include the accounts of Sempra Energy, a California-based Fortune 500 holding company, and its consolidated subsidiaries and a variable interest entity (VIE). Sempra Energy’s principal operating units are</w:t>
      </w:r>
    </w:p>
    <w:p>
      <w:pPr>
        <w:spacing w:after="0" w:line="170" w:lineRule="exact"/>
        <w:rPr>
          <w:sz w:val="20"/>
          <w:szCs w:val="20"/>
          <w:color w:val="auto"/>
        </w:rPr>
      </w:pPr>
    </w:p>
    <w:p>
      <w:pPr>
        <w:ind w:left="340" w:hanging="188"/>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San Diego Gas &amp; Electric Company (SDG&amp;E) and Southern California Gas Company (SoCalGas);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Sempra International, which includes our Sempra South American Utilities and Sempra Mexico reportable segments;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Sempra U.S. Gas &amp; Power, which includes our Sempra Renewables and Sempra Natural Gas reportable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descriptions of each of our segments in Note 11.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refer to SDG&amp;E and SoCalGas collectively as the California Utilities, which do not include the utilities in our Sempra International and Sempra U.S. Gas</w:t>
      </w:r>
    </w:p>
    <w:p>
      <w:pPr>
        <w:spacing w:after="0" w:line="46" w:lineRule="exact"/>
        <w:rPr>
          <w:sz w:val="20"/>
          <w:szCs w:val="20"/>
          <w:color w:val="auto"/>
        </w:rPr>
      </w:pPr>
    </w:p>
    <w:p>
      <w:pPr>
        <w:ind w:right="300" w:firstLine="8"/>
        <w:spacing w:after="0" w:line="255" w:lineRule="auto"/>
        <w:tabs>
          <w:tab w:leader="none" w:pos="1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operating units. Sempra Global is the holding company for most of our subsidiaries that are not subject to California utility regulation. All references in these Notes to “Sempra International,” “Sempra U.S. Gas &amp; Power” and their respective reportable segments are not intended to refer to any legal entity with the same or similar name.</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Sempra Energy uses the equity method to account for investments in affiliated companies over which we have the ability to exercise significant influence, but not control. We discuss our investments in unconsolidated subsidiaries in Note 4 herein and Note 4 of the Notes to Consolidated Financial Statements in our Annual Report on Form 10-K for the year ended December 31, 2011 and in our Current Report on Form 8-K filed on May 11, 2012, discussed below under “Basis of Presentation.”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SDG&amp;E’s Condensed Consolidated Financial Statements include its accounts and the accounts of a VIE of which SDG&amp;E is the primary beneficiary, as we discuss in Note 5 under “Variable Interest Entities.” SDG&amp;E’s common stock is wholly owned by Enova Corporation, which is a wholly owned subsidiary of Sempra Energy.</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SoCalGas’ Condensed Consolidated Financial Statements include its subsidiaries, which comprise less than one percent of its consolidated financial position and results of operations. SoCalGas’ common stock is wholly owned by Pacific Enterprises (PE), which is a wholly owned subsidiary of Sempra Energy.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This is a combined report of Sempra Energy, SDG&amp;E and SoCalGas. We provide separate information for SDG&amp;E and SoCalGas as required.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14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We have prepared the Condensed Consolidated Financial Statements in conformity with GAAP and in accordance with the interim-period-reporting requirements of Form 10-Q. Results of operations for interim periods are not necessarily indicative of results for the entire year. We evaluated events and transactions that occurred after June 30, 2012 through the date the financial statements were issued and, in the opinion of management, the accompanying statements reflect all adjustments necessary for a fair presentation. These adjustments are only of a normal, recurring nature.</w:t>
      </w:r>
    </w:p>
    <w:p>
      <w:pPr>
        <w:spacing w:after="0" w:line="15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All December 31, 2011 balance sheet information in the Condensed Consolidated Financial Statements has been derived from our audited 2011 consolidated financial statements. Certain information and note disclosures normally included in annual financial statements prepared in accordance with GAAP have been condensed or omitted pursuant to the interim-period-reporting provisions of GAAP and the Securities and Exchange Commission.</w:t>
      </w:r>
    </w:p>
    <w:p>
      <w:pPr>
        <w:sectPr>
          <w:pgSz w:w="11900" w:h="16838" w:orient="portrait"/>
          <w:cols w:equalWidth="0" w:num="1">
            <w:col w:w="11400"/>
          </w:cols>
          <w:pgMar w:left="240" w:top="535" w:right="259" w:bottom="89" w:gutter="0" w:footer="0" w:header="0"/>
        </w:sectPr>
      </w:pPr>
    </w:p>
    <w:bookmarkStart w:id="13" w:name="page14"/>
    <w:bookmarkEnd w:id="13"/>
    <w:p>
      <w:pPr>
        <w:ind w:right="100"/>
        <w:spacing w:after="0" w:line="254" w:lineRule="auto"/>
        <w:rPr>
          <w:sz w:val="20"/>
          <w:szCs w:val="20"/>
          <w:color w:val="auto"/>
        </w:rPr>
      </w:pPr>
      <w:r>
        <w:rPr>
          <w:rFonts w:ascii="Arial" w:cs="Arial" w:eastAsia="Arial" w:hAnsi="Arial"/>
          <w:sz w:val="18"/>
          <w:szCs w:val="18"/>
          <w:color w:val="auto"/>
        </w:rPr>
        <w:t>You should read the information in this Quarterly Report in conjunction with our Annual Report on Form 10-K for the year ended December 31, 2011 (the Annual Report) and our Quarterly Report on Form 10-Q for the quarter ended March 31, 2012, which are combined reports for Sempra Energy, SDG&amp;E and SoCalGas. You should also read the information in this Quarterly Report in conjunction with Sempra Energy’s Current Report on Form 8-K and accompanying exhibits, filed on May 11, 2012, which updates the information in the Annual Report primarily for the change in reportable segments (discussed above) and change in accounting principle (discussed below) and which we refer to in this Quarterly Report as the Updated Annual Report. Although the Updated Annual Report contains the separate information for SDG&amp;E and SoCalGas, as filed in the Annual Report, the Form 8-K did not provide updates to their information as separate registrants as they were not impacted by the change in reportable segments or change in accounting principle at Sempra Energy.</w:t>
      </w:r>
    </w:p>
    <w:p>
      <w:pPr>
        <w:spacing w:after="0" w:line="192"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Sempra South American Utilities has controlling interests in two electric distribution utilities in South America. Sempra Natural Gas owns Mobile Gas Service Corporation (Mobile Gas) in southwest Alabama and Willmut Gas Company (Willmut Gas) in Mississippi, and Sempra Mexico owns Ecogas Mexico, S de RL de CV (Ecogas) in Northern Mexico, all natural gas distribution utilities. The California Utilities, Sempra Natural Gas’ Mobile Gas and Willmut Gas, and Sempra Mexico’s Ecogas prepare their financial statements in accordance with GAAP provisions governing regulated operations, as we discuss in Note 1 of the Notes to Consolidated Financial Statements in the Updated Annual Report.</w:t>
      </w:r>
    </w:p>
    <w:p>
      <w:pPr>
        <w:spacing w:after="0" w:line="17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describe our significant accounting policies in Note 1 of the Notes to Consolidated Financial Statements in the Updated Annual Report. We follow the same accounting policies for interim reporting purposes, except for the adoption of new accounting standards as we discuss in Note 2.</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 in Accounting Principle</w:t>
      </w:r>
    </w:p>
    <w:p>
      <w:pPr>
        <w:spacing w:after="0" w:line="2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Effective January 1, 2012, we changed our method of accounting for investment tax credits (ITC) from the flow-through method to the deferral method for Sempra Energy. Under the flow-through method, we reduced our income tax expense by the amount of ITC in the year in which the qualifying assets were placed in service. Under the deferral method, we record ITC in the year when the qualifying assets are placed in service as a reduction to the cost of the asset that generated the ITC. This results in lower book depreciation over the life of the asset. This change has no historical or prospective impact on the California Utilities because ITC is effectively deferred as a result of the application of regulatory accounting required under GAAP.</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flow-through method and the deferral method are both acceptable under GAAP, but the deferral method is the preferred method. We believe that the deferral method is preferable for the ITC we receive because it recognizes ITC benefits over the same periods as the associated costs for which the ITC are intended to compensate.</w:t>
      </w:r>
    </w:p>
    <w:p>
      <w:pPr>
        <w:spacing w:after="0" w:line="181"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We applied this change in accounting principle by retrospectively adjusting the historical financial statement amounts for all periods presented. Upon adopting the deferral method, we recorded an adjustment for the cumulative effect of the change in accounting principle to reduce Sempra Energy Consolidated retained earnings as of January 1, 2011 by $37 million.</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certain solar and wind generating assets being placed into service during 2012, we have elected to seek cash grants rather than ITC for which the projects also qualify. Accordingly, cash grant accounting, which is similar to deferral accounting of ITC, is required to be applied. As a result, the impact of our change in accounting policy for ITC on our financial statements for the three months and six months ending June 30, 2012 is insignificant.</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summarizes the effects of the change in accounting principle on Sempra Energy Consolidated’s condensed financial statements for historical periods presented.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500"/>
        <w:spacing w:after="0" w:line="296" w:lineRule="auto"/>
        <w:rPr>
          <w:sz w:val="20"/>
          <w:szCs w:val="20"/>
          <w:color w:val="auto"/>
        </w:rPr>
      </w:pPr>
      <w:r>
        <w:rPr>
          <w:rFonts w:ascii="Arial" w:cs="Arial" w:eastAsia="Arial" w:hAnsi="Arial"/>
          <w:sz w:val="16"/>
          <w:szCs w:val="16"/>
          <w:b w:val="1"/>
          <w:bCs w:val="1"/>
          <w:color w:val="auto"/>
        </w:rPr>
        <w:t xml:space="preserve">EFFECT OF CHANGE IN ACCOUNTING PRINCIPLE — SEMPRA ENERGY CONSOLIDATED </w:t>
      </w:r>
      <w:r>
        <w:rPr>
          <w:rFonts w:ascii="Arial" w:cs="Arial" w:eastAsia="Arial" w:hAnsi="Arial"/>
          <w:sz w:val="14"/>
          <w:szCs w:val="14"/>
          <w:i w:val="1"/>
          <w:i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59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Three months ended June 30, 2011</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231"/>
        </w:trPr>
        <w:tc>
          <w:tcPr>
            <w:tcW w:w="5900" w:type="dxa"/>
            <w:vAlign w:val="bottom"/>
          </w:tcPr>
          <w:p>
            <w:pPr>
              <w:spacing w:after="0"/>
              <w:rPr>
                <w:sz w:val="20"/>
                <w:szCs w:val="20"/>
                <w:color w:val="auto"/>
              </w:rPr>
            </w:pPr>
          </w:p>
        </w:tc>
        <w:tc>
          <w:tcPr>
            <w:tcW w:w="1440" w:type="dxa"/>
            <w:vAlign w:val="bottom"/>
          </w:tcPr>
          <w:p>
            <w:pPr>
              <w:jc w:val="center"/>
              <w:ind w:left="668"/>
              <w:spacing w:after="0"/>
              <w:rPr>
                <w:sz w:val="20"/>
                <w:szCs w:val="20"/>
                <w:color w:val="auto"/>
              </w:rPr>
            </w:pPr>
            <w:r>
              <w:rPr>
                <w:rFonts w:ascii="Arial" w:cs="Arial" w:eastAsia="Arial" w:hAnsi="Arial"/>
                <w:sz w:val="14"/>
                <w:szCs w:val="14"/>
                <w:color w:val="auto"/>
              </w:rPr>
              <w:t>As</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1440" w:type="dxa"/>
            <w:vAlign w:val="bottom"/>
          </w:tcPr>
          <w:p>
            <w:pPr>
              <w:jc w:val="center"/>
              <w:ind w:left="688"/>
              <w:spacing w:after="0"/>
              <w:rPr>
                <w:sz w:val="20"/>
                <w:szCs w:val="20"/>
                <w:color w:val="auto"/>
              </w:rPr>
            </w:pPr>
            <w:r>
              <w:rPr>
                <w:rFonts w:ascii="Arial" w:cs="Arial" w:eastAsia="Arial" w:hAnsi="Arial"/>
                <w:sz w:val="14"/>
                <w:szCs w:val="14"/>
                <w:color w:val="auto"/>
              </w:rPr>
              <w:t>Originally</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color w:val="auto"/>
              </w:rPr>
              <w:t>Retrospectively</w:t>
            </w:r>
          </w:p>
        </w:tc>
      </w:tr>
      <w:tr>
        <w:trPr>
          <w:trHeight w:val="208"/>
        </w:trPr>
        <w:tc>
          <w:tcPr>
            <w:tcW w:w="5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color w:val="auto"/>
              </w:rPr>
              <w:t>Reported</w:t>
            </w: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Adjusted</w:t>
            </w:r>
          </w:p>
        </w:tc>
      </w:tr>
      <w:tr>
        <w:trPr>
          <w:trHeight w:val="218"/>
        </w:trPr>
        <w:tc>
          <w:tcPr>
            <w:tcW w:w="5900" w:type="dxa"/>
            <w:vAlign w:val="bottom"/>
          </w:tcPr>
          <w:p>
            <w:pPr>
              <w:spacing w:after="0"/>
              <w:rPr>
                <w:sz w:val="20"/>
                <w:szCs w:val="20"/>
                <w:color w:val="auto"/>
              </w:rPr>
            </w:pPr>
            <w:r>
              <w:rPr>
                <w:rFonts w:ascii="Arial" w:cs="Arial" w:eastAsia="Arial" w:hAnsi="Arial"/>
                <w:sz w:val="14"/>
                <w:szCs w:val="14"/>
                <w:color w:val="auto"/>
              </w:rPr>
              <w:t>CONDENSED CONSOLIDATED STATEMENT OF OPERATIONS</w:t>
            </w: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65"/>
        </w:trPr>
        <w:tc>
          <w:tcPr>
            <w:tcW w:w="5900" w:type="dxa"/>
            <w:vAlign w:val="bottom"/>
          </w:tcPr>
          <w:p>
            <w:pPr>
              <w:spacing w:after="0"/>
              <w:rPr>
                <w:sz w:val="20"/>
                <w:szCs w:val="20"/>
                <w:color w:val="auto"/>
              </w:rPr>
            </w:pPr>
            <w:r>
              <w:rPr>
                <w:rFonts w:ascii="Arial" w:cs="Arial" w:eastAsia="Arial" w:hAnsi="Arial"/>
                <w:sz w:val="14"/>
                <w:szCs w:val="14"/>
                <w:color w:val="auto"/>
              </w:rPr>
              <w:t>Income tax expense</w:t>
            </w:r>
          </w:p>
        </w:tc>
        <w:tc>
          <w:tcPr>
            <w:tcW w:w="144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348"/>
              <w:spacing w:after="0"/>
              <w:rPr>
                <w:sz w:val="20"/>
                <w:szCs w:val="20"/>
                <w:color w:val="auto"/>
              </w:rPr>
            </w:pPr>
            <w:r>
              <w:rPr>
                <w:rFonts w:ascii="Arial" w:cs="Arial" w:eastAsia="Arial" w:hAnsi="Arial"/>
                <w:sz w:val="14"/>
                <w:szCs w:val="14"/>
                <w:color w:val="auto"/>
              </w:rPr>
              <w:t>8</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62"/>
        </w:trPr>
        <w:tc>
          <w:tcPr>
            <w:tcW w:w="5900" w:type="dxa"/>
            <w:vAlign w:val="bottom"/>
          </w:tcPr>
          <w:p>
            <w:pPr>
              <w:spacing w:after="0"/>
              <w:rPr>
                <w:sz w:val="20"/>
                <w:szCs w:val="20"/>
                <w:color w:val="auto"/>
              </w:rPr>
            </w:pPr>
            <w:r>
              <w:rPr>
                <w:rFonts w:ascii="Arial" w:cs="Arial" w:eastAsia="Arial" w:hAnsi="Arial"/>
                <w:sz w:val="14"/>
                <w:szCs w:val="14"/>
                <w:color w:val="auto"/>
              </w:rPr>
              <w:t>Net income</w:t>
            </w:r>
          </w:p>
        </w:tc>
        <w:tc>
          <w:tcPr>
            <w:tcW w:w="144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502</w:t>
            </w:r>
          </w:p>
        </w:tc>
        <w:tc>
          <w:tcPr>
            <w:tcW w:w="40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494</w:t>
            </w:r>
          </w:p>
        </w:tc>
      </w:tr>
      <w:tr>
        <w:trPr>
          <w:trHeight w:val="172"/>
        </w:trPr>
        <w:tc>
          <w:tcPr>
            <w:tcW w:w="5900" w:type="dxa"/>
            <w:vAlign w:val="bottom"/>
          </w:tcPr>
          <w:p>
            <w:pPr>
              <w:spacing w:after="0"/>
              <w:rPr>
                <w:sz w:val="20"/>
                <w:szCs w:val="20"/>
                <w:color w:val="auto"/>
              </w:rPr>
            </w:pPr>
            <w:r>
              <w:rPr>
                <w:rFonts w:ascii="Arial" w:cs="Arial" w:eastAsia="Arial" w:hAnsi="Arial"/>
                <w:sz w:val="14"/>
                <w:szCs w:val="14"/>
                <w:color w:val="auto"/>
              </w:rPr>
              <w:t>Earnings</w:t>
            </w:r>
          </w:p>
        </w:tc>
        <w:tc>
          <w:tcPr>
            <w:tcW w:w="144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511</w:t>
            </w:r>
          </w:p>
        </w:tc>
        <w:tc>
          <w:tcPr>
            <w:tcW w:w="40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503</w:t>
            </w:r>
          </w:p>
        </w:tc>
      </w:tr>
      <w:tr>
        <w:trPr>
          <w:trHeight w:val="368"/>
        </w:trPr>
        <w:tc>
          <w:tcPr>
            <w:tcW w:w="590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144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2.14</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(0.04)</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164"/>
        </w:trPr>
        <w:tc>
          <w:tcPr>
            <w:tcW w:w="59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Diluted earnings per common share</w:t>
            </w:r>
          </w:p>
        </w:tc>
        <w:tc>
          <w:tcPr>
            <w:tcW w:w="1440" w:type="dxa"/>
            <w:vAlign w:val="bottom"/>
            <w:tcBorders>
              <w:bottom w:val="single" w:sz="8" w:color="auto"/>
            </w:tcBorders>
          </w:tcPr>
          <w:p>
            <w:pPr>
              <w:jc w:val="right"/>
              <w:ind w:right="988"/>
              <w:spacing w:after="0" w:line="157"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2.12</w:t>
            </w:r>
          </w:p>
        </w:tc>
        <w:tc>
          <w:tcPr>
            <w:tcW w:w="4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308"/>
              <w:spacing w:after="0" w:line="157" w:lineRule="exact"/>
              <w:rPr>
                <w:sz w:val="20"/>
                <w:szCs w:val="20"/>
                <w:color w:val="auto"/>
              </w:rPr>
            </w:pPr>
            <w:r>
              <w:rPr>
                <w:rFonts w:ascii="Arial" w:cs="Arial" w:eastAsia="Arial" w:hAnsi="Arial"/>
                <w:sz w:val="14"/>
                <w:szCs w:val="14"/>
                <w:color w:val="auto"/>
              </w:rPr>
              <w:t>(0.03)</w:t>
            </w:r>
          </w:p>
        </w:tc>
        <w:tc>
          <w:tcPr>
            <w:tcW w:w="24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2.09</w:t>
            </w:r>
          </w:p>
        </w:tc>
      </w:tr>
      <w:tr>
        <w:trPr>
          <w:trHeight w:val="412"/>
        </w:trPr>
        <w:tc>
          <w:tcPr>
            <w:tcW w:w="59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Six months ended June 30, 2011</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31"/>
        </w:trPr>
        <w:tc>
          <w:tcPr>
            <w:tcW w:w="5900" w:type="dxa"/>
            <w:vAlign w:val="bottom"/>
          </w:tcPr>
          <w:p>
            <w:pPr>
              <w:spacing w:after="0"/>
              <w:rPr>
                <w:sz w:val="20"/>
                <w:szCs w:val="20"/>
                <w:color w:val="auto"/>
              </w:rPr>
            </w:pPr>
          </w:p>
        </w:tc>
        <w:tc>
          <w:tcPr>
            <w:tcW w:w="1440" w:type="dxa"/>
            <w:vAlign w:val="bottom"/>
          </w:tcPr>
          <w:p>
            <w:pPr>
              <w:jc w:val="center"/>
              <w:ind w:left="668"/>
              <w:spacing w:after="0"/>
              <w:rPr>
                <w:sz w:val="20"/>
                <w:szCs w:val="20"/>
                <w:color w:val="auto"/>
              </w:rPr>
            </w:pPr>
            <w:r>
              <w:rPr>
                <w:rFonts w:ascii="Arial" w:cs="Arial" w:eastAsia="Arial" w:hAnsi="Arial"/>
                <w:sz w:val="14"/>
                <w:szCs w:val="14"/>
                <w:color w:val="auto"/>
              </w:rPr>
              <w:t>As</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1440" w:type="dxa"/>
            <w:vAlign w:val="bottom"/>
          </w:tcPr>
          <w:p>
            <w:pPr>
              <w:jc w:val="center"/>
              <w:ind w:left="688"/>
              <w:spacing w:after="0"/>
              <w:rPr>
                <w:sz w:val="20"/>
                <w:szCs w:val="20"/>
                <w:color w:val="auto"/>
              </w:rPr>
            </w:pPr>
            <w:r>
              <w:rPr>
                <w:rFonts w:ascii="Arial" w:cs="Arial" w:eastAsia="Arial" w:hAnsi="Arial"/>
                <w:sz w:val="14"/>
                <w:szCs w:val="14"/>
                <w:color w:val="auto"/>
              </w:rPr>
              <w:t>Originally</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color w:val="auto"/>
              </w:rPr>
              <w:t>Retrospectively</w:t>
            </w:r>
          </w:p>
        </w:tc>
      </w:tr>
      <w:tr>
        <w:trPr>
          <w:trHeight w:val="208"/>
        </w:trPr>
        <w:tc>
          <w:tcPr>
            <w:tcW w:w="5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color w:val="auto"/>
              </w:rPr>
              <w:t>Reported</w:t>
            </w: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Adjusted</w:t>
            </w:r>
          </w:p>
        </w:tc>
      </w:tr>
      <w:tr>
        <w:trPr>
          <w:trHeight w:val="218"/>
        </w:trPr>
        <w:tc>
          <w:tcPr>
            <w:tcW w:w="5900" w:type="dxa"/>
            <w:vAlign w:val="bottom"/>
          </w:tcPr>
          <w:p>
            <w:pPr>
              <w:spacing w:after="0"/>
              <w:rPr>
                <w:sz w:val="20"/>
                <w:szCs w:val="20"/>
                <w:color w:val="auto"/>
              </w:rPr>
            </w:pPr>
            <w:r>
              <w:rPr>
                <w:rFonts w:ascii="Arial" w:cs="Arial" w:eastAsia="Arial" w:hAnsi="Arial"/>
                <w:sz w:val="14"/>
                <w:szCs w:val="14"/>
                <w:color w:val="auto"/>
              </w:rPr>
              <w:t>CONDENSED CONSOLIDATED STATEMENT OF OPERATIONS</w:t>
            </w: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44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479</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478</w:t>
            </w:r>
          </w:p>
        </w:tc>
      </w:tr>
      <w:tr>
        <w:trPr>
          <w:trHeight w:val="206"/>
        </w:trPr>
        <w:tc>
          <w:tcPr>
            <w:tcW w:w="5900" w:type="dxa"/>
            <w:vAlign w:val="bottom"/>
          </w:tcPr>
          <w:p>
            <w:pPr>
              <w:spacing w:after="0"/>
              <w:rPr>
                <w:sz w:val="20"/>
                <w:szCs w:val="20"/>
                <w:color w:val="auto"/>
              </w:rPr>
            </w:pPr>
            <w:r>
              <w:rPr>
                <w:rFonts w:ascii="Arial" w:cs="Arial" w:eastAsia="Arial" w:hAnsi="Arial"/>
                <w:sz w:val="14"/>
                <w:szCs w:val="14"/>
                <w:color w:val="auto"/>
              </w:rPr>
              <w:t>Income before income taxes and equity earnings</w:t>
            </w: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62"/>
        </w:trPr>
        <w:tc>
          <w:tcPr>
            <w:tcW w:w="5900" w:type="dxa"/>
            <w:vAlign w:val="bottom"/>
          </w:tcPr>
          <w:p>
            <w:pPr>
              <w:ind w:left="200"/>
              <w:spacing w:after="0"/>
              <w:rPr>
                <w:sz w:val="20"/>
                <w:szCs w:val="20"/>
                <w:color w:val="auto"/>
              </w:rPr>
            </w:pPr>
            <w:r>
              <w:rPr>
                <w:rFonts w:ascii="Arial" w:cs="Arial" w:eastAsia="Arial" w:hAnsi="Arial"/>
                <w:sz w:val="14"/>
                <w:szCs w:val="14"/>
                <w:color w:val="auto"/>
              </w:rPr>
              <w:t>of certain unconsolidated subsidiaries</w:t>
            </w:r>
          </w:p>
        </w:tc>
        <w:tc>
          <w:tcPr>
            <w:tcW w:w="144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928</w:t>
            </w:r>
          </w:p>
        </w:tc>
        <w:tc>
          <w:tcPr>
            <w:tcW w:w="40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929</w:t>
            </w:r>
          </w:p>
        </w:tc>
      </w:tr>
      <w:tr>
        <w:trPr>
          <w:trHeight w:val="162"/>
        </w:trPr>
        <w:tc>
          <w:tcPr>
            <w:tcW w:w="5900" w:type="dxa"/>
            <w:vAlign w:val="bottom"/>
          </w:tcPr>
          <w:p>
            <w:pPr>
              <w:spacing w:after="0"/>
              <w:rPr>
                <w:sz w:val="20"/>
                <w:szCs w:val="20"/>
                <w:color w:val="auto"/>
              </w:rPr>
            </w:pPr>
            <w:r>
              <w:rPr>
                <w:rFonts w:ascii="Arial" w:cs="Arial" w:eastAsia="Arial" w:hAnsi="Arial"/>
                <w:sz w:val="14"/>
                <w:szCs w:val="14"/>
                <w:color w:val="auto"/>
              </w:rPr>
              <w:t>Income tax expense</w:t>
            </w:r>
          </w:p>
        </w:tc>
        <w:tc>
          <w:tcPr>
            <w:tcW w:w="144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201</w:t>
            </w:r>
          </w:p>
        </w:tc>
        <w:tc>
          <w:tcPr>
            <w:tcW w:w="40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162"/>
        </w:trPr>
        <w:tc>
          <w:tcPr>
            <w:tcW w:w="5900" w:type="dxa"/>
            <w:vAlign w:val="bottom"/>
          </w:tcPr>
          <w:p>
            <w:pPr>
              <w:spacing w:after="0"/>
              <w:rPr>
                <w:sz w:val="20"/>
                <w:szCs w:val="20"/>
                <w:color w:val="auto"/>
              </w:rPr>
            </w:pPr>
            <w:r>
              <w:rPr>
                <w:rFonts w:ascii="Arial" w:cs="Arial" w:eastAsia="Arial" w:hAnsi="Arial"/>
                <w:sz w:val="14"/>
                <w:szCs w:val="14"/>
                <w:color w:val="auto"/>
              </w:rPr>
              <w:t>Net income</w:t>
            </w:r>
          </w:p>
        </w:tc>
        <w:tc>
          <w:tcPr>
            <w:tcW w:w="144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766</w:t>
            </w:r>
          </w:p>
        </w:tc>
        <w:tc>
          <w:tcPr>
            <w:tcW w:w="40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754</w:t>
            </w:r>
          </w:p>
        </w:tc>
      </w:tr>
      <w:tr>
        <w:trPr>
          <w:trHeight w:val="172"/>
        </w:trPr>
        <w:tc>
          <w:tcPr>
            <w:tcW w:w="5900" w:type="dxa"/>
            <w:vAlign w:val="bottom"/>
          </w:tcPr>
          <w:p>
            <w:pPr>
              <w:spacing w:after="0"/>
              <w:rPr>
                <w:sz w:val="20"/>
                <w:szCs w:val="20"/>
                <w:color w:val="auto"/>
              </w:rPr>
            </w:pPr>
            <w:r>
              <w:rPr>
                <w:rFonts w:ascii="Arial" w:cs="Arial" w:eastAsia="Arial" w:hAnsi="Arial"/>
                <w:sz w:val="14"/>
                <w:szCs w:val="14"/>
                <w:color w:val="auto"/>
              </w:rPr>
              <w:t>Earnings</w:t>
            </w:r>
          </w:p>
        </w:tc>
        <w:tc>
          <w:tcPr>
            <w:tcW w:w="144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769</w:t>
            </w:r>
          </w:p>
        </w:tc>
        <w:tc>
          <w:tcPr>
            <w:tcW w:w="40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757</w:t>
            </w:r>
          </w:p>
        </w:tc>
      </w:tr>
      <w:tr>
        <w:trPr>
          <w:trHeight w:val="368"/>
        </w:trPr>
        <w:tc>
          <w:tcPr>
            <w:tcW w:w="590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144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3.21</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(0.05)</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164"/>
        </w:trPr>
        <w:tc>
          <w:tcPr>
            <w:tcW w:w="5900" w:type="dxa"/>
            <w:vAlign w:val="bottom"/>
          </w:tcPr>
          <w:p>
            <w:pPr>
              <w:spacing w:after="0" w:line="137" w:lineRule="exact"/>
              <w:rPr>
                <w:sz w:val="20"/>
                <w:szCs w:val="20"/>
                <w:color w:val="auto"/>
              </w:rPr>
            </w:pPr>
            <w:r>
              <w:rPr>
                <w:rFonts w:ascii="Arial" w:cs="Arial" w:eastAsia="Arial" w:hAnsi="Arial"/>
                <w:sz w:val="14"/>
                <w:szCs w:val="14"/>
                <w:color w:val="auto"/>
              </w:rPr>
              <w:t>Diluted earnings per common share</w:t>
            </w:r>
          </w:p>
        </w:tc>
        <w:tc>
          <w:tcPr>
            <w:tcW w:w="1440" w:type="dxa"/>
            <w:vAlign w:val="bottom"/>
            <w:tcBorders>
              <w:bottom w:val="single" w:sz="8" w:color="auto"/>
            </w:tcBorders>
          </w:tcPr>
          <w:p>
            <w:pPr>
              <w:jc w:val="right"/>
              <w:ind w:right="988"/>
              <w:spacing w:after="0" w:line="137"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3.19</w:t>
            </w:r>
          </w:p>
        </w:tc>
        <w:tc>
          <w:tcPr>
            <w:tcW w:w="40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308"/>
              <w:spacing w:after="0" w:line="137" w:lineRule="exact"/>
              <w:rPr>
                <w:sz w:val="20"/>
                <w:szCs w:val="20"/>
                <w:color w:val="auto"/>
              </w:rPr>
            </w:pPr>
            <w:r>
              <w:rPr>
                <w:rFonts w:ascii="Arial" w:cs="Arial" w:eastAsia="Arial" w:hAnsi="Arial"/>
                <w:sz w:val="14"/>
                <w:szCs w:val="14"/>
                <w:color w:val="auto"/>
              </w:rPr>
              <w:t>(0.05)</w:t>
            </w:r>
          </w:p>
        </w:tc>
        <w:tc>
          <w:tcPr>
            <w:tcW w:w="240" w:type="dxa"/>
            <w:vAlign w:val="bottom"/>
            <w:tcBorders>
              <w:bottom w:val="single" w:sz="8" w:color="auto"/>
            </w:tcBorders>
          </w:tcPr>
          <w:p>
            <w:pPr>
              <w:jc w:val="right"/>
              <w:ind w:right="48"/>
              <w:spacing w:after="0" w:line="137"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3.14</w:t>
            </w:r>
          </w:p>
        </w:tc>
      </w:tr>
      <w:tr>
        <w:trPr>
          <w:trHeight w:val="434"/>
        </w:trPr>
        <w:tc>
          <w:tcPr>
            <w:tcW w:w="5900" w:type="dxa"/>
            <w:vAlign w:val="bottom"/>
          </w:tcPr>
          <w:p>
            <w:pPr>
              <w:spacing w:after="0"/>
              <w:rPr>
                <w:sz w:val="20"/>
                <w:szCs w:val="20"/>
                <w:color w:val="auto"/>
              </w:rPr>
            </w:pPr>
            <w:r>
              <w:rPr>
                <w:rFonts w:ascii="Arial" w:cs="Arial" w:eastAsia="Arial" w:hAnsi="Arial"/>
                <w:sz w:val="14"/>
                <w:szCs w:val="14"/>
                <w:color w:val="auto"/>
              </w:rPr>
              <w:t>CONDENSED CONSOLIDATED STATEMENT OF CASH FLOWS</w:t>
            </w: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Net income</w:t>
            </w:r>
          </w:p>
        </w:tc>
        <w:tc>
          <w:tcPr>
            <w:tcW w:w="144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766</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(12)</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754</w:t>
            </w: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w:t>
            </w: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4"/>
                <w:szCs w:val="14"/>
                <w:color w:val="auto"/>
              </w:rPr>
              <w:t>operating activities:</w:t>
            </w: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6"/>
        </w:trPr>
        <w:tc>
          <w:tcPr>
            <w:tcW w:w="590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440" w:type="dxa"/>
            <w:vAlign w:val="bottom"/>
          </w:tcPr>
          <w:p>
            <w:pPr>
              <w:spacing w:after="0"/>
              <w:rPr>
                <w:sz w:val="17"/>
                <w:szCs w:val="17"/>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479</w:t>
            </w:r>
          </w:p>
        </w:tc>
        <w:tc>
          <w:tcPr>
            <w:tcW w:w="400" w:type="dxa"/>
            <w:vAlign w:val="bottom"/>
          </w:tcPr>
          <w:p>
            <w:pPr>
              <w:spacing w:after="0"/>
              <w:rPr>
                <w:sz w:val="17"/>
                <w:szCs w:val="17"/>
                <w:color w:val="auto"/>
              </w:rPr>
            </w:pP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478</w:t>
            </w:r>
          </w:p>
        </w:tc>
      </w:tr>
      <w:tr>
        <w:trPr>
          <w:trHeight w:val="172"/>
        </w:trPr>
        <w:tc>
          <w:tcPr>
            <w:tcW w:w="5900" w:type="dxa"/>
            <w:vAlign w:val="bottom"/>
          </w:tcPr>
          <w:p>
            <w:pPr>
              <w:ind w:left="200"/>
              <w:spacing w:after="0"/>
              <w:rPr>
                <w:sz w:val="20"/>
                <w:szCs w:val="20"/>
                <w:color w:val="auto"/>
              </w:rPr>
            </w:pPr>
            <w:r>
              <w:rPr>
                <w:rFonts w:ascii="Arial" w:cs="Arial" w:eastAsia="Arial" w:hAnsi="Arial"/>
                <w:sz w:val="14"/>
                <w:szCs w:val="14"/>
                <w:color w:val="auto"/>
              </w:rPr>
              <w:t>Deferred income taxes and investment tax credits</w:t>
            </w:r>
          </w:p>
        </w:tc>
        <w:tc>
          <w:tcPr>
            <w:tcW w:w="144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147</w:t>
            </w:r>
          </w:p>
        </w:tc>
        <w:tc>
          <w:tcPr>
            <w:tcW w:w="40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138</w:t>
            </w:r>
          </w:p>
        </w:tc>
      </w:tr>
    </w:tbl>
    <w:p>
      <w:pPr>
        <w:sectPr>
          <w:pgSz w:w="11900" w:h="16838" w:orient="portrait"/>
          <w:cols w:equalWidth="0" w:num="1">
            <w:col w:w="11420"/>
          </w:cols>
          <w:pgMar w:left="240" w:top="125"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change in other working capital components (income taxes)</w:t>
            </w: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22</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412"/>
        </w:trPr>
        <w:tc>
          <w:tcPr>
            <w:tcW w:w="59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As of December 31, 2011</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31"/>
        </w:trPr>
        <w:tc>
          <w:tcPr>
            <w:tcW w:w="5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color w:val="auto"/>
              </w:rPr>
              <w:t>As</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right"/>
              <w:ind w:right="408"/>
              <w:spacing w:after="0"/>
              <w:rPr>
                <w:sz w:val="20"/>
                <w:szCs w:val="20"/>
                <w:color w:val="auto"/>
              </w:rPr>
            </w:pPr>
            <w:r>
              <w:rPr>
                <w:rFonts w:ascii="Arial" w:cs="Arial" w:eastAsia="Arial" w:hAnsi="Arial"/>
                <w:sz w:val="14"/>
                <w:szCs w:val="14"/>
                <w:color w:val="auto"/>
              </w:rPr>
              <w:t>Originally</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Retrospectively</w:t>
            </w:r>
          </w:p>
        </w:tc>
      </w:tr>
      <w:tr>
        <w:trPr>
          <w:trHeight w:val="208"/>
        </w:trPr>
        <w:tc>
          <w:tcPr>
            <w:tcW w:w="5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Reported</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Adjustments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Adjusted</w:t>
            </w:r>
          </w:p>
        </w:tc>
      </w:tr>
      <w:tr>
        <w:trPr>
          <w:trHeight w:val="218"/>
        </w:trPr>
        <w:tc>
          <w:tcPr>
            <w:tcW w:w="5900" w:type="dxa"/>
            <w:vAlign w:val="bottom"/>
          </w:tcPr>
          <w:p>
            <w:pPr>
              <w:spacing w:after="0"/>
              <w:rPr>
                <w:sz w:val="20"/>
                <w:szCs w:val="20"/>
                <w:color w:val="auto"/>
              </w:rPr>
            </w:pPr>
            <w:r>
              <w:rPr>
                <w:rFonts w:ascii="Arial" w:cs="Arial" w:eastAsia="Arial" w:hAnsi="Arial"/>
                <w:sz w:val="14"/>
                <w:szCs w:val="14"/>
                <w:color w:val="auto"/>
              </w:rPr>
              <w:t>CONDENSED CONSOLIDATED BALANCE SHEET</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65"/>
        </w:trPr>
        <w:tc>
          <w:tcPr>
            <w:tcW w:w="590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31,303</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(111)</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31,192</w:t>
            </w:r>
          </w:p>
        </w:tc>
      </w:tr>
      <w:tr>
        <w:trPr>
          <w:trHeight w:val="164"/>
        </w:trPr>
        <w:tc>
          <w:tcPr>
            <w:tcW w:w="5900" w:type="dxa"/>
            <w:vAlign w:val="bottom"/>
          </w:tcPr>
          <w:p>
            <w:pPr>
              <w:spacing w:after="0" w:line="137" w:lineRule="exact"/>
              <w:rPr>
                <w:sz w:val="20"/>
                <w:szCs w:val="20"/>
                <w:color w:val="auto"/>
              </w:rPr>
            </w:pPr>
            <w:r>
              <w:rPr>
                <w:rFonts w:ascii="Arial" w:cs="Arial" w:eastAsia="Arial" w:hAnsi="Arial"/>
                <w:sz w:val="14"/>
                <w:szCs w:val="14"/>
                <w:color w:val="auto"/>
              </w:rPr>
              <w:t>Less accumulated depreciation and amortization</w:t>
            </w: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
              <w:spacing w:after="0" w:line="137" w:lineRule="exact"/>
              <w:rPr>
                <w:sz w:val="20"/>
                <w:szCs w:val="20"/>
                <w:color w:val="auto"/>
              </w:rPr>
            </w:pPr>
            <w:r>
              <w:rPr>
                <w:rFonts w:ascii="Arial" w:cs="Arial" w:eastAsia="Arial" w:hAnsi="Arial"/>
                <w:sz w:val="14"/>
                <w:szCs w:val="14"/>
                <w:color w:val="auto"/>
              </w:rPr>
              <w:t>(7,731)</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88"/>
              <w:spacing w:after="0" w:line="137" w:lineRule="exact"/>
              <w:rPr>
                <w:sz w:val="20"/>
                <w:szCs w:val="20"/>
                <w:color w:val="auto"/>
              </w:rPr>
            </w:pPr>
            <w:r>
              <w:rPr>
                <w:rFonts w:ascii="Arial" w:cs="Arial" w:eastAsia="Arial" w:hAnsi="Arial"/>
                <w:sz w:val="14"/>
                <w:szCs w:val="14"/>
                <w:color w:val="auto"/>
              </w:rPr>
              <w:t>4</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(7,727)</w:t>
            </w:r>
          </w:p>
        </w:tc>
      </w:tr>
      <w:tr>
        <w:trPr>
          <w:trHeight w:val="169"/>
        </w:trPr>
        <w:tc>
          <w:tcPr>
            <w:tcW w:w="5900" w:type="dxa"/>
            <w:vAlign w:val="bottom"/>
          </w:tcPr>
          <w:p>
            <w:pPr>
              <w:ind w:left="200"/>
              <w:spacing w:after="0" w:line="142" w:lineRule="exact"/>
              <w:rPr>
                <w:sz w:val="20"/>
                <w:szCs w:val="20"/>
                <w:color w:val="auto"/>
              </w:rPr>
            </w:pPr>
            <w:r>
              <w:rPr>
                <w:rFonts w:ascii="Arial" w:cs="Arial" w:eastAsia="Arial" w:hAnsi="Arial"/>
                <w:sz w:val="14"/>
                <w:szCs w:val="14"/>
                <w:color w:val="auto"/>
              </w:rPr>
              <w:t>Property, plant and equipment, net</w:t>
            </w:r>
          </w:p>
        </w:tc>
        <w:tc>
          <w:tcPr>
            <w:tcW w:w="5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23,572</w:t>
            </w:r>
          </w:p>
        </w:tc>
        <w:tc>
          <w:tcPr>
            <w:tcW w:w="4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(107)</w:t>
            </w:r>
          </w:p>
        </w:tc>
        <w:tc>
          <w:tcPr>
            <w:tcW w:w="4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23,465</w:t>
            </w:r>
          </w:p>
        </w:tc>
      </w:tr>
      <w:tr>
        <w:trPr>
          <w:trHeight w:val="383"/>
        </w:trPr>
        <w:tc>
          <w:tcPr>
            <w:tcW w:w="5900" w:type="dxa"/>
            <w:vAlign w:val="bottom"/>
          </w:tcPr>
          <w:p>
            <w:pPr>
              <w:spacing w:after="0"/>
              <w:rPr>
                <w:sz w:val="20"/>
                <w:szCs w:val="20"/>
                <w:color w:val="auto"/>
              </w:rPr>
            </w:pPr>
            <w:r>
              <w:rPr>
                <w:rFonts w:ascii="Arial" w:cs="Arial" w:eastAsia="Arial" w:hAnsi="Arial"/>
                <w:sz w:val="14"/>
                <w:szCs w:val="14"/>
                <w:color w:val="auto"/>
              </w:rPr>
              <w:t>Income taxes payable</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(11)</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62"/>
        </w:trPr>
        <w:tc>
          <w:tcPr>
            <w:tcW w:w="5900" w:type="dxa"/>
            <w:vAlign w:val="bottom"/>
          </w:tcPr>
          <w:p>
            <w:pPr>
              <w:spacing w:after="0"/>
              <w:rPr>
                <w:sz w:val="20"/>
                <w:szCs w:val="20"/>
                <w:color w:val="auto"/>
              </w:rPr>
            </w:pPr>
            <w:r>
              <w:rPr>
                <w:rFonts w:ascii="Arial" w:cs="Arial" w:eastAsia="Arial" w:hAnsi="Arial"/>
                <w:sz w:val="14"/>
                <w:szCs w:val="14"/>
                <w:color w:val="auto"/>
              </w:rPr>
              <w:t>Deferred income taxes, noncurrent liability</w:t>
            </w:r>
          </w:p>
        </w:tc>
        <w:tc>
          <w:tcPr>
            <w:tcW w:w="5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1,554</w:t>
            </w:r>
          </w:p>
        </w:tc>
        <w:tc>
          <w:tcPr>
            <w:tcW w:w="4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(34)</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1,520</w:t>
            </w:r>
          </w:p>
        </w:tc>
      </w:tr>
      <w:tr>
        <w:trPr>
          <w:trHeight w:val="162"/>
        </w:trPr>
        <w:tc>
          <w:tcPr>
            <w:tcW w:w="5900" w:type="dxa"/>
            <w:vAlign w:val="bottom"/>
          </w:tcPr>
          <w:p>
            <w:pPr>
              <w:spacing w:after="0"/>
              <w:rPr>
                <w:sz w:val="20"/>
                <w:szCs w:val="20"/>
                <w:color w:val="auto"/>
              </w:rPr>
            </w:pPr>
            <w:r>
              <w:rPr>
                <w:rFonts w:ascii="Arial" w:cs="Arial" w:eastAsia="Arial" w:hAnsi="Arial"/>
                <w:sz w:val="14"/>
                <w:szCs w:val="14"/>
                <w:color w:val="auto"/>
              </w:rPr>
              <w:t>Deferred credits and other</w:t>
            </w:r>
          </w:p>
        </w:tc>
        <w:tc>
          <w:tcPr>
            <w:tcW w:w="5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773</w:t>
            </w:r>
          </w:p>
        </w:tc>
        <w:tc>
          <w:tcPr>
            <w:tcW w:w="44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774</w:t>
            </w:r>
          </w:p>
        </w:tc>
      </w:tr>
      <w:tr>
        <w:trPr>
          <w:trHeight w:val="172"/>
        </w:trPr>
        <w:tc>
          <w:tcPr>
            <w:tcW w:w="5900" w:type="dxa"/>
            <w:vAlign w:val="bottom"/>
          </w:tcPr>
          <w:p>
            <w:pPr>
              <w:spacing w:after="0"/>
              <w:rPr>
                <w:sz w:val="20"/>
                <w:szCs w:val="20"/>
                <w:color w:val="auto"/>
              </w:rPr>
            </w:pPr>
            <w:r>
              <w:rPr>
                <w:rFonts w:ascii="Arial" w:cs="Arial" w:eastAsia="Arial" w:hAnsi="Arial"/>
                <w:sz w:val="14"/>
                <w:szCs w:val="14"/>
                <w:color w:val="auto"/>
              </w:rPr>
              <w:t>Retained earnings(1)</w:t>
            </w:r>
          </w:p>
        </w:tc>
        <w:tc>
          <w:tcPr>
            <w:tcW w:w="5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8,225</w:t>
            </w:r>
          </w:p>
        </w:tc>
        <w:tc>
          <w:tcPr>
            <w:tcW w:w="4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(63)</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right="200" w:hanging="492"/>
        <w:spacing w:after="0" w:line="263" w:lineRule="auto"/>
        <w:tabs>
          <w:tab w:leader="none" w:pos="500" w:val="left"/>
        </w:tabs>
        <w:numPr>
          <w:ilvl w:val="0"/>
          <w:numId w:val="13"/>
        </w:numPr>
        <w:rPr>
          <w:rFonts w:ascii="Arial" w:cs="Arial" w:eastAsia="Arial" w:hAnsi="Arial"/>
          <w:sz w:val="14"/>
          <w:szCs w:val="14"/>
          <w:i w:val="1"/>
          <w:iCs w:val="1"/>
          <w:color w:val="auto"/>
        </w:rPr>
      </w:pPr>
      <w:r>
        <w:rPr>
          <w:rFonts w:ascii="Arial" w:cs="Arial" w:eastAsia="Arial" w:hAnsi="Arial"/>
          <w:sz w:val="14"/>
          <w:szCs w:val="14"/>
          <w:color w:val="auto"/>
        </w:rPr>
        <w:t>Adjustment includes the cumulative effect of the change in accounting principle of reductions in net income and earnings of $26 million, $30 million, a negligible amount, and $7 million for the years ended December 31, 2011, 2010, 2009 and 2008,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pacing w:after="0" w:line="19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cash flows or disclosures.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AND SOCALGAS</w:t>
      </w:r>
    </w:p>
    <w:p>
      <w:pPr>
        <w:spacing w:after="0" w:line="23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Accounting Standards Update (ASU) 2011-04, “Amendments to Achieve Common Fair Value Measurement and Disclosure Requirements in U.S. GAAP and International Financial Reporting Standards (IFRSs)” (ASU 2011-04): </w:t>
      </w:r>
      <w:r>
        <w:rPr>
          <w:rFonts w:ascii="Arial" w:cs="Arial" w:eastAsia="Arial" w:hAnsi="Arial"/>
          <w:sz w:val="18"/>
          <w:szCs w:val="18"/>
          <w:color w:val="auto"/>
        </w:rPr>
        <w:t>ASU 2011-04 amends Accounting Standards Codification (ASC) Topic 820,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and provides changes in the wording used to describe the requirements for measuring fair value and disclosing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fair value measurement. ASU 2011-04 results in common fair value measurement and disclosure requirements under both GAAP and IFRSs.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ASU 2011-04 expands fair value measurement disclosures for Level 3 instruments to require</w:t>
      </w:r>
    </w:p>
    <w:p>
      <w:pPr>
        <w:spacing w:after="0" w:line="225" w:lineRule="exact"/>
        <w:rPr>
          <w:sz w:val="20"/>
          <w:szCs w:val="20"/>
          <w:color w:val="auto"/>
        </w:rPr>
      </w:pPr>
    </w:p>
    <w:p>
      <w:pPr>
        <w:ind w:left="340" w:hanging="188"/>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quantitative information about the unobservable inputs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description of the valuation process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qualitative discussion about the sensitivity of the measurements</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adopted ASU 2011-04 on January 1, 2012 and it did not affect our financial position, results of operations or cash flows. The required disclosure is provided in Note 8.</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ASU 2011-05, “Presentation of Comprehensive Income” (ASU 2011-05) and ASU 2011-12, “Deferral of the Effective Date for Amendments to the Presentation of Reclassifications of Items Out of Accumulated Other Comprehensive Income in Accounting Standards Update No. 2011-05” (ASU 2011-12): </w:t>
      </w:r>
      <w:r>
        <w:rPr>
          <w:rFonts w:ascii="Arial" w:cs="Arial" w:eastAsia="Arial" w:hAnsi="Arial"/>
          <w:sz w:val="16"/>
          <w:szCs w:val="16"/>
          <w:color w:val="auto"/>
        </w:rPr>
        <w:t>ASU 2011-05 amends ASC Topic 220,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eliminates the option to report other comprehensive income and its components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statement of changes in equity. The ASU allows an entity an option to present the components of net income and other comprehensive income in one continuous statement, referred to as the statement of comprehensive income, or in two separate, but consecutive, statements.</w:t>
      </w:r>
    </w:p>
    <w:p>
      <w:pPr>
        <w:spacing w:after="0" w:line="15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ASU 2011-05 does not change the items that must be reported in other comprehensive income, when an item of other comprehensive income must be reclassified to net income, or the earnings per share computation.</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ASU 2011-12 defers the requirement to separately present on the face of the statement of operations or statement of comprehensive income reclassification adjustments for items that are reclassified from other comprehensive income to net income.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adopted ASU 2011-05 on January 1, 2012 and have elected to present the components of net income and other comprehensive income in two separate, but consecutive, statements.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ASU 2011-11, “Disclosures about Offsetting Assets and Liabilities” (ASU 2011-11): </w:t>
      </w:r>
      <w:r>
        <w:rPr>
          <w:rFonts w:ascii="Arial" w:cs="Arial" w:eastAsia="Arial" w:hAnsi="Arial"/>
          <w:sz w:val="18"/>
          <w:szCs w:val="18"/>
          <w:color w:val="auto"/>
        </w:rPr>
        <w:t>In order to allow for balance sheet comparison between GAAP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IFRSs, ASU 2011-11 requires enhanced disclosures related to financial assets and liabilities eligible for offsetting in the statement of financial position. An entity will have to disclose both gross and net information about financial instruments and transactions subject to a master netting arrangement and eligible for offset, including cash collateral received and posted.</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will adopt ASU 2011-11 on January 1, 2013 as required and do not expect it to affect our financial position, results of operations or cash flows. We will provide the additional disclosure in our 2013 interim financial statements.</w:t>
      </w:r>
    </w:p>
    <w:p>
      <w:pPr>
        <w:spacing w:after="0" w:line="166"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i w:val="1"/>
          <w:iCs w:val="1"/>
          <w:color w:val="auto"/>
        </w:rPr>
        <w:t>ASU 2012-02, “Testing Indefinite-Lived Intangible Assets for Impairment” (ASU 2012-02)</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2012-02 amends ASC Topic 350,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Intangibles – Goodwill</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and Others</w:t>
      </w:r>
      <w:r>
        <w:rPr>
          <w:rFonts w:ascii="Arial" w:cs="Arial" w:eastAsia="Arial" w:hAnsi="Arial"/>
          <w:sz w:val="17"/>
          <w:szCs w:val="17"/>
          <w:color w:val="auto"/>
        </w:rPr>
        <w:t>, to provide an option to first make a qualitative assessment of whether it is more likely than not that the fair value of an indefinite-lived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 is less than its carrying amount before applying the quantitative impairment test. An entity is required to perform the quantitative test only if it determines that it is more likely than not that the fair value of an indefinite-lived intangible asset is less than its carrying amount.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will adopt ASU 2012-02 for our annual impairment testing as of October 1, 2012 and do not expect it to significantly affect our testing.</w:t>
      </w:r>
    </w:p>
    <w:p>
      <w:pPr>
        <w:sectPr>
          <w:pgSz w:w="11900" w:h="16838" w:orient="portrait"/>
          <w:cols w:equalWidth="0" w:num="1">
            <w:col w:w="11420"/>
          </w:cols>
          <w:pgMar w:left="240" w:top="141" w:right="239" w:bottom="46"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t>NOTE 3. ACQUISITION AND INVESTMENT ACTIVITY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investments in unconsolidated entities in Note 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SOUTH AMERICAN UTILITIES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Chilquinta Energía S.A. (Chilquinta Energía) and Luz del Sur S.A.A. (Luz del Sur)</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6, 2011, Sempra South American Utilities acquired from AEI its interests in Chilquinta Energía in Chile and Luz del Sur in Peru, and their subsidiaries. Prior to the acquisition, Sempra South American Utilities and AEI each owned 50 percent of Chilquinta Energía and approximately 38 percent of Luz del Sur and accounted for the investments under the equity method. Upon completion of the acquisition and a public tender offer to the minority shareholders of Luz del Sur, Sempra South American Utilities owned 100 percent of Chilquinta Energía and approximately 80 percent of Luz del Sur, with the remaining shares of Luz del Sur held by institutional investors and the general public. As part of the transaction, Sempra South American Utilities also acquired AEI’s interests in two energy-services companies, Tecnored S.A. (Tecnored) and Tecsur S.A. (Tecsur). We provide additional information about Sempra South American Utilities’ acquisition of Chilquinta Energía and Luz del Sur and the public tender offer in Note 3 of the Notes to Consolidated Financial Statements in the Updated Annual Report.</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results for the three months and six months ended June 30, 2011 include a $277 million gain (both pretax and after-tax) related to the remeasurement of equity method investments, included as Remeasurement of Equity Method Investments on our Condensed Consolidated Statement of Operations. We discuss the calculation of the gain in Note 3 of the Notes to Consolidated Financial Statements in the Updated Annual Report.</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Condensed Consolidated Statements of Operations include 100 percent of the acquired companies’ revenues, net income and earnings of $705 million, $99 million and $86 million, respectively, for the six months ended June 30, 2012, including revenues, net income, and earnings of $348 million, $50 million and $43 million, respectively, for the three months ended June 30, 2012. Net income and earnings include holding companies reported in Parent and Other. Revenues, net income and earnings from the date of acquisition were $361 million, $48 million and $40 million, respectively, for both the three months and six months ended June 30, 2011.</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Following are pro forma revenues and earnings for Sempra Energy had the acquisition occurred on January 1, 2010, which primarily reflect the incremental increase to revenues and earnings from our increased ownership and consolidation of the entities acquired. Although some short-term debt borrowings may have resulted from the actual acquisition in 2011, we have not assumed any additional interest expense in the pro forma impact on earnings below, as the amounts would be immaterial due to the low interest rates available to us on commercial paper. The pro forma amounts do not include the impact of the increased ownership in Luz del Sur resulting from the tender offer completed in September 2011 discussed above and in Note 3 of the Notes to Consolidated Financial Statements in the Updated Annual Report.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320" w:type="dxa"/>
            <w:vAlign w:val="bottom"/>
          </w:tcPr>
          <w:p>
            <w:pPr>
              <w:jc w:val="center"/>
              <w:ind w:left="2805"/>
              <w:spacing w:after="0"/>
              <w:rPr>
                <w:sz w:val="20"/>
                <w:szCs w:val="20"/>
                <w:color w:val="auto"/>
              </w:rPr>
            </w:pPr>
            <w:r>
              <w:rPr>
                <w:rFonts w:ascii="Arial" w:cs="Arial" w:eastAsia="Arial" w:hAnsi="Arial"/>
                <w:sz w:val="14"/>
                <w:szCs w:val="14"/>
                <w:color w:val="auto"/>
              </w:rPr>
              <w:t>Three months ended</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Pr>
          <w:p>
            <w:pPr>
              <w:jc w:val="right"/>
              <w:ind w:right="56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4"/>
        </w:trPr>
        <w:tc>
          <w:tcPr>
            <w:tcW w:w="3840" w:type="dxa"/>
            <w:vAlign w:val="bottom"/>
            <w:tcBorders>
              <w:bottom w:val="single" w:sz="8" w:color="auto"/>
            </w:tcBorders>
            <w:vMerge w:val="continue"/>
          </w:tcPr>
          <w:p>
            <w:pPr>
              <w:spacing w:after="0"/>
              <w:rPr>
                <w:sz w:val="14"/>
                <w:szCs w:val="14"/>
                <w:color w:val="auto"/>
              </w:rPr>
            </w:pPr>
          </w:p>
        </w:tc>
        <w:tc>
          <w:tcPr>
            <w:tcW w:w="4320" w:type="dxa"/>
            <w:vAlign w:val="bottom"/>
            <w:tcBorders>
              <w:bottom w:val="single" w:sz="8" w:color="auto"/>
            </w:tcBorders>
          </w:tcPr>
          <w:p>
            <w:pPr>
              <w:jc w:val="center"/>
              <w:ind w:left="2805"/>
              <w:spacing w:after="0" w:line="157" w:lineRule="exact"/>
              <w:rPr>
                <w:sz w:val="20"/>
                <w:szCs w:val="20"/>
                <w:color w:val="auto"/>
              </w:rPr>
            </w:pPr>
            <w:r>
              <w:rPr>
                <w:rFonts w:ascii="Arial" w:cs="Arial" w:eastAsia="Arial" w:hAnsi="Arial"/>
                <w:sz w:val="14"/>
                <w:szCs w:val="14"/>
                <w:color w:val="auto"/>
              </w:rPr>
              <w:t>June 30, 2011</w:t>
            </w: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683"/>
              <w:spacing w:after="0" w:line="157" w:lineRule="exact"/>
              <w:rPr>
                <w:sz w:val="20"/>
                <w:szCs w:val="20"/>
                <w:color w:val="auto"/>
              </w:rPr>
            </w:pPr>
            <w:r>
              <w:rPr>
                <w:rFonts w:ascii="Arial" w:cs="Arial" w:eastAsia="Arial" w:hAnsi="Arial"/>
                <w:sz w:val="14"/>
                <w:szCs w:val="14"/>
                <w:color w:val="auto"/>
              </w:rPr>
              <w:t>June 30, 2011</w:t>
            </w:r>
          </w:p>
        </w:tc>
        <w:tc>
          <w:tcPr>
            <w:tcW w:w="0" w:type="dxa"/>
            <w:vAlign w:val="bottom"/>
          </w:tcPr>
          <w:p>
            <w:pPr>
              <w:spacing w:after="0"/>
              <w:rPr>
                <w:sz w:val="1"/>
                <w:szCs w:val="1"/>
                <w:color w:val="auto"/>
              </w:rPr>
            </w:pPr>
          </w:p>
        </w:tc>
      </w:tr>
      <w:tr>
        <w:trPr>
          <w:trHeight w:val="164"/>
        </w:trPr>
        <w:tc>
          <w:tcPr>
            <w:tcW w:w="3840" w:type="dxa"/>
            <w:vAlign w:val="bottom"/>
          </w:tcPr>
          <w:p>
            <w:pPr>
              <w:spacing w:after="0" w:line="164" w:lineRule="exact"/>
              <w:rPr>
                <w:sz w:val="20"/>
                <w:szCs w:val="20"/>
                <w:color w:val="auto"/>
              </w:rPr>
            </w:pPr>
            <w:r>
              <w:rPr>
                <w:rFonts w:ascii="Arial" w:cs="Arial" w:eastAsia="Arial" w:hAnsi="Arial"/>
                <w:sz w:val="16"/>
                <w:szCs w:val="16"/>
                <w:color w:val="auto"/>
              </w:rPr>
              <w:t>Revenues</w:t>
            </w:r>
          </w:p>
        </w:tc>
        <w:tc>
          <w:tcPr>
            <w:tcW w:w="4320" w:type="dxa"/>
            <w:vAlign w:val="bottom"/>
          </w:tcPr>
          <w:p>
            <w:pPr>
              <w:jc w:val="right"/>
              <w:ind w:right="1525"/>
              <w:spacing w:after="0" w:line="164"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239"/>
              <w:spacing w:after="0" w:line="164" w:lineRule="exact"/>
              <w:rPr>
                <w:sz w:val="20"/>
                <w:szCs w:val="20"/>
                <w:color w:val="auto"/>
              </w:rPr>
            </w:pPr>
            <w:r>
              <w:rPr>
                <w:rFonts w:ascii="Arial" w:cs="Arial" w:eastAsia="Arial" w:hAnsi="Arial"/>
                <w:sz w:val="16"/>
                <w:szCs w:val="16"/>
                <w:color w:val="auto"/>
              </w:rPr>
              <w:t>2,422</w:t>
            </w:r>
          </w:p>
        </w:tc>
        <w:tc>
          <w:tcPr>
            <w:tcW w:w="560" w:type="dxa"/>
            <w:vAlign w:val="bottom"/>
          </w:tcPr>
          <w:p>
            <w:pPr>
              <w:jc w:val="right"/>
              <w:ind w:right="79"/>
              <w:spacing w:after="0" w:line="164" w:lineRule="exact"/>
              <w:rPr>
                <w:sz w:val="20"/>
                <w:szCs w:val="20"/>
                <w:color w:val="auto"/>
              </w:rPr>
            </w:pPr>
            <w:r>
              <w:rPr>
                <w:rFonts w:ascii="Arial" w:cs="Arial" w:eastAsia="Arial" w:hAnsi="Arial"/>
                <w:sz w:val="16"/>
                <w:szCs w:val="16"/>
                <w:color w:val="auto"/>
              </w:rPr>
              <w:t>$</w:t>
            </w:r>
          </w:p>
        </w:tc>
        <w:tc>
          <w:tcPr>
            <w:tcW w:w="1940" w:type="dxa"/>
            <w:vAlign w:val="bottom"/>
          </w:tcPr>
          <w:p>
            <w:pPr>
              <w:jc w:val="right"/>
              <w:spacing w:after="0" w:line="164" w:lineRule="exact"/>
              <w:rPr>
                <w:sz w:val="20"/>
                <w:szCs w:val="20"/>
                <w:color w:val="auto"/>
              </w:rPr>
            </w:pPr>
            <w:r>
              <w:rPr>
                <w:rFonts w:ascii="Arial" w:cs="Arial" w:eastAsia="Arial" w:hAnsi="Arial"/>
                <w:sz w:val="16"/>
                <w:szCs w:val="16"/>
                <w:color w:val="auto"/>
              </w:rPr>
              <w:t>5,199</w:t>
            </w:r>
          </w:p>
        </w:tc>
        <w:tc>
          <w:tcPr>
            <w:tcW w:w="0" w:type="dxa"/>
            <w:vAlign w:val="bottom"/>
          </w:tcPr>
          <w:p>
            <w:pPr>
              <w:spacing w:after="0"/>
              <w:rPr>
                <w:sz w:val="1"/>
                <w:szCs w:val="1"/>
                <w:color w:val="auto"/>
              </w:rPr>
            </w:pPr>
          </w:p>
        </w:tc>
      </w:tr>
      <w:tr>
        <w:trPr>
          <w:trHeight w:val="195"/>
        </w:trPr>
        <w:tc>
          <w:tcPr>
            <w:tcW w:w="3840" w:type="dxa"/>
            <w:vAlign w:val="bottom"/>
          </w:tcPr>
          <w:p>
            <w:pPr>
              <w:spacing w:after="0"/>
              <w:rPr>
                <w:sz w:val="20"/>
                <w:szCs w:val="20"/>
                <w:color w:val="auto"/>
              </w:rPr>
            </w:pPr>
            <w:r>
              <w:rPr>
                <w:rFonts w:ascii="Arial" w:cs="Arial" w:eastAsia="Arial" w:hAnsi="Arial"/>
                <w:sz w:val="16"/>
                <w:szCs w:val="16"/>
                <w:color w:val="auto"/>
              </w:rPr>
              <w:t>Earnings(1)</w:t>
            </w:r>
          </w:p>
        </w:tc>
        <w:tc>
          <w:tcPr>
            <w:tcW w:w="432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226</w:t>
            </w:r>
          </w:p>
        </w:tc>
        <w:tc>
          <w:tcPr>
            <w:tcW w:w="5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4"/>
          <w:szCs w:val="14"/>
          <w:i w:val="1"/>
          <w:iCs w:val="1"/>
          <w:color w:val="auto"/>
        </w:rPr>
      </w:pPr>
      <w:r>
        <w:rPr>
          <w:rFonts w:ascii="Arial" w:cs="Arial" w:eastAsia="Arial" w:hAnsi="Arial"/>
          <w:sz w:val="14"/>
          <w:szCs w:val="14"/>
          <w:color w:val="auto"/>
        </w:rPr>
        <w:t>As adjusted for the retrospective effect of change in accounting principle as we discuss in Note 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Willmut Gas Company</w:t>
      </w:r>
    </w:p>
    <w:p>
      <w:pPr>
        <w:spacing w:after="0" w:line="20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May 2012, Sempra Natural Gas acquired 100 percent of the outstanding common stock of Willmut Gas Company (Willmut Gas), a regulated natural gas distribution utility serving approximately 20,000 customers in Hattiesburg, Mississippi, in order to expand Sempra Natural Gas’ footprint in the Southeast United States. Willmut Gas was purchased for $19 million in cash and the assumption of $10 million of liabilities. Included in the acquisition was $17 million in net property, plant and equipment. As a result of the acquisition, we recorded $10 million of goodwill.</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results of operations for Willmut Gas are included in our Condensed Consolidated Statements of Operations and Cash Flows beginning May 1, 2012, including revenues of $2 million and negligible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19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provide additional information concerning all of our equity method investments in Note 4 of the Notes to Consolidated Financial Statements in the Updated Annual Report.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RENEWABLES</w:t>
      </w:r>
    </w:p>
    <w:p>
      <w:pPr>
        <w:spacing w:after="0" w:line="2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six months ended June 30, 2012, Sempra Renewables invested $243 million in its renewable wind generation joint ventures, of which $208 million was invested in the Flat Ridge 2 Wind Farm project.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ectPr>
          <w:pgSz w:w="11900" w:h="16838" w:orient="portrait"/>
          <w:cols w:equalWidth="0" w:num="1">
            <w:col w:w="11420"/>
          </w:cols>
          <w:pgMar w:left="240" w:top="582" w:right="239" w:bottom="54" w:gutter="0" w:footer="0" w:header="0"/>
        </w:sectPr>
      </w:pPr>
    </w:p>
    <w:bookmarkStart w:id="16" w:name="page17"/>
    <w:bookmarkEnd w:id="16"/>
    <w:p>
      <w:pPr>
        <w:ind w:right="180"/>
        <w:spacing w:after="0" w:line="259" w:lineRule="auto"/>
        <w:rPr>
          <w:sz w:val="20"/>
          <w:szCs w:val="20"/>
          <w:color w:val="auto"/>
        </w:rPr>
      </w:pPr>
      <w:r>
        <w:rPr>
          <w:rFonts w:ascii="Arial" w:cs="Arial" w:eastAsia="Arial" w:hAnsi="Arial"/>
          <w:sz w:val="18"/>
          <w:szCs w:val="18"/>
          <w:color w:val="auto"/>
        </w:rPr>
        <w:t>Sempra Natural Gas owns a 25-percent interest in Rockies Express Pipeline LLC (Rockies Express), a partnership that operates a natural gas pipeline, the Rockies Express Pipeline (REX), that links producing areas in the Rocky Mountains region to the upper Midwest and the eastern United States. Kinder Morgan Energy Partners L.P. (KMP) and Phillips 66 own the remaining interests of 50 percent and 25 percent, respectively. Our total investment in Rockies Express is accounted for as an equity method investment.</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general partner of KMP is Kinder Morgan, Inc. (KMI). As a condition of KMI receiving antitrust approval from the Federal Trade Commission (FTC) for their acquisition of El Paso Corporation, KMI agreed to divest certain assets in their natural gas pipeline group. Included in these assets is KMP’s interest in Rockies Express. KMP recorded remeasurement losses during the first half of 2012 associated with these discontinued operations. We also recorded an impairment of our partnership investment in Rockies Express totaling $300 million ($179 million after-tax) in the quarter ended June 30, 2012. Our remaining investment in Rockies Express as of June 30, 2012 is $477 million. We recorded the write-down as a result of our estimate of fair value for our investment and our conclusion that the impairment is other-than-temporary, as required by GAAP. The noncash impairment charge primarily resulted from the continuing decline in basis differential on REX associated with shale gas production zones coming on line, assumptions related to the re-contracting of the long-term transportation agreements, and the refinancing of the existing project level debt, discussed further below.</w:t>
      </w:r>
    </w:p>
    <w:p>
      <w:pPr>
        <w:spacing w:after="0" w:line="1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fair value measurement of our investment in Rockies Express is a Level 3 measurement as it is significantly impacted by unobservable inputs (i.e., Level 3 inputs) as defined by the accounting guidance for fair value measurements, which we discuss in Note 11 of the Notes to Consolidated Financial Statements in the Updated Annual Report. We have based this measurement on a market participant’s view of the total value for Rockies Express, adjusted for our 25-percent ownership interest. We believe Rockies Express’ value is dependent on the future cash distributions it is able to generate. To estimate future cash distributions, we considered factors impacting Rockies Express’ ability to pay future distributions including:</w:t>
      </w:r>
    </w:p>
    <w:p>
      <w:pPr>
        <w:spacing w:after="0" w:line="173" w:lineRule="exact"/>
        <w:rPr>
          <w:sz w:val="20"/>
          <w:szCs w:val="20"/>
          <w:color w:val="auto"/>
        </w:rPr>
      </w:pPr>
    </w:p>
    <w:p>
      <w:pPr>
        <w:ind w:left="340" w:hanging="188"/>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future cash flows are hedged by capacity sales contracts and their duration (generally through 2019), as well as the creditworthiness of the various counterparties;</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Rockies Express’ future financing needs, including the ability to secure borrowings at reasonable rates as well as potentially using operating cash to retire principal;</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prospects for generating attractive revenues and cash flows beyond 2019, including natural gas’ future basis differentials (driven by the location and extent of future supply and demand) and alternative strategies potentially available to utilize the assets;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discount rates commensurate with the risks inherent in the cash flows.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our analysis forms a reasonable estimate of the fair value of Rockies Express. This estimate includes the material inputs described above, which are generally unobservable during the periods most relevant to our analysis, except for discount rates. In particular, significant uncertainties exist with regard to REX’s ability to secure attractive revenues beyond 2019. Accordingly, our analysis suggests that the fair value of our investment in Rockies Express could be materially different from the value we have estimated. For example, if REX is able to sustain the level of revenues currently generated beyond 2019, the value of our investment in Rockies Express would be materially enhanced and no impairment charge would be necessary. Conversely, if REX is unable to sell its transport capacity at sufficient rates or in sufficient volumes beyond 2019, the fair value of our investment in Rockies Express could be materially lower than our carrying amount.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RBS SEMPRA COMMODITIES</w:t>
      </w:r>
    </w:p>
    <w:p>
      <w:pPr>
        <w:spacing w:after="0" w:line="23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RBS Sempra Commodities LLP (RBS Sempra Commodities) is a United Kingdom limited liability partnership that owned and operated commodities-marketing businesses previously owned by us. We and our partner in the joint venture, The Royal Bank of Scotland plc (RBS), sold substantially all of the partnership’s businesses and assets in four separate transactions completed in July, November and December of 2010 and February of 2011. We account for our investment in RBS Sempra Commodities under the equity method, and report our share of partnership earnings and other associated costs in Parent and Other.</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2011, we and RBS entered into a letter agreement (Letter Agreement) which amended certain provisions of the agreements that formed RBS Sempra Commodities. The Letter Agreement addresses the wind-down of the partnership and the distribution of the partnership’s remaining assets. In accordance with the Letter Agreement, we received a $329 million distribution on April 15, 2011. The investment balance of $126 million at June 30, 2012 reflects remaining distributions expected to be received from the partnership in accordance with the Letter Agreement. The timing and amount of distributions may be impacted by the matters we discuss related to RBS Sempra Commodities in Note 10 under “Other Litigation.” In addition, amounts may be retained by the partnership for an extended period of time to help offset unanticipated future general and administrative costs necessary to complete the dissolution of the partnership.</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Letter Agreement described above, we also released RBS from its indemnification obligations with respect to the items for which J.P.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Morgan Chase &amp; Co. (JP Morgan), one of the buyers of the partnership’s businesses, has agreed to indemnify us.</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For the six months ended June 30, 2011, we recorded a pretax equity loss from RBS Sempra Commodities of $8 million, all of which was recorded in the first quarter of 2011. We recorded no equity earnings or loss related to the partnership for the three months and six months ended June 30, 2012. The fair value measurement of our investment in RBS Sempra Commodities was significantly impacted by unobservable inputs (i.e., Level 3 inputs) as defined by the accounting guidance for fair value measurements which we discuss in Note 11 in the Notes to Consolidated Financial Statements in the Updated Annual Report. The inputs included estimated future cash distributions expected from the partnership.</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discuss the RBS Sempra Commodities sales transactions, the Letter Agreement and other matters concerning the partnership in Note 4 of the Notes to Consolidated Financial Statements in the Updated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NOTE 5. OTHER FINANCIAL DATA</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LIFO LIQUIDATION</w:t>
      </w:r>
    </w:p>
    <w:p>
      <w:pPr>
        <w:sectPr>
          <w:pgSz w:w="11900" w:h="16838" w:orient="portrait"/>
          <w:cols w:equalWidth="0" w:num="1">
            <w:col w:w="11420"/>
          </w:cols>
          <w:pgMar w:left="240" w:top="125" w:right="239" w:bottom="0" w:gutter="0" w:footer="0" w:header="0"/>
        </w:sectPr>
      </w:pPr>
    </w:p>
    <w:bookmarkStart w:id="17" w:name="page18"/>
    <w:bookmarkEnd w:id="17"/>
    <w:p>
      <w:pPr>
        <w:ind w:right="280"/>
        <w:spacing w:after="0" w:line="312" w:lineRule="auto"/>
        <w:rPr>
          <w:sz w:val="20"/>
          <w:szCs w:val="20"/>
          <w:color w:val="auto"/>
        </w:rPr>
      </w:pPr>
      <w:r>
        <w:rPr>
          <w:rFonts w:ascii="Arial" w:cs="Arial" w:eastAsia="Arial" w:hAnsi="Arial"/>
          <w:sz w:val="16"/>
          <w:szCs w:val="16"/>
          <w:color w:val="auto"/>
        </w:rPr>
        <w:t>SoCalGas values natural gas inventory by the last-in first-out (LIFO) method. As inventories are sold, differences between the LIFO valuation and the estimated replacement cost are reflected in customer rates. Temporary LIFO liquidation represents the difference between the carrying value of natural gas inventory withdrawn during the period for delivery to customers and the projected cost of the replacement of that inventory during summer months.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(VIE)</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consolidate a VIE if we are the primary beneficiary of the VIE. Our determination of whether we are the primary beneficiary is based upon qualitative and quantitative analyses, which assess</w:t>
      </w:r>
    </w:p>
    <w:p>
      <w:pPr>
        <w:spacing w:after="0" w:line="170" w:lineRule="exact"/>
        <w:rPr>
          <w:sz w:val="20"/>
          <w:szCs w:val="20"/>
          <w:color w:val="auto"/>
        </w:rPr>
      </w:pPr>
    </w:p>
    <w:p>
      <w:pPr>
        <w:ind w:left="340" w:hanging="188"/>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purpose and design of the VIE;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of the VIE’s risks and the risks we absorb;</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power to direct activities that most significantly impact the economic performance of the VIE;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obligation to absorb losses or right to receive benefits that could be significant to the VIE.</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impacts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the operational characteristics of the facility, including its expected power generation output relative to its capacity to generate and the financial structure of the entity, among other factors. If we determine that SDG&amp;E is the primary beneficiary, SDG&amp;E and Sempra Energy consolidate the entity that owns the facility as a VIE, as we discuss below.</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Otay Mesa VIE</w:t>
      </w:r>
    </w:p>
    <w:p>
      <w:pPr>
        <w:spacing w:after="0" w:line="2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SDG&amp;E has an agreement to purchase power generated at the Otay Mesa Energy Center (OMEC), a 605-megawatt (MW) generating facility.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 which we refer to as the put option.</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SDG&amp;E and Sempra Energy have consolidated Otay Mesa VIE since the second quarter of 2007. Otay Mesa VIE’s equity of $103 million at June 30, 2012 and $102 million at December 31, 2011 is included on the Condensed Consolidated Balance Sheets in Other Noncontrolling Interests for Sempra Energy and in Noncontrolling Interest for SDG&amp;E.</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OMEC LLC has a loan outstanding of $350 million at June 30, 2012,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Variable Interest Entities</w:t>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SDG&amp;E’s power procurement is subject to reliability requirements that may require SDG&amp;E to enter into various power purchase arrangements which include variable interests. SDG&amp;E evaluates the respective entities to determine if variable interests exist and, based on the qualitative and quantitative analyses described above, if SDG&amp;E, and thereby Sempra Energy, is the primary beneficiary. SDG&amp;E has determined that no contracts, other than the one relating to Otay Mesa VIE mentioned above, result in SDG&amp;E being the primary beneficiary as of June 30, 2012.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SDG&amp;E is not exposed to losses or gains as a result of these other VIEs, because all such variability would be recovered in rates.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Sempra Energy’s other operating units also enter into arrangements which could include variable interests. We evaluate these arrangements and applicable entities based upon the qualitative and quantitative analyses described above. Certain of these entities are service companies that are VIEs. As the primary beneficiary of these service companies, we consolidate them. In all other cases, we have determined that these contracts are not variable interests in a VIE and therefore are not subject to the requirements of GAAP concerning the consolidation of VIEs.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Condensed Consolidated Statements of Operations of Sempra Energy and SDG&amp;E include the following amounts associated with Otay Mesa VIE. The amounts are net of eliminations of transactions between SDG&amp;E and Otay Mesa VIE. The financial statements of other consolidated VIEs are not material to the financial statements of Sempra Energy. The captions on the table below generally correspond to SDG&amp;E’s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ASSOCIATED WITH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125" w:right="239" w:bottom="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68"/>
        </w:trPr>
        <w:tc>
          <w:tcPr>
            <w:tcW w:w="5120" w:type="dxa"/>
            <w:vAlign w:val="bottom"/>
          </w:tcPr>
          <w:p>
            <w:pPr>
              <w:spacing w:after="0"/>
              <w:rPr>
                <w:sz w:val="14"/>
                <w:szCs w:val="14"/>
                <w:color w:val="auto"/>
              </w:rPr>
            </w:pPr>
          </w:p>
        </w:tc>
        <w:tc>
          <w:tcPr>
            <w:tcW w:w="31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color w:val="auto"/>
              </w:rPr>
              <w:t>Three months ended June 30,</w:t>
            </w:r>
          </w:p>
        </w:tc>
        <w:tc>
          <w:tcPr>
            <w:tcW w:w="316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color w:val="auto"/>
              </w:rPr>
              <w:t>Six months ended June 30,</w:t>
            </w:r>
          </w:p>
        </w:tc>
      </w:tr>
      <w:tr>
        <w:trPr>
          <w:trHeight w:val="183"/>
        </w:trPr>
        <w:tc>
          <w:tcPr>
            <w:tcW w:w="5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2012</w:t>
            </w:r>
          </w:p>
        </w:tc>
        <w:tc>
          <w:tcPr>
            <w:tcW w:w="16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2011</w:t>
            </w: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2012</w:t>
            </w: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2011</w:t>
            </w:r>
          </w:p>
        </w:tc>
      </w:tr>
    </w:tbl>
    <w:p>
      <w:pPr>
        <w:spacing w:after="0" w:line="183" w:lineRule="exact"/>
        <w:rPr>
          <w:sz w:val="20"/>
          <w:szCs w:val="20"/>
          <w:color w:val="auto"/>
        </w:rPr>
      </w:pPr>
    </w:p>
    <w:p>
      <w:pPr>
        <w:sectPr>
          <w:pgSz w:w="11900" w:h="16838" w:orient="portrait"/>
          <w:cols w:equalWidth="0" w:num="1">
            <w:col w:w="11420"/>
          </w:cols>
          <w:pgMar w:left="240" w:top="141" w:right="239" w:bottom="0" w:gutter="0" w:footer="0" w:header="0"/>
        </w:sectPr>
      </w:pPr>
    </w:p>
    <w:p>
      <w:pPr>
        <w:spacing w:after="0"/>
        <w:rPr>
          <w:sz w:val="20"/>
          <w:szCs w:val="20"/>
          <w:color w:val="auto"/>
        </w:rPr>
      </w:pPr>
      <w:r>
        <w:rPr>
          <w:rFonts w:ascii="Arial" w:cs="Arial" w:eastAsia="Arial" w:hAnsi="Arial"/>
          <w:sz w:val="16"/>
          <w:szCs w:val="16"/>
          <w:color w:val="auto"/>
        </w:rPr>
        <w:t>Operating revenues</w:t>
      </w:r>
    </w:p>
    <w:p>
      <w:pPr>
        <w:ind w:left="180"/>
        <w:spacing w:after="0"/>
        <w:rPr>
          <w:sz w:val="20"/>
          <w:szCs w:val="20"/>
          <w:color w:val="auto"/>
        </w:rPr>
      </w:pPr>
      <w:r>
        <w:rPr>
          <w:rFonts w:ascii="Arial" w:cs="Arial" w:eastAsia="Arial" w:hAnsi="Arial"/>
          <w:sz w:val="16"/>
          <w:szCs w:val="16"/>
          <w:color w:val="auto"/>
        </w:rPr>
        <w:t>Electric</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Natural gas</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operating revenues</w:t>
      </w:r>
    </w:p>
    <w:p>
      <w:pPr>
        <w:spacing w:after="0" w:line="229" w:lineRule="auto"/>
        <w:rPr>
          <w:sz w:val="20"/>
          <w:szCs w:val="20"/>
          <w:color w:val="auto"/>
        </w:rPr>
      </w:pPr>
      <w:r>
        <w:rPr>
          <w:rFonts w:ascii="Arial" w:cs="Arial" w:eastAsia="Arial" w:hAnsi="Arial"/>
          <w:sz w:val="16"/>
          <w:szCs w:val="16"/>
          <w:color w:val="auto"/>
        </w:rPr>
        <w:t>Operating expenses</w:t>
      </w:r>
    </w:p>
    <w:p>
      <w:pPr>
        <w:ind w:left="180" w:right="1240"/>
        <w:spacing w:after="0" w:line="242" w:lineRule="auto"/>
        <w:rPr>
          <w:sz w:val="20"/>
          <w:szCs w:val="20"/>
          <w:color w:val="auto"/>
        </w:rPr>
      </w:pPr>
      <w:r>
        <w:rPr>
          <w:rFonts w:ascii="Arial" w:cs="Arial" w:eastAsia="Arial" w:hAnsi="Arial"/>
          <w:sz w:val="16"/>
          <w:szCs w:val="16"/>
          <w:color w:val="auto"/>
        </w:rPr>
        <w:t>Cost of electric fuel and purchased power Operation and maintenance</w:t>
      </w:r>
    </w:p>
    <w:p>
      <w:pPr>
        <w:spacing w:after="0" w:line="7"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Depreciation and amortization</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operating expenses</w:t>
      </w:r>
    </w:p>
    <w:p>
      <w:pPr>
        <w:spacing w:after="0" w:line="229" w:lineRule="auto"/>
        <w:rPr>
          <w:sz w:val="20"/>
          <w:szCs w:val="20"/>
          <w:color w:val="auto"/>
        </w:rPr>
      </w:pPr>
      <w:r>
        <w:rPr>
          <w:rFonts w:ascii="Arial" w:cs="Arial" w:eastAsia="Arial" w:hAnsi="Arial"/>
          <w:sz w:val="16"/>
          <w:szCs w:val="16"/>
          <w:color w:val="auto"/>
        </w:rPr>
        <w:t>Operating income (loss)</w:t>
      </w:r>
    </w:p>
    <w:p>
      <w:pPr>
        <w:spacing w:after="0"/>
        <w:rPr>
          <w:sz w:val="20"/>
          <w:szCs w:val="20"/>
          <w:color w:val="auto"/>
        </w:rPr>
      </w:pPr>
      <w:r>
        <w:rPr>
          <w:rFonts w:ascii="Arial" w:cs="Arial" w:eastAsia="Arial" w:hAnsi="Arial"/>
          <w:sz w:val="16"/>
          <w:szCs w:val="16"/>
          <w:color w:val="auto"/>
        </w:rPr>
        <w:t>Other income (expense), net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income</w:t>
      </w:r>
    </w:p>
    <w:p>
      <w:pPr>
        <w:spacing w:after="0"/>
        <w:rPr>
          <w:sz w:val="20"/>
          <w:szCs w:val="20"/>
          <w:color w:val="auto"/>
        </w:rPr>
      </w:pPr>
      <w:r>
        <w:rPr>
          <w:rFonts w:ascii="Arial" w:cs="Arial" w:eastAsia="Arial" w:hAnsi="Arial"/>
          <w:sz w:val="16"/>
          <w:szCs w:val="16"/>
          <w:color w:val="auto"/>
        </w:rPr>
        <w:t>Income (loss) before income taxes/Net income (loss)</w:t>
      </w:r>
    </w:p>
    <w:p>
      <w:pPr>
        <w:spacing w:after="0" w:line="19" w:lineRule="exact"/>
        <w:rPr>
          <w:sz w:val="20"/>
          <w:szCs w:val="20"/>
          <w:color w:val="auto"/>
        </w:rPr>
      </w:pPr>
    </w:p>
    <w:p>
      <w:pPr>
        <w:ind w:left="180" w:right="480" w:hanging="179"/>
        <w:spacing w:after="0" w:line="242" w:lineRule="auto"/>
        <w:rPr>
          <w:sz w:val="20"/>
          <w:szCs w:val="20"/>
          <w:color w:val="auto"/>
        </w:rPr>
      </w:pPr>
      <w:r>
        <w:rPr>
          <w:rFonts w:ascii="Arial" w:cs="Arial" w:eastAsia="Arial" w:hAnsi="Arial"/>
          <w:sz w:val="16"/>
          <w:szCs w:val="16"/>
          <w:color w:val="auto"/>
        </w:rPr>
        <w:t>(Earnings) losses attributable to noncontrolling interest Earnings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94"/>
        </w:trPr>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3"/>
        </w:trPr>
        <w:tc>
          <w:tcPr>
            <w:tcW w:w="8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r>
      <w:tr>
        <w:trPr>
          <w:trHeight w:val="340"/>
        </w:trPr>
        <w:tc>
          <w:tcPr>
            <w:tcW w:w="82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68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68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6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r>
      <w:tr>
        <w:trPr>
          <w:trHeight w:val="176"/>
        </w:trPr>
        <w:tc>
          <w:tcPr>
            <w:tcW w:w="820" w:type="dxa"/>
            <w:vAlign w:val="bottom"/>
          </w:tcPr>
          <w:p>
            <w:pPr>
              <w:spacing w:after="0"/>
              <w:rPr>
                <w:sz w:val="15"/>
                <w:szCs w:val="15"/>
                <w:color w:val="auto"/>
              </w:rPr>
            </w:pPr>
          </w:p>
        </w:tc>
        <w:tc>
          <w:tcPr>
            <w:tcW w:w="9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7</w:t>
            </w:r>
          </w:p>
        </w:tc>
        <w:tc>
          <w:tcPr>
            <w:tcW w:w="680" w:type="dxa"/>
            <w:vAlign w:val="bottom"/>
          </w:tcPr>
          <w:p>
            <w:pPr>
              <w:spacing w:after="0"/>
              <w:rPr>
                <w:sz w:val="15"/>
                <w:szCs w:val="15"/>
                <w:color w:val="auto"/>
              </w:rPr>
            </w:pPr>
          </w:p>
        </w:tc>
        <w:tc>
          <w:tcPr>
            <w:tcW w:w="9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18</w:t>
            </w:r>
          </w:p>
        </w:tc>
        <w:tc>
          <w:tcPr>
            <w:tcW w:w="680" w:type="dxa"/>
            <w:vAlign w:val="bottom"/>
          </w:tcPr>
          <w:p>
            <w:pPr>
              <w:spacing w:after="0"/>
              <w:rPr>
                <w:sz w:val="15"/>
                <w:szCs w:val="15"/>
                <w:color w:val="auto"/>
              </w:rPr>
            </w:pPr>
          </w:p>
        </w:tc>
        <w:tc>
          <w:tcPr>
            <w:tcW w:w="9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11</w:t>
            </w:r>
          </w:p>
        </w:tc>
        <w:tc>
          <w:tcPr>
            <w:tcW w:w="6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0" w:type="dxa"/>
            <w:vAlign w:val="bottom"/>
          </w:tcPr>
          <w:p>
            <w:pPr>
              <w:spacing w:after="0"/>
              <w:rPr>
                <w:sz w:val="15"/>
                <w:szCs w:val="15"/>
                <w:color w:val="auto"/>
              </w:rPr>
            </w:pPr>
          </w:p>
        </w:tc>
      </w:tr>
      <w:tr>
        <w:trPr>
          <w:trHeight w:val="194"/>
        </w:trPr>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w:t>
            </w:r>
          </w:p>
        </w:tc>
        <w:tc>
          <w:tcPr>
            <w:tcW w:w="6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6"/>
                <w:szCs w:val="16"/>
                <w:color w:val="auto"/>
              </w:rPr>
            </w:pPr>
          </w:p>
        </w:tc>
      </w:tr>
      <w:tr>
        <w:trPr>
          <w:trHeight w:val="183"/>
        </w:trPr>
        <w:tc>
          <w:tcPr>
            <w:tcW w:w="8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(8)</w:t>
            </w: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16</w:t>
            </w: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(17)</w:t>
            </w:r>
          </w:p>
        </w:tc>
        <w:tc>
          <w:tcPr>
            <w:tcW w:w="6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w:t>
            </w:r>
          </w:p>
        </w:tc>
        <w:tc>
          <w:tcPr>
            <w:tcW w:w="20" w:type="dxa"/>
            <w:vAlign w:val="bottom"/>
          </w:tcPr>
          <w:p>
            <w:pPr>
              <w:spacing w:after="0"/>
              <w:rPr>
                <w:sz w:val="15"/>
                <w:szCs w:val="15"/>
                <w:color w:val="auto"/>
              </w:rPr>
            </w:pPr>
          </w:p>
        </w:tc>
      </w:tr>
      <w:tr>
        <w:trPr>
          <w:trHeight w:val="164"/>
        </w:trPr>
        <w:tc>
          <w:tcPr>
            <w:tcW w:w="820" w:type="dxa"/>
            <w:vAlign w:val="bottom"/>
          </w:tcPr>
          <w:p>
            <w:pPr>
              <w:spacing w:after="0"/>
              <w:rPr>
                <w:sz w:val="14"/>
                <w:szCs w:val="14"/>
                <w:color w:val="auto"/>
              </w:rPr>
            </w:pPr>
          </w:p>
        </w:tc>
        <w:tc>
          <w:tcPr>
            <w:tcW w:w="900" w:type="dxa"/>
            <w:vAlign w:val="bottom"/>
          </w:tcPr>
          <w:p>
            <w:pPr>
              <w:jc w:val="right"/>
              <w:ind w:right="119"/>
              <w:spacing w:after="0" w:line="164" w:lineRule="exact"/>
              <w:rPr>
                <w:sz w:val="20"/>
                <w:szCs w:val="20"/>
                <w:color w:val="auto"/>
              </w:rPr>
            </w:pPr>
            <w:r>
              <w:rPr>
                <w:rFonts w:ascii="Arial" w:cs="Arial" w:eastAsia="Arial" w:hAnsi="Arial"/>
                <w:sz w:val="16"/>
                <w:szCs w:val="16"/>
                <w:color w:val="auto"/>
              </w:rPr>
              <w:t>8</w:t>
            </w:r>
          </w:p>
        </w:tc>
        <w:tc>
          <w:tcPr>
            <w:tcW w:w="680" w:type="dxa"/>
            <w:vAlign w:val="bottom"/>
          </w:tcPr>
          <w:p>
            <w:pPr>
              <w:spacing w:after="0"/>
              <w:rPr>
                <w:sz w:val="14"/>
                <w:szCs w:val="14"/>
                <w:color w:val="auto"/>
              </w:rPr>
            </w:pPr>
          </w:p>
        </w:tc>
        <w:tc>
          <w:tcPr>
            <w:tcW w:w="900" w:type="dxa"/>
            <w:vAlign w:val="bottom"/>
          </w:tcPr>
          <w:p>
            <w:pPr>
              <w:jc w:val="right"/>
              <w:ind w:right="79"/>
              <w:spacing w:after="0" w:line="164" w:lineRule="exact"/>
              <w:rPr>
                <w:sz w:val="20"/>
                <w:szCs w:val="20"/>
                <w:color w:val="auto"/>
              </w:rPr>
            </w:pPr>
            <w:r>
              <w:rPr>
                <w:rFonts w:ascii="Arial" w:cs="Arial" w:eastAsia="Arial" w:hAnsi="Arial"/>
                <w:sz w:val="16"/>
                <w:szCs w:val="16"/>
                <w:color w:val="auto"/>
              </w:rPr>
              <w:t>(16)</w:t>
            </w:r>
          </w:p>
        </w:tc>
        <w:tc>
          <w:tcPr>
            <w:tcW w:w="680" w:type="dxa"/>
            <w:vAlign w:val="bottom"/>
          </w:tcPr>
          <w:p>
            <w:pPr>
              <w:spacing w:after="0"/>
              <w:rPr>
                <w:sz w:val="14"/>
                <w:szCs w:val="14"/>
                <w:color w:val="auto"/>
              </w:rPr>
            </w:pPr>
          </w:p>
        </w:tc>
        <w:tc>
          <w:tcPr>
            <w:tcW w:w="900" w:type="dxa"/>
            <w:vAlign w:val="bottom"/>
          </w:tcPr>
          <w:p>
            <w:pPr>
              <w:jc w:val="right"/>
              <w:ind w:right="119"/>
              <w:spacing w:after="0" w:line="164" w:lineRule="exact"/>
              <w:rPr>
                <w:sz w:val="20"/>
                <w:szCs w:val="20"/>
                <w:color w:val="auto"/>
              </w:rPr>
            </w:pPr>
            <w:r>
              <w:rPr>
                <w:rFonts w:ascii="Arial" w:cs="Arial" w:eastAsia="Arial" w:hAnsi="Arial"/>
                <w:sz w:val="16"/>
                <w:szCs w:val="16"/>
                <w:color w:val="auto"/>
              </w:rPr>
              <w:t>17</w:t>
            </w:r>
          </w:p>
        </w:tc>
        <w:tc>
          <w:tcPr>
            <w:tcW w:w="68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Arial" w:cs="Arial" w:eastAsia="Arial" w:hAnsi="Arial"/>
                <w:sz w:val="16"/>
                <w:szCs w:val="16"/>
                <w:color w:val="auto"/>
              </w:rPr>
              <w:t>(9)</w:t>
            </w:r>
          </w:p>
        </w:tc>
        <w:tc>
          <w:tcPr>
            <w:tcW w:w="20" w:type="dxa"/>
            <w:vAlign w:val="bottom"/>
          </w:tcPr>
          <w:p>
            <w:pPr>
              <w:spacing w:after="0"/>
              <w:rPr>
                <w:sz w:val="14"/>
                <w:szCs w:val="14"/>
                <w:color w:val="auto"/>
              </w:rPr>
            </w:pPr>
          </w:p>
        </w:tc>
      </w:tr>
      <w:tr>
        <w:trPr>
          <w:trHeight w:val="176"/>
        </w:trPr>
        <w:tc>
          <w:tcPr>
            <w:tcW w:w="820" w:type="dxa"/>
            <w:vAlign w:val="bottom"/>
          </w:tcPr>
          <w:p>
            <w:pPr>
              <w:spacing w:after="0"/>
              <w:rPr>
                <w:sz w:val="15"/>
                <w:szCs w:val="15"/>
                <w:color w:val="auto"/>
              </w:rPr>
            </w:pPr>
          </w:p>
        </w:tc>
        <w:tc>
          <w:tcPr>
            <w:tcW w:w="900" w:type="dxa"/>
            <w:vAlign w:val="bottom"/>
          </w:tcPr>
          <w:p>
            <w:pPr>
              <w:jc w:val="right"/>
              <w:ind w:right="79"/>
              <w:spacing w:after="0" w:line="176" w:lineRule="exact"/>
              <w:rPr>
                <w:sz w:val="20"/>
                <w:szCs w:val="20"/>
                <w:color w:val="auto"/>
              </w:rPr>
            </w:pPr>
            <w:r>
              <w:rPr>
                <w:rFonts w:ascii="Arial" w:cs="Arial" w:eastAsia="Arial" w:hAnsi="Arial"/>
                <w:sz w:val="16"/>
                <w:szCs w:val="16"/>
                <w:color w:val="auto"/>
              </w:rPr>
              <w:t>(1)</w:t>
            </w:r>
          </w:p>
        </w:tc>
        <w:tc>
          <w:tcPr>
            <w:tcW w:w="680" w:type="dxa"/>
            <w:vAlign w:val="bottom"/>
          </w:tcPr>
          <w:p>
            <w:pPr>
              <w:spacing w:after="0"/>
              <w:rPr>
                <w:sz w:val="15"/>
                <w:szCs w:val="15"/>
                <w:color w:val="auto"/>
              </w:rPr>
            </w:pPr>
          </w:p>
        </w:tc>
        <w:tc>
          <w:tcPr>
            <w:tcW w:w="900" w:type="dxa"/>
            <w:vAlign w:val="bottom"/>
          </w:tcPr>
          <w:p>
            <w:pPr>
              <w:jc w:val="right"/>
              <w:ind w:right="79"/>
              <w:spacing w:after="0" w:line="176" w:lineRule="exact"/>
              <w:rPr>
                <w:sz w:val="20"/>
                <w:szCs w:val="20"/>
                <w:color w:val="auto"/>
              </w:rPr>
            </w:pPr>
            <w:r>
              <w:rPr>
                <w:rFonts w:ascii="Arial" w:cs="Arial" w:eastAsia="Arial" w:hAnsi="Arial"/>
                <w:sz w:val="16"/>
                <w:szCs w:val="16"/>
                <w:color w:val="auto"/>
              </w:rPr>
              <w:t>(4)</w:t>
            </w:r>
          </w:p>
        </w:tc>
        <w:tc>
          <w:tcPr>
            <w:tcW w:w="680" w:type="dxa"/>
            <w:vAlign w:val="bottom"/>
          </w:tcPr>
          <w:p>
            <w:pPr>
              <w:spacing w:after="0"/>
              <w:rPr>
                <w:sz w:val="15"/>
                <w:szCs w:val="15"/>
                <w:color w:val="auto"/>
              </w:rPr>
            </w:pPr>
          </w:p>
        </w:tc>
        <w:tc>
          <w:tcPr>
            <w:tcW w:w="900" w:type="dxa"/>
            <w:vAlign w:val="bottom"/>
          </w:tcPr>
          <w:p>
            <w:pPr>
              <w:jc w:val="right"/>
              <w:ind w:right="79"/>
              <w:spacing w:after="0" w:line="176" w:lineRule="exact"/>
              <w:rPr>
                <w:sz w:val="20"/>
                <w:szCs w:val="20"/>
                <w:color w:val="auto"/>
              </w:rPr>
            </w:pPr>
            <w:r>
              <w:rPr>
                <w:rFonts w:ascii="Arial" w:cs="Arial" w:eastAsia="Arial" w:hAnsi="Arial"/>
                <w:sz w:val="16"/>
                <w:szCs w:val="16"/>
                <w:color w:val="auto"/>
              </w:rPr>
              <w:t>(1)</w:t>
            </w:r>
          </w:p>
        </w:tc>
        <w:tc>
          <w:tcPr>
            <w:tcW w:w="680" w:type="dxa"/>
            <w:vAlign w:val="bottom"/>
          </w:tcPr>
          <w:p>
            <w:pPr>
              <w:spacing w:after="0"/>
              <w:rPr>
                <w:sz w:val="15"/>
                <w:szCs w:val="15"/>
                <w:color w:val="auto"/>
              </w:rPr>
            </w:pPr>
          </w:p>
        </w:tc>
        <w:tc>
          <w:tcPr>
            <w:tcW w:w="7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w:t>
            </w:r>
          </w:p>
        </w:tc>
      </w:tr>
      <w:tr>
        <w:trPr>
          <w:trHeight w:val="194"/>
        </w:trPr>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6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164"/>
        </w:trPr>
        <w:tc>
          <w:tcPr>
            <w:tcW w:w="820" w:type="dxa"/>
            <w:vAlign w:val="bottom"/>
          </w:tcPr>
          <w:p>
            <w:pPr>
              <w:spacing w:after="0"/>
              <w:rPr>
                <w:sz w:val="14"/>
                <w:szCs w:val="14"/>
                <w:color w:val="auto"/>
              </w:rPr>
            </w:pPr>
          </w:p>
        </w:tc>
        <w:tc>
          <w:tcPr>
            <w:tcW w:w="900" w:type="dxa"/>
            <w:vAlign w:val="bottom"/>
          </w:tcPr>
          <w:p>
            <w:pPr>
              <w:jc w:val="right"/>
              <w:ind w:right="119"/>
              <w:spacing w:after="0" w:line="164" w:lineRule="exact"/>
              <w:rPr>
                <w:sz w:val="20"/>
                <w:szCs w:val="20"/>
                <w:color w:val="auto"/>
              </w:rPr>
            </w:pPr>
            <w:r>
              <w:rPr>
                <w:rFonts w:ascii="Arial" w:cs="Arial" w:eastAsia="Arial" w:hAnsi="Arial"/>
                <w:sz w:val="16"/>
                <w:szCs w:val="16"/>
                <w:color w:val="auto"/>
              </w:rPr>
              <w:t>5</w:t>
            </w:r>
          </w:p>
        </w:tc>
        <w:tc>
          <w:tcPr>
            <w:tcW w:w="680" w:type="dxa"/>
            <w:vAlign w:val="bottom"/>
          </w:tcPr>
          <w:p>
            <w:pPr>
              <w:spacing w:after="0"/>
              <w:rPr>
                <w:sz w:val="14"/>
                <w:szCs w:val="14"/>
                <w:color w:val="auto"/>
              </w:rPr>
            </w:pPr>
          </w:p>
        </w:tc>
        <w:tc>
          <w:tcPr>
            <w:tcW w:w="900" w:type="dxa"/>
            <w:vAlign w:val="bottom"/>
          </w:tcPr>
          <w:p>
            <w:pPr>
              <w:jc w:val="right"/>
              <w:ind w:right="79"/>
              <w:spacing w:after="0" w:line="164" w:lineRule="exact"/>
              <w:rPr>
                <w:sz w:val="20"/>
                <w:szCs w:val="20"/>
                <w:color w:val="auto"/>
              </w:rPr>
            </w:pPr>
            <w:r>
              <w:rPr>
                <w:rFonts w:ascii="Arial" w:cs="Arial" w:eastAsia="Arial" w:hAnsi="Arial"/>
                <w:sz w:val="16"/>
                <w:szCs w:val="16"/>
                <w:color w:val="auto"/>
              </w:rPr>
              <w:t>(19)</w:t>
            </w:r>
          </w:p>
        </w:tc>
        <w:tc>
          <w:tcPr>
            <w:tcW w:w="680" w:type="dxa"/>
            <w:vAlign w:val="bottom"/>
          </w:tcPr>
          <w:p>
            <w:pPr>
              <w:spacing w:after="0"/>
              <w:rPr>
                <w:sz w:val="14"/>
                <w:szCs w:val="14"/>
                <w:color w:val="auto"/>
              </w:rPr>
            </w:pPr>
          </w:p>
        </w:tc>
        <w:tc>
          <w:tcPr>
            <w:tcW w:w="900" w:type="dxa"/>
            <w:vAlign w:val="bottom"/>
          </w:tcPr>
          <w:p>
            <w:pPr>
              <w:jc w:val="right"/>
              <w:ind w:right="119"/>
              <w:spacing w:after="0" w:line="164" w:lineRule="exact"/>
              <w:rPr>
                <w:sz w:val="20"/>
                <w:szCs w:val="20"/>
                <w:color w:val="auto"/>
              </w:rPr>
            </w:pPr>
            <w:r>
              <w:rPr>
                <w:rFonts w:ascii="Arial" w:cs="Arial" w:eastAsia="Arial" w:hAnsi="Arial"/>
                <w:sz w:val="16"/>
                <w:szCs w:val="16"/>
                <w:color w:val="auto"/>
              </w:rPr>
              <w:t>11</w:t>
            </w:r>
          </w:p>
        </w:tc>
        <w:tc>
          <w:tcPr>
            <w:tcW w:w="680" w:type="dxa"/>
            <w:vAlign w:val="bottom"/>
          </w:tcPr>
          <w:p>
            <w:pPr>
              <w:spacing w:after="0"/>
              <w:rPr>
                <w:sz w:val="14"/>
                <w:szCs w:val="14"/>
                <w:color w:val="auto"/>
              </w:rPr>
            </w:pPr>
          </w:p>
        </w:tc>
        <w:tc>
          <w:tcPr>
            <w:tcW w:w="760" w:type="dxa"/>
            <w:vAlign w:val="bottom"/>
            <w:gridSpan w:val="2"/>
          </w:tcPr>
          <w:p>
            <w:pPr>
              <w:jc w:val="right"/>
              <w:ind w:right="20"/>
              <w:spacing w:after="0" w:line="164" w:lineRule="exact"/>
              <w:rPr>
                <w:sz w:val="20"/>
                <w:szCs w:val="20"/>
                <w:color w:val="auto"/>
              </w:rPr>
            </w:pPr>
            <w:r>
              <w:rPr>
                <w:rFonts w:ascii="Arial" w:cs="Arial" w:eastAsia="Arial" w:hAnsi="Arial"/>
                <w:sz w:val="16"/>
                <w:szCs w:val="16"/>
                <w:color w:val="auto"/>
              </w:rPr>
              <w:t>(15)</w:t>
            </w:r>
          </w:p>
        </w:tc>
      </w:tr>
      <w:tr>
        <w:trPr>
          <w:trHeight w:val="194"/>
        </w:trPr>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w:t>
            </w: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w:t>
            </w:r>
          </w:p>
        </w:tc>
        <w:tc>
          <w:tcPr>
            <w:tcW w:w="6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6"/>
                <w:szCs w:val="16"/>
                <w:color w:val="auto"/>
              </w:rPr>
            </w:pPr>
          </w:p>
        </w:tc>
      </w:tr>
      <w:tr>
        <w:trPr>
          <w:trHeight w:val="195"/>
        </w:trPr>
        <w:tc>
          <w:tcPr>
            <w:tcW w:w="8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-11430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720"/>
            <w:col w:w="6300"/>
          </w:cols>
          <w:pgMar w:left="240" w:top="14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regarding Otay Mesa VIE in Note 1 of the Notes to Consolidated Financial Statements in the Updated Annual Report.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Goodwill is the excess of the purchase price over the fair value of the identifiable net assets of acquired companies measured at the time of acquisition. Goodwill is not amortized but is tested annually on October 1 for impairment. Impairment of goodwill occurs when the carrying amount (book value) of goodwill exceeds its implied fair value. If the carrying value of the reporting unit, including goodwill, exceeds its fair value, and the book value of goodwill is greater than its fair value on the test date, we record a goodwill impairment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Goodwill included on the Sempra Energy Condensed Consolidated Balance Sheets is recorded as follows: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tcPr>
          <w:p>
            <w:pPr>
              <w:jc w:val="center"/>
              <w:ind w:left="648"/>
              <w:spacing w:after="0"/>
              <w:rPr>
                <w:sz w:val="20"/>
                <w:szCs w:val="20"/>
                <w:color w:val="auto"/>
              </w:rPr>
            </w:pPr>
            <w:r>
              <w:rPr>
                <w:rFonts w:ascii="Arial" w:cs="Arial" w:eastAsia="Arial" w:hAnsi="Arial"/>
                <w:sz w:val="14"/>
                <w:szCs w:val="14"/>
                <w:color w:val="auto"/>
              </w:rPr>
              <w:t>Sempra</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3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60" w:type="dxa"/>
            <w:vAlign w:val="bottom"/>
          </w:tcPr>
          <w:p>
            <w:pPr>
              <w:jc w:val="center"/>
              <w:ind w:left="648"/>
              <w:spacing w:after="0"/>
              <w:rPr>
                <w:sz w:val="20"/>
                <w:szCs w:val="20"/>
                <w:color w:val="auto"/>
              </w:rPr>
            </w:pPr>
            <w:r>
              <w:rPr>
                <w:rFonts w:ascii="Arial" w:cs="Arial" w:eastAsia="Arial" w:hAnsi="Arial"/>
                <w:sz w:val="14"/>
                <w:szCs w:val="14"/>
                <w:color w:val="auto"/>
              </w:rPr>
              <w:t>South American</w:t>
            </w:r>
          </w:p>
        </w:tc>
        <w:tc>
          <w:tcPr>
            <w:tcW w:w="32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Sempra</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322"/>
              <w:spacing w:after="0"/>
              <w:rPr>
                <w:sz w:val="20"/>
                <w:szCs w:val="20"/>
                <w:color w:val="auto"/>
              </w:rPr>
            </w:pPr>
            <w:r>
              <w:rPr>
                <w:rFonts w:ascii="Arial" w:cs="Arial" w:eastAsia="Arial" w:hAnsi="Arial"/>
                <w:sz w:val="14"/>
                <w:szCs w:val="14"/>
                <w:color w:val="auto"/>
              </w:rPr>
              <w:t>Sempra</w:t>
            </w: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8"/>
        </w:trPr>
        <w:tc>
          <w:tcPr>
            <w:tcW w:w="3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color w:val="auto"/>
              </w:rPr>
              <w:t>Utilities</w:t>
            </w: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Mexico</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Natural Gas</w:t>
            </w: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Total</w:t>
            </w:r>
          </w:p>
        </w:tc>
      </w:tr>
      <w:tr>
        <w:trPr>
          <w:trHeight w:val="164"/>
        </w:trPr>
        <w:tc>
          <w:tcPr>
            <w:tcW w:w="3380" w:type="dxa"/>
            <w:vAlign w:val="bottom"/>
          </w:tcPr>
          <w:p>
            <w:pPr>
              <w:spacing w:after="0" w:line="164" w:lineRule="exact"/>
              <w:rPr>
                <w:sz w:val="20"/>
                <w:szCs w:val="20"/>
                <w:color w:val="auto"/>
              </w:rPr>
            </w:pPr>
            <w:r>
              <w:rPr>
                <w:rFonts w:ascii="Arial" w:cs="Arial" w:eastAsia="Arial" w:hAnsi="Arial"/>
                <w:sz w:val="16"/>
                <w:szCs w:val="16"/>
                <w:color w:val="auto"/>
              </w:rPr>
              <w:t>Balance as of December 31, 2011</w:t>
            </w:r>
          </w:p>
        </w:tc>
        <w:tc>
          <w:tcPr>
            <w:tcW w:w="2700" w:type="dxa"/>
            <w:vAlign w:val="bottom"/>
            <w:gridSpan w:val="2"/>
          </w:tcPr>
          <w:p>
            <w:pPr>
              <w:jc w:val="right"/>
              <w:ind w:right="160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64" w:lineRule="exact"/>
              <w:rPr>
                <w:sz w:val="20"/>
                <w:szCs w:val="20"/>
                <w:color w:val="auto"/>
              </w:rPr>
            </w:pPr>
            <w:r>
              <w:rPr>
                <w:rFonts w:ascii="Arial" w:cs="Arial" w:eastAsia="Arial" w:hAnsi="Arial"/>
                <w:sz w:val="16"/>
                <w:szCs w:val="16"/>
                <w:color w:val="auto"/>
                <w:w w:val="97"/>
              </w:rPr>
              <w:t>949</w:t>
            </w:r>
          </w:p>
        </w:tc>
        <w:tc>
          <w:tcPr>
            <w:tcW w:w="1360" w:type="dxa"/>
            <w:vAlign w:val="bottom"/>
          </w:tcPr>
          <w:p>
            <w:pPr>
              <w:jc w:val="right"/>
              <w:ind w:right="120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64" w:lineRule="exact"/>
              <w:rPr>
                <w:sz w:val="20"/>
                <w:szCs w:val="20"/>
                <w:color w:val="auto"/>
              </w:rPr>
            </w:pPr>
            <w:r>
              <w:rPr>
                <w:rFonts w:ascii="Arial" w:cs="Arial" w:eastAsia="Arial" w:hAnsi="Arial"/>
                <w:sz w:val="16"/>
                <w:szCs w:val="16"/>
                <w:color w:val="auto"/>
              </w:rPr>
              <w:t>25</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62</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line="164" w:lineRule="exact"/>
              <w:rPr>
                <w:sz w:val="20"/>
                <w:szCs w:val="20"/>
                <w:color w:val="auto"/>
              </w:rPr>
            </w:pPr>
            <w:r>
              <w:rPr>
                <w:rFonts w:ascii="Arial" w:cs="Arial" w:eastAsia="Arial" w:hAnsi="Arial"/>
                <w:sz w:val="16"/>
                <w:szCs w:val="16"/>
                <w:color w:val="auto"/>
              </w:rPr>
              <w:t>1,036</w:t>
            </w: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6"/>
                <w:szCs w:val="16"/>
                <w:color w:val="auto"/>
              </w:rPr>
              <w:t>Foreign currency translation(1)</w:t>
            </w:r>
          </w:p>
        </w:tc>
        <w:tc>
          <w:tcPr>
            <w:tcW w:w="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1360" w:type="dxa"/>
            <w:vAlign w:val="bottom"/>
          </w:tcPr>
          <w:p>
            <w:pPr>
              <w:spacing w:after="0"/>
              <w:rPr>
                <w:sz w:val="15"/>
                <w:szCs w:val="15"/>
                <w:color w:val="auto"/>
              </w:rPr>
            </w:pPr>
          </w:p>
        </w:tc>
        <w:tc>
          <w:tcPr>
            <w:tcW w:w="300" w:type="dxa"/>
            <w:vAlign w:val="bottom"/>
          </w:tcPr>
          <w:p>
            <w:pPr>
              <w:ind w:left="140"/>
              <w:spacing w:after="0" w:line="176" w:lineRule="exact"/>
              <w:rPr>
                <w:sz w:val="20"/>
                <w:szCs w:val="20"/>
                <w:color w:val="auto"/>
              </w:rPr>
            </w:pPr>
            <w:r>
              <w:rPr>
                <w:rFonts w:ascii="Arial" w:cs="Arial" w:eastAsia="Arial" w:hAnsi="Arial"/>
                <w:sz w:val="16"/>
                <w:szCs w:val="16"/>
                <w:color w:val="auto"/>
                <w:w w:val="87"/>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r>
      <w:tr>
        <w:trPr>
          <w:trHeight w:val="194"/>
        </w:trPr>
        <w:tc>
          <w:tcPr>
            <w:tcW w:w="3380" w:type="dxa"/>
            <w:vAlign w:val="bottom"/>
          </w:tcPr>
          <w:p>
            <w:pPr>
              <w:spacing w:after="0"/>
              <w:rPr>
                <w:sz w:val="20"/>
                <w:szCs w:val="20"/>
                <w:color w:val="auto"/>
              </w:rPr>
            </w:pPr>
            <w:r>
              <w:rPr>
                <w:rFonts w:ascii="Arial" w:cs="Arial" w:eastAsia="Arial" w:hAnsi="Arial"/>
                <w:sz w:val="16"/>
                <w:szCs w:val="16"/>
                <w:color w:val="auto"/>
              </w:rPr>
              <w:t>Acquisition of subsidiary</w:t>
            </w:r>
          </w:p>
        </w:tc>
        <w:tc>
          <w:tcPr>
            <w:tcW w:w="94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7"/>
              </w:rPr>
              <w:t>―</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83"/>
        </w:trPr>
        <w:tc>
          <w:tcPr>
            <w:tcW w:w="33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Balance at June 30, 2012</w:t>
            </w:r>
          </w:p>
        </w:tc>
        <w:tc>
          <w:tcPr>
            <w:tcW w:w="2700" w:type="dxa"/>
            <w:vAlign w:val="bottom"/>
            <w:tcBorders>
              <w:bottom w:val="single" w:sz="8" w:color="auto"/>
            </w:tcBorders>
            <w:gridSpan w:val="2"/>
          </w:tcPr>
          <w:p>
            <w:pPr>
              <w:jc w:val="right"/>
              <w:ind w:right="16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7"/>
              </w:rPr>
              <w:t>970</w:t>
            </w:r>
          </w:p>
        </w:tc>
        <w:tc>
          <w:tcPr>
            <w:tcW w:w="136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25</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72</w:t>
            </w: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1,067</w:t>
            </w:r>
          </w:p>
        </w:tc>
      </w:tr>
    </w:tbl>
    <w:p>
      <w:pPr>
        <w:ind w:left="540" w:hanging="532"/>
        <w:spacing w:after="0"/>
        <w:tabs>
          <w:tab w:leader="none" w:pos="5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We record the offset of this fluctuation to other comprehensive income.</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We provide additional information concerning goodwill in Notes 1 and 3 of the Notes to Consolidated Financial Statements in the Updated Annual Report.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Remeasurement</w:t>
      </w:r>
    </w:p>
    <w:p>
      <w:pPr>
        <w:spacing w:after="0" w:line="2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SoCalGas union collective bargaining agreement (CBA) covering wages, hours, working conditions and medical and other benefit plans was ratified on March 1, 2012 and is effective January 1, 2012 through September 30, 2015. The new CBA includes a change in plans offered for post-65 medical benefits. As a result, SoCalGas changed the option for administering the Medicare Part D benefit to an Employer Group Waiver Plan (EGWP). The EGWP allows a plan sponsor to contract with a Medicare Part D sponsor to receive the benefit of the subsidy through reduced premiums. Because this change in benefits is a significant event under GAAP, SoCalGas was required to remeasure the benefit obligations for this postretirement welfare plan as of February 29, 2012 and determined that a discount rate of 4.65% was appropriate. The effect of the remeasurement was a $66 million decrease in the recorded liability for other postretirement benefits as of March 31, 2012 at SoCalGas and Sempra Energy Consolidated. We discuss the Medicare Part D benefit in Note 8 of the Notes to Consolidated Financial Statements in the Updated Annual Report.</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Stock Ownership Plan (ESOP)</w:t>
      </w:r>
    </w:p>
    <w:p>
      <w:pPr>
        <w:spacing w:after="0" w:line="20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Sempra Energy terminated the ESOP effective June 30, 2012, as all ESOP debt was paid and all shares were released from the ESOP Trust as of that date. We describe the ESOP and ESOP debt in Note 8 of the Notes to Consolidated Financial Statements in the Updated Annual Report.</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three tables provide the components of net periodic benefit cost: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vMerge w:val="restart"/>
          </w:tcPr>
          <w:p>
            <w:pPr>
              <w:jc w:val="center"/>
              <w:ind w:right="503"/>
              <w:spacing w:after="0"/>
              <w:rPr>
                <w:sz w:val="20"/>
                <w:szCs w:val="20"/>
                <w:color w:val="auto"/>
              </w:rPr>
            </w:pPr>
            <w:r>
              <w:rPr>
                <w:rFonts w:ascii="Arial" w:cs="Arial" w:eastAsia="Arial" w:hAnsi="Arial"/>
                <w:sz w:val="14"/>
                <w:szCs w:val="14"/>
                <w:color w:val="auto"/>
              </w:rPr>
              <w:t>Pension Benefits</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2"/>
            <w:vMerge w:val="restart"/>
          </w:tcPr>
          <w:p>
            <w:pPr>
              <w:jc w:val="right"/>
              <w:ind w:right="662"/>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6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4"/>
                <w:szCs w:val="14"/>
                <w:color w:val="auto"/>
              </w:rPr>
              <w:t>Three months ended June 30,</w:t>
            </w: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2"/>
          </w:tcPr>
          <w:p>
            <w:pPr>
              <w:jc w:val="right"/>
              <w:ind w:right="642"/>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2012</w:t>
            </w:r>
          </w:p>
        </w:tc>
        <w:tc>
          <w:tcPr>
            <w:tcW w:w="18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984"/>
              <w:spacing w:after="0"/>
              <w:rPr>
                <w:sz w:val="20"/>
                <w:szCs w:val="20"/>
                <w:color w:val="auto"/>
              </w:rPr>
            </w:pPr>
            <w:r>
              <w:rPr>
                <w:rFonts w:ascii="Arial" w:cs="Arial" w:eastAsia="Arial" w:hAnsi="Arial"/>
                <w:sz w:val="14"/>
                <w:szCs w:val="14"/>
                <w:color w:val="auto"/>
              </w:rPr>
              <w:t>2012</w:t>
            </w:r>
          </w:p>
        </w:tc>
        <w:tc>
          <w:tcPr>
            <w:tcW w:w="13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6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2800" w:type="dxa"/>
            <w:vAlign w:val="bottom"/>
            <w:gridSpan w:val="2"/>
          </w:tcPr>
          <w:p>
            <w:pPr>
              <w:jc w:val="right"/>
              <w:ind w:right="888"/>
              <w:spacing w:after="0" w:line="164" w:lineRule="exact"/>
              <w:rPr>
                <w:sz w:val="20"/>
                <w:szCs w:val="20"/>
                <w:color w:val="auto"/>
              </w:rPr>
            </w:pPr>
            <w:r>
              <w:rPr>
                <w:rFonts w:ascii="Arial" w:cs="Arial" w:eastAsia="Arial" w:hAnsi="Arial"/>
                <w:sz w:val="16"/>
                <w:szCs w:val="16"/>
                <w:color w:val="auto"/>
              </w:rPr>
              <w:t>$</w:t>
            </w:r>
          </w:p>
        </w:tc>
        <w:tc>
          <w:tcPr>
            <w:tcW w:w="1820" w:type="dxa"/>
            <w:vAlign w:val="bottom"/>
          </w:tcPr>
          <w:p>
            <w:pPr>
              <w:ind w:left="400"/>
              <w:spacing w:after="0" w:line="164" w:lineRule="exact"/>
              <w:rPr>
                <w:sz w:val="20"/>
                <w:szCs w:val="20"/>
                <w:color w:val="auto"/>
              </w:rPr>
            </w:pPr>
            <w:r>
              <w:rPr>
                <w:rFonts w:ascii="Arial" w:cs="Arial" w:eastAsia="Arial" w:hAnsi="Arial"/>
                <w:sz w:val="16"/>
                <w:szCs w:val="16"/>
                <w:color w:val="auto"/>
              </w:rPr>
              <w:t>22 $</w:t>
            </w: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21</w:t>
            </w:r>
          </w:p>
        </w:tc>
        <w:tc>
          <w:tcPr>
            <w:tcW w:w="400" w:type="dxa"/>
            <w:vAlign w:val="bottom"/>
          </w:tcPr>
          <w:p>
            <w:pPr>
              <w:jc w:val="right"/>
              <w:ind w:right="219"/>
              <w:spacing w:after="0" w:line="164" w:lineRule="exact"/>
              <w:rPr>
                <w:sz w:val="20"/>
                <w:szCs w:val="20"/>
                <w:color w:val="auto"/>
              </w:rPr>
            </w:pPr>
            <w:r>
              <w:rPr>
                <w:rFonts w:ascii="Arial" w:cs="Arial" w:eastAsia="Arial" w:hAnsi="Arial"/>
                <w:sz w:val="16"/>
                <w:szCs w:val="16"/>
                <w:color w:val="auto"/>
                <w:w w:val="89"/>
              </w:rPr>
              <w:t>$</w:t>
            </w:r>
          </w:p>
        </w:tc>
        <w:tc>
          <w:tcPr>
            <w:tcW w:w="1660" w:type="dxa"/>
            <w:vAlign w:val="bottom"/>
          </w:tcPr>
          <w:p>
            <w:pPr>
              <w:jc w:val="right"/>
              <w:ind w:right="204"/>
              <w:spacing w:after="0" w:line="164" w:lineRule="exact"/>
              <w:rPr>
                <w:sz w:val="20"/>
                <w:szCs w:val="20"/>
                <w:color w:val="auto"/>
              </w:rPr>
            </w:pPr>
            <w:r>
              <w:rPr>
                <w:rFonts w:ascii="Arial" w:cs="Arial" w:eastAsia="Arial" w:hAnsi="Arial"/>
                <w:sz w:val="16"/>
                <w:szCs w:val="16"/>
                <w:color w:val="auto"/>
              </w:rPr>
              <w:t>7 $</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5"/>
        </w:trPr>
        <w:tc>
          <w:tcPr>
            <w:tcW w:w="298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1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ind w:left="400"/>
              <w:spacing w:after="0"/>
              <w:rPr>
                <w:sz w:val="20"/>
                <w:szCs w:val="20"/>
                <w:color w:val="auto"/>
              </w:rPr>
            </w:pPr>
            <w:r>
              <w:rPr>
                <w:rFonts w:ascii="Arial" w:cs="Arial" w:eastAsia="Arial" w:hAnsi="Arial"/>
                <w:sz w:val="16"/>
                <w:szCs w:val="16"/>
                <w:color w:val="auto"/>
              </w:rPr>
              <w:t>41</w:t>
            </w: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c>
          <w:tcPr>
            <w:tcW w:w="400" w:type="dxa"/>
            <w:vAlign w:val="bottom"/>
          </w:tcPr>
          <w:p>
            <w:pPr>
              <w:spacing w:after="0"/>
              <w:rPr>
                <w:sz w:val="16"/>
                <w:szCs w:val="16"/>
                <w:color w:val="auto"/>
              </w:rPr>
            </w:pPr>
          </w:p>
        </w:tc>
        <w:tc>
          <w:tcPr>
            <w:tcW w:w="1660" w:type="dxa"/>
            <w:vAlign w:val="bottom"/>
          </w:tcPr>
          <w:p>
            <w:pPr>
              <w:jc w:val="right"/>
              <w:ind w:right="344"/>
              <w:spacing w:after="0"/>
              <w:rPr>
                <w:sz w:val="20"/>
                <w:szCs w:val="20"/>
                <w:color w:val="auto"/>
              </w:rPr>
            </w:pPr>
            <w:r>
              <w:rPr>
                <w:rFonts w:ascii="Arial" w:cs="Arial" w:eastAsia="Arial" w:hAnsi="Arial"/>
                <w:sz w:val="16"/>
                <w:szCs w:val="16"/>
                <w:color w:val="auto"/>
              </w:rPr>
              <w:t>14</w:t>
            </w: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1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 (credit)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11</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10</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w:t>
            </w: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3"/>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55</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51</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11</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r>
      <w:tr>
        <w:trPr>
          <w:trHeight w:val="169"/>
        </w:trPr>
        <w:tc>
          <w:tcPr>
            <w:tcW w:w="20" w:type="dxa"/>
            <w:vAlign w:val="bottom"/>
          </w:tcPr>
          <w:p>
            <w:pPr>
              <w:spacing w:after="0"/>
              <w:rPr>
                <w:sz w:val="14"/>
                <w:szCs w:val="14"/>
                <w:color w:val="auto"/>
              </w:rPr>
            </w:pPr>
          </w:p>
        </w:tc>
        <w:tc>
          <w:tcPr>
            <w:tcW w:w="39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760" w:type="dxa"/>
            <w:vAlign w:val="bottom"/>
            <w:tcBorders>
              <w:top w:val="single" w:sz="8" w:color="auto"/>
              <w:bottom w:val="single" w:sz="8" w:color="auto"/>
            </w:tcBorders>
            <w:gridSpan w:val="4"/>
          </w:tcPr>
          <w:p>
            <w:pPr>
              <w:jc w:val="center"/>
              <w:ind w:left="466"/>
              <w:spacing w:after="0"/>
              <w:rPr>
                <w:sz w:val="20"/>
                <w:szCs w:val="20"/>
                <w:color w:val="auto"/>
              </w:rPr>
            </w:pPr>
            <w:r>
              <w:rPr>
                <w:rFonts w:ascii="Arial" w:cs="Arial" w:eastAsia="Arial" w:hAnsi="Arial"/>
                <w:sz w:val="14"/>
                <w:szCs w:val="14"/>
                <w:color w:val="auto"/>
              </w:rPr>
              <w:t>Six months ended June 30,</w:t>
            </w:r>
          </w:p>
        </w:tc>
        <w:tc>
          <w:tcPr>
            <w:tcW w:w="4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3040" w:type="dxa"/>
            <w:vAlign w:val="bottom"/>
            <w:tcBorders>
              <w:top w:val="single" w:sz="8" w:color="auto"/>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Six months ended June 30,</w:t>
            </w:r>
          </w:p>
        </w:tc>
      </w:tr>
      <w:tr>
        <w:trPr>
          <w:trHeight w:val="210"/>
        </w:trPr>
        <w:tc>
          <w:tcPr>
            <w:tcW w:w="20" w:type="dxa"/>
            <w:vAlign w:val="bottom"/>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396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1800" w:type="dxa"/>
            <w:vAlign w:val="bottom"/>
            <w:gridSpan w:val="3"/>
          </w:tcPr>
          <w:p>
            <w:pPr>
              <w:jc w:val="right"/>
              <w:ind w:right="886"/>
              <w:spacing w:after="0" w:line="164"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45</w:t>
            </w:r>
          </w:p>
        </w:tc>
        <w:tc>
          <w:tcPr>
            <w:tcW w:w="1100" w:type="dxa"/>
            <w:vAlign w:val="bottom"/>
          </w:tcPr>
          <w:p>
            <w:pPr>
              <w:jc w:val="right"/>
              <w:ind w:right="946"/>
              <w:spacing w:after="0" w:line="164" w:lineRule="exact"/>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43</w:t>
            </w:r>
          </w:p>
        </w:tc>
        <w:tc>
          <w:tcPr>
            <w:tcW w:w="320" w:type="dxa"/>
            <w:vAlign w:val="bottom"/>
          </w:tcPr>
          <w:p>
            <w:pPr>
              <w:jc w:val="right"/>
              <w:ind w:right="164"/>
              <w:spacing w:after="0" w:line="164" w:lineRule="exact"/>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15</w:t>
            </w:r>
          </w:p>
        </w:tc>
        <w:tc>
          <w:tcPr>
            <w:tcW w:w="360" w:type="dxa"/>
            <w:vAlign w:val="bottom"/>
          </w:tcPr>
          <w:p>
            <w:pPr>
              <w:jc w:val="right"/>
              <w:ind w:right="204"/>
              <w:spacing w:after="0" w:line="164"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15</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82</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85</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28</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(78)</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(73)</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(27)</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 (credit)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23</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18</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10</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83"/>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63</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60</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26</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r>
      <w:tr>
        <w:trPr>
          <w:trHeight w:val="972"/>
        </w:trPr>
        <w:tc>
          <w:tcPr>
            <w:tcW w:w="20" w:type="dxa"/>
            <w:vAlign w:val="bottom"/>
          </w:tcPr>
          <w:p>
            <w:pPr>
              <w:spacing w:after="0"/>
              <w:rPr>
                <w:sz w:val="24"/>
                <w:szCs w:val="24"/>
                <w:color w:val="auto"/>
              </w:rPr>
            </w:pPr>
          </w:p>
        </w:tc>
        <w:tc>
          <w:tcPr>
            <w:tcW w:w="39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96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NET PERIODIC BENEFIT COST – SDG&amp;E</w:t>
            </w:r>
          </w:p>
        </w:tc>
        <w:tc>
          <w:tcPr>
            <w:tcW w:w="50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1100" w:type="dxa"/>
            <w:vAlign w:val="bottom"/>
            <w:shd w:val="clear" w:color="auto" w:fill="C0C0C0"/>
          </w:tcPr>
          <w:p>
            <w:pPr>
              <w:spacing w:after="0"/>
              <w:rPr>
                <w:sz w:val="13"/>
                <w:szCs w:val="13"/>
                <w:color w:val="auto"/>
              </w:rPr>
            </w:pPr>
          </w:p>
        </w:tc>
        <w:tc>
          <w:tcPr>
            <w:tcW w:w="400" w:type="dxa"/>
            <w:vAlign w:val="bottom"/>
            <w:shd w:val="clear" w:color="auto" w:fill="C0C0C0"/>
          </w:tcPr>
          <w:p>
            <w:pPr>
              <w:spacing w:after="0"/>
              <w:rPr>
                <w:sz w:val="13"/>
                <w:szCs w:val="13"/>
                <w:color w:val="auto"/>
              </w:rPr>
            </w:pPr>
          </w:p>
        </w:tc>
        <w:tc>
          <w:tcPr>
            <w:tcW w:w="160" w:type="dxa"/>
            <w:vAlign w:val="bottom"/>
            <w:shd w:val="clear" w:color="auto" w:fill="C0C0C0"/>
          </w:tcPr>
          <w:p>
            <w:pPr>
              <w:spacing w:after="0"/>
              <w:rPr>
                <w:sz w:val="13"/>
                <w:szCs w:val="13"/>
                <w:color w:val="auto"/>
              </w:rPr>
            </w:pPr>
          </w:p>
        </w:tc>
        <w:tc>
          <w:tcPr>
            <w:tcW w:w="320" w:type="dxa"/>
            <w:vAlign w:val="bottom"/>
            <w:shd w:val="clear" w:color="auto" w:fill="C0C0C0"/>
          </w:tcPr>
          <w:p>
            <w:pPr>
              <w:spacing w:after="0"/>
              <w:rPr>
                <w:sz w:val="13"/>
                <w:szCs w:val="13"/>
                <w:color w:val="auto"/>
              </w:rPr>
            </w:pPr>
          </w:p>
        </w:tc>
        <w:tc>
          <w:tcPr>
            <w:tcW w:w="1300" w:type="dxa"/>
            <w:vAlign w:val="bottom"/>
            <w:shd w:val="clear" w:color="auto" w:fill="C0C0C0"/>
          </w:tcPr>
          <w:p>
            <w:pPr>
              <w:spacing w:after="0"/>
              <w:rPr>
                <w:sz w:val="13"/>
                <w:szCs w:val="13"/>
                <w:color w:val="auto"/>
              </w:rPr>
            </w:pPr>
          </w:p>
        </w:tc>
        <w:tc>
          <w:tcPr>
            <w:tcW w:w="6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39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10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406"/>
              <w:spacing w:after="0"/>
              <w:rPr>
                <w:sz w:val="20"/>
                <w:szCs w:val="20"/>
                <w:color w:val="auto"/>
              </w:rPr>
            </w:pPr>
            <w:r>
              <w:rPr>
                <w:rFonts w:ascii="Arial" w:cs="Arial" w:eastAsia="Arial" w:hAnsi="Arial"/>
                <w:sz w:val="14"/>
                <w:szCs w:val="14"/>
                <w:color w:val="auto"/>
              </w:rPr>
              <w:t>Pension Benefits</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Other Postretirement Benefits</w:t>
            </w: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tcBorders>
              <w:bottom w:val="single" w:sz="8" w:color="auto"/>
            </w:tcBorders>
            <w:gridSpan w:val="4"/>
          </w:tcPr>
          <w:p>
            <w:pPr>
              <w:jc w:val="center"/>
              <w:ind w:left="486"/>
              <w:spacing w:after="0"/>
              <w:rPr>
                <w:sz w:val="20"/>
                <w:szCs w:val="20"/>
                <w:color w:val="auto"/>
              </w:rPr>
            </w:pPr>
            <w:r>
              <w:rPr>
                <w:rFonts w:ascii="Arial" w:cs="Arial" w:eastAsia="Arial" w:hAnsi="Arial"/>
                <w:sz w:val="14"/>
                <w:szCs w:val="14"/>
                <w:color w:val="auto"/>
              </w:rPr>
              <w:t>Three months ended June 30,</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Three months ended June 30,</w:t>
            </w:r>
          </w:p>
        </w:tc>
      </w:tr>
      <w:tr>
        <w:trPr>
          <w:trHeight w:val="183"/>
        </w:trPr>
        <w:tc>
          <w:tcPr>
            <w:tcW w:w="20" w:type="dxa"/>
            <w:vAlign w:val="bottom"/>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396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1800" w:type="dxa"/>
            <w:vAlign w:val="bottom"/>
            <w:gridSpan w:val="3"/>
          </w:tcPr>
          <w:p>
            <w:pPr>
              <w:jc w:val="right"/>
              <w:ind w:right="886"/>
              <w:spacing w:after="0" w:line="164"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200" w:type="dxa"/>
            <w:vAlign w:val="bottom"/>
          </w:tcPr>
          <w:p>
            <w:pPr>
              <w:jc w:val="right"/>
              <w:spacing w:after="0" w:line="164" w:lineRule="exact"/>
              <w:rPr>
                <w:sz w:val="20"/>
                <w:szCs w:val="20"/>
                <w:color w:val="auto"/>
              </w:rPr>
            </w:pPr>
            <w:r>
              <w:rPr>
                <w:rFonts w:ascii="Arial" w:cs="Arial" w:eastAsia="Arial" w:hAnsi="Arial"/>
                <w:sz w:val="16"/>
                <w:szCs w:val="16"/>
                <w:color w:val="auto"/>
              </w:rPr>
              <w:t>7</w:t>
            </w:r>
          </w:p>
        </w:tc>
        <w:tc>
          <w:tcPr>
            <w:tcW w:w="1100" w:type="dxa"/>
            <w:vAlign w:val="bottom"/>
          </w:tcPr>
          <w:p>
            <w:pPr>
              <w:jc w:val="right"/>
              <w:ind w:right="946"/>
              <w:spacing w:after="0" w:line="164" w:lineRule="exact"/>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Arial" w:cs="Arial" w:eastAsia="Arial" w:hAnsi="Arial"/>
                <w:sz w:val="16"/>
                <w:szCs w:val="16"/>
                <w:color w:val="auto"/>
              </w:rPr>
              <w:t>8</w:t>
            </w:r>
          </w:p>
        </w:tc>
        <w:tc>
          <w:tcPr>
            <w:tcW w:w="320" w:type="dxa"/>
            <w:vAlign w:val="bottom"/>
          </w:tcPr>
          <w:p>
            <w:pPr>
              <w:jc w:val="right"/>
              <w:ind w:right="164"/>
              <w:spacing w:after="0" w:line="164" w:lineRule="exact"/>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2</w:t>
            </w:r>
          </w:p>
        </w:tc>
        <w:tc>
          <w:tcPr>
            <w:tcW w:w="360" w:type="dxa"/>
            <w:vAlign w:val="bottom"/>
          </w:tcPr>
          <w:p>
            <w:pPr>
              <w:jc w:val="right"/>
              <w:ind w:right="204"/>
              <w:spacing w:after="0" w:line="164"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2</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11</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12</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(12)</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(13)</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w:t>
            </w: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22</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18</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91"/>
        </w:trPr>
        <w:tc>
          <w:tcPr>
            <w:tcW w:w="20" w:type="dxa"/>
            <w:vAlign w:val="bottom"/>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4"/>
          </w:tcPr>
          <w:p>
            <w:pPr>
              <w:jc w:val="center"/>
              <w:ind w:left="466"/>
              <w:spacing w:after="0"/>
              <w:rPr>
                <w:sz w:val="20"/>
                <w:szCs w:val="20"/>
                <w:color w:val="auto"/>
              </w:rPr>
            </w:pPr>
            <w:r>
              <w:rPr>
                <w:rFonts w:ascii="Arial" w:cs="Arial" w:eastAsia="Arial" w:hAnsi="Arial"/>
                <w:sz w:val="14"/>
                <w:szCs w:val="14"/>
                <w:color w:val="auto"/>
              </w:rPr>
              <w:t>Six months ended June 30,</w:t>
            </w: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Six months ended June 30,</w:t>
            </w:r>
          </w:p>
        </w:tc>
      </w:tr>
      <w:tr>
        <w:trPr>
          <w:trHeight w:val="168"/>
        </w:trPr>
        <w:tc>
          <w:tcPr>
            <w:tcW w:w="20" w:type="dxa"/>
            <w:vAlign w:val="bottom"/>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396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1800" w:type="dxa"/>
            <w:vAlign w:val="bottom"/>
            <w:gridSpan w:val="3"/>
          </w:tcPr>
          <w:p>
            <w:pPr>
              <w:jc w:val="right"/>
              <w:ind w:right="886"/>
              <w:spacing w:after="0" w:line="164"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14</w:t>
            </w:r>
          </w:p>
        </w:tc>
        <w:tc>
          <w:tcPr>
            <w:tcW w:w="1100" w:type="dxa"/>
            <w:vAlign w:val="bottom"/>
          </w:tcPr>
          <w:p>
            <w:pPr>
              <w:jc w:val="right"/>
              <w:ind w:right="946"/>
              <w:spacing w:after="0" w:line="164" w:lineRule="exact"/>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15</w:t>
            </w:r>
          </w:p>
        </w:tc>
        <w:tc>
          <w:tcPr>
            <w:tcW w:w="320" w:type="dxa"/>
            <w:vAlign w:val="bottom"/>
          </w:tcPr>
          <w:p>
            <w:pPr>
              <w:jc w:val="right"/>
              <w:ind w:right="164"/>
              <w:spacing w:after="0" w:line="164" w:lineRule="exact"/>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4</w:t>
            </w:r>
          </w:p>
        </w:tc>
        <w:tc>
          <w:tcPr>
            <w:tcW w:w="360" w:type="dxa"/>
            <w:vAlign w:val="bottom"/>
          </w:tcPr>
          <w:p>
            <w:pPr>
              <w:jc w:val="right"/>
              <w:ind w:right="204"/>
              <w:spacing w:after="0" w:line="164"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4</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23</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25</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(24)</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(25)</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23</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20</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r>
      <w:tr>
        <w:trPr>
          <w:trHeight w:val="729"/>
        </w:trPr>
        <w:tc>
          <w:tcPr>
            <w:tcW w:w="20" w:type="dxa"/>
            <w:vAlign w:val="bottom"/>
          </w:tcPr>
          <w:p>
            <w:pPr>
              <w:spacing w:after="0"/>
              <w:rPr>
                <w:sz w:val="24"/>
                <w:szCs w:val="24"/>
                <w:color w:val="auto"/>
              </w:rPr>
            </w:pPr>
          </w:p>
        </w:tc>
        <w:tc>
          <w:tcPr>
            <w:tcW w:w="39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96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NET PERIODIC BENEFIT COST – SOCALGAS</w:t>
            </w:r>
          </w:p>
        </w:tc>
        <w:tc>
          <w:tcPr>
            <w:tcW w:w="50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1100" w:type="dxa"/>
            <w:vAlign w:val="bottom"/>
            <w:shd w:val="clear" w:color="auto" w:fill="C0C0C0"/>
          </w:tcPr>
          <w:p>
            <w:pPr>
              <w:spacing w:after="0"/>
              <w:rPr>
                <w:sz w:val="13"/>
                <w:szCs w:val="13"/>
                <w:color w:val="auto"/>
              </w:rPr>
            </w:pPr>
          </w:p>
        </w:tc>
        <w:tc>
          <w:tcPr>
            <w:tcW w:w="400" w:type="dxa"/>
            <w:vAlign w:val="bottom"/>
            <w:shd w:val="clear" w:color="auto" w:fill="C0C0C0"/>
          </w:tcPr>
          <w:p>
            <w:pPr>
              <w:spacing w:after="0"/>
              <w:rPr>
                <w:sz w:val="13"/>
                <w:szCs w:val="13"/>
                <w:color w:val="auto"/>
              </w:rPr>
            </w:pPr>
          </w:p>
        </w:tc>
        <w:tc>
          <w:tcPr>
            <w:tcW w:w="160" w:type="dxa"/>
            <w:vAlign w:val="bottom"/>
            <w:shd w:val="clear" w:color="auto" w:fill="C0C0C0"/>
          </w:tcPr>
          <w:p>
            <w:pPr>
              <w:spacing w:after="0"/>
              <w:rPr>
                <w:sz w:val="13"/>
                <w:szCs w:val="13"/>
                <w:color w:val="auto"/>
              </w:rPr>
            </w:pPr>
          </w:p>
        </w:tc>
        <w:tc>
          <w:tcPr>
            <w:tcW w:w="320" w:type="dxa"/>
            <w:vAlign w:val="bottom"/>
            <w:shd w:val="clear" w:color="auto" w:fill="C0C0C0"/>
          </w:tcPr>
          <w:p>
            <w:pPr>
              <w:spacing w:after="0"/>
              <w:rPr>
                <w:sz w:val="13"/>
                <w:szCs w:val="13"/>
                <w:color w:val="auto"/>
              </w:rPr>
            </w:pPr>
          </w:p>
        </w:tc>
        <w:tc>
          <w:tcPr>
            <w:tcW w:w="1300" w:type="dxa"/>
            <w:vAlign w:val="bottom"/>
            <w:shd w:val="clear" w:color="auto" w:fill="C0C0C0"/>
          </w:tcPr>
          <w:p>
            <w:pPr>
              <w:spacing w:after="0"/>
              <w:rPr>
                <w:sz w:val="13"/>
                <w:szCs w:val="13"/>
                <w:color w:val="auto"/>
              </w:rPr>
            </w:pPr>
          </w:p>
        </w:tc>
        <w:tc>
          <w:tcPr>
            <w:tcW w:w="6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39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10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center"/>
              <w:ind w:left="86"/>
              <w:spacing w:after="0"/>
              <w:rPr>
                <w:sz w:val="20"/>
                <w:szCs w:val="20"/>
                <w:color w:val="auto"/>
              </w:rPr>
            </w:pPr>
            <w:r>
              <w:rPr>
                <w:rFonts w:ascii="Arial" w:cs="Arial" w:eastAsia="Arial" w:hAnsi="Arial"/>
                <w:sz w:val="14"/>
                <w:szCs w:val="14"/>
                <w:color w:val="auto"/>
              </w:rPr>
              <w:t>Pension Benefits</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Other Postretirement Benefits</w:t>
            </w: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center"/>
              <w:ind w:left="86"/>
              <w:spacing w:after="0"/>
              <w:rPr>
                <w:sz w:val="20"/>
                <w:szCs w:val="20"/>
                <w:color w:val="auto"/>
              </w:rPr>
            </w:pPr>
            <w:r>
              <w:rPr>
                <w:rFonts w:ascii="Arial" w:cs="Arial" w:eastAsia="Arial" w:hAnsi="Arial"/>
                <w:sz w:val="14"/>
                <w:szCs w:val="14"/>
                <w:color w:val="auto"/>
              </w:rPr>
              <w:t>Three months ended June 30,</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Three months ended June 30,</w:t>
            </w:r>
          </w:p>
        </w:tc>
      </w:tr>
      <w:tr>
        <w:trPr>
          <w:trHeight w:val="183"/>
        </w:trPr>
        <w:tc>
          <w:tcPr>
            <w:tcW w:w="20" w:type="dxa"/>
            <w:vAlign w:val="bottom"/>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396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760" w:type="dxa"/>
            <w:vAlign w:val="bottom"/>
            <w:gridSpan w:val="2"/>
          </w:tcPr>
          <w:p>
            <w:pPr>
              <w:jc w:val="right"/>
              <w:ind w:right="104"/>
              <w:spacing w:after="0" w:line="164" w:lineRule="exact"/>
              <w:rPr>
                <w:sz w:val="20"/>
                <w:szCs w:val="20"/>
                <w:color w:val="auto"/>
              </w:rPr>
            </w:pPr>
            <w:r>
              <w:rPr>
                <w:rFonts w:ascii="Arial" w:cs="Arial" w:eastAsia="Arial" w:hAnsi="Arial"/>
                <w:sz w:val="16"/>
                <w:szCs w:val="16"/>
                <w:color w:val="auto"/>
              </w:rPr>
              <w:t>$</w:t>
            </w:r>
          </w:p>
        </w:tc>
        <w:tc>
          <w:tcPr>
            <w:tcW w:w="1040" w:type="dxa"/>
            <w:vAlign w:val="bottom"/>
          </w:tcPr>
          <w:p>
            <w:pPr>
              <w:spacing w:after="0"/>
              <w:rPr>
                <w:sz w:val="14"/>
                <w:szCs w:val="14"/>
                <w:color w:val="auto"/>
              </w:rPr>
            </w:pPr>
          </w:p>
        </w:tc>
        <w:tc>
          <w:tcPr>
            <w:tcW w:w="420" w:type="dxa"/>
            <w:vAlign w:val="bottom"/>
          </w:tcPr>
          <w:p>
            <w:pPr>
              <w:jc w:val="right"/>
              <w:spacing w:after="0" w:line="164" w:lineRule="exact"/>
              <w:rPr>
                <w:sz w:val="20"/>
                <w:szCs w:val="20"/>
                <w:color w:val="auto"/>
              </w:rPr>
            </w:pPr>
            <w:r>
              <w:rPr>
                <w:rFonts w:ascii="Arial" w:cs="Arial" w:eastAsia="Arial" w:hAnsi="Arial"/>
                <w:sz w:val="16"/>
                <w:szCs w:val="16"/>
                <w:color w:val="auto"/>
              </w:rPr>
              <w:t>14</w:t>
            </w:r>
          </w:p>
        </w:tc>
        <w:tc>
          <w:tcPr>
            <w:tcW w:w="200" w:type="dxa"/>
            <w:vAlign w:val="bottom"/>
          </w:tcPr>
          <w:p>
            <w:pPr>
              <w:jc w:val="right"/>
              <w:ind w:right="40"/>
              <w:spacing w:after="0" w:line="164" w:lineRule="exact"/>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12</w:t>
            </w:r>
          </w:p>
        </w:tc>
        <w:tc>
          <w:tcPr>
            <w:tcW w:w="1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300" w:type="dxa"/>
            <w:vAlign w:val="bottom"/>
          </w:tcPr>
          <w:p>
            <w:pPr>
              <w:jc w:val="right"/>
              <w:spacing w:after="0" w:line="164" w:lineRule="exact"/>
              <w:rPr>
                <w:sz w:val="20"/>
                <w:szCs w:val="20"/>
                <w:color w:val="auto"/>
              </w:rPr>
            </w:pPr>
            <w:r>
              <w:rPr>
                <w:rFonts w:ascii="Arial" w:cs="Arial" w:eastAsia="Arial" w:hAnsi="Arial"/>
                <w:sz w:val="16"/>
                <w:szCs w:val="16"/>
                <w:color w:val="auto"/>
              </w:rPr>
              <w:t>5</w:t>
            </w:r>
          </w:p>
        </w:tc>
        <w:tc>
          <w:tcPr>
            <w:tcW w:w="420" w:type="dxa"/>
            <w:vAlign w:val="bottom"/>
            <w:gridSpan w:val="2"/>
          </w:tcPr>
          <w:p>
            <w:pPr>
              <w:jc w:val="center"/>
              <w:ind w:right="264"/>
              <w:spacing w:after="0" w:line="164"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5</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gridSpan w:val="2"/>
          </w:tcPr>
          <w:p>
            <w:pPr>
              <w:jc w:val="right"/>
              <w:ind w:right="39"/>
              <w:spacing w:after="0" w:line="176" w:lineRule="exact"/>
              <w:rPr>
                <w:sz w:val="20"/>
                <w:szCs w:val="20"/>
                <w:color w:val="auto"/>
              </w:rPr>
            </w:pPr>
            <w:r>
              <w:rPr>
                <w:rFonts w:ascii="Arial" w:cs="Arial" w:eastAsia="Arial" w:hAnsi="Arial"/>
                <w:sz w:val="16"/>
                <w:szCs w:val="16"/>
                <w:color w:val="auto"/>
              </w:rPr>
              <w:t>(21)</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credit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gridSpan w:val="2"/>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3"/>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420" w:type="dxa"/>
            <w:vAlign w:val="bottom"/>
            <w:gridSpan w:val="2"/>
          </w:tcPr>
          <w:p>
            <w:pPr>
              <w:jc w:val="center"/>
              <w:ind w:right="264"/>
              <w:spacing w:after="0" w:line="176"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r>
      <w:tr>
        <w:trPr>
          <w:trHeight w:val="191"/>
        </w:trPr>
        <w:tc>
          <w:tcPr>
            <w:tcW w:w="20" w:type="dxa"/>
            <w:vAlign w:val="bottom"/>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4"/>
          </w:tcPr>
          <w:p>
            <w:pPr>
              <w:jc w:val="center"/>
              <w:ind w:left="106"/>
              <w:spacing w:after="0"/>
              <w:rPr>
                <w:sz w:val="20"/>
                <w:szCs w:val="20"/>
                <w:color w:val="auto"/>
              </w:rPr>
            </w:pPr>
            <w:r>
              <w:rPr>
                <w:rFonts w:ascii="Arial" w:cs="Arial" w:eastAsia="Arial" w:hAnsi="Arial"/>
                <w:sz w:val="14"/>
                <w:szCs w:val="14"/>
                <w:color w:val="auto"/>
              </w:rPr>
              <w:t>Six months ended June 30,</w:t>
            </w: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4"/>
          </w:tcPr>
          <w:p>
            <w:pPr>
              <w:jc w:val="right"/>
              <w:ind w:right="800"/>
              <w:spacing w:after="0"/>
              <w:rPr>
                <w:sz w:val="20"/>
                <w:szCs w:val="20"/>
                <w:color w:val="auto"/>
              </w:rPr>
            </w:pPr>
            <w:r>
              <w:rPr>
                <w:rFonts w:ascii="Arial" w:cs="Arial" w:eastAsia="Arial" w:hAnsi="Arial"/>
                <w:sz w:val="14"/>
                <w:szCs w:val="14"/>
                <w:color w:val="auto"/>
              </w:rPr>
              <w:t>Six months ended June 30,</w:t>
            </w:r>
          </w:p>
        </w:tc>
      </w:tr>
      <w:tr>
        <w:trPr>
          <w:trHeight w:val="168"/>
        </w:trPr>
        <w:tc>
          <w:tcPr>
            <w:tcW w:w="20" w:type="dxa"/>
            <w:vAlign w:val="bottom"/>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396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760" w:type="dxa"/>
            <w:vAlign w:val="bottom"/>
            <w:gridSpan w:val="2"/>
          </w:tcPr>
          <w:p>
            <w:pPr>
              <w:jc w:val="right"/>
              <w:ind w:right="104"/>
              <w:spacing w:after="0" w:line="164" w:lineRule="exact"/>
              <w:rPr>
                <w:sz w:val="20"/>
                <w:szCs w:val="20"/>
                <w:color w:val="auto"/>
              </w:rPr>
            </w:pPr>
            <w:r>
              <w:rPr>
                <w:rFonts w:ascii="Arial" w:cs="Arial" w:eastAsia="Arial" w:hAnsi="Arial"/>
                <w:sz w:val="16"/>
                <w:szCs w:val="16"/>
                <w:color w:val="auto"/>
              </w:rPr>
              <w:t>$</w:t>
            </w:r>
          </w:p>
        </w:tc>
        <w:tc>
          <w:tcPr>
            <w:tcW w:w="1040" w:type="dxa"/>
            <w:vAlign w:val="bottom"/>
          </w:tcPr>
          <w:p>
            <w:pPr>
              <w:spacing w:after="0"/>
              <w:rPr>
                <w:sz w:val="14"/>
                <w:szCs w:val="14"/>
                <w:color w:val="auto"/>
              </w:rPr>
            </w:pPr>
          </w:p>
        </w:tc>
        <w:tc>
          <w:tcPr>
            <w:tcW w:w="420" w:type="dxa"/>
            <w:vAlign w:val="bottom"/>
          </w:tcPr>
          <w:p>
            <w:pPr>
              <w:jc w:val="right"/>
              <w:spacing w:after="0" w:line="164" w:lineRule="exact"/>
              <w:rPr>
                <w:sz w:val="20"/>
                <w:szCs w:val="20"/>
                <w:color w:val="auto"/>
              </w:rPr>
            </w:pPr>
            <w:r>
              <w:rPr>
                <w:rFonts w:ascii="Arial" w:cs="Arial" w:eastAsia="Arial" w:hAnsi="Arial"/>
                <w:sz w:val="16"/>
                <w:szCs w:val="16"/>
                <w:color w:val="auto"/>
              </w:rPr>
              <w:t>27</w:t>
            </w:r>
          </w:p>
        </w:tc>
        <w:tc>
          <w:tcPr>
            <w:tcW w:w="200" w:type="dxa"/>
            <w:vAlign w:val="bottom"/>
          </w:tcPr>
          <w:p>
            <w:pPr>
              <w:jc w:val="right"/>
              <w:ind w:right="40"/>
              <w:spacing w:after="0" w:line="164" w:lineRule="exact"/>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24</w:t>
            </w:r>
          </w:p>
        </w:tc>
        <w:tc>
          <w:tcPr>
            <w:tcW w:w="1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300" w:type="dxa"/>
            <w:vAlign w:val="bottom"/>
          </w:tcPr>
          <w:p>
            <w:pPr>
              <w:jc w:val="right"/>
              <w:spacing w:after="0" w:line="164" w:lineRule="exact"/>
              <w:rPr>
                <w:sz w:val="20"/>
                <w:szCs w:val="20"/>
                <w:color w:val="auto"/>
              </w:rPr>
            </w:pPr>
            <w:r>
              <w:rPr>
                <w:rFonts w:ascii="Arial" w:cs="Arial" w:eastAsia="Arial" w:hAnsi="Arial"/>
                <w:sz w:val="16"/>
                <w:szCs w:val="16"/>
                <w:color w:val="auto"/>
              </w:rPr>
              <w:t>10</w:t>
            </w:r>
          </w:p>
        </w:tc>
        <w:tc>
          <w:tcPr>
            <w:tcW w:w="420" w:type="dxa"/>
            <w:vAlign w:val="bottom"/>
            <w:gridSpan w:val="2"/>
          </w:tcPr>
          <w:p>
            <w:pPr>
              <w:jc w:val="center"/>
              <w:ind w:right="264"/>
              <w:spacing w:after="0" w:line="164"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10</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gridSpan w:val="2"/>
          </w:tcPr>
          <w:p>
            <w:pPr>
              <w:jc w:val="right"/>
              <w:ind w:right="39"/>
              <w:spacing w:after="0" w:line="176" w:lineRule="exact"/>
              <w:rPr>
                <w:sz w:val="20"/>
                <w:szCs w:val="20"/>
                <w:color w:val="auto"/>
              </w:rPr>
            </w:pPr>
            <w:r>
              <w:rPr>
                <w:rFonts w:ascii="Arial" w:cs="Arial" w:eastAsia="Arial" w:hAnsi="Arial"/>
                <w:sz w:val="16"/>
                <w:szCs w:val="16"/>
                <w:color w:val="auto"/>
              </w:rPr>
              <w:t>(43)</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 (credit)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(23)</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420" w:type="dxa"/>
            <w:vAlign w:val="bottom"/>
            <w:gridSpan w:val="2"/>
          </w:tcPr>
          <w:p>
            <w:pPr>
              <w:jc w:val="center"/>
              <w:ind w:right="264"/>
              <w:spacing w:after="0" w:line="176"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r>
      <w:tr>
        <w:trPr>
          <w:trHeight w:val="27"/>
        </w:trPr>
        <w:tc>
          <w:tcPr>
            <w:tcW w:w="20" w:type="dxa"/>
            <w:vAlign w:val="bottom"/>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 Plan Contributions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year-to-date contributions to pension and other postretirement benefit plans and the amounts we expect to contribute in 2012:</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3920" w:type="dxa"/>
            <w:vAlign w:val="bottom"/>
          </w:tcPr>
          <w:p>
            <w:pPr>
              <w:jc w:val="center"/>
              <w:ind w:left="1568"/>
              <w:spacing w:after="0"/>
              <w:rPr>
                <w:sz w:val="20"/>
                <w:szCs w:val="20"/>
                <w:color w:val="auto"/>
              </w:rPr>
            </w:pPr>
            <w:r>
              <w:rPr>
                <w:rFonts w:ascii="Arial" w:cs="Arial" w:eastAsia="Arial" w:hAnsi="Arial"/>
                <w:sz w:val="14"/>
                <w:szCs w:val="14"/>
                <w:color w:val="auto"/>
              </w:rPr>
              <w:t>Sempra Energy</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vMerge w:val="continue"/>
          </w:tcPr>
          <w:p>
            <w:pPr>
              <w:spacing w:after="0"/>
              <w:rPr>
                <w:sz w:val="14"/>
                <w:szCs w:val="14"/>
                <w:color w:val="auto"/>
              </w:rPr>
            </w:pPr>
          </w:p>
        </w:tc>
        <w:tc>
          <w:tcPr>
            <w:tcW w:w="3920" w:type="dxa"/>
            <w:vAlign w:val="bottom"/>
          </w:tcPr>
          <w:p>
            <w:pPr>
              <w:jc w:val="center"/>
              <w:ind w:left="1568"/>
              <w:spacing w:after="0"/>
              <w:rPr>
                <w:sz w:val="20"/>
                <w:szCs w:val="20"/>
                <w:color w:val="auto"/>
              </w:rPr>
            </w:pPr>
            <w:r>
              <w:rPr>
                <w:rFonts w:ascii="Arial" w:cs="Arial" w:eastAsia="Arial" w:hAnsi="Arial"/>
                <w:sz w:val="14"/>
                <w:szCs w:val="14"/>
                <w:color w:val="auto"/>
              </w:rPr>
              <w:t>Consolidated</w:t>
            </w:r>
          </w:p>
        </w:tc>
        <w:tc>
          <w:tcPr>
            <w:tcW w:w="1880" w:type="dxa"/>
            <w:vAlign w:val="bottom"/>
          </w:tcPr>
          <w:p>
            <w:pPr>
              <w:ind w:left="640"/>
              <w:spacing w:after="0"/>
              <w:rPr>
                <w:sz w:val="20"/>
                <w:szCs w:val="20"/>
                <w:color w:val="auto"/>
              </w:rPr>
            </w:pPr>
            <w:r>
              <w:rPr>
                <w:rFonts w:ascii="Arial" w:cs="Arial" w:eastAsia="Arial" w:hAnsi="Arial"/>
                <w:sz w:val="14"/>
                <w:szCs w:val="14"/>
                <w:color w:val="auto"/>
              </w:rPr>
              <w:t>SDG&amp;E</w:t>
            </w:r>
          </w:p>
        </w:tc>
        <w:tc>
          <w:tcPr>
            <w:tcW w:w="1400" w:type="dxa"/>
            <w:vAlign w:val="bottom"/>
          </w:tcPr>
          <w:p>
            <w:pPr>
              <w:ind w:left="740"/>
              <w:spacing w:after="0"/>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0" w:gutter="0" w:footer="0" w:header="0"/>
        </w:sectPr>
      </w:pPr>
    </w:p>
    <w:p>
      <w:pPr>
        <w:spacing w:after="0"/>
        <w:rPr>
          <w:sz w:val="20"/>
          <w:szCs w:val="20"/>
          <w:color w:val="auto"/>
        </w:rPr>
      </w:pPr>
      <w:r>
        <w:rPr>
          <w:rFonts w:ascii="Arial" w:cs="Arial" w:eastAsia="Arial" w:hAnsi="Arial"/>
          <w:sz w:val="16"/>
          <w:szCs w:val="16"/>
          <w:color w:val="auto"/>
        </w:rPr>
        <w:t>Contributions through June 30, 2012:</w:t>
      </w:r>
    </w:p>
    <w:p>
      <w:pPr>
        <w:sectPr>
          <w:pgSz w:w="11900" w:h="16838" w:orient="portrait"/>
          <w:cols w:equalWidth="0" w:num="1">
            <w:col w:w="11420"/>
          </w:cols>
          <w:pgMar w:left="240" w:top="119" w:right="23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3960" w:type="dxa"/>
            <w:vAlign w:val="bottom"/>
          </w:tcPr>
          <w:p>
            <w:pPr>
              <w:ind w:left="180"/>
              <w:spacing w:after="0"/>
              <w:rPr>
                <w:sz w:val="20"/>
                <w:szCs w:val="20"/>
                <w:color w:val="auto"/>
              </w:rPr>
            </w:pPr>
            <w:r>
              <w:rPr>
                <w:rFonts w:ascii="Arial" w:cs="Arial" w:eastAsia="Arial" w:hAnsi="Arial"/>
                <w:sz w:val="16"/>
                <w:szCs w:val="16"/>
                <w:color w:val="auto"/>
              </w:rPr>
              <w:t>Pension plans</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70</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76"/>
        </w:trPr>
        <w:tc>
          <w:tcPr>
            <w:tcW w:w="3960" w:type="dxa"/>
            <w:vAlign w:val="bottom"/>
          </w:tcPr>
          <w:p>
            <w:pPr>
              <w:ind w:left="180"/>
              <w:spacing w:after="0" w:line="176" w:lineRule="exact"/>
              <w:rPr>
                <w:sz w:val="20"/>
                <w:szCs w:val="20"/>
                <w:color w:val="auto"/>
              </w:rPr>
            </w:pPr>
            <w:r>
              <w:rPr>
                <w:rFonts w:ascii="Arial" w:cs="Arial" w:eastAsia="Arial" w:hAnsi="Arial"/>
                <w:sz w:val="16"/>
                <w:szCs w:val="16"/>
                <w:color w:val="auto"/>
              </w:rPr>
              <w:t>Other postretirement benefit plans</w:t>
            </w:r>
          </w:p>
        </w:tc>
        <w:tc>
          <w:tcPr>
            <w:tcW w:w="22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96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9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r>
      <w:tr>
        <w:trPr>
          <w:trHeight w:val="176"/>
        </w:trPr>
        <w:tc>
          <w:tcPr>
            <w:tcW w:w="3960" w:type="dxa"/>
            <w:vAlign w:val="bottom"/>
          </w:tcPr>
          <w:p>
            <w:pPr>
              <w:spacing w:after="0" w:line="176" w:lineRule="exact"/>
              <w:rPr>
                <w:sz w:val="20"/>
                <w:szCs w:val="20"/>
                <w:color w:val="auto"/>
              </w:rPr>
            </w:pPr>
            <w:r>
              <w:rPr>
                <w:rFonts w:ascii="Arial" w:cs="Arial" w:eastAsia="Arial" w:hAnsi="Arial"/>
                <w:sz w:val="16"/>
                <w:szCs w:val="16"/>
                <w:color w:val="auto"/>
              </w:rPr>
              <w:t>Total expected contributions in 2012:</w:t>
            </w:r>
          </w:p>
        </w:tc>
        <w:tc>
          <w:tcPr>
            <w:tcW w:w="2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960" w:type="dxa"/>
            <w:vAlign w:val="bottom"/>
          </w:tcPr>
          <w:p>
            <w:pPr>
              <w:ind w:left="180"/>
              <w:spacing w:after="0" w:line="176" w:lineRule="exact"/>
              <w:rPr>
                <w:sz w:val="20"/>
                <w:szCs w:val="20"/>
                <w:color w:val="auto"/>
              </w:rPr>
            </w:pPr>
            <w:r>
              <w:rPr>
                <w:rFonts w:ascii="Arial" w:cs="Arial" w:eastAsia="Arial" w:hAnsi="Arial"/>
                <w:sz w:val="16"/>
                <w:szCs w:val="16"/>
                <w:color w:val="auto"/>
              </w:rPr>
              <w:t>Pension plans</w:t>
            </w:r>
          </w:p>
        </w:tc>
        <w:tc>
          <w:tcPr>
            <w:tcW w:w="2220" w:type="dxa"/>
            <w:vAlign w:val="bottom"/>
          </w:tcPr>
          <w:p>
            <w:pPr>
              <w:jc w:val="right"/>
              <w:ind w:right="71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218</w:t>
            </w:r>
          </w:p>
        </w:tc>
        <w:tc>
          <w:tcPr>
            <w:tcW w:w="960" w:type="dxa"/>
            <w:vAlign w:val="bottom"/>
          </w:tcPr>
          <w:p>
            <w:pPr>
              <w:jc w:val="right"/>
              <w:ind w:right="779"/>
              <w:spacing w:after="0" w:line="176"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940" w:type="dxa"/>
            <w:vAlign w:val="bottom"/>
          </w:tcPr>
          <w:p>
            <w:pPr>
              <w:jc w:val="right"/>
              <w:ind w:right="7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113</w:t>
            </w:r>
          </w:p>
        </w:tc>
      </w:tr>
      <w:tr>
        <w:trPr>
          <w:trHeight w:val="194"/>
        </w:trPr>
        <w:tc>
          <w:tcPr>
            <w:tcW w:w="39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 postretirement benefit plans</w:t>
            </w:r>
          </w:p>
        </w:tc>
        <w:tc>
          <w:tcPr>
            <w:tcW w:w="2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provides the per share computations for our earnings for the three months and six months ended June 30, 2012 and 2011. Basic earnings per common share (EPS) is calculated by dividing earnings attributable to common stock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3"/>
            <w:vMerge w:val="restart"/>
          </w:tcPr>
          <w:p>
            <w:pPr>
              <w:jc w:val="right"/>
              <w:ind w:right="460"/>
              <w:spacing w:after="0"/>
              <w:rPr>
                <w:sz w:val="20"/>
                <w:szCs w:val="20"/>
                <w:color w:val="auto"/>
              </w:rPr>
            </w:pPr>
            <w:r>
              <w:rPr>
                <w:rFonts w:ascii="Arial" w:cs="Arial" w:eastAsia="Arial" w:hAnsi="Arial"/>
                <w:sz w:val="14"/>
                <w:szCs w:val="14"/>
                <w:color w:val="auto"/>
              </w:rPr>
              <w:t>Three months ended June 30,</w:t>
            </w:r>
          </w:p>
        </w:tc>
        <w:tc>
          <w:tcPr>
            <w:tcW w:w="560" w:type="dxa"/>
            <w:vAlign w:val="bottom"/>
            <w:shd w:val="clear" w:color="auto" w:fill="C0C0C0"/>
          </w:tcPr>
          <w:p>
            <w:pPr>
              <w:spacing w:after="0"/>
              <w:rPr>
                <w:sz w:val="14"/>
                <w:szCs w:val="14"/>
                <w:color w:val="auto"/>
              </w:rPr>
            </w:pPr>
          </w:p>
        </w:tc>
        <w:tc>
          <w:tcPr>
            <w:tcW w:w="118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2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2011(1)</w:t>
            </w: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20" w:type="dxa"/>
            <w:vAlign w:val="bottom"/>
          </w:tcPr>
          <w:p>
            <w:pPr>
              <w:spacing w:after="0" w:line="164" w:lineRule="exact"/>
              <w:rPr>
                <w:sz w:val="20"/>
                <w:szCs w:val="20"/>
                <w:color w:val="auto"/>
              </w:rPr>
            </w:pPr>
            <w:r>
              <w:rPr>
                <w:rFonts w:ascii="Arial" w:cs="Arial" w:eastAsia="Arial" w:hAnsi="Arial"/>
                <w:sz w:val="16"/>
                <w:szCs w:val="16"/>
                <w:color w:val="auto"/>
              </w:rPr>
              <w:t>Numerator:</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ind w:left="160"/>
              <w:spacing w:after="0"/>
              <w:rPr>
                <w:sz w:val="20"/>
                <w:szCs w:val="20"/>
                <w:color w:val="auto"/>
              </w:rPr>
            </w:pPr>
            <w:r>
              <w:rPr>
                <w:rFonts w:ascii="Arial" w:cs="Arial" w:eastAsia="Arial" w:hAnsi="Arial"/>
                <w:sz w:val="16"/>
                <w:szCs w:val="16"/>
                <w:color w:val="auto"/>
              </w:rPr>
              <w:t>Earnings/Income attributable to common shareholders</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503</w:t>
            </w:r>
          </w:p>
        </w:tc>
        <w:tc>
          <w:tcPr>
            <w:tcW w:w="5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351"/>
        </w:trPr>
        <w:tc>
          <w:tcPr>
            <w:tcW w:w="4740" w:type="dxa"/>
            <w:vAlign w:val="bottom"/>
            <w:gridSpan w:val="2"/>
          </w:tcPr>
          <w:p>
            <w:pPr>
              <w:spacing w:after="0"/>
              <w:rPr>
                <w:sz w:val="20"/>
                <w:szCs w:val="20"/>
                <w:color w:val="auto"/>
              </w:rPr>
            </w:pPr>
            <w:r>
              <w:rPr>
                <w:rFonts w:ascii="Arial" w:cs="Arial" w:eastAsia="Arial" w:hAnsi="Arial"/>
                <w:sz w:val="16"/>
                <w:szCs w:val="16"/>
                <w:color w:val="auto"/>
              </w:rPr>
              <w:t>Denominator:</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Pr>
          <w:p>
            <w:pPr>
              <w:ind w:left="160"/>
              <w:spacing w:after="0"/>
              <w:rPr>
                <w:sz w:val="20"/>
                <w:szCs w:val="20"/>
                <w:color w:val="auto"/>
              </w:rPr>
            </w:pPr>
            <w:r>
              <w:rPr>
                <w:rFonts w:ascii="Arial" w:cs="Arial" w:eastAsia="Arial" w:hAnsi="Arial"/>
                <w:sz w:val="16"/>
                <w:szCs w:val="16"/>
                <w:color w:val="auto"/>
              </w:rPr>
              <w:t>Weighted-average common shares</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ind w:left="340"/>
              <w:spacing w:after="0"/>
              <w:rPr>
                <w:sz w:val="20"/>
                <w:szCs w:val="20"/>
                <w:color w:val="auto"/>
              </w:rPr>
            </w:pPr>
            <w:r>
              <w:rPr>
                <w:rFonts w:ascii="Arial" w:cs="Arial" w:eastAsia="Arial" w:hAnsi="Arial"/>
                <w:sz w:val="16"/>
                <w:szCs w:val="16"/>
                <w:color w:val="auto"/>
              </w:rPr>
              <w:t>outstanding for basic EPS</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241,141</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239,415</w:t>
            </w:r>
          </w:p>
        </w:tc>
        <w:tc>
          <w:tcPr>
            <w:tcW w:w="5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240,853</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239,769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Pr>
          <w:p>
            <w:pPr>
              <w:ind w:left="160"/>
              <w:spacing w:after="0"/>
              <w:rPr>
                <w:sz w:val="20"/>
                <w:szCs w:val="20"/>
                <w:color w:val="auto"/>
              </w:rPr>
            </w:pPr>
            <w:r>
              <w:rPr>
                <w:rFonts w:ascii="Arial" w:cs="Arial" w:eastAsia="Arial" w:hAnsi="Arial"/>
                <w:sz w:val="16"/>
                <w:szCs w:val="16"/>
                <w:color w:val="auto"/>
              </w:rPr>
              <w:t>Dilutive effect of stock options, restricted</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ind w:left="340"/>
              <w:spacing w:after="0"/>
              <w:rPr>
                <w:sz w:val="20"/>
                <w:szCs w:val="20"/>
                <w:color w:val="auto"/>
              </w:rPr>
            </w:pPr>
            <w:r>
              <w:rPr>
                <w:rFonts w:ascii="Arial" w:cs="Arial" w:eastAsia="Arial" w:hAnsi="Arial"/>
                <w:sz w:val="16"/>
                <w:szCs w:val="16"/>
                <w:color w:val="auto"/>
              </w:rPr>
              <w:t>stock awards and restricted stock units</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5,119</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1,346</w:t>
            </w:r>
          </w:p>
        </w:tc>
        <w:tc>
          <w:tcPr>
            <w:tcW w:w="5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4,913</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Pr>
          <w:p>
            <w:pPr>
              <w:ind w:left="160"/>
              <w:spacing w:after="0"/>
              <w:rPr>
                <w:sz w:val="20"/>
                <w:szCs w:val="20"/>
                <w:color w:val="auto"/>
              </w:rPr>
            </w:pPr>
            <w:r>
              <w:rPr>
                <w:rFonts w:ascii="Arial" w:cs="Arial" w:eastAsia="Arial" w:hAnsi="Arial"/>
                <w:sz w:val="16"/>
                <w:szCs w:val="16"/>
                <w:color w:val="auto"/>
              </w:rPr>
              <w:t>Weighted-average common shares</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ind w:left="340"/>
              <w:spacing w:after="0"/>
              <w:rPr>
                <w:sz w:val="20"/>
                <w:szCs w:val="20"/>
                <w:color w:val="auto"/>
              </w:rPr>
            </w:pPr>
            <w:r>
              <w:rPr>
                <w:rFonts w:ascii="Arial" w:cs="Arial" w:eastAsia="Arial" w:hAnsi="Arial"/>
                <w:sz w:val="16"/>
                <w:szCs w:val="16"/>
                <w:color w:val="auto"/>
              </w:rPr>
              <w:t>outstanding for diluted EPS</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246,260</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240,761</w:t>
            </w:r>
          </w:p>
        </w:tc>
        <w:tc>
          <w:tcPr>
            <w:tcW w:w="5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245,766</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241,154</w:t>
            </w:r>
          </w:p>
        </w:tc>
        <w:tc>
          <w:tcPr>
            <w:tcW w:w="0" w:type="dxa"/>
            <w:vAlign w:val="bottom"/>
          </w:tcPr>
          <w:p>
            <w:pPr>
              <w:spacing w:after="0"/>
              <w:rPr>
                <w:sz w:val="1"/>
                <w:szCs w:val="1"/>
                <w:color w:val="auto"/>
              </w:rPr>
            </w:pPr>
          </w:p>
        </w:tc>
      </w:tr>
      <w:tr>
        <w:trPr>
          <w:trHeight w:val="359"/>
        </w:trPr>
        <w:tc>
          <w:tcPr>
            <w:tcW w:w="4740" w:type="dxa"/>
            <w:vAlign w:val="bottom"/>
            <w:gridSpan w:val="2"/>
          </w:tcPr>
          <w:p>
            <w:pPr>
              <w:spacing w:after="0"/>
              <w:rPr>
                <w:sz w:val="20"/>
                <w:szCs w:val="20"/>
                <w:color w:val="auto"/>
              </w:rPr>
            </w:pPr>
            <w:r>
              <w:rPr>
                <w:rFonts w:ascii="Arial" w:cs="Arial" w:eastAsia="Arial" w:hAnsi="Arial"/>
                <w:sz w:val="16"/>
                <w:szCs w:val="16"/>
                <w:color w:val="auto"/>
              </w:rPr>
              <w:t>Earnings per share:</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tcPr>
          <w:p>
            <w:pPr>
              <w:ind w:left="160"/>
              <w:spacing w:after="0" w:line="176" w:lineRule="exact"/>
              <w:rPr>
                <w:sz w:val="20"/>
                <w:szCs w:val="20"/>
                <w:color w:val="auto"/>
              </w:rPr>
            </w:pPr>
            <w:r>
              <w:rPr>
                <w:rFonts w:ascii="Arial" w:cs="Arial" w:eastAsia="Arial" w:hAnsi="Arial"/>
                <w:sz w:val="16"/>
                <w:szCs w:val="16"/>
                <w:color w:val="auto"/>
              </w:rPr>
              <w:t>Basic</w:t>
            </w:r>
          </w:p>
        </w:tc>
        <w:tc>
          <w:tcPr>
            <w:tcW w:w="72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0.26</w:t>
            </w:r>
          </w:p>
        </w:tc>
        <w:tc>
          <w:tcPr>
            <w:tcW w:w="320" w:type="dxa"/>
            <w:vAlign w:val="bottom"/>
          </w:tcPr>
          <w:p>
            <w:pPr>
              <w:jc w:val="right"/>
              <w:ind w:right="139"/>
              <w:spacing w:after="0" w:line="176"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2.10</w:t>
            </w:r>
          </w:p>
        </w:tc>
        <w:tc>
          <w:tcPr>
            <w:tcW w:w="56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1.24</w:t>
            </w:r>
          </w:p>
        </w:tc>
        <w:tc>
          <w:tcPr>
            <w:tcW w:w="320" w:type="dxa"/>
            <w:vAlign w:val="bottom"/>
          </w:tcPr>
          <w:p>
            <w:pPr>
              <w:jc w:val="right"/>
              <w:ind w:right="139"/>
              <w:spacing w:after="0" w:line="176"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ind w:left="160"/>
              <w:spacing w:after="0"/>
              <w:rPr>
                <w:sz w:val="20"/>
                <w:szCs w:val="20"/>
                <w:color w:val="auto"/>
              </w:rPr>
            </w:pPr>
            <w:r>
              <w:rPr>
                <w:rFonts w:ascii="Arial" w:cs="Arial" w:eastAsia="Arial" w:hAnsi="Arial"/>
                <w:sz w:val="16"/>
                <w:szCs w:val="16"/>
                <w:color w:val="auto"/>
              </w:rPr>
              <w:t>Diluted</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2.09</w:t>
            </w:r>
          </w:p>
        </w:tc>
        <w:tc>
          <w:tcPr>
            <w:tcW w:w="5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w:t>
      </w:r>
    </w:p>
    <w:p>
      <w:pPr>
        <w:spacing w:after="0" w:line="200" w:lineRule="exact"/>
        <w:rPr>
          <w:sz w:val="20"/>
          <w:szCs w:val="20"/>
          <w:color w:val="auto"/>
        </w:rPr>
      </w:pPr>
    </w:p>
    <w:p>
      <w:pPr>
        <w:spacing w:after="0" w:line="25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dilution from common stock options is based on the treasury stock method. Under this method, proceeds based on the exercise price plus unearned compensation and windfall tax benefits recognized and minus tax shortfalls recognized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(out-of-the-money options). We had no such antidilutive stock options outstanding during the three months ended June 30, 2012 and 681,700 such antidilutive stock options outstanding during the six months ended June 30, 2012. We had 2,118,042 and 2,119,677 such stock options outstanding during the three months and six months ended June 30, 2011, respectively.</w:t>
      </w:r>
    </w:p>
    <w:p>
      <w:pPr>
        <w:spacing w:after="0" w:line="17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had no stock options outstanding during both the three months and six months ended June 30, 2012 and 900 stock options outstanding during both the three months and six months ended June 30, 2011 that were antidilutive because of the unearned compensation and windfall tax benefits included in the assumed proceeds under the treasury stock method.</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dilution from unvested restricted stock awards (RSAs) and restricted stock units (RSUs) is also based on the treasury stock method. Proceeds equal to the unearned compensation and windfall tax benefits recognized and minus tax shortfalls recognized related to the awards and units are assumed to be used to repurchase shares on the open market at the average market price for the period. The windfall tax benefits recognized or tax shortfalls recognized are the difference between tax deductions we would receive upon the assumed vesting of RSAs or RSUs and the deferred income taxes we recorded related to the compensation expense on such awards and units. There were 1,864 antidilutive RSUs from the application of unearned compensation in the treasury stock method for both the three months and six months ended June 30, 2012, and no such antidilutive RSUs for the three months and six months ended June 30, 2011. There were no such antidilutive RSAs for the three months ended June 30, 2012 and 12,039 such antidilutive RSAs for the six months ended June 30, 2012. There were no such antidilutive RSAs for the three months and six months ended June 30, 2011.</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performance based RSU represents the right to receive between zero and 1.5 shares of Sempra Energy common stock based on Sempra Energy’s four-year cumulative total shareholder return compared to the Standard &amp; Poor’s (S&amp;P) 500 Utilities Index, as follows:</w:t>
      </w:r>
    </w:p>
    <w:p>
      <w:pPr>
        <w:sectPr>
          <w:pgSz w:w="11900" w:h="16838" w:orient="portrait"/>
          <w:cols w:equalWidth="0" w:num="1">
            <w:col w:w="11420"/>
          </w:cols>
          <w:pgMar w:left="240" w:top="119" w:right="239" w:bottom="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Four-Year Cumulative Total Shareholder Return Ranking versus S&amp;P 500 Utilities Index(1)</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480"/>
        <w:spacing w:after="0" w:line="238" w:lineRule="auto"/>
        <w:rPr>
          <w:sz w:val="20"/>
          <w:szCs w:val="20"/>
          <w:color w:val="auto"/>
        </w:rPr>
      </w:pPr>
      <w:r>
        <w:rPr>
          <w:rFonts w:ascii="Arial" w:cs="Arial" w:eastAsia="Arial" w:hAnsi="Arial"/>
          <w:sz w:val="14"/>
          <w:szCs w:val="14"/>
          <w:color w:val="auto"/>
        </w:rPr>
        <w:t>Number of Sempra Energy Common Shares Received for Each Restricted Stock Unit(2)</w:t>
      </w:r>
    </w:p>
    <w:p>
      <w:pPr>
        <w:spacing w:after="0" w:line="1" w:lineRule="exact"/>
        <w:rPr>
          <w:sz w:val="20"/>
          <w:szCs w:val="20"/>
          <w:color w:val="auto"/>
        </w:rPr>
      </w:pPr>
    </w:p>
    <w:p>
      <w:pPr>
        <w:sectPr>
          <w:pgSz w:w="11900" w:h="16838" w:orient="portrait"/>
          <w:cols w:equalWidth="0" w:num="2">
            <w:col w:w="6180" w:space="720"/>
            <w:col w:w="4520"/>
          </w:cols>
          <w:pgMar w:left="240" w:top="119" w:right="239" w:bottom="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540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75th Percentile or Above</w:t>
            </w:r>
          </w:p>
        </w:tc>
        <w:tc>
          <w:tcPr>
            <w:tcW w:w="6020" w:type="dxa"/>
            <w:vAlign w:val="bottom"/>
            <w:tcBorders>
              <w:top w:val="single" w:sz="8" w:color="auto"/>
            </w:tcBorders>
          </w:tcPr>
          <w:p>
            <w:pPr>
              <w:jc w:val="right"/>
              <w:ind w:right="2099"/>
              <w:spacing w:after="0" w:line="171" w:lineRule="exact"/>
              <w:rPr>
                <w:sz w:val="20"/>
                <w:szCs w:val="20"/>
                <w:color w:val="auto"/>
              </w:rPr>
            </w:pPr>
            <w:r>
              <w:rPr>
                <w:rFonts w:ascii="Arial" w:cs="Arial" w:eastAsia="Arial" w:hAnsi="Arial"/>
                <w:sz w:val="16"/>
                <w:szCs w:val="16"/>
                <w:color w:val="auto"/>
              </w:rPr>
              <w:t>1.5</w:t>
            </w: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50th Percentile</w:t>
            </w:r>
          </w:p>
        </w:tc>
        <w:tc>
          <w:tcPr>
            <w:tcW w:w="6020" w:type="dxa"/>
            <w:vAlign w:val="bottom"/>
          </w:tcPr>
          <w:p>
            <w:pPr>
              <w:jc w:val="right"/>
              <w:ind w:right="2159"/>
              <w:spacing w:after="0" w:line="176" w:lineRule="exact"/>
              <w:rPr>
                <w:sz w:val="20"/>
                <w:szCs w:val="20"/>
                <w:color w:val="auto"/>
              </w:rPr>
            </w:pPr>
            <w:r>
              <w:rPr>
                <w:rFonts w:ascii="Arial" w:cs="Arial" w:eastAsia="Arial" w:hAnsi="Arial"/>
                <w:sz w:val="16"/>
                <w:szCs w:val="16"/>
                <w:color w:val="auto"/>
              </w:rPr>
              <w:t>1</w:t>
            </w:r>
          </w:p>
        </w:tc>
      </w:tr>
      <w:tr>
        <w:trPr>
          <w:trHeight w:val="195"/>
        </w:trPr>
        <w:tc>
          <w:tcPr>
            <w:tcW w:w="5400" w:type="dxa"/>
            <w:vAlign w:val="bottom"/>
          </w:tcPr>
          <w:p>
            <w:pPr>
              <w:spacing w:after="0"/>
              <w:rPr>
                <w:sz w:val="20"/>
                <w:szCs w:val="20"/>
                <w:color w:val="auto"/>
              </w:rPr>
            </w:pPr>
            <w:r>
              <w:rPr>
                <w:rFonts w:ascii="Arial" w:cs="Arial" w:eastAsia="Arial" w:hAnsi="Arial"/>
                <w:sz w:val="16"/>
                <w:szCs w:val="16"/>
                <w:color w:val="auto"/>
              </w:rPr>
              <w:t>35th Percentile or Below</w:t>
            </w:r>
          </w:p>
        </w:tc>
        <w:tc>
          <w:tcPr>
            <w:tcW w:w="6020" w:type="dxa"/>
            <w:vAlign w:val="bottom"/>
          </w:tcPr>
          <w:p>
            <w:pPr>
              <w:ind w:left="36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20" w:hanging="212"/>
        <w:spacing w:after="0"/>
        <w:tabs>
          <w:tab w:leader="none" w:pos="2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If Sempra Energy ranks at or above the 50th percentile compared to the S&amp;P 500 Index, participants will receive a minimum of 1.0 share for each restricted stock unit.</w:t>
      </w:r>
    </w:p>
    <w:p>
      <w:pPr>
        <w:spacing w:after="0" w:line="15" w:lineRule="exact"/>
        <w:rPr>
          <w:rFonts w:ascii="Arial" w:cs="Arial" w:eastAsia="Arial" w:hAnsi="Arial"/>
          <w:sz w:val="14"/>
          <w:szCs w:val="14"/>
          <w:i w:val="1"/>
          <w:iCs w:val="1"/>
          <w:color w:val="auto"/>
        </w:rPr>
      </w:pPr>
    </w:p>
    <w:p>
      <w:pPr>
        <w:ind w:right="60" w:firstLine="8"/>
        <w:spacing w:after="0" w:line="258" w:lineRule="auto"/>
        <w:tabs>
          <w:tab w:leader="none" w:pos="216"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may also receive additional shares for dividend equivalents on units subject to restricted stock units, which are reinvested to purchase additional units that become subject to the same vesting conditions as the restricted stock units to which the dividends relate.</w:t>
      </w:r>
    </w:p>
    <w:p>
      <w:pPr>
        <w:spacing w:after="0" w:line="3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RSAs have a maximum potential of 100 percent vesting. We include our performance based RSUs in potential dilutive shares at zero to 150 percent to the extent that they currently meet the performance requirements for vesting, subject to the application of the treasury stock method. Due to market fluctuations of both Sempra Energy stock and the comparative index, dilutive RSU shares may vary widely from period-to-period. We include our RSAs, which are solely service based, in potential dilutive shares at 100 percent.</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RSUs and RSAs may be excluded from potential dilutive shares by the application of unearned compensation in the treasury stock method, as we discuss above, or because performance goals are currently not met. The maximum excluded RSAs and RSUs, assuming performance goals were met at maximum levels, were 1,327,534 and 1,459,377 for the three months and six months ended June 30, 2012, respectively, and 4,434,795 and 4,450,495 for the three months and six months ended June 30 2011, respectively.</w:t>
      </w:r>
    </w:p>
    <w:p>
      <w:pPr>
        <w:sectPr>
          <w:pgSz w:w="11900" w:h="16838" w:orient="portrait"/>
          <w:cols w:equalWidth="0" w:num="1">
            <w:col w:w="11420"/>
          </w:cols>
          <w:pgMar w:left="240" w:top="119" w:right="239" w:bottom="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3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September 2010, we entered into a share repurchase program under which we prepaid $500 million to repurchase shares of our common stock in a share forward transaction. The program was completed in March 2011 with a total of 9,574,435 shares repurchased at an average price of $52.22 per share. Our outstanding shares used to calculate earnings per share were reduced by the number of shares repurchased when they were delivered to us, and the $500 million purchase price was recorded as a reduction in shareholders’ equity upon its prepayment. We received 5,670,006 shares during the quarter ended September 30, 2010; 2,407,994 shares on October 4, 2010 and 1,496,435 shares on March 22, 2011. We discuss the repurchase program further in Note 13 of the Notes to Consolidated Financial Statements in the Updated Annual Report.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OF SUBSIDIARY</w:t>
      </w:r>
    </w:p>
    <w:p>
      <w:pPr>
        <w:spacing w:after="0" w:line="23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 June 30, 2011, PE redeemed all five series of its outstanding preferred stock for $81 million. Each series was redeemed for cash at redemption prices ranging from $100 to $101.50 per share, plus accrued dividends up to the redemption date of an aggregate of $1 million. The redeemed shares are no longer outstanding and represent only the right to receive the applicable redemption price, to the extent the shares have not yet been presented for payment. We provide more detail concerning PE’s preferred stock in Note 12 of the Notes to Consolidated Financial Statements in the Updated Annual Report.</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discuss our share-based compensation plans in Note 9 of the Notes to Consolidated Financial Statements in the Updated Annual Report. We recorded share-based compensation expense, net of income taxes, of $8 million and $7 million for the three months ended June 30, 2012 and 2011, respectively, and $13 million for both the six months ended June 30, 2012 and 2011. Pursuant to our share-based compensation plans, we granted 909,909 RSUs and 18,487 RSAs during the six months ended June 30, 2012, primarily in January.</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FINANCING COSTS</w:t>
      </w:r>
    </w:p>
    <w:p>
      <w:pPr>
        <w:spacing w:after="0" w:line="23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Capitalized financing costs include capitalized interest costs and, primarily at the California Utilities, an allowance for funds used during construction (AFUDC) related to both debt and equity financing of construction projects. The following table shows capitalized financing costs for the three months and six months ended June 30, 2012 and 2011.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7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Three months ended June 30,</w:t>
            </w:r>
          </w:p>
        </w:tc>
        <w:tc>
          <w:tcPr>
            <w:tcW w:w="420" w:type="dxa"/>
            <w:vAlign w:val="bottom"/>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3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38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76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8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debt</w:t>
            </w:r>
          </w:p>
        </w:tc>
        <w:tc>
          <w:tcPr>
            <w:tcW w:w="1140" w:type="dxa"/>
            <w:vAlign w:val="bottom"/>
          </w:tcPr>
          <w:p>
            <w:pPr>
              <w:jc w:val="right"/>
              <w:ind w:right="98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1200" w:type="dxa"/>
            <w:vAlign w:val="bottom"/>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400" w:type="dxa"/>
            <w:vAlign w:val="bottom"/>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420" w:type="dxa"/>
            <w:vAlign w:val="bottom"/>
          </w:tcPr>
          <w:p>
            <w:pPr>
              <w:jc w:val="right"/>
              <w:ind w:right="239"/>
              <w:spacing w:after="0" w:line="176" w:lineRule="exact"/>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equity</w:t>
            </w:r>
          </w:p>
        </w:tc>
        <w:tc>
          <w:tcPr>
            <w:tcW w:w="11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120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40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420" w:type="dxa"/>
            <w:vAlign w:val="bottom"/>
          </w:tcPr>
          <w:p>
            <w:pPr>
              <w:spacing w:after="0"/>
              <w:rPr>
                <w:sz w:val="15"/>
                <w:szCs w:val="15"/>
                <w:color w:val="auto"/>
              </w:rPr>
            </w:pP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Other capitalized financing costs</w:t>
            </w: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Sempra Energy Consolidated</w:t>
            </w:r>
          </w:p>
        </w:tc>
        <w:tc>
          <w:tcPr>
            <w:tcW w:w="1140" w:type="dxa"/>
            <w:vAlign w:val="bottom"/>
            <w:tcBorders>
              <w:bottom w:val="single" w:sz="8" w:color="auto"/>
            </w:tcBorders>
          </w:tcPr>
          <w:p>
            <w:pPr>
              <w:jc w:val="right"/>
              <w:ind w:right="98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61</w:t>
            </w:r>
          </w:p>
        </w:tc>
        <w:tc>
          <w:tcPr>
            <w:tcW w:w="1200" w:type="dxa"/>
            <w:vAlign w:val="bottom"/>
            <w:tcBorders>
              <w:bottom w:val="single" w:sz="8" w:color="auto"/>
            </w:tcBorders>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w:t>
            </w: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121</w:t>
            </w:r>
          </w:p>
        </w:tc>
        <w:tc>
          <w:tcPr>
            <w:tcW w:w="42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8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debt</w:t>
            </w:r>
          </w:p>
        </w:tc>
        <w:tc>
          <w:tcPr>
            <w:tcW w:w="1140" w:type="dxa"/>
            <w:vAlign w:val="bottom"/>
          </w:tcPr>
          <w:p>
            <w:pPr>
              <w:jc w:val="right"/>
              <w:ind w:right="98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1200" w:type="dxa"/>
            <w:vAlign w:val="bottom"/>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400" w:type="dxa"/>
            <w:vAlign w:val="bottom"/>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420" w:type="dxa"/>
            <w:vAlign w:val="bottom"/>
          </w:tcPr>
          <w:p>
            <w:pPr>
              <w:jc w:val="right"/>
              <w:ind w:right="239"/>
              <w:spacing w:after="0" w:line="176" w:lineRule="exact"/>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AFUDC related to equity</w:t>
            </w: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SDG&amp;E</w:t>
            </w:r>
          </w:p>
        </w:tc>
        <w:tc>
          <w:tcPr>
            <w:tcW w:w="1140" w:type="dxa"/>
            <w:vAlign w:val="bottom"/>
            <w:tcBorders>
              <w:bottom w:val="single" w:sz="8" w:color="auto"/>
            </w:tcBorders>
          </w:tcPr>
          <w:p>
            <w:pPr>
              <w:jc w:val="right"/>
              <w:ind w:right="98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37</w:t>
            </w:r>
          </w:p>
        </w:tc>
        <w:tc>
          <w:tcPr>
            <w:tcW w:w="1200" w:type="dxa"/>
            <w:vAlign w:val="bottom"/>
            <w:tcBorders>
              <w:bottom w:val="single" w:sz="8" w:color="auto"/>
            </w:tcBorders>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w:t>
            </w: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78</w:t>
            </w:r>
          </w:p>
        </w:tc>
        <w:tc>
          <w:tcPr>
            <w:tcW w:w="42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8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debt</w:t>
            </w:r>
          </w:p>
        </w:tc>
        <w:tc>
          <w:tcPr>
            <w:tcW w:w="1140" w:type="dxa"/>
            <w:vAlign w:val="bottom"/>
          </w:tcPr>
          <w:p>
            <w:pPr>
              <w:jc w:val="right"/>
              <w:ind w:right="98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200" w:type="dxa"/>
            <w:vAlign w:val="bottom"/>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400" w:type="dxa"/>
            <w:vAlign w:val="bottom"/>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420" w:type="dxa"/>
            <w:vAlign w:val="bottom"/>
          </w:tcPr>
          <w:p>
            <w:pPr>
              <w:jc w:val="right"/>
              <w:ind w:right="239"/>
              <w:spacing w:after="0" w:line="176" w:lineRule="exact"/>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AFUDC related to equity</w:t>
            </w: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SoCalGas</w:t>
            </w:r>
          </w:p>
        </w:tc>
        <w:tc>
          <w:tcPr>
            <w:tcW w:w="1140" w:type="dxa"/>
            <w:vAlign w:val="bottom"/>
            <w:tcBorders>
              <w:bottom w:val="single" w:sz="8" w:color="auto"/>
            </w:tcBorders>
          </w:tcPr>
          <w:p>
            <w:pPr>
              <w:jc w:val="right"/>
              <w:ind w:right="98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w:t>
            </w:r>
          </w:p>
        </w:tc>
        <w:tc>
          <w:tcPr>
            <w:tcW w:w="1200" w:type="dxa"/>
            <w:vAlign w:val="bottom"/>
            <w:tcBorders>
              <w:bottom w:val="single" w:sz="8" w:color="auto"/>
            </w:tcBorders>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c>
          <w:tcPr>
            <w:tcW w:w="42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amounts for comprehensive income in the Condensed Consolidated Statements of Comprehensive Income are net of income tax expense (benefit) as follows:</w:t>
      </w:r>
    </w:p>
    <w:p>
      <w:pPr>
        <w:spacing w:after="0" w:line="200" w:lineRule="exact"/>
        <w:rPr>
          <w:sz w:val="20"/>
          <w:szCs w:val="20"/>
          <w:color w:val="auto"/>
        </w:rPr>
      </w:pPr>
    </w:p>
    <w:p>
      <w:pPr>
        <w:spacing w:after="0" w:line="210" w:lineRule="exact"/>
        <w:rPr>
          <w:sz w:val="20"/>
          <w:szCs w:val="20"/>
          <w:color w:val="auto"/>
        </w:rPr>
      </w:pPr>
    </w:p>
    <w:p>
      <w:pPr>
        <w:ind w:right="4420"/>
        <w:spacing w:after="0" w:line="252" w:lineRule="auto"/>
        <w:rPr>
          <w:sz w:val="20"/>
          <w:szCs w:val="20"/>
          <w:color w:val="auto"/>
        </w:rPr>
      </w:pPr>
      <w:r>
        <w:rPr>
          <w:rFonts w:ascii="Arial" w:cs="Arial" w:eastAsia="Arial" w:hAnsi="Arial"/>
          <w:sz w:val="16"/>
          <w:szCs w:val="16"/>
          <w:b w:val="1"/>
          <w:bCs w:val="1"/>
          <w:color w:val="auto"/>
        </w:rPr>
        <w:t xml:space="preserve">INCOME TAX EXPENSE (BENEFIT) ASSOCIATED WITH OTHER COMPREHENSIVE INCOME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Three months ended June 30,</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00" w:type="dxa"/>
            <w:vAlign w:val="bottom"/>
          </w:tcPr>
          <w:p>
            <w:pPr>
              <w:jc w:val="center"/>
              <w:ind w:left="165"/>
              <w:spacing w:after="0"/>
              <w:rPr>
                <w:sz w:val="20"/>
                <w:szCs w:val="20"/>
                <w:color w:val="auto"/>
              </w:rPr>
            </w:pPr>
            <w:r>
              <w:rPr>
                <w:rFonts w:ascii="Arial" w:cs="Arial" w:eastAsia="Arial" w:hAnsi="Arial"/>
                <w:sz w:val="14"/>
                <w:szCs w:val="14"/>
                <w:color w:val="auto"/>
                <w:w w:val="99"/>
              </w:rPr>
              <w:t>Share-</w:t>
            </w:r>
          </w:p>
        </w:tc>
        <w:tc>
          <w:tcPr>
            <w:tcW w:w="320" w:type="dxa"/>
            <w:vAlign w:val="bottom"/>
          </w:tcPr>
          <w:p>
            <w:pPr>
              <w:spacing w:after="0"/>
              <w:rPr>
                <w:sz w:val="18"/>
                <w:szCs w:val="18"/>
                <w:color w:val="auto"/>
              </w:rPr>
            </w:pPr>
          </w:p>
        </w:tc>
        <w:tc>
          <w:tcPr>
            <w:tcW w:w="860" w:type="dxa"/>
            <w:vAlign w:val="bottom"/>
          </w:tcPr>
          <w:p>
            <w:pPr>
              <w:jc w:val="center"/>
              <w:ind w:left="26"/>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center"/>
              <w:ind w:left="225"/>
              <w:spacing w:after="0"/>
              <w:rPr>
                <w:sz w:val="20"/>
                <w:szCs w:val="20"/>
                <w:color w:val="auto"/>
              </w:rPr>
            </w:pPr>
            <w:r>
              <w:rPr>
                <w:rFonts w:ascii="Arial" w:cs="Arial" w:eastAsia="Arial" w:hAnsi="Arial"/>
                <w:sz w:val="14"/>
                <w:szCs w:val="14"/>
                <w:color w:val="auto"/>
              </w:rPr>
              <w:t>Share-</w:t>
            </w:r>
          </w:p>
        </w:tc>
        <w:tc>
          <w:tcPr>
            <w:tcW w:w="320" w:type="dxa"/>
            <w:vAlign w:val="bottom"/>
          </w:tcPr>
          <w:p>
            <w:pPr>
              <w:spacing w:after="0"/>
              <w:rPr>
                <w:sz w:val="18"/>
                <w:szCs w:val="18"/>
                <w:color w:val="auto"/>
              </w:rPr>
            </w:pPr>
          </w:p>
        </w:tc>
        <w:tc>
          <w:tcPr>
            <w:tcW w:w="860" w:type="dxa"/>
            <w:vAlign w:val="bottom"/>
          </w:tcPr>
          <w:p>
            <w:pPr>
              <w:jc w:val="center"/>
              <w:ind w:left="46"/>
              <w:spacing w:after="0"/>
              <w:rPr>
                <w:sz w:val="20"/>
                <w:szCs w:val="20"/>
                <w:color w:val="auto"/>
              </w:rPr>
            </w:pPr>
            <w:r>
              <w:rPr>
                <w:rFonts w:ascii="Arial" w:cs="Arial" w:eastAsia="Arial" w:hAnsi="Arial"/>
                <w:sz w:val="14"/>
                <w:szCs w:val="14"/>
                <w:color w:val="auto"/>
                <w:w w:val="98"/>
              </w:rPr>
              <w:t>Non-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900" w:type="dxa"/>
            <w:vAlign w:val="bottom"/>
          </w:tcPr>
          <w:p>
            <w:pPr>
              <w:jc w:val="center"/>
              <w:ind w:left="165"/>
              <w:spacing w:after="0"/>
              <w:rPr>
                <w:sz w:val="20"/>
                <w:szCs w:val="20"/>
                <w:color w:val="auto"/>
              </w:rPr>
            </w:pPr>
            <w:r>
              <w:rPr>
                <w:rFonts w:ascii="Arial" w:cs="Arial" w:eastAsia="Arial" w:hAnsi="Arial"/>
                <w:sz w:val="14"/>
                <w:szCs w:val="14"/>
                <w:color w:val="auto"/>
              </w:rPr>
              <w:t>holders'</w:t>
            </w:r>
          </w:p>
        </w:tc>
        <w:tc>
          <w:tcPr>
            <w:tcW w:w="320" w:type="dxa"/>
            <w:vAlign w:val="bottom"/>
          </w:tcPr>
          <w:p>
            <w:pPr>
              <w:spacing w:after="0"/>
              <w:rPr>
                <w:sz w:val="17"/>
                <w:szCs w:val="17"/>
                <w:color w:val="auto"/>
              </w:rPr>
            </w:pPr>
          </w:p>
        </w:tc>
        <w:tc>
          <w:tcPr>
            <w:tcW w:w="860" w:type="dxa"/>
            <w:vAlign w:val="bottom"/>
          </w:tcPr>
          <w:p>
            <w:pPr>
              <w:jc w:val="center"/>
              <w:ind w:left="46"/>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384"/>
              <w:spacing w:after="0"/>
              <w:rPr>
                <w:sz w:val="20"/>
                <w:szCs w:val="20"/>
                <w:color w:val="auto"/>
              </w:rPr>
            </w:pPr>
            <w:r>
              <w:rPr>
                <w:rFonts w:ascii="Arial" w:cs="Arial" w:eastAsia="Arial" w:hAnsi="Arial"/>
                <w:sz w:val="14"/>
                <w:szCs w:val="14"/>
                <w:color w:val="auto"/>
              </w:rPr>
              <w:t>Total</w:t>
            </w:r>
          </w:p>
        </w:tc>
        <w:tc>
          <w:tcPr>
            <w:tcW w:w="940" w:type="dxa"/>
            <w:vAlign w:val="bottom"/>
          </w:tcPr>
          <w:p>
            <w:pPr>
              <w:jc w:val="center"/>
              <w:ind w:left="205"/>
              <w:spacing w:after="0"/>
              <w:rPr>
                <w:sz w:val="20"/>
                <w:szCs w:val="20"/>
                <w:color w:val="auto"/>
              </w:rPr>
            </w:pPr>
            <w:r>
              <w:rPr>
                <w:rFonts w:ascii="Arial" w:cs="Arial" w:eastAsia="Arial" w:hAnsi="Arial"/>
                <w:sz w:val="14"/>
                <w:szCs w:val="14"/>
                <w:color w:val="auto"/>
              </w:rPr>
              <w:t>holders'</w:t>
            </w:r>
          </w:p>
        </w:tc>
        <w:tc>
          <w:tcPr>
            <w:tcW w:w="320" w:type="dxa"/>
            <w:vAlign w:val="bottom"/>
          </w:tcPr>
          <w:p>
            <w:pPr>
              <w:spacing w:after="0"/>
              <w:rPr>
                <w:sz w:val="17"/>
                <w:szCs w:val="17"/>
                <w:color w:val="auto"/>
              </w:rPr>
            </w:pPr>
          </w:p>
        </w:tc>
        <w:tc>
          <w:tcPr>
            <w:tcW w:w="860" w:type="dxa"/>
            <w:vAlign w:val="bottom"/>
          </w:tcPr>
          <w:p>
            <w:pPr>
              <w:jc w:val="center"/>
              <w:ind w:left="46"/>
              <w:spacing w:after="0"/>
              <w:rPr>
                <w:sz w:val="20"/>
                <w:szCs w:val="20"/>
                <w:color w:val="auto"/>
              </w:rPr>
            </w:pPr>
            <w:r>
              <w:rPr>
                <w:rFonts w:ascii="Arial" w:cs="Arial" w:eastAsia="Arial" w:hAnsi="Arial"/>
                <w:sz w:val="14"/>
                <w:szCs w:val="14"/>
                <w:color w:val="auto"/>
              </w:rPr>
              <w:t>controlling</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center"/>
              <w:ind w:right="243"/>
              <w:spacing w:after="0"/>
              <w:rPr>
                <w:sz w:val="20"/>
                <w:szCs w:val="20"/>
                <w:color w:val="auto"/>
              </w:rPr>
            </w:pPr>
            <w:r>
              <w:rPr>
                <w:rFonts w:ascii="Arial" w:cs="Arial" w:eastAsia="Arial" w:hAnsi="Arial"/>
                <w:sz w:val="14"/>
                <w:szCs w:val="14"/>
                <w:color w:val="auto"/>
              </w:rPr>
              <w:t>Total</w:t>
            </w:r>
          </w:p>
        </w:tc>
      </w:tr>
      <w:tr>
        <w:trPr>
          <w:trHeight w:val="195"/>
        </w:trPr>
        <w:tc>
          <w:tcPr>
            <w:tcW w:w="20" w:type="dxa"/>
            <w:vAlign w:val="bottom"/>
          </w:tcPr>
          <w:p>
            <w:pPr>
              <w:spacing w:after="0"/>
              <w:rPr>
                <w:sz w:val="16"/>
                <w:szCs w:val="16"/>
                <w:color w:val="auto"/>
              </w:rPr>
            </w:pPr>
          </w:p>
        </w:tc>
        <w:tc>
          <w:tcPr>
            <w:tcW w:w="4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color w:val="auto"/>
              </w:rPr>
              <w:t>Equity(1)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84"/>
              <w:spacing w:after="0"/>
              <w:rPr>
                <w:sz w:val="20"/>
                <w:szCs w:val="20"/>
                <w:color w:val="auto"/>
              </w:rPr>
            </w:pPr>
            <w:r>
              <w:rPr>
                <w:rFonts w:ascii="Arial" w:cs="Arial" w:eastAsia="Arial" w:hAnsi="Arial"/>
                <w:sz w:val="14"/>
                <w:szCs w:val="14"/>
                <w:color w:val="auto"/>
              </w:rPr>
              <w:t>Equity</w:t>
            </w:r>
          </w:p>
        </w:tc>
        <w:tc>
          <w:tcPr>
            <w:tcW w:w="940" w:type="dxa"/>
            <w:vAlign w:val="bottom"/>
            <w:tcBorders>
              <w:bottom w:val="single" w:sz="8" w:color="auto"/>
            </w:tcBorders>
          </w:tcPr>
          <w:p>
            <w:pPr>
              <w:jc w:val="center"/>
              <w:ind w:left="205"/>
              <w:spacing w:after="0"/>
              <w:rPr>
                <w:sz w:val="20"/>
                <w:szCs w:val="20"/>
                <w:color w:val="auto"/>
              </w:rPr>
            </w:pPr>
            <w:r>
              <w:rPr>
                <w:rFonts w:ascii="Arial" w:cs="Arial" w:eastAsia="Arial" w:hAnsi="Arial"/>
                <w:sz w:val="14"/>
                <w:szCs w:val="14"/>
                <w:color w:val="auto"/>
              </w:rPr>
              <w:t>Equity(1)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6"/>
              <w:spacing w:after="0"/>
              <w:rPr>
                <w:sz w:val="20"/>
                <w:szCs w:val="20"/>
                <w:color w:val="auto"/>
              </w:rPr>
            </w:pPr>
            <w:r>
              <w:rPr>
                <w:rFonts w:ascii="Arial" w:cs="Arial" w:eastAsia="Arial" w:hAnsi="Arial"/>
                <w:sz w:val="14"/>
                <w:szCs w:val="14"/>
                <w:color w:val="auto"/>
              </w:rPr>
              <w:t>Interests</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color w:val="auto"/>
              </w:rPr>
              <w:t>Equity</w:t>
            </w:r>
          </w:p>
        </w:tc>
      </w:tr>
      <w:tr>
        <w:trPr>
          <w:trHeight w:val="164"/>
        </w:trPr>
        <w:tc>
          <w:tcPr>
            <w:tcW w:w="20" w:type="dxa"/>
            <w:vAlign w:val="bottom"/>
          </w:tcPr>
          <w:p>
            <w:pPr>
              <w:spacing w:after="0"/>
              <w:rPr>
                <w:sz w:val="14"/>
                <w:szCs w:val="14"/>
                <w:color w:val="auto"/>
              </w:rPr>
            </w:pPr>
          </w:p>
        </w:tc>
        <w:tc>
          <w:tcPr>
            <w:tcW w:w="432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320" w:type="dxa"/>
            <w:vAlign w:val="bottom"/>
          </w:tcPr>
          <w:p>
            <w:pPr>
              <w:ind w:left="160"/>
              <w:spacing w:after="0" w:line="176" w:lineRule="exact"/>
              <w:rPr>
                <w:sz w:val="20"/>
                <w:szCs w:val="20"/>
                <w:color w:val="auto"/>
              </w:rPr>
            </w:pPr>
            <w:r>
              <w:rPr>
                <w:rFonts w:ascii="Arial" w:cs="Arial" w:eastAsia="Arial" w:hAnsi="Arial"/>
                <w:sz w:val="16"/>
                <w:szCs w:val="16"/>
                <w:color w:val="auto"/>
              </w:rPr>
              <w:t>Net actuarial gain</w:t>
            </w:r>
          </w:p>
        </w:tc>
        <w:tc>
          <w:tcPr>
            <w:tcW w:w="900" w:type="dxa"/>
            <w:vAlign w:val="bottom"/>
          </w:tcPr>
          <w:p>
            <w:pPr>
              <w:jc w:val="right"/>
              <w:ind w:right="585"/>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line="176" w:lineRule="exact"/>
              <w:rPr>
                <w:sz w:val="20"/>
                <w:szCs w:val="20"/>
                <w:color w:val="auto"/>
              </w:rPr>
            </w:pPr>
            <w:r>
              <w:rPr>
                <w:rFonts w:ascii="Arial" w:cs="Arial" w:eastAsia="Arial" w:hAnsi="Arial"/>
                <w:sz w:val="16"/>
                <w:szCs w:val="16"/>
                <w:color w:val="auto"/>
              </w:rPr>
              <w:t>2</w:t>
            </w:r>
          </w:p>
        </w:tc>
        <w:tc>
          <w:tcPr>
            <w:tcW w:w="860" w:type="dxa"/>
            <w:vAlign w:val="bottom"/>
          </w:tcPr>
          <w:p>
            <w:pPr>
              <w:jc w:val="right"/>
              <w:ind w:right="626"/>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ind w:left="40"/>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64"/>
              <w:spacing w:after="0" w:line="176" w:lineRule="exact"/>
              <w:rPr>
                <w:sz w:val="20"/>
                <w:szCs w:val="20"/>
                <w:color w:val="auto"/>
              </w:rPr>
            </w:pPr>
            <w:r>
              <w:rPr>
                <w:rFonts w:ascii="Arial" w:cs="Arial" w:eastAsia="Arial" w:hAnsi="Arial"/>
                <w:sz w:val="16"/>
                <w:szCs w:val="16"/>
                <w:color w:val="auto"/>
              </w:rPr>
              <w:t>2</w:t>
            </w:r>
          </w:p>
        </w:tc>
        <w:tc>
          <w:tcPr>
            <w:tcW w:w="940" w:type="dxa"/>
            <w:vAlign w:val="bottom"/>
          </w:tcPr>
          <w:p>
            <w:pPr>
              <w:jc w:val="right"/>
              <w:ind w:right="565"/>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jc w:val="center"/>
              <w:spacing w:after="0" w:line="176" w:lineRule="exact"/>
              <w:rPr>
                <w:sz w:val="20"/>
                <w:szCs w:val="20"/>
                <w:color w:val="auto"/>
              </w:rPr>
            </w:pPr>
            <w:r>
              <w:rPr>
                <w:rFonts w:ascii="Arial" w:cs="Arial" w:eastAsia="Arial" w:hAnsi="Arial"/>
                <w:sz w:val="16"/>
                <w:szCs w:val="16"/>
                <w:color w:val="auto"/>
              </w:rPr>
              <w:t>3</w:t>
            </w:r>
          </w:p>
        </w:tc>
        <w:tc>
          <w:tcPr>
            <w:tcW w:w="860" w:type="dxa"/>
            <w:vAlign w:val="bottom"/>
          </w:tcPr>
          <w:p>
            <w:pPr>
              <w:jc w:val="right"/>
              <w:ind w:right="626"/>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ind w:left="40"/>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center"/>
              <w:ind w:left="583"/>
              <w:spacing w:after="0" w:line="176" w:lineRule="exact"/>
              <w:rPr>
                <w:sz w:val="20"/>
                <w:szCs w:val="20"/>
                <w:color w:val="auto"/>
              </w:rPr>
            </w:pPr>
            <w:r>
              <w:rPr>
                <w:rFonts w:ascii="Arial" w:cs="Arial" w:eastAsia="Arial" w:hAnsi="Arial"/>
                <w:sz w:val="16"/>
                <w:szCs w:val="16"/>
                <w:color w:val="auto"/>
              </w:rPr>
              <w:t>3</w:t>
            </w:r>
          </w:p>
        </w:tc>
      </w:tr>
      <w:tr>
        <w:trPr>
          <w:trHeight w:val="194"/>
        </w:trPr>
        <w:tc>
          <w:tcPr>
            <w:tcW w:w="20" w:type="dxa"/>
            <w:vAlign w:val="bottom"/>
          </w:tcPr>
          <w:p>
            <w:pPr>
              <w:spacing w:after="0"/>
              <w:rPr>
                <w:sz w:val="16"/>
                <w:szCs w:val="16"/>
                <w:color w:val="auto"/>
              </w:rPr>
            </w:pP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Financial instruments</w:t>
            </w: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(7)</w:t>
            </w: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left="563"/>
              <w:spacing w:after="0"/>
              <w:rPr>
                <w:sz w:val="20"/>
                <w:szCs w:val="20"/>
                <w:color w:val="auto"/>
              </w:rPr>
            </w:pPr>
            <w:r>
              <w:rPr>
                <w:rFonts w:ascii="Arial" w:cs="Arial" w:eastAsia="Arial" w:hAnsi="Arial"/>
                <w:sz w:val="16"/>
                <w:szCs w:val="16"/>
                <w:color w:val="auto"/>
              </w:rPr>
              <w:t>(1)</w:t>
            </w:r>
          </w:p>
        </w:tc>
      </w:tr>
      <w:tr>
        <w:trPr>
          <w:trHeight w:val="164"/>
        </w:trPr>
        <w:tc>
          <w:tcPr>
            <w:tcW w:w="20" w:type="dxa"/>
            <w:vAlign w:val="bottom"/>
          </w:tcPr>
          <w:p>
            <w:pPr>
              <w:spacing w:after="0"/>
              <w:rPr>
                <w:sz w:val="14"/>
                <w:szCs w:val="14"/>
                <w:color w:val="auto"/>
              </w:rPr>
            </w:pPr>
          </w:p>
        </w:tc>
        <w:tc>
          <w:tcPr>
            <w:tcW w:w="432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Financial instruments</w:t>
            </w:r>
          </w:p>
        </w:tc>
        <w:tc>
          <w:tcPr>
            <w:tcW w:w="900" w:type="dxa"/>
            <w:vAlign w:val="bottom"/>
            <w:tcBorders>
              <w:bottom w:val="single" w:sz="8" w:color="auto"/>
            </w:tcBorders>
          </w:tcPr>
          <w:p>
            <w:pPr>
              <w:jc w:val="right"/>
              <w:ind w:right="585"/>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26"/>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jc w:val="right"/>
              <w:ind w:right="626"/>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center"/>
              <w:ind w:left="583"/>
              <w:spacing w:after="0"/>
              <w:rPr>
                <w:sz w:val="20"/>
                <w:szCs w:val="20"/>
                <w:color w:val="auto"/>
              </w:rPr>
            </w:pPr>
            <w:r>
              <w:rPr>
                <w:rFonts w:ascii="Arial" w:cs="Arial" w:eastAsia="Arial" w:hAnsi="Arial"/>
                <w:sz w:val="16"/>
                <w:szCs w:val="16"/>
                <w:color w:val="auto"/>
              </w:rPr>
              <w:t>1</w:t>
            </w:r>
          </w:p>
        </w:tc>
      </w:tr>
      <w:tr>
        <w:trPr>
          <w:trHeight w:val="35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color w:val="auto"/>
              </w:rPr>
              <w:t>Six months ended June 30,</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00" w:type="dxa"/>
            <w:vAlign w:val="bottom"/>
          </w:tcPr>
          <w:p>
            <w:pPr>
              <w:jc w:val="center"/>
              <w:ind w:left="165"/>
              <w:spacing w:after="0"/>
              <w:rPr>
                <w:sz w:val="20"/>
                <w:szCs w:val="20"/>
                <w:color w:val="auto"/>
              </w:rPr>
            </w:pPr>
            <w:r>
              <w:rPr>
                <w:rFonts w:ascii="Arial" w:cs="Arial" w:eastAsia="Arial" w:hAnsi="Arial"/>
                <w:sz w:val="14"/>
                <w:szCs w:val="14"/>
                <w:color w:val="auto"/>
                <w:w w:val="99"/>
              </w:rPr>
              <w:t>Share-</w:t>
            </w:r>
          </w:p>
        </w:tc>
        <w:tc>
          <w:tcPr>
            <w:tcW w:w="320" w:type="dxa"/>
            <w:vAlign w:val="bottom"/>
          </w:tcPr>
          <w:p>
            <w:pPr>
              <w:spacing w:after="0"/>
              <w:rPr>
                <w:sz w:val="18"/>
                <w:szCs w:val="18"/>
                <w:color w:val="auto"/>
              </w:rPr>
            </w:pPr>
          </w:p>
        </w:tc>
        <w:tc>
          <w:tcPr>
            <w:tcW w:w="860" w:type="dxa"/>
            <w:vAlign w:val="bottom"/>
          </w:tcPr>
          <w:p>
            <w:pPr>
              <w:jc w:val="center"/>
              <w:ind w:left="26"/>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center"/>
              <w:ind w:left="225"/>
              <w:spacing w:after="0"/>
              <w:rPr>
                <w:sz w:val="20"/>
                <w:szCs w:val="20"/>
                <w:color w:val="auto"/>
              </w:rPr>
            </w:pPr>
            <w:r>
              <w:rPr>
                <w:rFonts w:ascii="Arial" w:cs="Arial" w:eastAsia="Arial" w:hAnsi="Arial"/>
                <w:sz w:val="14"/>
                <w:szCs w:val="14"/>
                <w:color w:val="auto"/>
              </w:rPr>
              <w:t>Share-</w:t>
            </w:r>
          </w:p>
        </w:tc>
        <w:tc>
          <w:tcPr>
            <w:tcW w:w="320" w:type="dxa"/>
            <w:vAlign w:val="bottom"/>
          </w:tcPr>
          <w:p>
            <w:pPr>
              <w:spacing w:after="0"/>
              <w:rPr>
                <w:sz w:val="18"/>
                <w:szCs w:val="18"/>
                <w:color w:val="auto"/>
              </w:rPr>
            </w:pPr>
          </w:p>
        </w:tc>
        <w:tc>
          <w:tcPr>
            <w:tcW w:w="860" w:type="dxa"/>
            <w:vAlign w:val="bottom"/>
          </w:tcPr>
          <w:p>
            <w:pPr>
              <w:jc w:val="center"/>
              <w:ind w:left="46"/>
              <w:spacing w:after="0"/>
              <w:rPr>
                <w:sz w:val="20"/>
                <w:szCs w:val="20"/>
                <w:color w:val="auto"/>
              </w:rPr>
            </w:pPr>
            <w:r>
              <w:rPr>
                <w:rFonts w:ascii="Arial" w:cs="Arial" w:eastAsia="Arial" w:hAnsi="Arial"/>
                <w:sz w:val="14"/>
                <w:szCs w:val="14"/>
                <w:color w:val="auto"/>
                <w:w w:val="98"/>
              </w:rPr>
              <w:t>Non-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900" w:type="dxa"/>
            <w:vAlign w:val="bottom"/>
          </w:tcPr>
          <w:p>
            <w:pPr>
              <w:jc w:val="center"/>
              <w:ind w:left="165"/>
              <w:spacing w:after="0"/>
              <w:rPr>
                <w:sz w:val="20"/>
                <w:szCs w:val="20"/>
                <w:color w:val="auto"/>
              </w:rPr>
            </w:pPr>
            <w:r>
              <w:rPr>
                <w:rFonts w:ascii="Arial" w:cs="Arial" w:eastAsia="Arial" w:hAnsi="Arial"/>
                <w:sz w:val="14"/>
                <w:szCs w:val="14"/>
                <w:color w:val="auto"/>
              </w:rPr>
              <w:t>holders'</w:t>
            </w:r>
          </w:p>
        </w:tc>
        <w:tc>
          <w:tcPr>
            <w:tcW w:w="320" w:type="dxa"/>
            <w:vAlign w:val="bottom"/>
          </w:tcPr>
          <w:p>
            <w:pPr>
              <w:spacing w:after="0"/>
              <w:rPr>
                <w:sz w:val="17"/>
                <w:szCs w:val="17"/>
                <w:color w:val="auto"/>
              </w:rPr>
            </w:pPr>
          </w:p>
        </w:tc>
        <w:tc>
          <w:tcPr>
            <w:tcW w:w="860" w:type="dxa"/>
            <w:vAlign w:val="bottom"/>
          </w:tcPr>
          <w:p>
            <w:pPr>
              <w:jc w:val="center"/>
              <w:ind w:left="46"/>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384"/>
              <w:spacing w:after="0"/>
              <w:rPr>
                <w:sz w:val="20"/>
                <w:szCs w:val="20"/>
                <w:color w:val="auto"/>
              </w:rPr>
            </w:pPr>
            <w:r>
              <w:rPr>
                <w:rFonts w:ascii="Arial" w:cs="Arial" w:eastAsia="Arial" w:hAnsi="Arial"/>
                <w:sz w:val="14"/>
                <w:szCs w:val="14"/>
                <w:color w:val="auto"/>
              </w:rPr>
              <w:t>Total</w:t>
            </w:r>
          </w:p>
        </w:tc>
        <w:tc>
          <w:tcPr>
            <w:tcW w:w="940" w:type="dxa"/>
            <w:vAlign w:val="bottom"/>
          </w:tcPr>
          <w:p>
            <w:pPr>
              <w:jc w:val="center"/>
              <w:ind w:left="205"/>
              <w:spacing w:after="0"/>
              <w:rPr>
                <w:sz w:val="20"/>
                <w:szCs w:val="20"/>
                <w:color w:val="auto"/>
              </w:rPr>
            </w:pPr>
            <w:r>
              <w:rPr>
                <w:rFonts w:ascii="Arial" w:cs="Arial" w:eastAsia="Arial" w:hAnsi="Arial"/>
                <w:sz w:val="14"/>
                <w:szCs w:val="14"/>
                <w:color w:val="auto"/>
              </w:rPr>
              <w:t>holders'</w:t>
            </w:r>
          </w:p>
        </w:tc>
        <w:tc>
          <w:tcPr>
            <w:tcW w:w="320" w:type="dxa"/>
            <w:vAlign w:val="bottom"/>
          </w:tcPr>
          <w:p>
            <w:pPr>
              <w:spacing w:after="0"/>
              <w:rPr>
                <w:sz w:val="17"/>
                <w:szCs w:val="17"/>
                <w:color w:val="auto"/>
              </w:rPr>
            </w:pPr>
          </w:p>
        </w:tc>
        <w:tc>
          <w:tcPr>
            <w:tcW w:w="860" w:type="dxa"/>
            <w:vAlign w:val="bottom"/>
          </w:tcPr>
          <w:p>
            <w:pPr>
              <w:jc w:val="center"/>
              <w:ind w:left="46"/>
              <w:spacing w:after="0"/>
              <w:rPr>
                <w:sz w:val="20"/>
                <w:szCs w:val="20"/>
                <w:color w:val="auto"/>
              </w:rPr>
            </w:pPr>
            <w:r>
              <w:rPr>
                <w:rFonts w:ascii="Arial" w:cs="Arial" w:eastAsia="Arial" w:hAnsi="Arial"/>
                <w:sz w:val="14"/>
                <w:szCs w:val="14"/>
                <w:color w:val="auto"/>
              </w:rPr>
              <w:t>controlling</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center"/>
              <w:ind w:right="243"/>
              <w:spacing w:after="0"/>
              <w:rPr>
                <w:sz w:val="20"/>
                <w:szCs w:val="20"/>
                <w:color w:val="auto"/>
              </w:rPr>
            </w:pPr>
            <w:r>
              <w:rPr>
                <w:rFonts w:ascii="Arial" w:cs="Arial" w:eastAsia="Arial" w:hAnsi="Arial"/>
                <w:sz w:val="14"/>
                <w:szCs w:val="14"/>
                <w:color w:val="auto"/>
              </w:rPr>
              <w:t>Total</w:t>
            </w:r>
          </w:p>
        </w:tc>
      </w:tr>
      <w:tr>
        <w:trPr>
          <w:trHeight w:val="195"/>
        </w:trPr>
        <w:tc>
          <w:tcPr>
            <w:tcW w:w="20" w:type="dxa"/>
            <w:vAlign w:val="bottom"/>
          </w:tcPr>
          <w:p>
            <w:pPr>
              <w:spacing w:after="0"/>
              <w:rPr>
                <w:sz w:val="16"/>
                <w:szCs w:val="16"/>
                <w:color w:val="auto"/>
              </w:rPr>
            </w:pPr>
          </w:p>
        </w:tc>
        <w:tc>
          <w:tcPr>
            <w:tcW w:w="4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color w:val="auto"/>
              </w:rPr>
              <w:t>Equity(1)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84"/>
              <w:spacing w:after="0"/>
              <w:rPr>
                <w:sz w:val="20"/>
                <w:szCs w:val="20"/>
                <w:color w:val="auto"/>
              </w:rPr>
            </w:pPr>
            <w:r>
              <w:rPr>
                <w:rFonts w:ascii="Arial" w:cs="Arial" w:eastAsia="Arial" w:hAnsi="Arial"/>
                <w:sz w:val="14"/>
                <w:szCs w:val="14"/>
                <w:color w:val="auto"/>
              </w:rPr>
              <w:t>Equity</w:t>
            </w:r>
          </w:p>
        </w:tc>
        <w:tc>
          <w:tcPr>
            <w:tcW w:w="940" w:type="dxa"/>
            <w:vAlign w:val="bottom"/>
            <w:tcBorders>
              <w:bottom w:val="single" w:sz="8" w:color="auto"/>
            </w:tcBorders>
          </w:tcPr>
          <w:p>
            <w:pPr>
              <w:jc w:val="center"/>
              <w:ind w:left="205"/>
              <w:spacing w:after="0"/>
              <w:rPr>
                <w:sz w:val="20"/>
                <w:szCs w:val="20"/>
                <w:color w:val="auto"/>
              </w:rPr>
            </w:pPr>
            <w:r>
              <w:rPr>
                <w:rFonts w:ascii="Arial" w:cs="Arial" w:eastAsia="Arial" w:hAnsi="Arial"/>
                <w:sz w:val="14"/>
                <w:szCs w:val="14"/>
                <w:color w:val="auto"/>
              </w:rPr>
              <w:t>Equity(1)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6"/>
              <w:spacing w:after="0"/>
              <w:rPr>
                <w:sz w:val="20"/>
                <w:szCs w:val="20"/>
                <w:color w:val="auto"/>
              </w:rPr>
            </w:pPr>
            <w:r>
              <w:rPr>
                <w:rFonts w:ascii="Arial" w:cs="Arial" w:eastAsia="Arial" w:hAnsi="Arial"/>
                <w:sz w:val="14"/>
                <w:szCs w:val="14"/>
                <w:color w:val="auto"/>
              </w:rPr>
              <w:t>Interests</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color w:val="auto"/>
              </w:rPr>
              <w:t>Equity</w:t>
            </w:r>
          </w:p>
        </w:tc>
      </w:tr>
      <w:tr>
        <w:trPr>
          <w:trHeight w:val="164"/>
        </w:trPr>
        <w:tc>
          <w:tcPr>
            <w:tcW w:w="20" w:type="dxa"/>
            <w:vAlign w:val="bottom"/>
          </w:tcPr>
          <w:p>
            <w:pPr>
              <w:spacing w:after="0"/>
              <w:rPr>
                <w:sz w:val="14"/>
                <w:szCs w:val="14"/>
                <w:color w:val="auto"/>
              </w:rPr>
            </w:pPr>
          </w:p>
        </w:tc>
        <w:tc>
          <w:tcPr>
            <w:tcW w:w="432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4320" w:type="dxa"/>
            <w:vAlign w:val="bottom"/>
          </w:tcPr>
          <w:p>
            <w:pPr>
              <w:ind w:left="160"/>
              <w:spacing w:after="0"/>
              <w:rPr>
                <w:sz w:val="20"/>
                <w:szCs w:val="20"/>
                <w:color w:val="auto"/>
              </w:rPr>
            </w:pPr>
            <w:r>
              <w:rPr>
                <w:rFonts w:ascii="Arial" w:cs="Arial" w:eastAsia="Arial" w:hAnsi="Arial"/>
                <w:sz w:val="16"/>
                <w:szCs w:val="16"/>
                <w:color w:val="auto"/>
              </w:rPr>
              <w:t>Net actuarial gain</w:t>
            </w:r>
          </w:p>
        </w:tc>
        <w:tc>
          <w:tcPr>
            <w:tcW w:w="900" w:type="dxa"/>
            <w:vAlign w:val="bottom"/>
          </w:tcPr>
          <w:p>
            <w:pPr>
              <w:jc w:val="right"/>
              <w:ind w:right="585"/>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860" w:type="dxa"/>
            <w:vAlign w:val="bottom"/>
          </w:tcPr>
          <w:p>
            <w:pPr>
              <w:jc w:val="right"/>
              <w:ind w:right="626"/>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64"/>
              <w:spacing w:after="0"/>
              <w:rPr>
                <w:sz w:val="20"/>
                <w:szCs w:val="20"/>
                <w:color w:val="auto"/>
              </w:rPr>
            </w:pPr>
            <w:r>
              <w:rPr>
                <w:rFonts w:ascii="Arial" w:cs="Arial" w:eastAsia="Arial" w:hAnsi="Arial"/>
                <w:sz w:val="16"/>
                <w:szCs w:val="16"/>
                <w:color w:val="auto"/>
              </w:rPr>
              <w:t>3</w:t>
            </w:r>
          </w:p>
        </w:tc>
        <w:tc>
          <w:tcPr>
            <w:tcW w:w="94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4</w:t>
            </w:r>
          </w:p>
        </w:tc>
        <w:tc>
          <w:tcPr>
            <w:tcW w:w="860" w:type="dxa"/>
            <w:vAlign w:val="bottom"/>
          </w:tcPr>
          <w:p>
            <w:pPr>
              <w:jc w:val="right"/>
              <w:ind w:right="626"/>
              <w:spacing w:after="0"/>
              <w:rPr>
                <w:sz w:val="20"/>
                <w:szCs w:val="20"/>
                <w:color w:val="auto"/>
              </w:rPr>
            </w:pPr>
            <w:r>
              <w:rPr>
                <w:rFonts w:ascii="Arial" w:cs="Arial" w:eastAsia="Arial" w:hAnsi="Arial"/>
                <w:sz w:val="16"/>
                <w:szCs w:val="16"/>
                <w:color w:val="auto"/>
              </w:rPr>
              <w:t>$</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583"/>
              <w:spacing w:after="0"/>
              <w:rPr>
                <w:sz w:val="20"/>
                <w:szCs w:val="20"/>
                <w:color w:val="auto"/>
              </w:rPr>
            </w:pPr>
            <w:r>
              <w:rPr>
                <w:rFonts w:ascii="Arial" w:cs="Arial" w:eastAsia="Arial" w:hAnsi="Arial"/>
                <w:sz w:val="16"/>
                <w:szCs w:val="16"/>
                <w:color w:val="auto"/>
              </w:rPr>
              <w:t>4</w:t>
            </w:r>
          </w:p>
        </w:tc>
      </w:tr>
    </w:tbl>
    <w:p>
      <w:pPr>
        <w:sectPr>
          <w:pgSz w:w="11900" w:h="16838" w:orient="portrait"/>
          <w:cols w:equalWidth="0" w:num="1">
            <w:col w:w="11420"/>
          </w:cols>
          <w:pgMar w:left="240" w:top="333" w:right="239" w:bottom="0" w:gutter="0" w:footer="0" w:header="0"/>
        </w:sectPr>
      </w:pPr>
    </w:p>
    <w:bookmarkStart w:id="22" w:name="page23"/>
    <w:bookmarkEnd w:id="22"/>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Financial instruments</w:t>
            </w:r>
          </w:p>
        </w:tc>
        <w:tc>
          <w:tcPr>
            <w:tcW w:w="18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5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6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87"/>
              </w:rPr>
              <w:t>―</w:t>
            </w:r>
          </w:p>
        </w:tc>
      </w:tr>
      <w:tr>
        <w:trPr>
          <w:trHeight w:val="164"/>
        </w:trPr>
        <w:tc>
          <w:tcPr>
            <w:tcW w:w="20" w:type="dxa"/>
            <w:vAlign w:val="bottom"/>
          </w:tcPr>
          <w:p>
            <w:pPr>
              <w:spacing w:after="0"/>
              <w:rPr>
                <w:sz w:val="14"/>
                <w:szCs w:val="14"/>
                <w:color w:val="auto"/>
              </w:rPr>
            </w:pPr>
          </w:p>
        </w:tc>
        <w:tc>
          <w:tcPr>
            <w:tcW w:w="308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3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Financial instruments</w:t>
            </w:r>
          </w:p>
        </w:tc>
        <w:tc>
          <w:tcPr>
            <w:tcW w:w="1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1</w:t>
            </w:r>
          </w:p>
        </w:tc>
      </w:tr>
    </w:tbl>
    <w:p>
      <w:pPr>
        <w:spacing w:after="0" w:line="31"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(1)Shareholders</w:t>
      </w:r>
      <w:r>
        <w:rPr>
          <w:rFonts w:ascii="Arial" w:cs="Arial" w:eastAsia="Arial" w:hAnsi="Arial"/>
          <w:sz w:val="14"/>
          <w:szCs w:val="14"/>
          <w:color w:val="auto"/>
        </w:rPr>
        <w:t>’</w:t>
      </w:r>
      <w:r>
        <w:rPr>
          <w:rFonts w:ascii="Arial" w:cs="Arial" w:eastAsia="Arial" w:hAnsi="Arial"/>
          <w:sz w:val="14"/>
          <w:szCs w:val="14"/>
          <w:i w:val="1"/>
          <w:iCs w:val="1"/>
          <w:color w:val="auto"/>
        </w:rPr>
        <w:t xml:space="preserve"> equity of Sempra Energy Consolidated or SoCalGas as indicated in left margin.</w:t>
      </w:r>
    </w:p>
    <w:p>
      <w:pPr>
        <w:spacing w:after="0" w:line="2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Income tax amounts associated with other comprehensive income during the three months and six months ended June 30, 2012 and 2011 at SDG&amp;E were negligible.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 AND NONCONTROLLING INTERESTS</w:t>
      </w:r>
    </w:p>
    <w:p>
      <w:pPr>
        <w:spacing w:after="0" w:line="2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two tables provide a reconciliation of Sempra Energy’s and SDG&amp;E’s shareholders’ equity and noncontrolling interests for the six months ended June 30, 2012 and 2011.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EQUITY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Sempra</w:t>
            </w: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Energy</w:t>
            </w:r>
          </w:p>
        </w:tc>
        <w:tc>
          <w:tcPr>
            <w:tcW w:w="5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Non-</w:t>
            </w: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5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560" w:type="dxa"/>
            <w:vAlign w:val="bottom"/>
          </w:tcPr>
          <w:p>
            <w:pPr>
              <w:spacing w:after="0"/>
              <w:rPr>
                <w:sz w:val="15"/>
                <w:szCs w:val="15"/>
                <w:color w:val="auto"/>
              </w:rPr>
            </w:pPr>
          </w:p>
        </w:tc>
        <w:tc>
          <w:tcPr>
            <w:tcW w:w="1440" w:type="dxa"/>
            <w:vAlign w:val="bottom"/>
          </w:tcPr>
          <w:p>
            <w:pPr>
              <w:jc w:val="center"/>
              <w:ind w:right="20"/>
              <w:spacing w:after="0"/>
              <w:rPr>
                <w:sz w:val="20"/>
                <w:szCs w:val="20"/>
                <w:color w:val="auto"/>
              </w:rPr>
            </w:pPr>
            <w:r>
              <w:rPr>
                <w:rFonts w:ascii="Arial" w:cs="Arial" w:eastAsia="Arial" w:hAnsi="Arial"/>
                <w:sz w:val="14"/>
                <w:szCs w:val="14"/>
                <w:color w:val="auto"/>
                <w:w w:val="96"/>
              </w:rPr>
              <w:t>Total</w:t>
            </w:r>
          </w:p>
        </w:tc>
      </w:tr>
      <w:tr>
        <w:trPr>
          <w:trHeight w:val="168"/>
        </w:trPr>
        <w:tc>
          <w:tcPr>
            <w:tcW w:w="20" w:type="dxa"/>
            <w:vAlign w:val="bottom"/>
          </w:tcPr>
          <w:p>
            <w:pPr>
              <w:spacing w:after="0"/>
              <w:rPr>
                <w:sz w:val="14"/>
                <w:szCs w:val="14"/>
                <w:color w:val="auto"/>
              </w:rPr>
            </w:pPr>
          </w:p>
        </w:tc>
        <w:tc>
          <w:tcPr>
            <w:tcW w:w="5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Interests</w:t>
            </w: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r>
      <w:tr>
        <w:trPr>
          <w:trHeight w:val="164"/>
        </w:trPr>
        <w:tc>
          <w:tcPr>
            <w:tcW w:w="20" w:type="dxa"/>
            <w:vAlign w:val="bottom"/>
          </w:tcPr>
          <w:p>
            <w:pPr>
              <w:spacing w:after="0"/>
              <w:rPr>
                <w:sz w:val="14"/>
                <w:szCs w:val="14"/>
                <w:color w:val="auto"/>
              </w:rPr>
            </w:pPr>
          </w:p>
        </w:tc>
        <w:tc>
          <w:tcPr>
            <w:tcW w:w="5480" w:type="dxa"/>
            <w:vAlign w:val="bottom"/>
          </w:tcPr>
          <w:p>
            <w:pPr>
              <w:spacing w:after="0" w:line="164" w:lineRule="exact"/>
              <w:rPr>
                <w:sz w:val="20"/>
                <w:szCs w:val="20"/>
                <w:color w:val="auto"/>
              </w:rPr>
            </w:pPr>
            <w:r>
              <w:rPr>
                <w:rFonts w:ascii="Arial" w:cs="Arial" w:eastAsia="Arial" w:hAnsi="Arial"/>
                <w:sz w:val="16"/>
                <w:szCs w:val="16"/>
                <w:color w:val="auto"/>
              </w:rPr>
              <w:t>Balance at December 31, 2011</w:t>
            </w:r>
          </w:p>
        </w:tc>
        <w:tc>
          <w:tcPr>
            <w:tcW w:w="420" w:type="dxa"/>
            <w:vAlign w:val="bottom"/>
          </w:tcPr>
          <w:p>
            <w:pPr>
              <w:jc w:val="right"/>
              <w:ind w:right="264"/>
              <w:spacing w:after="0" w:line="164" w:lineRule="exact"/>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64" w:lineRule="exact"/>
              <w:rPr>
                <w:sz w:val="20"/>
                <w:szCs w:val="20"/>
                <w:color w:val="auto"/>
              </w:rPr>
            </w:pPr>
            <w:r>
              <w:rPr>
                <w:rFonts w:ascii="Arial" w:cs="Arial" w:eastAsia="Arial" w:hAnsi="Arial"/>
                <w:sz w:val="16"/>
                <w:szCs w:val="16"/>
                <w:color w:val="auto"/>
              </w:rPr>
              <w:t>9,775</w:t>
            </w:r>
          </w:p>
        </w:tc>
        <w:tc>
          <w:tcPr>
            <w:tcW w:w="500" w:type="dxa"/>
            <w:vAlign w:val="bottom"/>
          </w:tcPr>
          <w:p>
            <w:pPr>
              <w:jc w:val="right"/>
              <w:ind w:right="319"/>
              <w:spacing w:after="0" w:line="164"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64" w:lineRule="exact"/>
              <w:rPr>
                <w:sz w:val="20"/>
                <w:szCs w:val="20"/>
                <w:color w:val="auto"/>
              </w:rPr>
            </w:pPr>
            <w:r>
              <w:rPr>
                <w:rFonts w:ascii="Arial" w:cs="Arial" w:eastAsia="Arial" w:hAnsi="Arial"/>
                <w:sz w:val="16"/>
                <w:szCs w:val="16"/>
                <w:color w:val="auto"/>
              </w:rPr>
              <w:t>403</w:t>
            </w:r>
          </w:p>
        </w:tc>
        <w:tc>
          <w:tcPr>
            <w:tcW w:w="560" w:type="dxa"/>
            <w:vAlign w:val="bottom"/>
          </w:tcPr>
          <w:p>
            <w:pPr>
              <w:jc w:val="right"/>
              <w:ind w:right="379"/>
              <w:spacing w:after="0" w:line="164"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64" w:lineRule="exact"/>
              <w:rPr>
                <w:sz w:val="20"/>
                <w:szCs w:val="20"/>
                <w:color w:val="auto"/>
              </w:rPr>
            </w:pPr>
            <w:r>
              <w:rPr>
                <w:rFonts w:ascii="Arial" w:cs="Arial" w:eastAsia="Arial" w:hAnsi="Arial"/>
                <w:sz w:val="16"/>
                <w:szCs w:val="16"/>
                <w:color w:val="auto"/>
              </w:rPr>
              <w:t>10,178</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Comprehensive income</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334</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352</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Preferred dividends of subsidiaries</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Share-based compensation expense</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Common stock dividends declared</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(289)</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(289)</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Issuance of common stock</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Repurchase of common stock</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Common stock released from ESOP</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Equity contributed by noncontrolling interest</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94"/>
        </w:trPr>
        <w:tc>
          <w:tcPr>
            <w:tcW w:w="550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interests</w:t>
            </w: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5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83"/>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Balance at June 30, 2012</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9,879</w:t>
            </w:r>
          </w:p>
        </w:tc>
        <w:tc>
          <w:tcPr>
            <w:tcW w:w="500" w:type="dxa"/>
            <w:vAlign w:val="bottom"/>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414</w:t>
            </w:r>
          </w:p>
        </w:tc>
        <w:tc>
          <w:tcPr>
            <w:tcW w:w="560" w:type="dxa"/>
            <w:vAlign w:val="bottom"/>
          </w:tcPr>
          <w:p>
            <w:pPr>
              <w:jc w:val="right"/>
              <w:ind w:right="379"/>
              <w:spacing w:after="0" w:line="176"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10,293</w:t>
            </w:r>
          </w:p>
        </w:tc>
      </w:tr>
      <w:tr>
        <w:trPr>
          <w:trHeight w:val="164"/>
        </w:trPr>
        <w:tc>
          <w:tcPr>
            <w:tcW w:w="20" w:type="dxa"/>
            <w:vAlign w:val="bottom"/>
          </w:tcPr>
          <w:p>
            <w:pPr>
              <w:spacing w:after="0"/>
              <w:rPr>
                <w:sz w:val="14"/>
                <w:szCs w:val="14"/>
                <w:color w:val="auto"/>
              </w:rPr>
            </w:pPr>
          </w:p>
        </w:tc>
        <w:tc>
          <w:tcPr>
            <w:tcW w:w="54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Balance at December 31, 2010</w:t>
            </w:r>
          </w:p>
        </w:tc>
        <w:tc>
          <w:tcPr>
            <w:tcW w:w="420" w:type="dxa"/>
            <w:vAlign w:val="bottom"/>
            <w:tcBorders>
              <w:top w:val="single" w:sz="8" w:color="auto"/>
            </w:tcBorders>
          </w:tcPr>
          <w:p>
            <w:pPr>
              <w:jc w:val="right"/>
              <w:ind w:right="264"/>
              <w:spacing w:after="0" w:line="164" w:lineRule="exact"/>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8,990</w:t>
            </w:r>
          </w:p>
        </w:tc>
        <w:tc>
          <w:tcPr>
            <w:tcW w:w="500" w:type="dxa"/>
            <w:vAlign w:val="bottom"/>
            <w:tcBorders>
              <w:top w:val="single" w:sz="8" w:color="auto"/>
            </w:tcBorders>
          </w:tcPr>
          <w:p>
            <w:pPr>
              <w:jc w:val="right"/>
              <w:ind w:right="319"/>
              <w:spacing w:after="0" w:line="164" w:lineRule="exact"/>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211</w:t>
            </w:r>
          </w:p>
        </w:tc>
        <w:tc>
          <w:tcPr>
            <w:tcW w:w="560" w:type="dxa"/>
            <w:vAlign w:val="bottom"/>
            <w:tcBorders>
              <w:top w:val="single" w:sz="8" w:color="auto"/>
            </w:tcBorders>
          </w:tcPr>
          <w:p>
            <w:pPr>
              <w:jc w:val="right"/>
              <w:ind w:right="379"/>
              <w:spacing w:after="0" w:line="164" w:lineRule="exact"/>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9,201</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Comprehensive income (loss)</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734</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723</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Preferred dividends of subsidiaries</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Share-based compensation expense</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Common stock dividends declared</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(230)</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(230)</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Issuance of common stock</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Tax benefit related to share-based compensation</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Repurchase of common stock</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Common stock released from ESOP</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Distributions to noncontrolling interests</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Acquisition of South American entities</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279</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279</w:t>
            </w:r>
          </w:p>
        </w:tc>
      </w:tr>
      <w:tr>
        <w:trPr>
          <w:trHeight w:val="194"/>
        </w:trPr>
        <w:tc>
          <w:tcPr>
            <w:tcW w:w="5500" w:type="dxa"/>
            <w:vAlign w:val="bottom"/>
            <w:gridSpan w:val="2"/>
          </w:tcPr>
          <w:p>
            <w:pPr>
              <w:spacing w:after="0"/>
              <w:rPr>
                <w:sz w:val="20"/>
                <w:szCs w:val="20"/>
                <w:color w:val="auto"/>
              </w:rPr>
            </w:pPr>
            <w:r>
              <w:rPr>
                <w:rFonts w:ascii="Arial" w:cs="Arial" w:eastAsia="Arial" w:hAnsi="Arial"/>
                <w:sz w:val="16"/>
                <w:szCs w:val="16"/>
                <w:color w:val="auto"/>
              </w:rPr>
              <w:t>Redemption of preferred stock of subsidiary</w:t>
            </w: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5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183"/>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Balance at June 30, 2011</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9,530</w:t>
            </w:r>
          </w:p>
        </w:tc>
        <w:tc>
          <w:tcPr>
            <w:tcW w:w="500" w:type="dxa"/>
            <w:vAlign w:val="bottom"/>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393</w:t>
            </w:r>
          </w:p>
        </w:tc>
        <w:tc>
          <w:tcPr>
            <w:tcW w:w="560" w:type="dxa"/>
            <w:vAlign w:val="bottom"/>
          </w:tcPr>
          <w:p>
            <w:pPr>
              <w:jc w:val="right"/>
              <w:ind w:right="379"/>
              <w:spacing w:after="0" w:line="176"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9,923</w:t>
            </w:r>
          </w:p>
        </w:tc>
      </w:tr>
      <w:tr>
        <w:trPr>
          <w:trHeight w:val="729"/>
        </w:trPr>
        <w:tc>
          <w:tcPr>
            <w:tcW w:w="20" w:type="dxa"/>
            <w:vAlign w:val="bottom"/>
          </w:tcPr>
          <w:p>
            <w:pPr>
              <w:spacing w:after="0"/>
              <w:rPr>
                <w:sz w:val="24"/>
                <w:szCs w:val="24"/>
                <w:color w:val="auto"/>
              </w:rPr>
            </w:pPr>
          </w:p>
        </w:tc>
        <w:tc>
          <w:tcPr>
            <w:tcW w:w="54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548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SHAREHOLDER’S EQUITY AND NONCONTROLLING INTEREST</w:t>
            </w:r>
          </w:p>
        </w:tc>
        <w:tc>
          <w:tcPr>
            <w:tcW w:w="420" w:type="dxa"/>
            <w:vAlign w:val="bottom"/>
            <w:shd w:val="clear" w:color="auto" w:fill="C0C0C0"/>
          </w:tcPr>
          <w:p>
            <w:pPr>
              <w:spacing w:after="0"/>
              <w:rPr>
                <w:sz w:val="13"/>
                <w:szCs w:val="13"/>
                <w:color w:val="auto"/>
              </w:rPr>
            </w:pPr>
          </w:p>
        </w:tc>
        <w:tc>
          <w:tcPr>
            <w:tcW w:w="1520" w:type="dxa"/>
            <w:vAlign w:val="bottom"/>
            <w:shd w:val="clear" w:color="auto" w:fill="C0C0C0"/>
          </w:tcPr>
          <w:p>
            <w:pPr>
              <w:spacing w:after="0"/>
              <w:rPr>
                <w:sz w:val="13"/>
                <w:szCs w:val="13"/>
                <w:color w:val="auto"/>
              </w:rPr>
            </w:pPr>
          </w:p>
        </w:tc>
        <w:tc>
          <w:tcPr>
            <w:tcW w:w="500" w:type="dxa"/>
            <w:vAlign w:val="bottom"/>
            <w:shd w:val="clear" w:color="auto" w:fill="C0C0C0"/>
          </w:tcPr>
          <w:p>
            <w:pPr>
              <w:spacing w:after="0"/>
              <w:rPr>
                <w:sz w:val="13"/>
                <w:szCs w:val="13"/>
                <w:color w:val="auto"/>
              </w:rPr>
            </w:pPr>
          </w:p>
        </w:tc>
        <w:tc>
          <w:tcPr>
            <w:tcW w:w="1480" w:type="dxa"/>
            <w:vAlign w:val="bottom"/>
            <w:shd w:val="clear" w:color="auto" w:fill="C0C0C0"/>
          </w:tcPr>
          <w:p>
            <w:pPr>
              <w:spacing w:after="0"/>
              <w:rPr>
                <w:sz w:val="13"/>
                <w:szCs w:val="13"/>
                <w:color w:val="auto"/>
              </w:rPr>
            </w:pPr>
          </w:p>
        </w:tc>
        <w:tc>
          <w:tcPr>
            <w:tcW w:w="560" w:type="dxa"/>
            <w:vAlign w:val="bottom"/>
            <w:shd w:val="clear" w:color="auto" w:fill="C0C0C0"/>
          </w:tcPr>
          <w:p>
            <w:pPr>
              <w:spacing w:after="0"/>
              <w:rPr>
                <w:sz w:val="13"/>
                <w:szCs w:val="13"/>
                <w:color w:val="auto"/>
              </w:rPr>
            </w:pPr>
          </w:p>
        </w:tc>
        <w:tc>
          <w:tcPr>
            <w:tcW w:w="144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54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shd w:val="clear" w:color="auto" w:fill="C0C0C0"/>
          </w:tcPr>
          <w:p>
            <w:pPr>
              <w:spacing w:after="0"/>
              <w:rPr>
                <w:sz w:val="14"/>
                <w:szCs w:val="14"/>
                <w:color w:val="auto"/>
              </w:rPr>
            </w:pPr>
          </w:p>
        </w:tc>
        <w:tc>
          <w:tcPr>
            <w:tcW w:w="152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1480" w:type="dxa"/>
            <w:vAlign w:val="bottom"/>
            <w:shd w:val="clear" w:color="auto" w:fill="C0C0C0"/>
          </w:tcPr>
          <w:p>
            <w:pPr>
              <w:spacing w:after="0"/>
              <w:rPr>
                <w:sz w:val="14"/>
                <w:szCs w:val="14"/>
                <w:color w:val="auto"/>
              </w:rPr>
            </w:pPr>
          </w:p>
        </w:tc>
        <w:tc>
          <w:tcPr>
            <w:tcW w:w="560" w:type="dxa"/>
            <w:vAlign w:val="bottom"/>
            <w:shd w:val="clear" w:color="auto" w:fill="C0C0C0"/>
          </w:tcPr>
          <w:p>
            <w:pPr>
              <w:spacing w:after="0"/>
              <w:rPr>
                <w:sz w:val="14"/>
                <w:szCs w:val="14"/>
                <w:color w:val="auto"/>
              </w:rPr>
            </w:pPr>
          </w:p>
        </w:tc>
        <w:tc>
          <w:tcPr>
            <w:tcW w:w="1440" w:type="dxa"/>
            <w:vAlign w:val="bottom"/>
            <w:shd w:val="clear" w:color="auto" w:fill="C0C0C0"/>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SDG&amp;E</w:t>
            </w:r>
          </w:p>
        </w:tc>
        <w:tc>
          <w:tcPr>
            <w:tcW w:w="5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Non-</w:t>
            </w:r>
          </w:p>
        </w:tc>
        <w:tc>
          <w:tcPr>
            <w:tcW w:w="5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5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560" w:type="dxa"/>
            <w:vAlign w:val="bottom"/>
          </w:tcPr>
          <w:p>
            <w:pPr>
              <w:spacing w:after="0"/>
              <w:rPr>
                <w:sz w:val="15"/>
                <w:szCs w:val="15"/>
                <w:color w:val="auto"/>
              </w:rPr>
            </w:pPr>
          </w:p>
        </w:tc>
        <w:tc>
          <w:tcPr>
            <w:tcW w:w="1440" w:type="dxa"/>
            <w:vAlign w:val="bottom"/>
          </w:tcPr>
          <w:p>
            <w:pPr>
              <w:jc w:val="center"/>
              <w:ind w:right="20"/>
              <w:spacing w:after="0"/>
              <w:rPr>
                <w:sz w:val="20"/>
                <w:szCs w:val="20"/>
                <w:color w:val="auto"/>
              </w:rPr>
            </w:pPr>
            <w:r>
              <w:rPr>
                <w:rFonts w:ascii="Arial" w:cs="Arial" w:eastAsia="Arial" w:hAnsi="Arial"/>
                <w:sz w:val="14"/>
                <w:szCs w:val="14"/>
                <w:color w:val="auto"/>
                <w:w w:val="96"/>
              </w:rPr>
              <w:t>Total</w:t>
            </w:r>
          </w:p>
        </w:tc>
      </w:tr>
      <w:tr>
        <w:trPr>
          <w:trHeight w:val="168"/>
        </w:trPr>
        <w:tc>
          <w:tcPr>
            <w:tcW w:w="20" w:type="dxa"/>
            <w:vAlign w:val="bottom"/>
          </w:tcPr>
          <w:p>
            <w:pPr>
              <w:spacing w:after="0"/>
              <w:rPr>
                <w:sz w:val="14"/>
                <w:szCs w:val="14"/>
                <w:color w:val="auto"/>
              </w:rPr>
            </w:pPr>
          </w:p>
        </w:tc>
        <w:tc>
          <w:tcPr>
            <w:tcW w:w="5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Interest</w:t>
            </w: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r>
      <w:tr>
        <w:trPr>
          <w:trHeight w:val="164"/>
        </w:trPr>
        <w:tc>
          <w:tcPr>
            <w:tcW w:w="20" w:type="dxa"/>
            <w:vAlign w:val="bottom"/>
          </w:tcPr>
          <w:p>
            <w:pPr>
              <w:spacing w:after="0"/>
              <w:rPr>
                <w:sz w:val="14"/>
                <w:szCs w:val="14"/>
                <w:color w:val="auto"/>
              </w:rPr>
            </w:pPr>
          </w:p>
        </w:tc>
        <w:tc>
          <w:tcPr>
            <w:tcW w:w="5480" w:type="dxa"/>
            <w:vAlign w:val="bottom"/>
          </w:tcPr>
          <w:p>
            <w:pPr>
              <w:spacing w:after="0" w:line="164" w:lineRule="exact"/>
              <w:rPr>
                <w:sz w:val="20"/>
                <w:szCs w:val="20"/>
                <w:color w:val="auto"/>
              </w:rPr>
            </w:pPr>
            <w:r>
              <w:rPr>
                <w:rFonts w:ascii="Arial" w:cs="Arial" w:eastAsia="Arial" w:hAnsi="Arial"/>
                <w:sz w:val="16"/>
                <w:szCs w:val="16"/>
                <w:color w:val="auto"/>
              </w:rPr>
              <w:t>Balance at December 31, 2011</w:t>
            </w:r>
          </w:p>
        </w:tc>
        <w:tc>
          <w:tcPr>
            <w:tcW w:w="420" w:type="dxa"/>
            <w:vAlign w:val="bottom"/>
          </w:tcPr>
          <w:p>
            <w:pPr>
              <w:jc w:val="right"/>
              <w:ind w:right="264"/>
              <w:spacing w:after="0" w:line="164" w:lineRule="exact"/>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64" w:lineRule="exact"/>
              <w:rPr>
                <w:sz w:val="20"/>
                <w:szCs w:val="20"/>
                <w:color w:val="auto"/>
              </w:rPr>
            </w:pPr>
            <w:r>
              <w:rPr>
                <w:rFonts w:ascii="Arial" w:cs="Arial" w:eastAsia="Arial" w:hAnsi="Arial"/>
                <w:sz w:val="16"/>
                <w:szCs w:val="16"/>
                <w:color w:val="auto"/>
              </w:rPr>
              <w:t>3,739</w:t>
            </w:r>
          </w:p>
        </w:tc>
        <w:tc>
          <w:tcPr>
            <w:tcW w:w="500" w:type="dxa"/>
            <w:vAlign w:val="bottom"/>
          </w:tcPr>
          <w:p>
            <w:pPr>
              <w:jc w:val="right"/>
              <w:ind w:right="319"/>
              <w:spacing w:after="0" w:line="164"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64" w:lineRule="exact"/>
              <w:rPr>
                <w:sz w:val="20"/>
                <w:szCs w:val="20"/>
                <w:color w:val="auto"/>
              </w:rPr>
            </w:pPr>
            <w:r>
              <w:rPr>
                <w:rFonts w:ascii="Arial" w:cs="Arial" w:eastAsia="Arial" w:hAnsi="Arial"/>
                <w:sz w:val="16"/>
                <w:szCs w:val="16"/>
                <w:color w:val="auto"/>
              </w:rPr>
              <w:t>102</w:t>
            </w:r>
          </w:p>
        </w:tc>
        <w:tc>
          <w:tcPr>
            <w:tcW w:w="560" w:type="dxa"/>
            <w:vAlign w:val="bottom"/>
          </w:tcPr>
          <w:p>
            <w:pPr>
              <w:jc w:val="right"/>
              <w:ind w:right="379"/>
              <w:spacing w:after="0" w:line="164"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64" w:lineRule="exact"/>
              <w:rPr>
                <w:sz w:val="20"/>
                <w:szCs w:val="20"/>
                <w:color w:val="auto"/>
              </w:rPr>
            </w:pPr>
            <w:r>
              <w:rPr>
                <w:rFonts w:ascii="Arial" w:cs="Arial" w:eastAsia="Arial" w:hAnsi="Arial"/>
                <w:sz w:val="16"/>
                <w:szCs w:val="16"/>
                <w:color w:val="auto"/>
              </w:rPr>
              <w:t>3,841</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Comprehensive income</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202</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204</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Preferred stock dividends declared</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94"/>
        </w:trPr>
        <w:tc>
          <w:tcPr>
            <w:tcW w:w="550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w:t>
            </w: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Balance at June 30, 2012</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3,939</w:t>
            </w:r>
          </w:p>
        </w:tc>
        <w:tc>
          <w:tcPr>
            <w:tcW w:w="500" w:type="dxa"/>
            <w:vAlign w:val="bottom"/>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103</w:t>
            </w:r>
          </w:p>
        </w:tc>
        <w:tc>
          <w:tcPr>
            <w:tcW w:w="560" w:type="dxa"/>
            <w:vAlign w:val="bottom"/>
          </w:tcPr>
          <w:p>
            <w:pPr>
              <w:jc w:val="right"/>
              <w:ind w:right="379"/>
              <w:spacing w:after="0" w:line="176"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4,042</w:t>
            </w:r>
          </w:p>
        </w:tc>
      </w:tr>
      <w:tr>
        <w:trPr>
          <w:trHeight w:val="164"/>
        </w:trPr>
        <w:tc>
          <w:tcPr>
            <w:tcW w:w="20" w:type="dxa"/>
            <w:vAlign w:val="bottom"/>
          </w:tcPr>
          <w:p>
            <w:pPr>
              <w:spacing w:after="0"/>
              <w:rPr>
                <w:sz w:val="14"/>
                <w:szCs w:val="14"/>
                <w:color w:val="auto"/>
              </w:rPr>
            </w:pPr>
          </w:p>
        </w:tc>
        <w:tc>
          <w:tcPr>
            <w:tcW w:w="54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Balance at December 31, 2010</w:t>
            </w:r>
          </w:p>
        </w:tc>
        <w:tc>
          <w:tcPr>
            <w:tcW w:w="420" w:type="dxa"/>
            <w:vAlign w:val="bottom"/>
            <w:tcBorders>
              <w:top w:val="single" w:sz="8" w:color="auto"/>
            </w:tcBorders>
          </w:tcPr>
          <w:p>
            <w:pPr>
              <w:jc w:val="right"/>
              <w:ind w:right="264"/>
              <w:spacing w:after="0" w:line="164" w:lineRule="exact"/>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3,108</w:t>
            </w:r>
          </w:p>
        </w:tc>
        <w:tc>
          <w:tcPr>
            <w:tcW w:w="500" w:type="dxa"/>
            <w:vAlign w:val="bottom"/>
            <w:tcBorders>
              <w:top w:val="single" w:sz="8" w:color="auto"/>
            </w:tcBorders>
          </w:tcPr>
          <w:p>
            <w:pPr>
              <w:jc w:val="right"/>
              <w:ind w:right="319"/>
              <w:spacing w:after="0" w:line="164" w:lineRule="exact"/>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113</w:t>
            </w:r>
          </w:p>
        </w:tc>
        <w:tc>
          <w:tcPr>
            <w:tcW w:w="560" w:type="dxa"/>
            <w:vAlign w:val="bottom"/>
            <w:tcBorders>
              <w:top w:val="single" w:sz="8" w:color="auto"/>
            </w:tcBorders>
          </w:tcPr>
          <w:p>
            <w:pPr>
              <w:jc w:val="right"/>
              <w:ind w:right="379"/>
              <w:spacing w:after="0" w:line="164" w:lineRule="exact"/>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3,221</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Comprehensive income (loss)</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162</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138</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Preferred stock dividends declared</w:t>
            </w:r>
          </w:p>
        </w:tc>
        <w:tc>
          <w:tcPr>
            <w:tcW w:w="42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94"/>
        </w:trPr>
        <w:tc>
          <w:tcPr>
            <w:tcW w:w="5500" w:type="dxa"/>
            <w:vAlign w:val="bottom"/>
            <w:gridSpan w:val="2"/>
          </w:tcPr>
          <w:p>
            <w:pPr>
              <w:spacing w:after="0"/>
              <w:rPr>
                <w:sz w:val="20"/>
                <w:szCs w:val="20"/>
                <w:color w:val="auto"/>
              </w:rPr>
            </w:pPr>
            <w:r>
              <w:rPr>
                <w:rFonts w:ascii="Arial" w:cs="Arial" w:eastAsia="Arial" w:hAnsi="Arial"/>
                <w:sz w:val="16"/>
                <w:szCs w:val="16"/>
                <w:color w:val="auto"/>
              </w:rPr>
              <w:t>Capital contribution</w:t>
            </w: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Balance at June 30, 2011</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76" w:lineRule="exact"/>
              <w:rPr>
                <w:sz w:val="20"/>
                <w:szCs w:val="20"/>
                <w:color w:val="auto"/>
              </w:rPr>
            </w:pPr>
            <w:r>
              <w:rPr>
                <w:rFonts w:ascii="Arial" w:cs="Arial" w:eastAsia="Arial" w:hAnsi="Arial"/>
                <w:sz w:val="16"/>
                <w:szCs w:val="16"/>
                <w:color w:val="auto"/>
              </w:rPr>
              <w:t>3,468</w:t>
            </w:r>
          </w:p>
        </w:tc>
        <w:tc>
          <w:tcPr>
            <w:tcW w:w="500" w:type="dxa"/>
            <w:vAlign w:val="bottom"/>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89</w:t>
            </w:r>
          </w:p>
        </w:tc>
        <w:tc>
          <w:tcPr>
            <w:tcW w:w="560" w:type="dxa"/>
            <w:vAlign w:val="bottom"/>
          </w:tcPr>
          <w:p>
            <w:pPr>
              <w:jc w:val="right"/>
              <w:ind w:right="379"/>
              <w:spacing w:after="0" w:line="176"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3,557</w:t>
            </w:r>
          </w:p>
        </w:tc>
      </w:tr>
      <w:tr>
        <w:trPr>
          <w:trHeight w:val="27"/>
        </w:trPr>
        <w:tc>
          <w:tcPr>
            <w:tcW w:w="20" w:type="dxa"/>
            <w:vAlign w:val="bottom"/>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Ownership interests that are held by owners other than Sempra Energy and SDG&amp;E in subsidiaries or entities consolidated by them are accounted for and reported as noncontrolling interests. As a result, noncontrolling interests are reported as a separate component of equity on the Condensed Consolidated Balance Sheets. Net income or loss attributable to the noncontrolling interests is separately identified on the Condensed Consolidated Statements of Operations, and comprehensive income attributable to the noncontrolling interests is separately identified on the Condensed Consolidated Statements of Comprehensive Income.</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preferred stock of SoCalGas is presented at Sempra Energy as a noncontrolling interest at June 30, 2012 and December 31, 2011. The preferred stock of SDG&amp;E is contingently redeemable preferred stock. At Sempra Energy, the preferred stock dividends of both SDG&amp;E and SoCalGas are charges against income related to noncontrolling interests. We provide additional information concerning preferred stock in Note 12 of the Notes to Consolidated Financial Statements in the Updated Annual Report. At June 30, 2012 and December 31, 2011, Sempra Energy Consolidated reported the following other noncontrolling ownership interests held by others recorded in Other Noncontrolling Interests in Total Equity on Sempra Energy’s Condensed Consolidated Balance Sheets:</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Percent Ownership Held</w:t>
      </w:r>
    </w:p>
    <w:p>
      <w:pPr>
        <w:sectPr>
          <w:pgSz w:w="11900" w:h="16884" w:orient="portrait"/>
          <w:cols w:equalWidth="0" w:num="1">
            <w:col w:w="11420"/>
          </w:cols>
          <w:pgMar w:left="240" w:top="128" w:right="239" w:bottom="0" w:gutter="0" w:footer="0" w:header="0"/>
        </w:sectPr>
      </w:pPr>
    </w:p>
    <w:p>
      <w:pPr>
        <w:spacing w:after="0" w:line="11"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by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June 30,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December 31, 2011</w:t>
      </w:r>
    </w:p>
    <w:p>
      <w:pPr>
        <w:sectPr>
          <w:pgSz w:w="11900" w:h="16884" w:orient="portrait"/>
          <w:cols w:equalWidth="0" w:num="3">
            <w:col w:w="6840" w:space="720"/>
            <w:col w:w="1500" w:space="720"/>
            <w:col w:w="1640"/>
          </w:cols>
          <w:pgMar w:left="240" w:top="128" w:right="239" w:bottom="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20"/>
                <w:szCs w:val="20"/>
                <w:color w:val="auto"/>
              </w:rPr>
            </w:pPr>
            <w:r>
              <w:rPr>
                <w:rFonts w:ascii="Arial" w:cs="Arial" w:eastAsia="Arial" w:hAnsi="Arial"/>
                <w:sz w:val="16"/>
                <w:szCs w:val="16"/>
                <w:color w:val="auto"/>
              </w:rPr>
              <w:t>Bay Gas Storage, Ltd.(1)</w:t>
            </w:r>
          </w:p>
        </w:tc>
        <w:tc>
          <w:tcPr>
            <w:tcW w:w="2300" w:type="dxa"/>
            <w:vAlign w:val="bottom"/>
          </w:tcPr>
          <w:p>
            <w:pPr>
              <w:jc w:val="right"/>
              <w:ind w:right="199"/>
              <w:spacing w:after="0"/>
              <w:rPr>
                <w:sz w:val="20"/>
                <w:szCs w:val="20"/>
                <w:color w:val="auto"/>
              </w:rPr>
            </w:pPr>
            <w:r>
              <w:rPr>
                <w:rFonts w:ascii="Arial" w:cs="Arial" w:eastAsia="Arial" w:hAnsi="Arial"/>
                <w:sz w:val="16"/>
                <w:szCs w:val="16"/>
                <w:color w:val="auto"/>
              </w:rPr>
              <w:t>9 %</w:t>
            </w:r>
          </w:p>
        </w:tc>
        <w:tc>
          <w:tcPr>
            <w:tcW w:w="12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112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6"/>
                <w:szCs w:val="16"/>
                <w:color w:val="auto"/>
              </w:rPr>
              <w:t>Southern Gas Transmission Company(1)</w:t>
            </w:r>
          </w:p>
        </w:tc>
        <w:tc>
          <w:tcPr>
            <w:tcW w:w="2300" w:type="dxa"/>
            <w:vAlign w:val="bottom"/>
          </w:tcPr>
          <w:p>
            <w:pPr>
              <w:jc w:val="right"/>
              <w:ind w:right="399"/>
              <w:spacing w:after="0" w:line="176" w:lineRule="exact"/>
              <w:rPr>
                <w:sz w:val="20"/>
                <w:szCs w:val="20"/>
                <w:color w:val="auto"/>
              </w:rPr>
            </w:pPr>
            <w:r>
              <w:rPr>
                <w:rFonts w:ascii="Arial" w:cs="Arial" w:eastAsia="Arial" w:hAnsi="Arial"/>
                <w:sz w:val="16"/>
                <w:szCs w:val="16"/>
                <w:color w:val="auto"/>
              </w:rPr>
              <w:t>49</w:t>
            </w:r>
          </w:p>
        </w:tc>
        <w:tc>
          <w:tcPr>
            <w:tcW w:w="1240" w:type="dxa"/>
            <w:vAlign w:val="bottom"/>
          </w:tcPr>
          <w:p>
            <w:pPr>
              <w:spacing w:after="0"/>
              <w:rPr>
                <w:sz w:val="15"/>
                <w:szCs w:val="15"/>
                <w:color w:val="auto"/>
              </w:rPr>
            </w:pPr>
          </w:p>
        </w:tc>
        <w:tc>
          <w:tcPr>
            <w:tcW w:w="12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w:t>
            </w:r>
          </w:p>
        </w:tc>
        <w:tc>
          <w:tcPr>
            <w:tcW w:w="1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6"/>
                <w:szCs w:val="16"/>
                <w:color w:val="auto"/>
              </w:rPr>
              <w:t>Liberty Gas Storage, LLC(1)</w:t>
            </w:r>
          </w:p>
        </w:tc>
        <w:tc>
          <w:tcPr>
            <w:tcW w:w="2300" w:type="dxa"/>
            <w:vAlign w:val="bottom"/>
          </w:tcPr>
          <w:p>
            <w:pPr>
              <w:jc w:val="right"/>
              <w:ind w:right="399"/>
              <w:spacing w:after="0" w:line="176" w:lineRule="exact"/>
              <w:rPr>
                <w:sz w:val="20"/>
                <w:szCs w:val="20"/>
                <w:color w:val="auto"/>
              </w:rPr>
            </w:pPr>
            <w:r>
              <w:rPr>
                <w:rFonts w:ascii="Arial" w:cs="Arial" w:eastAsia="Arial" w:hAnsi="Arial"/>
                <w:sz w:val="16"/>
                <w:szCs w:val="16"/>
                <w:color w:val="auto"/>
              </w:rPr>
              <w:t>25</w:t>
            </w:r>
          </w:p>
        </w:tc>
        <w:tc>
          <w:tcPr>
            <w:tcW w:w="1240" w:type="dxa"/>
            <w:vAlign w:val="bottom"/>
          </w:tcPr>
          <w:p>
            <w:pPr>
              <w:spacing w:after="0"/>
              <w:rPr>
                <w:sz w:val="15"/>
                <w:szCs w:val="15"/>
                <w:color w:val="auto"/>
              </w:rPr>
            </w:pPr>
          </w:p>
        </w:tc>
        <w:tc>
          <w:tcPr>
            <w:tcW w:w="12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10</w:t>
            </w:r>
          </w:p>
        </w:tc>
        <w:tc>
          <w:tcPr>
            <w:tcW w:w="1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6"/>
                <w:szCs w:val="16"/>
                <w:color w:val="auto"/>
              </w:rPr>
              <w:t>Tecsur</w:t>
            </w:r>
          </w:p>
        </w:tc>
        <w:tc>
          <w:tcPr>
            <w:tcW w:w="2300" w:type="dxa"/>
            <w:vAlign w:val="bottom"/>
          </w:tcPr>
          <w:p>
            <w:pPr>
              <w:jc w:val="right"/>
              <w:ind w:right="399"/>
              <w:spacing w:after="0" w:line="176" w:lineRule="exact"/>
              <w:rPr>
                <w:sz w:val="20"/>
                <w:szCs w:val="20"/>
                <w:color w:val="auto"/>
              </w:rPr>
            </w:pPr>
            <w:r>
              <w:rPr>
                <w:rFonts w:ascii="Arial" w:cs="Arial" w:eastAsia="Arial" w:hAnsi="Arial"/>
                <w:sz w:val="16"/>
                <w:szCs w:val="16"/>
                <w:color w:val="auto"/>
              </w:rPr>
              <w:t>10</w:t>
            </w:r>
          </w:p>
        </w:tc>
        <w:tc>
          <w:tcPr>
            <w:tcW w:w="1240" w:type="dxa"/>
            <w:vAlign w:val="bottom"/>
          </w:tcPr>
          <w:p>
            <w:pPr>
              <w:spacing w:after="0"/>
              <w:rPr>
                <w:sz w:val="15"/>
                <w:szCs w:val="15"/>
                <w:color w:val="auto"/>
              </w:rPr>
            </w:pPr>
          </w:p>
        </w:tc>
        <w:tc>
          <w:tcPr>
            <w:tcW w:w="12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w:t>
            </w:r>
          </w:p>
        </w:tc>
        <w:tc>
          <w:tcPr>
            <w:tcW w:w="1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6"/>
                <w:szCs w:val="16"/>
                <w:color w:val="auto"/>
              </w:rPr>
              <w:t>Luz del Sur</w:t>
            </w:r>
          </w:p>
        </w:tc>
        <w:tc>
          <w:tcPr>
            <w:tcW w:w="2300" w:type="dxa"/>
            <w:vAlign w:val="bottom"/>
          </w:tcPr>
          <w:p>
            <w:pPr>
              <w:jc w:val="right"/>
              <w:ind w:right="399"/>
              <w:spacing w:after="0" w:line="176" w:lineRule="exact"/>
              <w:rPr>
                <w:sz w:val="20"/>
                <w:szCs w:val="20"/>
                <w:color w:val="auto"/>
              </w:rPr>
            </w:pPr>
            <w:r>
              <w:rPr>
                <w:rFonts w:ascii="Arial" w:cs="Arial" w:eastAsia="Arial" w:hAnsi="Arial"/>
                <w:sz w:val="16"/>
                <w:szCs w:val="16"/>
                <w:color w:val="auto"/>
              </w:rPr>
              <w:t>20</w:t>
            </w:r>
          </w:p>
        </w:tc>
        <w:tc>
          <w:tcPr>
            <w:tcW w:w="1240" w:type="dxa"/>
            <w:vAlign w:val="bottom"/>
          </w:tcPr>
          <w:p>
            <w:pPr>
              <w:spacing w:after="0"/>
              <w:rPr>
                <w:sz w:val="15"/>
                <w:szCs w:val="15"/>
                <w:color w:val="auto"/>
              </w:rPr>
            </w:pPr>
          </w:p>
        </w:tc>
        <w:tc>
          <w:tcPr>
            <w:tcW w:w="12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224</w:t>
            </w:r>
          </w:p>
        </w:tc>
        <w:tc>
          <w:tcPr>
            <w:tcW w:w="1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216</w:t>
            </w: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6"/>
                <w:szCs w:val="16"/>
                <w:color w:val="auto"/>
              </w:rPr>
              <w:t>Chilquinta Energía subsidiaries</w:t>
            </w:r>
          </w:p>
        </w:tc>
        <w:tc>
          <w:tcPr>
            <w:tcW w:w="230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15 - 43</w:t>
            </w:r>
          </w:p>
        </w:tc>
        <w:tc>
          <w:tcPr>
            <w:tcW w:w="1240" w:type="dxa"/>
            <w:vAlign w:val="bottom"/>
          </w:tcPr>
          <w:p>
            <w:pPr>
              <w:spacing w:after="0"/>
              <w:rPr>
                <w:sz w:val="15"/>
                <w:szCs w:val="15"/>
                <w:color w:val="auto"/>
              </w:rPr>
            </w:pPr>
          </w:p>
        </w:tc>
        <w:tc>
          <w:tcPr>
            <w:tcW w:w="12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34</w:t>
            </w:r>
          </w:p>
        </w:tc>
        <w:tc>
          <w:tcPr>
            <w:tcW w:w="1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r>
      <w:tr>
        <w:trPr>
          <w:trHeight w:val="194"/>
        </w:trPr>
        <w:tc>
          <w:tcPr>
            <w:tcW w:w="4320" w:type="dxa"/>
            <w:vAlign w:val="bottom"/>
          </w:tcPr>
          <w:p>
            <w:pPr>
              <w:spacing w:after="0"/>
              <w:rPr>
                <w:sz w:val="20"/>
                <w:szCs w:val="20"/>
                <w:color w:val="auto"/>
              </w:rPr>
            </w:pPr>
            <w:r>
              <w:rPr>
                <w:rFonts w:ascii="Arial" w:cs="Arial" w:eastAsia="Arial" w:hAnsi="Arial"/>
                <w:sz w:val="16"/>
                <w:szCs w:val="16"/>
                <w:color w:val="auto"/>
              </w:rPr>
              <w:t>Otay Mesa VIE (at SDG&amp;E)</w:t>
            </w:r>
          </w:p>
        </w:tc>
        <w:tc>
          <w:tcPr>
            <w:tcW w:w="2300" w:type="dxa"/>
            <w:vAlign w:val="bottom"/>
          </w:tcPr>
          <w:p>
            <w:pPr>
              <w:jc w:val="right"/>
              <w:ind w:right="399"/>
              <w:spacing w:after="0"/>
              <w:rPr>
                <w:sz w:val="20"/>
                <w:szCs w:val="20"/>
                <w:color w:val="auto"/>
              </w:rPr>
            </w:pPr>
            <w:r>
              <w:rPr>
                <w:rFonts w:ascii="Arial" w:cs="Arial" w:eastAsia="Arial" w:hAnsi="Arial"/>
                <w:sz w:val="16"/>
                <w:szCs w:val="16"/>
                <w:color w:val="auto"/>
              </w:rPr>
              <w:t>100</w:t>
            </w:r>
          </w:p>
        </w:tc>
        <w:tc>
          <w:tcPr>
            <w:tcW w:w="1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103</w:t>
            </w: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195"/>
        </w:trPr>
        <w:tc>
          <w:tcPr>
            <w:tcW w:w="4320" w:type="dxa"/>
            <w:vAlign w:val="bottom"/>
          </w:tcPr>
          <w:p>
            <w:pPr>
              <w:ind w:left="280"/>
              <w:spacing w:after="0"/>
              <w:rPr>
                <w:sz w:val="20"/>
                <w:szCs w:val="20"/>
                <w:color w:val="auto"/>
              </w:rPr>
            </w:pPr>
            <w:r>
              <w:rPr>
                <w:rFonts w:ascii="Arial" w:cs="Arial" w:eastAsia="Arial" w:hAnsi="Arial"/>
                <w:sz w:val="16"/>
                <w:szCs w:val="16"/>
                <w:color w:val="auto"/>
              </w:rPr>
              <w:t>Total Sempra Energy</w:t>
            </w:r>
          </w:p>
        </w:tc>
        <w:tc>
          <w:tcPr>
            <w:tcW w:w="2300" w:type="dxa"/>
            <w:vAlign w:val="bottom"/>
          </w:tcPr>
          <w:p>
            <w:pPr>
              <w:spacing w:after="0"/>
              <w:rPr>
                <w:sz w:val="16"/>
                <w:szCs w:val="16"/>
                <w:color w:val="auto"/>
              </w:rPr>
            </w:pPr>
          </w:p>
        </w:tc>
        <w:tc>
          <w:tcPr>
            <w:tcW w:w="12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394</w:t>
            </w:r>
          </w:p>
        </w:tc>
        <w:tc>
          <w:tcPr>
            <w:tcW w:w="112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i w:val="1"/>
          <w:iCs w:val="1"/>
          <w:color w:val="auto"/>
        </w:rPr>
        <w:t>(1)Part of Sempra Natural Gas.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Unconsolidated Affiliates</w:t>
      </w:r>
    </w:p>
    <w:p>
      <w:pPr>
        <w:spacing w:after="0" w:line="2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Sempra South American Utilities has a U.S. dollar-denominated loan to Camuzzi Gas del Sur S.A., an affiliate of the segment’s Argentine investments, which we discuss in Note 4 of the Notes to Consolidated Financial Statements in the Updated Annual Report. The loan has an $18 million principal balance outstanding plus $6 million of accumulated interest at a variable interest rate (7.47 percent as of June 30, 2012). In June 2012, the maturity date of the loan was extended from June 30, 2012 to June 30, 2013. The loan was fully reserved at June 30, 2012 and December 31, 2011.</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w:t>
      </w:r>
    </w:p>
    <w:p>
      <w:pPr>
        <w:spacing w:after="0" w:line="2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Sempra Energy, at Parent and Other, has an investment in bonds issued by Chilquinta Energía that we discuss in Note 5 of the Notes to Consolidated Financial Statements in the Updated Annual Report.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Affiliate Transactions</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Sempra Energy, SDG&amp;E and SoCalGas provide certain services to each other and are charged an allocable share of the cost of such services. Amounts due to/from affiliates are as follows: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DUE TO AND FROM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20" w:type="dxa"/>
            <w:vAlign w:val="bottom"/>
          </w:tcPr>
          <w:p>
            <w:pPr>
              <w:jc w:val="right"/>
              <w:ind w:right="41"/>
              <w:spacing w:after="0"/>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jc w:val="right"/>
              <w:ind w:right="300"/>
              <w:spacing w:after="0"/>
              <w:rPr>
                <w:sz w:val="20"/>
                <w:szCs w:val="20"/>
                <w:color w:val="auto"/>
              </w:rPr>
            </w:pPr>
            <w:r>
              <w:rPr>
                <w:rFonts w:ascii="Arial" w:cs="Arial" w:eastAsia="Arial" w:hAnsi="Arial"/>
                <w:sz w:val="14"/>
                <w:szCs w:val="14"/>
                <w:color w:val="auto"/>
              </w:rPr>
              <w:t>December 31,</w:t>
            </w:r>
          </w:p>
        </w:tc>
      </w:tr>
      <w:tr>
        <w:trPr>
          <w:trHeight w:val="168"/>
        </w:trPr>
        <w:tc>
          <w:tcPr>
            <w:tcW w:w="20" w:type="dxa"/>
            <w:vAlign w:val="bottom"/>
          </w:tcPr>
          <w:p>
            <w:pPr>
              <w:spacing w:after="0"/>
              <w:rPr>
                <w:sz w:val="14"/>
                <w:szCs w:val="14"/>
                <w:color w:val="auto"/>
              </w:rPr>
            </w:pPr>
          </w:p>
        </w:tc>
        <w:tc>
          <w:tcPr>
            <w:tcW w:w="78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780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6"/>
        </w:trPr>
        <w:tc>
          <w:tcPr>
            <w:tcW w:w="7820" w:type="dxa"/>
            <w:vAlign w:val="bottom"/>
            <w:gridSpan w:val="2"/>
          </w:tcPr>
          <w:p>
            <w:pPr>
              <w:spacing w:after="0" w:line="176" w:lineRule="exact"/>
              <w:rPr>
                <w:sz w:val="20"/>
                <w:szCs w:val="20"/>
                <w:color w:val="auto"/>
              </w:rPr>
            </w:pPr>
            <w:r>
              <w:rPr>
                <w:rFonts w:ascii="Arial" w:cs="Arial" w:eastAsia="Arial" w:hAnsi="Arial"/>
                <w:sz w:val="16"/>
                <w:szCs w:val="16"/>
                <w:color w:val="auto"/>
              </w:rPr>
              <w:t>Current:</w:t>
            </w: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800" w:type="dxa"/>
            <w:vAlign w:val="bottom"/>
          </w:tcPr>
          <w:p>
            <w:pPr>
              <w:ind w:left="160"/>
              <w:spacing w:after="0" w:line="176" w:lineRule="exact"/>
              <w:rPr>
                <w:sz w:val="20"/>
                <w:szCs w:val="20"/>
                <w:color w:val="auto"/>
              </w:rPr>
            </w:pPr>
            <w:r>
              <w:rPr>
                <w:rFonts w:ascii="Arial" w:cs="Arial" w:eastAsia="Arial" w:hAnsi="Arial"/>
                <w:sz w:val="16"/>
                <w:szCs w:val="16"/>
                <w:color w:val="auto"/>
              </w:rPr>
              <w:t>Due from SoCalGas</w:t>
            </w:r>
          </w:p>
        </w:tc>
        <w:tc>
          <w:tcPr>
            <w:tcW w:w="1220" w:type="dxa"/>
            <w:vAlign w:val="bottom"/>
          </w:tcPr>
          <w:p>
            <w:pPr>
              <w:jc w:val="right"/>
              <w:ind w:right="1041"/>
              <w:spacing w:after="0" w:line="176" w:lineRule="exact"/>
              <w:rPr>
                <w:sz w:val="20"/>
                <w:szCs w:val="20"/>
                <w:color w:val="auto"/>
              </w:rPr>
            </w:pPr>
            <w:r>
              <w:rPr>
                <w:rFonts w:ascii="Arial" w:cs="Arial" w:eastAsia="Arial" w:hAnsi="Arial"/>
                <w:sz w:val="16"/>
                <w:szCs w:val="16"/>
                <w:color w:val="auto"/>
                <w:w w:val="89"/>
              </w:rPr>
              <w:t>$</w:t>
            </w:r>
          </w:p>
        </w:tc>
        <w:tc>
          <w:tcPr>
            <w:tcW w:w="580" w:type="dxa"/>
            <w:vAlign w:val="bottom"/>
          </w:tcPr>
          <w:p>
            <w:pPr>
              <w:jc w:val="right"/>
              <w:ind w:right="58"/>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94"/>
        </w:trPr>
        <w:tc>
          <w:tcPr>
            <w:tcW w:w="20" w:type="dxa"/>
            <w:vAlign w:val="bottom"/>
          </w:tcPr>
          <w:p>
            <w:pPr>
              <w:spacing w:after="0"/>
              <w:rPr>
                <w:sz w:val="16"/>
                <w:szCs w:val="16"/>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Due from various affiliates</w:t>
            </w:r>
          </w:p>
        </w:tc>
        <w:tc>
          <w:tcPr>
            <w:tcW w:w="1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18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220" w:type="dxa"/>
            <w:vAlign w:val="bottom"/>
            <w:tcBorders>
              <w:bottom w:val="single" w:sz="8" w:color="auto"/>
            </w:tcBorders>
          </w:tcPr>
          <w:p>
            <w:pPr>
              <w:jc w:val="right"/>
              <w:ind w:right="1041"/>
              <w:spacing w:after="0" w:line="176"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98"/>
              <w:spacing w:after="0" w:line="176" w:lineRule="exact"/>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67</w:t>
            </w:r>
          </w:p>
        </w:tc>
      </w:tr>
      <w:tr>
        <w:trPr>
          <w:trHeight w:val="377"/>
        </w:trPr>
        <w:tc>
          <w:tcPr>
            <w:tcW w:w="2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Due to Sempra Energy</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18"/>
              <w:spacing w:after="0"/>
              <w:rPr>
                <w:sz w:val="20"/>
                <w:szCs w:val="20"/>
                <w:color w:val="auto"/>
              </w:rPr>
            </w:pPr>
            <w:r>
              <w:rPr>
                <w:rFonts w:ascii="Arial" w:cs="Arial" w:eastAsia="Arial" w:hAnsi="Arial"/>
                <w:sz w:val="18"/>
                <w:szCs w:val="18"/>
                <w:color w:val="auto"/>
              </w:rPr>
              <w:t>16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Due to SoCalGas</w:t>
            </w: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8"/>
              <w:spacing w:after="0" w:line="203" w:lineRule="exact"/>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220" w:type="dxa"/>
            <w:vAlign w:val="bottom"/>
            <w:tcBorders>
              <w:bottom w:val="single" w:sz="8" w:color="auto"/>
            </w:tcBorders>
          </w:tcPr>
          <w:p>
            <w:pPr>
              <w:jc w:val="right"/>
              <w:ind w:right="1041"/>
              <w:spacing w:after="0" w:line="176"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98"/>
              <w:spacing w:after="0" w:line="176" w:lineRule="exact"/>
              <w:rPr>
                <w:sz w:val="20"/>
                <w:szCs w:val="20"/>
                <w:color w:val="auto"/>
              </w:rPr>
            </w:pPr>
            <w:r>
              <w:rPr>
                <w:rFonts w:ascii="Arial" w:cs="Arial" w:eastAsia="Arial" w:hAnsi="Arial"/>
                <w:sz w:val="16"/>
                <w:szCs w:val="16"/>
                <w:color w:val="auto"/>
              </w:rPr>
              <w:t>19</w:t>
            </w:r>
          </w:p>
        </w:tc>
        <w:tc>
          <w:tcPr>
            <w:tcW w:w="3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w:t>
            </w:r>
          </w:p>
        </w:tc>
      </w:tr>
      <w:tr>
        <w:trPr>
          <w:trHeight w:val="385"/>
        </w:trPr>
        <w:tc>
          <w:tcPr>
            <w:tcW w:w="2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Income taxes due from Sempra Energy(1)</w:t>
            </w: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208</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367"/>
        </w:trPr>
        <w:tc>
          <w:tcPr>
            <w:tcW w:w="7820" w:type="dxa"/>
            <w:vAlign w:val="bottom"/>
            <w:gridSpan w:val="2"/>
          </w:tcPr>
          <w:p>
            <w:pPr>
              <w:spacing w:after="0"/>
              <w:rPr>
                <w:sz w:val="20"/>
                <w:szCs w:val="20"/>
                <w:color w:val="auto"/>
              </w:rPr>
            </w:pPr>
            <w:r>
              <w:rPr>
                <w:rFonts w:ascii="Arial" w:cs="Arial" w:eastAsia="Arial" w:hAnsi="Arial"/>
                <w:sz w:val="16"/>
                <w:szCs w:val="16"/>
                <w:b w:val="1"/>
                <w:bCs w:val="1"/>
                <w:color w:val="auto"/>
              </w:rPr>
              <w:t>SoCalGas</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7820" w:type="dxa"/>
            <w:vAlign w:val="bottom"/>
            <w:gridSpan w:val="2"/>
          </w:tcPr>
          <w:p>
            <w:pPr>
              <w:spacing w:after="0" w:line="176" w:lineRule="exact"/>
              <w:rPr>
                <w:sz w:val="20"/>
                <w:szCs w:val="20"/>
                <w:color w:val="auto"/>
              </w:rPr>
            </w:pPr>
            <w:r>
              <w:rPr>
                <w:rFonts w:ascii="Arial" w:cs="Arial" w:eastAsia="Arial" w:hAnsi="Arial"/>
                <w:sz w:val="16"/>
                <w:szCs w:val="16"/>
                <w:color w:val="auto"/>
              </w:rPr>
              <w:t>Current:</w:t>
            </w: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800" w:type="dxa"/>
            <w:vAlign w:val="bottom"/>
          </w:tcPr>
          <w:p>
            <w:pPr>
              <w:ind w:left="160"/>
              <w:spacing w:after="0" w:line="176" w:lineRule="exact"/>
              <w:rPr>
                <w:sz w:val="20"/>
                <w:szCs w:val="20"/>
                <w:color w:val="auto"/>
              </w:rPr>
            </w:pPr>
            <w:r>
              <w:rPr>
                <w:rFonts w:ascii="Arial" w:cs="Arial" w:eastAsia="Arial" w:hAnsi="Arial"/>
                <w:sz w:val="16"/>
                <w:szCs w:val="16"/>
                <w:color w:val="auto"/>
              </w:rPr>
              <w:t>Due from Sempra Energy</w:t>
            </w:r>
          </w:p>
        </w:tc>
        <w:tc>
          <w:tcPr>
            <w:tcW w:w="1220" w:type="dxa"/>
            <w:vAlign w:val="bottom"/>
          </w:tcPr>
          <w:p>
            <w:pPr>
              <w:jc w:val="right"/>
              <w:ind w:right="1041"/>
              <w:spacing w:after="0" w:line="176" w:lineRule="exact"/>
              <w:rPr>
                <w:sz w:val="20"/>
                <w:szCs w:val="20"/>
                <w:color w:val="auto"/>
              </w:rPr>
            </w:pPr>
            <w:r>
              <w:rPr>
                <w:rFonts w:ascii="Arial" w:cs="Arial" w:eastAsia="Arial" w:hAnsi="Arial"/>
                <w:sz w:val="16"/>
                <w:szCs w:val="16"/>
                <w:color w:val="auto"/>
                <w:w w:val="89"/>
              </w:rPr>
              <w:t>$</w:t>
            </w:r>
          </w:p>
        </w:tc>
        <w:tc>
          <w:tcPr>
            <w:tcW w:w="580" w:type="dxa"/>
            <w:vAlign w:val="bottom"/>
          </w:tcPr>
          <w:p>
            <w:pPr>
              <w:jc w:val="right"/>
              <w:ind w:right="98"/>
              <w:spacing w:after="0" w:line="176" w:lineRule="exact"/>
              <w:rPr>
                <w:sz w:val="20"/>
                <w:szCs w:val="20"/>
                <w:color w:val="auto"/>
              </w:rPr>
            </w:pPr>
            <w:r>
              <w:rPr>
                <w:rFonts w:ascii="Arial" w:cs="Arial" w:eastAsia="Arial" w:hAnsi="Arial"/>
                <w:sz w:val="16"/>
                <w:szCs w:val="16"/>
                <w:color w:val="auto"/>
              </w:rPr>
              <w:t>293</w:t>
            </w:r>
          </w:p>
        </w:tc>
        <w:tc>
          <w:tcPr>
            <w:tcW w:w="3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r>
      <w:tr>
        <w:trPr>
          <w:trHeight w:val="176"/>
        </w:trPr>
        <w:tc>
          <w:tcPr>
            <w:tcW w:w="20" w:type="dxa"/>
            <w:vAlign w:val="bottom"/>
          </w:tcPr>
          <w:p>
            <w:pPr>
              <w:spacing w:after="0"/>
              <w:rPr>
                <w:sz w:val="15"/>
                <w:szCs w:val="15"/>
                <w:color w:val="auto"/>
              </w:rPr>
            </w:pPr>
          </w:p>
        </w:tc>
        <w:tc>
          <w:tcPr>
            <w:tcW w:w="7800" w:type="dxa"/>
            <w:vAlign w:val="bottom"/>
          </w:tcPr>
          <w:p>
            <w:pPr>
              <w:ind w:left="160"/>
              <w:spacing w:after="0" w:line="176" w:lineRule="exact"/>
              <w:rPr>
                <w:sz w:val="20"/>
                <w:szCs w:val="20"/>
                <w:color w:val="auto"/>
              </w:rPr>
            </w:pPr>
            <w:r>
              <w:rPr>
                <w:rFonts w:ascii="Arial" w:cs="Arial" w:eastAsia="Arial" w:hAnsi="Arial"/>
                <w:sz w:val="16"/>
                <w:szCs w:val="16"/>
                <w:color w:val="auto"/>
              </w:rPr>
              <w:t>Due from SDG&amp;E</w:t>
            </w:r>
          </w:p>
        </w:tc>
        <w:tc>
          <w:tcPr>
            <w:tcW w:w="1220" w:type="dxa"/>
            <w:vAlign w:val="bottom"/>
          </w:tcPr>
          <w:p>
            <w:pPr>
              <w:spacing w:after="0"/>
              <w:rPr>
                <w:sz w:val="15"/>
                <w:szCs w:val="15"/>
                <w:color w:val="auto"/>
              </w:rPr>
            </w:pPr>
          </w:p>
        </w:tc>
        <w:tc>
          <w:tcPr>
            <w:tcW w:w="580" w:type="dxa"/>
            <w:vAlign w:val="bottom"/>
          </w:tcPr>
          <w:p>
            <w:pPr>
              <w:jc w:val="right"/>
              <w:ind w:right="98"/>
              <w:spacing w:after="0" w:line="176" w:lineRule="exact"/>
              <w:rPr>
                <w:sz w:val="20"/>
                <w:szCs w:val="20"/>
                <w:color w:val="auto"/>
              </w:rPr>
            </w:pPr>
            <w:r>
              <w:rPr>
                <w:rFonts w:ascii="Arial" w:cs="Arial" w:eastAsia="Arial" w:hAnsi="Arial"/>
                <w:sz w:val="16"/>
                <w:szCs w:val="16"/>
                <w:color w:val="auto"/>
              </w:rPr>
              <w:t>3</w:t>
            </w:r>
          </w:p>
        </w:tc>
        <w:tc>
          <w:tcPr>
            <w:tcW w:w="38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Due from various affiliates</w:t>
            </w:r>
          </w:p>
        </w:tc>
        <w:tc>
          <w:tcPr>
            <w:tcW w:w="1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18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220" w:type="dxa"/>
            <w:vAlign w:val="bottom"/>
            <w:tcBorders>
              <w:bottom w:val="single" w:sz="8" w:color="auto"/>
            </w:tcBorders>
          </w:tcPr>
          <w:p>
            <w:pPr>
              <w:jc w:val="right"/>
              <w:ind w:right="1041"/>
              <w:spacing w:after="0" w:line="176"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98"/>
              <w:spacing w:after="0" w:line="176" w:lineRule="exact"/>
              <w:rPr>
                <w:sz w:val="20"/>
                <w:szCs w:val="20"/>
                <w:color w:val="auto"/>
              </w:rPr>
            </w:pPr>
            <w:r>
              <w:rPr>
                <w:rFonts w:ascii="Arial" w:cs="Arial" w:eastAsia="Arial" w:hAnsi="Arial"/>
                <w:sz w:val="16"/>
                <w:szCs w:val="16"/>
                <w:color w:val="auto"/>
              </w:rPr>
              <w:t>297</w:t>
            </w:r>
          </w:p>
        </w:tc>
        <w:tc>
          <w:tcPr>
            <w:tcW w:w="3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w:t>
            </w:r>
          </w:p>
        </w:tc>
      </w:tr>
      <w:tr>
        <w:trPr>
          <w:trHeight w:val="358"/>
        </w:trPr>
        <w:tc>
          <w:tcPr>
            <w:tcW w:w="2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Due to SDG&amp;E</w:t>
            </w: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386"/>
        </w:trPr>
        <w:tc>
          <w:tcPr>
            <w:tcW w:w="2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Income taxes due from Sempra Energy(1)</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98"/>
              <w:spacing w:after="0"/>
              <w:rPr>
                <w:sz w:val="20"/>
                <w:szCs w:val="20"/>
                <w:color w:val="auto"/>
              </w:rPr>
            </w:pPr>
            <w:r>
              <w:rPr>
                <w:rFonts w:ascii="Arial" w:cs="Arial" w:eastAsia="Arial" w:hAnsi="Arial"/>
                <w:sz w:val="16"/>
                <w:szCs w:val="16"/>
                <w:color w:val="auto"/>
              </w:rPr>
              <w:t>38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right="360" w:hanging="452"/>
        <w:spacing w:after="0" w:line="279" w:lineRule="auto"/>
        <w:tabs>
          <w:tab w:leader="none" w:pos="46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SDG&amp;E and SoCalGas are included in the consolidated income tax return of Sempra Energy and are allocated income tax expense from Sempra Energy in an amount equal to that which would result from the companies’ having always filed a separate return.</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Revenues from unconsolidated affiliates at SDG&amp;E and SoCalGas are as follows:</w:t>
      </w:r>
    </w:p>
    <w:p>
      <w:pPr>
        <w:spacing w:after="0" w:line="200" w:lineRule="exact"/>
        <w:rPr>
          <w:sz w:val="20"/>
          <w:szCs w:val="20"/>
          <w:color w:val="auto"/>
        </w:rPr>
      </w:pPr>
    </w:p>
    <w:p>
      <w:pPr>
        <w:spacing w:after="0" w:line="265" w:lineRule="exact"/>
        <w:rPr>
          <w:sz w:val="20"/>
          <w:szCs w:val="20"/>
          <w:color w:val="auto"/>
        </w:rPr>
      </w:pPr>
    </w:p>
    <w:p>
      <w:pPr>
        <w:ind w:right="5240"/>
        <w:spacing w:after="0" w:line="261" w:lineRule="auto"/>
        <w:rPr>
          <w:sz w:val="20"/>
          <w:szCs w:val="20"/>
          <w:color w:val="auto"/>
        </w:rPr>
      </w:pPr>
      <w:r>
        <w:rPr>
          <w:rFonts w:ascii="Arial" w:cs="Arial" w:eastAsia="Arial" w:hAnsi="Arial"/>
          <w:sz w:val="16"/>
          <w:szCs w:val="16"/>
          <w:b w:val="1"/>
          <w:bCs w:val="1"/>
          <w:color w:val="auto"/>
        </w:rPr>
        <w:t xml:space="preserve">REVENUES FROM UNCONSOLIDATED AFFILIATES AT SDG&amp;E AND SOCALGAS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92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4"/>
                <w:szCs w:val="14"/>
                <w:color w:val="auto"/>
              </w:rPr>
              <w:t>Three months ended June 30,</w:t>
            </w: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4"/>
                <w:szCs w:val="14"/>
                <w:color w:val="auto"/>
              </w:rPr>
              <w:t>Six months ended June 30,</w:t>
            </w:r>
          </w:p>
        </w:tc>
      </w:tr>
      <w:tr>
        <w:trPr>
          <w:trHeight w:val="183"/>
        </w:trPr>
        <w:tc>
          <w:tcPr>
            <w:tcW w:w="20" w:type="dxa"/>
            <w:vAlign w:val="bottom"/>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2660" w:type="dxa"/>
            <w:vAlign w:val="bottom"/>
          </w:tcPr>
          <w:p>
            <w:pPr>
              <w:spacing w:after="0" w:line="164" w:lineRule="exact"/>
              <w:rPr>
                <w:sz w:val="20"/>
                <w:szCs w:val="20"/>
                <w:color w:val="auto"/>
              </w:rPr>
            </w:pPr>
            <w:r>
              <w:rPr>
                <w:rFonts w:ascii="Arial" w:cs="Arial" w:eastAsia="Arial" w:hAnsi="Arial"/>
                <w:sz w:val="16"/>
                <w:szCs w:val="16"/>
                <w:color w:val="auto"/>
              </w:rPr>
              <w:t>SDG&amp;E</w:t>
            </w:r>
          </w:p>
        </w:tc>
        <w:tc>
          <w:tcPr>
            <w:tcW w:w="3180" w:type="dxa"/>
            <w:vAlign w:val="bottom"/>
            <w:gridSpan w:val="2"/>
          </w:tcPr>
          <w:p>
            <w:pPr>
              <w:jc w:val="right"/>
              <w:ind w:right="1068"/>
              <w:spacing w:after="0" w:line="164"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2</w:t>
            </w:r>
          </w:p>
        </w:tc>
        <w:tc>
          <w:tcPr>
            <w:tcW w:w="1240" w:type="dxa"/>
            <w:vAlign w:val="bottom"/>
          </w:tcPr>
          <w:p>
            <w:pPr>
              <w:jc w:val="right"/>
              <w:ind w:right="1063"/>
              <w:spacing w:after="0" w:line="164" w:lineRule="exact"/>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1</w:t>
            </w:r>
          </w:p>
        </w:tc>
        <w:tc>
          <w:tcPr>
            <w:tcW w:w="400" w:type="dxa"/>
            <w:vAlign w:val="bottom"/>
          </w:tcPr>
          <w:p>
            <w:pPr>
              <w:jc w:val="right"/>
              <w:ind w:right="199"/>
              <w:spacing w:after="0" w:line="164"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64" w:lineRule="exact"/>
              <w:rPr>
                <w:sz w:val="20"/>
                <w:szCs w:val="20"/>
                <w:color w:val="auto"/>
              </w:rPr>
            </w:pPr>
            <w:r>
              <w:rPr>
                <w:rFonts w:ascii="Arial" w:cs="Arial" w:eastAsia="Arial" w:hAnsi="Arial"/>
                <w:sz w:val="16"/>
                <w:szCs w:val="16"/>
                <w:color w:val="auto"/>
              </w:rPr>
              <w:t>4</w:t>
            </w:r>
          </w:p>
        </w:tc>
        <w:tc>
          <w:tcPr>
            <w:tcW w:w="400" w:type="dxa"/>
            <w:vAlign w:val="bottom"/>
          </w:tcPr>
          <w:p>
            <w:pPr>
              <w:jc w:val="right"/>
              <w:ind w:right="199"/>
              <w:spacing w:after="0" w:line="164"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64" w:lineRule="exact"/>
              <w:rPr>
                <w:sz w:val="20"/>
                <w:szCs w:val="20"/>
                <w:color w:val="auto"/>
              </w:rPr>
            </w:pPr>
            <w:r>
              <w:rPr>
                <w:rFonts w:ascii="Arial" w:cs="Arial" w:eastAsia="Arial" w:hAnsi="Arial"/>
                <w:sz w:val="16"/>
                <w:szCs w:val="16"/>
                <w:color w:val="auto"/>
              </w:rPr>
              <w:t>3</w:t>
            </w:r>
          </w:p>
        </w:tc>
      </w:tr>
      <w:tr>
        <w:trPr>
          <w:trHeight w:val="19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9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Transactions with RBS Sempra Commodities</w:t>
      </w:r>
    </w:p>
    <w:p>
      <w:pPr>
        <w:sectPr>
          <w:pgSz w:w="11900" w:h="16838" w:orient="portrait"/>
          <w:cols w:equalWidth="0" w:num="1">
            <w:col w:w="11420"/>
          </w:cols>
          <w:pgMar w:left="240" w:top="119" w:right="239" w:bottom="0" w:gutter="0" w:footer="0" w:header="0"/>
        </w:sectPr>
      </w:pPr>
    </w:p>
    <w:bookmarkStart w:id="24" w:name="page25"/>
    <w:bookmarkEnd w:id="24"/>
    <w:p>
      <w:pPr>
        <w:ind w:right="260"/>
        <w:spacing w:after="0" w:line="259" w:lineRule="auto"/>
        <w:rPr>
          <w:sz w:val="20"/>
          <w:szCs w:val="20"/>
          <w:color w:val="auto"/>
        </w:rPr>
      </w:pPr>
      <w:r>
        <w:rPr>
          <w:rFonts w:ascii="Arial" w:cs="Arial" w:eastAsia="Arial" w:hAnsi="Arial"/>
          <w:sz w:val="18"/>
          <w:szCs w:val="18"/>
          <w:color w:val="auto"/>
        </w:rPr>
        <w:t>Several of our segments have engaged in transactions with RBS Sempra Commodities. As a result of the divestiture of substantially all of RBS Sempra Commodities’ businesses, transactions between our segments and RBS Sempra Commodities were assigned over time to the buyers of the joint venture businesses. The assignments of the related contracts were substantially completed by May 1, 2011. Amounts in our Condensed Consolidated Statements of Operations related to these transactions are as follows:</w:t>
      </w:r>
    </w:p>
    <w:p>
      <w:pPr>
        <w:spacing w:after="0" w:line="200" w:lineRule="exact"/>
        <w:rPr>
          <w:sz w:val="20"/>
          <w:szCs w:val="20"/>
          <w:color w:val="auto"/>
        </w:rPr>
      </w:pPr>
    </w:p>
    <w:p>
      <w:pPr>
        <w:spacing w:after="0" w:line="226" w:lineRule="exact"/>
        <w:rPr>
          <w:sz w:val="20"/>
          <w:szCs w:val="20"/>
          <w:color w:val="auto"/>
        </w:rPr>
      </w:pPr>
    </w:p>
    <w:p>
      <w:pPr>
        <w:ind w:right="5100"/>
        <w:spacing w:after="0" w:line="252" w:lineRule="auto"/>
        <w:rPr>
          <w:sz w:val="20"/>
          <w:szCs w:val="20"/>
          <w:color w:val="auto"/>
        </w:rPr>
      </w:pPr>
      <w:r>
        <w:rPr>
          <w:rFonts w:ascii="Arial" w:cs="Arial" w:eastAsia="Arial" w:hAnsi="Arial"/>
          <w:sz w:val="16"/>
          <w:szCs w:val="16"/>
          <w:b w:val="1"/>
          <w:bCs w:val="1"/>
          <w:color w:val="auto"/>
        </w:rPr>
        <w:t xml:space="preserve">AMOUNTS RECORDED FOR TRANSACTIONS WITH RBS SEMPRA COMMODITIES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4060" w:type="dxa"/>
            <w:vAlign w:val="bottom"/>
            <w:vMerge w:val="restart"/>
          </w:tcPr>
          <w:p>
            <w:pPr>
              <w:spacing w:after="0"/>
              <w:rPr>
                <w:sz w:val="20"/>
                <w:szCs w:val="20"/>
                <w:color w:val="auto"/>
              </w:rPr>
            </w:pPr>
            <w:r>
              <w:rPr>
                <w:rFonts w:ascii="Arial" w:cs="Arial" w:eastAsia="Arial" w:hAnsi="Arial"/>
                <w:sz w:val="16"/>
                <w:szCs w:val="16"/>
                <w:color w:val="auto"/>
              </w:rPr>
              <w:t>Revenues:</w:t>
            </w:r>
          </w:p>
        </w:tc>
        <w:tc>
          <w:tcPr>
            <w:tcW w:w="4920" w:type="dxa"/>
            <w:vAlign w:val="bottom"/>
            <w:gridSpan w:val="2"/>
          </w:tcPr>
          <w:p>
            <w:pPr>
              <w:jc w:val="right"/>
              <w:spacing w:after="0"/>
              <w:rPr>
                <w:sz w:val="20"/>
                <w:szCs w:val="20"/>
                <w:color w:val="auto"/>
              </w:rPr>
            </w:pPr>
            <w:r>
              <w:rPr>
                <w:rFonts w:ascii="Arial" w:cs="Arial" w:eastAsia="Arial" w:hAnsi="Arial"/>
                <w:sz w:val="14"/>
                <w:szCs w:val="14"/>
                <w:color w:val="auto"/>
              </w:rPr>
              <w:t>Three months ended June 30, 2011(1)</w:t>
            </w:r>
          </w:p>
        </w:tc>
        <w:tc>
          <w:tcPr>
            <w:tcW w:w="2400" w:type="dxa"/>
            <w:vAlign w:val="bottom"/>
            <w:gridSpan w:val="2"/>
          </w:tcPr>
          <w:p>
            <w:pPr>
              <w:jc w:val="right"/>
              <w:spacing w:after="0"/>
              <w:rPr>
                <w:sz w:val="20"/>
                <w:szCs w:val="20"/>
                <w:color w:val="auto"/>
              </w:rPr>
            </w:pPr>
            <w:r>
              <w:rPr>
                <w:rFonts w:ascii="Arial" w:cs="Arial" w:eastAsia="Arial" w:hAnsi="Arial"/>
                <w:sz w:val="14"/>
                <w:szCs w:val="14"/>
                <w:color w:val="auto"/>
              </w:rPr>
              <w:t>Six months ended June 30, 2011(1)</w:t>
            </w:r>
          </w:p>
        </w:tc>
        <w:tc>
          <w:tcPr>
            <w:tcW w:w="0" w:type="dxa"/>
            <w:vAlign w:val="bottom"/>
          </w:tcPr>
          <w:p>
            <w:pPr>
              <w:spacing w:after="0"/>
              <w:rPr>
                <w:sz w:val="1"/>
                <w:szCs w:val="1"/>
                <w:color w:val="auto"/>
              </w:rPr>
            </w:pPr>
          </w:p>
        </w:tc>
      </w:tr>
      <w:tr>
        <w:trPr>
          <w:trHeight w:val="168"/>
        </w:trPr>
        <w:tc>
          <w:tcPr>
            <w:tcW w:w="4060" w:type="dxa"/>
            <w:vAlign w:val="bottom"/>
            <w:vMerge w:val="continue"/>
          </w:tcPr>
          <w:p>
            <w:pPr>
              <w:spacing w:after="0"/>
              <w:rPr>
                <w:sz w:val="14"/>
                <w:szCs w:val="14"/>
                <w:color w:val="auto"/>
              </w:rPr>
            </w:pPr>
          </w:p>
        </w:tc>
        <w:tc>
          <w:tcPr>
            <w:tcW w:w="4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6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414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62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5"/>
        </w:trPr>
        <w:tc>
          <w:tcPr>
            <w:tcW w:w="406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6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78"/>
        </w:trPr>
        <w:tc>
          <w:tcPr>
            <w:tcW w:w="4060" w:type="dxa"/>
            <w:vAlign w:val="bottom"/>
          </w:tcPr>
          <w:p>
            <w:pPr>
              <w:spacing w:after="0"/>
              <w:rPr>
                <w:sz w:val="20"/>
                <w:szCs w:val="20"/>
                <w:color w:val="auto"/>
              </w:rPr>
            </w:pPr>
            <w:r>
              <w:rPr>
                <w:rFonts w:ascii="Arial" w:cs="Arial" w:eastAsia="Arial" w:hAnsi="Arial"/>
                <w:sz w:val="16"/>
                <w:szCs w:val="16"/>
                <w:color w:val="auto"/>
              </w:rPr>
              <w:t>Cost of natural gas:</w:t>
            </w:r>
          </w:p>
        </w:tc>
        <w:tc>
          <w:tcPr>
            <w:tcW w:w="4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6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414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62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5"/>
        </w:trPr>
        <w:tc>
          <w:tcPr>
            <w:tcW w:w="406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720" w:right="280" w:hanging="712"/>
        <w:spacing w:after="0" w:line="279" w:lineRule="auto"/>
        <w:tabs>
          <w:tab w:leader="none" w:pos="72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With the exception of Sempra Mexico, whose contract with RBS Sempra Commodities expired in July 2011, amounts only include activities prior to May 1, 2011, the date by which substantially all the contracts with RBS Sempra Commodities were assigned to buyers of the joint venture businesses.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on the Condensed Consolidated Statements of Operations consists of the following: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color w:val="auto"/>
              </w:rPr>
              <w:t>Three months ended June 30,</w:t>
            </w:r>
          </w:p>
        </w:tc>
        <w:tc>
          <w:tcPr>
            <w:tcW w:w="100" w:type="dxa"/>
            <w:vAlign w:val="bottom"/>
          </w:tcPr>
          <w:p>
            <w:pPr>
              <w:spacing w:after="0"/>
              <w:rPr>
                <w:sz w:val="14"/>
                <w:szCs w:val="14"/>
                <w:color w:val="auto"/>
              </w:rPr>
            </w:pPr>
          </w:p>
        </w:tc>
        <w:tc>
          <w:tcPr>
            <w:tcW w:w="1900" w:type="dxa"/>
            <w:vAlign w:val="bottom"/>
            <w:gridSpan w:val="3"/>
          </w:tcPr>
          <w:p>
            <w:pPr>
              <w:jc w:val="right"/>
              <w:ind w:right="40"/>
              <w:spacing w:after="0"/>
              <w:rPr>
                <w:sz w:val="20"/>
                <w:szCs w:val="20"/>
                <w:color w:val="auto"/>
              </w:rPr>
            </w:pPr>
            <w:r>
              <w:rPr>
                <w:rFonts w:ascii="Arial" w:cs="Arial" w:eastAsia="Arial" w:hAnsi="Arial"/>
                <w:sz w:val="14"/>
                <w:szCs w:val="14"/>
                <w:color w:val="auto"/>
              </w:rPr>
              <w:t>Six months ended June 30,</w:t>
            </w:r>
          </w:p>
        </w:tc>
      </w:tr>
      <w:tr>
        <w:trPr>
          <w:trHeight w:val="168"/>
        </w:trPr>
        <w:tc>
          <w:tcPr>
            <w:tcW w:w="20" w:type="dxa"/>
            <w:vAlign w:val="bottom"/>
          </w:tcPr>
          <w:p>
            <w:pPr>
              <w:spacing w:after="0"/>
              <w:rPr>
                <w:sz w:val="14"/>
                <w:szCs w:val="14"/>
                <w:color w:val="auto"/>
              </w:rPr>
            </w:pPr>
          </w:p>
        </w:tc>
        <w:tc>
          <w:tcPr>
            <w:tcW w:w="6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620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1920" w:type="dxa"/>
            <w:vAlign w:val="bottom"/>
            <w:gridSpan w:val="2"/>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10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Investment (losses) gains(1)</w:t>
            </w: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(Losses) gains on interest rate and foreign exchange instruments, net</w:t>
            </w: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Regulatory interest, net(2)</w:t>
            </w: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94"/>
        </w:trPr>
        <w:tc>
          <w:tcPr>
            <w:tcW w:w="622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12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20" w:type="dxa"/>
            <w:vAlign w:val="bottom"/>
          </w:tcPr>
          <w:p>
            <w:pPr>
              <w:spacing w:after="0"/>
              <w:rPr>
                <w:sz w:val="15"/>
                <w:szCs w:val="15"/>
                <w:color w:val="auto"/>
              </w:rPr>
            </w:pPr>
          </w:p>
        </w:tc>
        <w:tc>
          <w:tcPr>
            <w:tcW w:w="6200" w:type="dxa"/>
            <w:vAlign w:val="bottom"/>
            <w:tcBorders>
              <w:bottom w:val="single" w:sz="8" w:color="auto"/>
            </w:tcBorders>
          </w:tcPr>
          <w:p>
            <w:pPr>
              <w:ind w:left="120"/>
              <w:spacing w:after="0" w:line="176" w:lineRule="exact"/>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21"/>
              <w:spacing w:after="0" w:line="176" w:lineRule="exact"/>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31</w:t>
            </w:r>
          </w:p>
        </w:tc>
        <w:tc>
          <w:tcPr>
            <w:tcW w:w="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93</w:t>
            </w:r>
          </w:p>
        </w:tc>
        <w:tc>
          <w:tcPr>
            <w:tcW w:w="22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74</w:t>
            </w:r>
          </w:p>
        </w:tc>
      </w:tr>
      <w:tr>
        <w:trPr>
          <w:trHeight w:val="164"/>
        </w:trPr>
        <w:tc>
          <w:tcPr>
            <w:tcW w:w="20" w:type="dxa"/>
            <w:vAlign w:val="bottom"/>
          </w:tcPr>
          <w:p>
            <w:pPr>
              <w:spacing w:after="0"/>
              <w:rPr>
                <w:sz w:val="14"/>
                <w:szCs w:val="14"/>
                <w:color w:val="auto"/>
              </w:rPr>
            </w:pPr>
          </w:p>
        </w:tc>
        <w:tc>
          <w:tcPr>
            <w:tcW w:w="620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1920" w:type="dxa"/>
            <w:vAlign w:val="bottom"/>
            <w:gridSpan w:val="2"/>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10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Regulatory interest, net(2)</w:t>
            </w: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94"/>
        </w:trPr>
        <w:tc>
          <w:tcPr>
            <w:tcW w:w="622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12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83"/>
        </w:trPr>
        <w:tc>
          <w:tcPr>
            <w:tcW w:w="20" w:type="dxa"/>
            <w:vAlign w:val="bottom"/>
          </w:tcPr>
          <w:p>
            <w:pPr>
              <w:spacing w:after="0"/>
              <w:rPr>
                <w:sz w:val="15"/>
                <w:szCs w:val="15"/>
                <w:color w:val="auto"/>
              </w:rPr>
            </w:pPr>
          </w:p>
        </w:tc>
        <w:tc>
          <w:tcPr>
            <w:tcW w:w="6200" w:type="dxa"/>
            <w:vAlign w:val="bottom"/>
            <w:tcBorders>
              <w:bottom w:val="single" w:sz="8" w:color="auto"/>
            </w:tcBorders>
          </w:tcPr>
          <w:p>
            <w:pPr>
              <w:ind w:left="120"/>
              <w:spacing w:after="0" w:line="176" w:lineRule="exact"/>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21"/>
              <w:spacing w:after="0" w:line="176" w:lineRule="exact"/>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w:t>
            </w:r>
          </w:p>
        </w:tc>
        <w:tc>
          <w:tcPr>
            <w:tcW w:w="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54</w:t>
            </w:r>
          </w:p>
        </w:tc>
        <w:tc>
          <w:tcPr>
            <w:tcW w:w="22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w:t>
            </w:r>
          </w:p>
        </w:tc>
      </w:tr>
      <w:tr>
        <w:trPr>
          <w:trHeight w:val="164"/>
        </w:trPr>
        <w:tc>
          <w:tcPr>
            <w:tcW w:w="20" w:type="dxa"/>
            <w:vAlign w:val="bottom"/>
          </w:tcPr>
          <w:p>
            <w:pPr>
              <w:spacing w:after="0"/>
              <w:rPr>
                <w:sz w:val="14"/>
                <w:szCs w:val="14"/>
                <w:color w:val="auto"/>
              </w:rPr>
            </w:pPr>
          </w:p>
        </w:tc>
        <w:tc>
          <w:tcPr>
            <w:tcW w:w="620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6"/>
        </w:trPr>
        <w:tc>
          <w:tcPr>
            <w:tcW w:w="622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1920" w:type="dxa"/>
            <w:vAlign w:val="bottom"/>
            <w:gridSpan w:val="2"/>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10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r>
      <w:tr>
        <w:trPr>
          <w:trHeight w:val="194"/>
        </w:trPr>
        <w:tc>
          <w:tcPr>
            <w:tcW w:w="622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12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95"/>
        </w:trPr>
        <w:tc>
          <w:tcPr>
            <w:tcW w:w="20" w:type="dxa"/>
            <w:vAlign w:val="bottom"/>
          </w:tcPr>
          <w:p>
            <w:pPr>
              <w:spacing w:after="0"/>
              <w:rPr>
                <w:sz w:val="16"/>
                <w:szCs w:val="16"/>
                <w:color w:val="auto"/>
              </w:rPr>
            </w:pPr>
          </w:p>
        </w:tc>
        <w:tc>
          <w:tcPr>
            <w:tcW w:w="6200" w:type="dxa"/>
            <w:vAlign w:val="bottom"/>
          </w:tcPr>
          <w:p>
            <w:pPr>
              <w:ind w:left="120"/>
              <w:spacing w:after="0"/>
              <w:rPr>
                <w:sz w:val="20"/>
                <w:szCs w:val="20"/>
                <w:color w:val="auto"/>
              </w:rPr>
            </w:pPr>
            <w:r>
              <w:rPr>
                <w:rFonts w:ascii="Arial" w:cs="Arial" w:eastAsia="Arial" w:hAnsi="Arial"/>
                <w:sz w:val="16"/>
                <w:szCs w:val="16"/>
                <w:color w:val="auto"/>
              </w:rPr>
              <w:t>Total</w:t>
            </w:r>
          </w:p>
        </w:tc>
        <w:tc>
          <w:tcPr>
            <w:tcW w:w="1220" w:type="dxa"/>
            <w:vAlign w:val="bottom"/>
          </w:tcPr>
          <w:p>
            <w:pPr>
              <w:spacing w:after="0"/>
              <w:rPr>
                <w:sz w:val="16"/>
                <w:szCs w:val="16"/>
                <w:color w:val="auto"/>
              </w:rPr>
            </w:pPr>
          </w:p>
        </w:tc>
        <w:tc>
          <w:tcPr>
            <w:tcW w:w="700" w:type="dxa"/>
            <w:vAlign w:val="bottom"/>
          </w:tcPr>
          <w:p>
            <w:pPr>
              <w:jc w:val="right"/>
              <w:ind w:right="521"/>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60" w:right="100" w:hanging="363"/>
        <w:spacing w:after="0" w:line="251" w:lineRule="auto"/>
        <w:tabs>
          <w:tab w:leader="none" w:pos="56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(losses) gains on dedicated assets in support of our executive retirement and deferred compensation plans. These amounts are partially offset by corresponding changes in compensation expense related to the plans.</w:t>
      </w:r>
    </w:p>
    <w:p>
      <w:pPr>
        <w:ind w:left="560" w:hanging="363"/>
        <w:spacing w:after="0"/>
        <w:tabs>
          <w:tab w:leader="none" w:pos="56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regulatory balancing accounts.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3"/>
          </w:tcPr>
          <w:p>
            <w:pPr>
              <w:jc w:val="right"/>
              <w:ind w:right="345"/>
              <w:spacing w:after="0" w:line="159" w:lineRule="exact"/>
              <w:rPr>
                <w:sz w:val="20"/>
                <w:szCs w:val="20"/>
                <w:color w:val="auto"/>
              </w:rPr>
            </w:pPr>
            <w:r>
              <w:rPr>
                <w:rFonts w:ascii="Arial" w:cs="Arial" w:eastAsia="Arial" w:hAnsi="Arial"/>
                <w:sz w:val="14"/>
                <w:szCs w:val="14"/>
                <w:color w:val="auto"/>
              </w:rPr>
              <w:t>Three months ended June 30,</w:t>
            </w:r>
          </w:p>
        </w:tc>
        <w:tc>
          <w:tcPr>
            <w:tcW w:w="4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1005"/>
              <w:spacing w:after="0"/>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2011</w:t>
            </w:r>
          </w:p>
        </w:tc>
      </w:tr>
      <w:tr>
        <w:trPr>
          <w:trHeight w:val="191"/>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540" w:type="dxa"/>
            <w:vAlign w:val="bottom"/>
          </w:tcPr>
          <w:p>
            <w:pPr>
              <w:jc w:val="center"/>
              <w:ind w:left="626"/>
              <w:spacing w:after="0"/>
              <w:rPr>
                <w:sz w:val="20"/>
                <w:szCs w:val="20"/>
                <w:color w:val="auto"/>
              </w:rPr>
            </w:pPr>
            <w:r>
              <w:rPr>
                <w:rFonts w:ascii="Arial" w:cs="Arial" w:eastAsia="Arial" w:hAnsi="Arial"/>
                <w:sz w:val="14"/>
                <w:szCs w:val="14"/>
                <w:color w:val="auto"/>
                <w:w w:val="98"/>
              </w:rPr>
              <w:t>Income Tax</w:t>
            </w:r>
          </w:p>
        </w:tc>
        <w:tc>
          <w:tcPr>
            <w:tcW w:w="1860" w:type="dxa"/>
            <w:vAlign w:val="bottom"/>
          </w:tcPr>
          <w:p>
            <w:pPr>
              <w:jc w:val="center"/>
              <w:ind w:left="1025"/>
              <w:spacing w:after="0"/>
              <w:rPr>
                <w:sz w:val="20"/>
                <w:szCs w:val="20"/>
                <w:color w:val="auto"/>
              </w:rPr>
            </w:pPr>
            <w:r>
              <w:rPr>
                <w:rFonts w:ascii="Arial" w:cs="Arial" w:eastAsia="Arial" w:hAnsi="Arial"/>
                <w:sz w:val="14"/>
                <w:szCs w:val="14"/>
                <w:color w:val="auto"/>
              </w:rPr>
              <w:t>Effective</w:t>
            </w:r>
          </w:p>
        </w:tc>
        <w:tc>
          <w:tcPr>
            <w:tcW w:w="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176"/>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40" w:type="dxa"/>
            <w:vAlign w:val="bottom"/>
          </w:tcPr>
          <w:p>
            <w:pPr>
              <w:jc w:val="center"/>
              <w:ind w:left="626"/>
              <w:spacing w:after="0"/>
              <w:rPr>
                <w:sz w:val="20"/>
                <w:szCs w:val="20"/>
                <w:color w:val="auto"/>
              </w:rPr>
            </w:pPr>
            <w:r>
              <w:rPr>
                <w:rFonts w:ascii="Arial" w:cs="Arial" w:eastAsia="Arial" w:hAnsi="Arial"/>
                <w:sz w:val="14"/>
                <w:szCs w:val="14"/>
                <w:color w:val="auto"/>
              </w:rPr>
              <w:t>Expense</w:t>
            </w:r>
          </w:p>
        </w:tc>
        <w:tc>
          <w:tcPr>
            <w:tcW w:w="1860" w:type="dxa"/>
            <w:vAlign w:val="bottom"/>
          </w:tcPr>
          <w:p>
            <w:pPr>
              <w:jc w:val="center"/>
              <w:ind w:left="1025"/>
              <w:spacing w:after="0"/>
              <w:rPr>
                <w:sz w:val="20"/>
                <w:szCs w:val="20"/>
                <w:color w:val="auto"/>
              </w:rPr>
            </w:pPr>
            <w:r>
              <w:rPr>
                <w:rFonts w:ascii="Arial" w:cs="Arial" w:eastAsia="Arial" w:hAnsi="Arial"/>
                <w:sz w:val="14"/>
                <w:szCs w:val="14"/>
                <w:color w:val="auto"/>
              </w:rPr>
              <w:t>Income</w:t>
            </w:r>
          </w:p>
        </w:tc>
        <w:tc>
          <w:tcPr>
            <w:tcW w:w="720" w:type="dxa"/>
            <w:vAlign w:val="bottom"/>
          </w:tcPr>
          <w:p>
            <w:pPr>
              <w:spacing w:after="0"/>
              <w:rPr>
                <w:sz w:val="15"/>
                <w:szCs w:val="15"/>
                <w:color w:val="auto"/>
              </w:rPr>
            </w:pPr>
          </w:p>
        </w:tc>
        <w:tc>
          <w:tcPr>
            <w:tcW w:w="1440" w:type="dxa"/>
            <w:vAlign w:val="bottom"/>
          </w:tcPr>
          <w:p>
            <w:pPr>
              <w:jc w:val="center"/>
              <w:ind w:left="545"/>
              <w:spacing w:after="0"/>
              <w:rPr>
                <w:sz w:val="20"/>
                <w:szCs w:val="20"/>
                <w:color w:val="auto"/>
              </w:rPr>
            </w:pPr>
            <w:r>
              <w:rPr>
                <w:rFonts w:ascii="Arial" w:cs="Arial" w:eastAsia="Arial" w:hAnsi="Arial"/>
                <w:sz w:val="14"/>
                <w:szCs w:val="14"/>
                <w:color w:val="auto"/>
              </w:rPr>
              <w:t>Income Tax</w:t>
            </w:r>
          </w:p>
        </w:tc>
        <w:tc>
          <w:tcPr>
            <w:tcW w:w="40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168"/>
        </w:trPr>
        <w:tc>
          <w:tcPr>
            <w:tcW w:w="20" w:type="dxa"/>
            <w:vAlign w:val="bottom"/>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left="626"/>
              <w:spacing w:after="0"/>
              <w:rPr>
                <w:sz w:val="20"/>
                <w:szCs w:val="20"/>
                <w:color w:val="auto"/>
              </w:rPr>
            </w:pPr>
            <w:r>
              <w:rPr>
                <w:rFonts w:ascii="Arial" w:cs="Arial" w:eastAsia="Arial" w:hAnsi="Arial"/>
                <w:sz w:val="14"/>
                <w:szCs w:val="14"/>
                <w:color w:val="auto"/>
              </w:rPr>
              <w:t>(Benefit)</w:t>
            </w:r>
          </w:p>
        </w:tc>
        <w:tc>
          <w:tcPr>
            <w:tcW w:w="1860" w:type="dxa"/>
            <w:vAlign w:val="bottom"/>
            <w:tcBorders>
              <w:bottom w:val="single" w:sz="8" w:color="auto"/>
            </w:tcBorders>
          </w:tcPr>
          <w:p>
            <w:pPr>
              <w:jc w:val="center"/>
              <w:ind w:left="1025"/>
              <w:spacing w:after="0"/>
              <w:rPr>
                <w:sz w:val="20"/>
                <w:szCs w:val="20"/>
                <w:color w:val="auto"/>
              </w:rPr>
            </w:pPr>
            <w:r>
              <w:rPr>
                <w:rFonts w:ascii="Arial" w:cs="Arial" w:eastAsia="Arial" w:hAnsi="Arial"/>
                <w:sz w:val="14"/>
                <w:szCs w:val="14"/>
                <w:color w:val="auto"/>
                <w:w w:val="98"/>
              </w:rPr>
              <w:t>Tax Rate</w:t>
            </w: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left="565"/>
              <w:spacing w:after="0"/>
              <w:rPr>
                <w:sz w:val="20"/>
                <w:szCs w:val="20"/>
                <w:color w:val="auto"/>
              </w:rPr>
            </w:pPr>
            <w:r>
              <w:rPr>
                <w:rFonts w:ascii="Arial" w:cs="Arial" w:eastAsia="Arial" w:hAnsi="Arial"/>
                <w:sz w:val="14"/>
                <w:szCs w:val="14"/>
                <w:color w:val="auto"/>
              </w:rPr>
              <w:t>Expense</w:t>
            </w:r>
          </w:p>
        </w:tc>
        <w:tc>
          <w:tcPr>
            <w:tcW w:w="4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164"/>
        </w:trPr>
        <w:tc>
          <w:tcPr>
            <w:tcW w:w="20" w:type="dxa"/>
            <w:vAlign w:val="bottom"/>
          </w:tcPr>
          <w:p>
            <w:pPr>
              <w:spacing w:after="0"/>
              <w:rPr>
                <w:sz w:val="14"/>
                <w:szCs w:val="14"/>
                <w:color w:val="auto"/>
              </w:rPr>
            </w:pPr>
          </w:p>
        </w:tc>
        <w:tc>
          <w:tcPr>
            <w:tcW w:w="334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540" w:type="dxa"/>
            <w:vAlign w:val="bottom"/>
          </w:tcPr>
          <w:p>
            <w:pPr>
              <w:jc w:val="right"/>
              <w:ind w:right="1186"/>
              <w:spacing w:after="0" w:line="164" w:lineRule="exact"/>
              <w:rPr>
                <w:sz w:val="20"/>
                <w:szCs w:val="20"/>
                <w:color w:val="auto"/>
              </w:rPr>
            </w:pPr>
            <w:r>
              <w:rPr>
                <w:rFonts w:ascii="Arial" w:cs="Arial" w:eastAsia="Arial" w:hAnsi="Arial"/>
                <w:sz w:val="16"/>
                <w:szCs w:val="16"/>
                <w:color w:val="auto"/>
              </w:rPr>
              <w:t>$</w:t>
            </w:r>
          </w:p>
        </w:tc>
        <w:tc>
          <w:tcPr>
            <w:tcW w:w="1860" w:type="dxa"/>
            <w:vAlign w:val="bottom"/>
          </w:tcPr>
          <w:p>
            <w:pPr>
              <w:jc w:val="right"/>
              <w:ind w:right="1365"/>
              <w:spacing w:after="0" w:line="164" w:lineRule="exact"/>
              <w:rPr>
                <w:sz w:val="20"/>
                <w:szCs w:val="20"/>
                <w:color w:val="auto"/>
              </w:rPr>
            </w:pPr>
            <w:r>
              <w:rPr>
                <w:rFonts w:ascii="Arial" w:cs="Arial" w:eastAsia="Arial" w:hAnsi="Arial"/>
                <w:sz w:val="16"/>
                <w:szCs w:val="16"/>
                <w:color w:val="auto"/>
              </w:rPr>
              <w:t>(118)</w:t>
            </w:r>
          </w:p>
        </w:tc>
        <w:tc>
          <w:tcPr>
            <w:tcW w:w="720" w:type="dxa"/>
            <w:vAlign w:val="bottom"/>
          </w:tcPr>
          <w:p>
            <w:pPr>
              <w:jc w:val="right"/>
              <w:ind w:right="99"/>
              <w:spacing w:after="0" w:line="164" w:lineRule="exact"/>
              <w:rPr>
                <w:sz w:val="20"/>
                <w:szCs w:val="20"/>
                <w:color w:val="auto"/>
              </w:rPr>
            </w:pPr>
            <w:r>
              <w:rPr>
                <w:rFonts w:ascii="Arial" w:cs="Arial" w:eastAsia="Arial" w:hAnsi="Arial"/>
                <w:sz w:val="16"/>
                <w:szCs w:val="16"/>
                <w:color w:val="auto"/>
              </w:rPr>
              <w:t>227 %</w:t>
            </w:r>
          </w:p>
        </w:tc>
        <w:tc>
          <w:tcPr>
            <w:tcW w:w="1440" w:type="dxa"/>
            <w:vAlign w:val="bottom"/>
          </w:tcPr>
          <w:p>
            <w:pPr>
              <w:jc w:val="right"/>
              <w:ind w:right="1105"/>
              <w:spacing w:after="0" w:line="164"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100</w:t>
            </w:r>
          </w:p>
        </w:tc>
        <w:tc>
          <w:tcPr>
            <w:tcW w:w="2100" w:type="dxa"/>
            <w:vAlign w:val="bottom"/>
          </w:tcPr>
          <w:p>
            <w:pPr>
              <w:ind w:left="1580"/>
              <w:spacing w:after="0" w:line="164" w:lineRule="exact"/>
              <w:rPr>
                <w:sz w:val="20"/>
                <w:szCs w:val="20"/>
                <w:color w:val="auto"/>
              </w:rPr>
            </w:pPr>
            <w:r>
              <w:rPr>
                <w:rFonts w:ascii="Arial" w:cs="Arial" w:eastAsia="Arial" w:hAnsi="Arial"/>
                <w:sz w:val="16"/>
                <w:szCs w:val="16"/>
                <w:color w:val="auto"/>
              </w:rPr>
              <w:t>17 %</w:t>
            </w:r>
          </w:p>
        </w:tc>
      </w:tr>
      <w:tr>
        <w:trPr>
          <w:trHeight w:val="176"/>
        </w:trPr>
        <w:tc>
          <w:tcPr>
            <w:tcW w:w="336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540" w:type="dxa"/>
            <w:vAlign w:val="bottom"/>
          </w:tcPr>
          <w:p>
            <w:pPr>
              <w:spacing w:after="0"/>
              <w:rPr>
                <w:sz w:val="15"/>
                <w:szCs w:val="15"/>
                <w:color w:val="auto"/>
              </w:rPr>
            </w:pPr>
          </w:p>
        </w:tc>
        <w:tc>
          <w:tcPr>
            <w:tcW w:w="1860" w:type="dxa"/>
            <w:vAlign w:val="bottom"/>
          </w:tcPr>
          <w:p>
            <w:pPr>
              <w:jc w:val="right"/>
              <w:ind w:right="1405"/>
              <w:spacing w:after="0" w:line="176" w:lineRule="exact"/>
              <w:rPr>
                <w:sz w:val="20"/>
                <w:szCs w:val="20"/>
                <w:color w:val="auto"/>
              </w:rPr>
            </w:pPr>
            <w:r>
              <w:rPr>
                <w:rFonts w:ascii="Arial" w:cs="Arial" w:eastAsia="Arial" w:hAnsi="Arial"/>
                <w:sz w:val="16"/>
                <w:szCs w:val="16"/>
                <w:color w:val="auto"/>
              </w:rPr>
              <w:t>53</w:t>
            </w:r>
          </w:p>
        </w:tc>
        <w:tc>
          <w:tcPr>
            <w:tcW w:w="72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34</w:t>
            </w:r>
          </w:p>
        </w:tc>
        <w:tc>
          <w:tcPr>
            <w:tcW w:w="144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42</w:t>
            </w:r>
          </w:p>
        </w:tc>
        <w:tc>
          <w:tcPr>
            <w:tcW w:w="2100" w:type="dxa"/>
            <w:vAlign w:val="bottom"/>
          </w:tcPr>
          <w:p>
            <w:pPr>
              <w:ind w:left="1580"/>
              <w:spacing w:after="0" w:line="176" w:lineRule="exact"/>
              <w:rPr>
                <w:sz w:val="20"/>
                <w:szCs w:val="20"/>
                <w:color w:val="auto"/>
              </w:rPr>
            </w:pPr>
            <w:r>
              <w:rPr>
                <w:rFonts w:ascii="Arial" w:cs="Arial" w:eastAsia="Arial" w:hAnsi="Arial"/>
                <w:sz w:val="16"/>
                <w:szCs w:val="16"/>
                <w:color w:val="auto"/>
              </w:rPr>
              <w:t>44</w:t>
            </w:r>
          </w:p>
        </w:tc>
      </w:tr>
      <w:tr>
        <w:trPr>
          <w:trHeight w:val="194"/>
        </w:trPr>
        <w:tc>
          <w:tcPr>
            <w:tcW w:w="3360" w:type="dxa"/>
            <w:vAlign w:val="bottom"/>
            <w:gridSpan w:val="2"/>
          </w:tcPr>
          <w:p>
            <w:pPr>
              <w:spacing w:after="0"/>
              <w:rPr>
                <w:sz w:val="20"/>
                <w:szCs w:val="20"/>
                <w:color w:val="auto"/>
              </w:rPr>
            </w:pPr>
            <w:r>
              <w:rPr>
                <w:rFonts w:ascii="Arial" w:cs="Arial" w:eastAsia="Arial" w:hAnsi="Arial"/>
                <w:sz w:val="16"/>
                <w:szCs w:val="16"/>
                <w:color w:val="auto"/>
              </w:rPr>
              <w:t>SoCalGas</w:t>
            </w:r>
          </w:p>
        </w:tc>
        <w:tc>
          <w:tcPr>
            <w:tcW w:w="1540" w:type="dxa"/>
            <w:vAlign w:val="bottom"/>
          </w:tcPr>
          <w:p>
            <w:pPr>
              <w:spacing w:after="0"/>
              <w:rPr>
                <w:sz w:val="16"/>
                <w:szCs w:val="16"/>
                <w:color w:val="auto"/>
              </w:rPr>
            </w:pPr>
          </w:p>
        </w:tc>
        <w:tc>
          <w:tcPr>
            <w:tcW w:w="1860" w:type="dxa"/>
            <w:vAlign w:val="bottom"/>
          </w:tcPr>
          <w:p>
            <w:pPr>
              <w:jc w:val="right"/>
              <w:ind w:right="1405"/>
              <w:spacing w:after="0"/>
              <w:rPr>
                <w:sz w:val="20"/>
                <w:szCs w:val="20"/>
                <w:color w:val="auto"/>
              </w:rPr>
            </w:pPr>
            <w:r>
              <w:rPr>
                <w:rFonts w:ascii="Arial" w:cs="Arial" w:eastAsia="Arial" w:hAnsi="Arial"/>
                <w:sz w:val="16"/>
                <w:szCs w:val="16"/>
                <w:color w:val="auto"/>
              </w:rPr>
              <w:t>28</w:t>
            </w:r>
          </w:p>
        </w:tc>
        <w:tc>
          <w:tcPr>
            <w:tcW w:w="720" w:type="dxa"/>
            <w:vAlign w:val="bottom"/>
          </w:tcPr>
          <w:p>
            <w:pPr>
              <w:jc w:val="right"/>
              <w:ind w:right="299"/>
              <w:spacing w:after="0"/>
              <w:rPr>
                <w:sz w:val="20"/>
                <w:szCs w:val="20"/>
                <w:color w:val="auto"/>
              </w:rPr>
            </w:pPr>
            <w:r>
              <w:rPr>
                <w:rFonts w:ascii="Arial" w:cs="Arial" w:eastAsia="Arial" w:hAnsi="Arial"/>
                <w:sz w:val="16"/>
                <w:szCs w:val="16"/>
                <w:color w:val="auto"/>
              </w:rPr>
              <w:t>34</w:t>
            </w:r>
          </w:p>
        </w:tc>
        <w:tc>
          <w:tcPr>
            <w:tcW w:w="14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28</w:t>
            </w:r>
          </w:p>
        </w:tc>
        <w:tc>
          <w:tcPr>
            <w:tcW w:w="2100" w:type="dxa"/>
            <w:vAlign w:val="bottom"/>
          </w:tcPr>
          <w:p>
            <w:pPr>
              <w:ind w:left="1580"/>
              <w:spacing w:after="0"/>
              <w:rPr>
                <w:sz w:val="20"/>
                <w:szCs w:val="20"/>
                <w:color w:val="auto"/>
              </w:rPr>
            </w:pPr>
            <w:r>
              <w:rPr>
                <w:rFonts w:ascii="Arial" w:cs="Arial" w:eastAsia="Arial" w:hAnsi="Arial"/>
                <w:sz w:val="16"/>
                <w:szCs w:val="16"/>
                <w:color w:val="auto"/>
              </w:rPr>
              <w:t>32</w:t>
            </w:r>
          </w:p>
        </w:tc>
      </w:tr>
      <w:tr>
        <w:trPr>
          <w:trHeight w:val="169"/>
        </w:trPr>
        <w:tc>
          <w:tcPr>
            <w:tcW w:w="20" w:type="dxa"/>
            <w:vAlign w:val="bottom"/>
          </w:tcPr>
          <w:p>
            <w:pPr>
              <w:spacing w:after="0"/>
              <w:rPr>
                <w:sz w:val="14"/>
                <w:szCs w:val="14"/>
                <w:color w:val="auto"/>
              </w:rPr>
            </w:pPr>
          </w:p>
        </w:tc>
        <w:tc>
          <w:tcPr>
            <w:tcW w:w="3340" w:type="dxa"/>
            <w:vAlign w:val="bottom"/>
            <w:tcBorders>
              <w:top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spacing w:after="0"/>
              <w:rPr>
                <w:sz w:val="14"/>
                <w:szCs w:val="14"/>
                <w:color w:val="auto"/>
              </w:rPr>
            </w:pPr>
          </w:p>
        </w:tc>
        <w:tc>
          <w:tcPr>
            <w:tcW w:w="4020" w:type="dxa"/>
            <w:vAlign w:val="bottom"/>
            <w:tcBorders>
              <w:top w:val="single" w:sz="8" w:color="auto"/>
              <w:bottom w:val="single" w:sz="8" w:color="auto"/>
            </w:tcBorders>
            <w:gridSpan w:val="3"/>
          </w:tcPr>
          <w:p>
            <w:pPr>
              <w:jc w:val="right"/>
              <w:ind w:right="445"/>
              <w:spacing w:after="0"/>
              <w:rPr>
                <w:sz w:val="20"/>
                <w:szCs w:val="20"/>
                <w:color w:val="auto"/>
              </w:rPr>
            </w:pPr>
            <w:r>
              <w:rPr>
                <w:rFonts w:ascii="Arial" w:cs="Arial" w:eastAsia="Arial" w:hAnsi="Arial"/>
                <w:sz w:val="14"/>
                <w:szCs w:val="14"/>
                <w:color w:val="auto"/>
              </w:rPr>
              <w:t>Six months ended June 30,</w:t>
            </w:r>
          </w:p>
        </w:tc>
        <w:tc>
          <w:tcPr>
            <w:tcW w:w="400" w:type="dxa"/>
            <w:vAlign w:val="bottom"/>
            <w:tcBorders>
              <w:top w:val="single" w:sz="8" w:color="auto"/>
              <w:bottom w:val="single" w:sz="8" w:color="auto"/>
            </w:tcBorders>
          </w:tcPr>
          <w:p>
            <w:pPr>
              <w:spacing w:after="0"/>
              <w:rPr>
                <w:sz w:val="14"/>
                <w:szCs w:val="14"/>
                <w:color w:val="auto"/>
              </w:rPr>
            </w:pPr>
          </w:p>
        </w:tc>
        <w:tc>
          <w:tcPr>
            <w:tcW w:w="2100" w:type="dxa"/>
            <w:vAlign w:val="bottom"/>
            <w:tcBorders>
              <w:top w:val="single" w:sz="8" w:color="auto"/>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1145"/>
              <w:spacing w:after="0"/>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2011</w:t>
            </w:r>
          </w:p>
        </w:tc>
      </w:tr>
      <w:tr>
        <w:trPr>
          <w:trHeight w:val="191"/>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540" w:type="dxa"/>
            <w:vAlign w:val="bottom"/>
          </w:tcPr>
          <w:p>
            <w:pPr>
              <w:jc w:val="center"/>
              <w:ind w:left="626"/>
              <w:spacing w:after="0"/>
              <w:rPr>
                <w:sz w:val="20"/>
                <w:szCs w:val="20"/>
                <w:color w:val="auto"/>
              </w:rPr>
            </w:pPr>
            <w:r>
              <w:rPr>
                <w:rFonts w:ascii="Arial" w:cs="Arial" w:eastAsia="Arial" w:hAnsi="Arial"/>
                <w:sz w:val="14"/>
                <w:szCs w:val="14"/>
                <w:color w:val="auto"/>
                <w:w w:val="98"/>
              </w:rPr>
              <w:t>Income Tax</w:t>
            </w:r>
          </w:p>
        </w:tc>
        <w:tc>
          <w:tcPr>
            <w:tcW w:w="1860" w:type="dxa"/>
            <w:vAlign w:val="bottom"/>
          </w:tcPr>
          <w:p>
            <w:pPr>
              <w:jc w:val="center"/>
              <w:ind w:left="1025"/>
              <w:spacing w:after="0"/>
              <w:rPr>
                <w:sz w:val="20"/>
                <w:szCs w:val="20"/>
                <w:color w:val="auto"/>
              </w:rPr>
            </w:pPr>
            <w:r>
              <w:rPr>
                <w:rFonts w:ascii="Arial" w:cs="Arial" w:eastAsia="Arial" w:hAnsi="Arial"/>
                <w:sz w:val="14"/>
                <w:szCs w:val="14"/>
                <w:color w:val="auto"/>
              </w:rPr>
              <w:t>Effective</w:t>
            </w:r>
          </w:p>
        </w:tc>
        <w:tc>
          <w:tcPr>
            <w:tcW w:w="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165"/>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40" w:type="dxa"/>
            <w:vAlign w:val="bottom"/>
          </w:tcPr>
          <w:p>
            <w:pPr>
              <w:jc w:val="center"/>
              <w:ind w:left="626"/>
              <w:spacing w:after="0"/>
              <w:rPr>
                <w:sz w:val="20"/>
                <w:szCs w:val="20"/>
                <w:color w:val="auto"/>
              </w:rPr>
            </w:pPr>
            <w:r>
              <w:rPr>
                <w:rFonts w:ascii="Arial" w:cs="Arial" w:eastAsia="Arial" w:hAnsi="Arial"/>
                <w:sz w:val="14"/>
                <w:szCs w:val="14"/>
                <w:color w:val="auto"/>
              </w:rPr>
              <w:t>Expense</w:t>
            </w:r>
          </w:p>
        </w:tc>
        <w:tc>
          <w:tcPr>
            <w:tcW w:w="1860" w:type="dxa"/>
            <w:vAlign w:val="bottom"/>
          </w:tcPr>
          <w:p>
            <w:pPr>
              <w:jc w:val="center"/>
              <w:ind w:left="1065"/>
              <w:spacing w:after="0"/>
              <w:rPr>
                <w:sz w:val="20"/>
                <w:szCs w:val="20"/>
                <w:color w:val="auto"/>
              </w:rPr>
            </w:pPr>
            <w:r>
              <w:rPr>
                <w:rFonts w:ascii="Arial" w:cs="Arial" w:eastAsia="Arial" w:hAnsi="Arial"/>
                <w:sz w:val="14"/>
                <w:szCs w:val="14"/>
                <w:color w:val="auto"/>
              </w:rPr>
              <w:t>Income</w:t>
            </w:r>
          </w:p>
        </w:tc>
        <w:tc>
          <w:tcPr>
            <w:tcW w:w="720" w:type="dxa"/>
            <w:vAlign w:val="bottom"/>
          </w:tcPr>
          <w:p>
            <w:pPr>
              <w:spacing w:after="0"/>
              <w:rPr>
                <w:sz w:val="14"/>
                <w:szCs w:val="14"/>
                <w:color w:val="auto"/>
              </w:rPr>
            </w:pPr>
          </w:p>
        </w:tc>
        <w:tc>
          <w:tcPr>
            <w:tcW w:w="1440" w:type="dxa"/>
            <w:vAlign w:val="bottom"/>
          </w:tcPr>
          <w:p>
            <w:pPr>
              <w:jc w:val="center"/>
              <w:ind w:left="545"/>
              <w:spacing w:after="0"/>
              <w:rPr>
                <w:sz w:val="20"/>
                <w:szCs w:val="20"/>
                <w:color w:val="auto"/>
              </w:rPr>
            </w:pPr>
            <w:r>
              <w:rPr>
                <w:rFonts w:ascii="Arial" w:cs="Arial" w:eastAsia="Arial" w:hAnsi="Arial"/>
                <w:sz w:val="14"/>
                <w:szCs w:val="14"/>
                <w:color w:val="auto"/>
              </w:rPr>
              <w:t>Income Tax</w:t>
            </w:r>
          </w:p>
        </w:tc>
        <w:tc>
          <w:tcPr>
            <w:tcW w:w="4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164"/>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40" w:type="dxa"/>
            <w:vAlign w:val="bottom"/>
            <w:tcBorders>
              <w:bottom w:val="single" w:sz="8" w:color="auto"/>
            </w:tcBorders>
          </w:tcPr>
          <w:p>
            <w:pPr>
              <w:jc w:val="center"/>
              <w:ind w:left="626"/>
              <w:spacing w:after="0" w:line="157" w:lineRule="exact"/>
              <w:rPr>
                <w:sz w:val="20"/>
                <w:szCs w:val="20"/>
                <w:color w:val="auto"/>
              </w:rPr>
            </w:pPr>
            <w:r>
              <w:rPr>
                <w:rFonts w:ascii="Arial" w:cs="Arial" w:eastAsia="Arial" w:hAnsi="Arial"/>
                <w:sz w:val="14"/>
                <w:szCs w:val="14"/>
                <w:color w:val="auto"/>
              </w:rPr>
              <w:t>(Benefit)</w:t>
            </w:r>
          </w:p>
        </w:tc>
        <w:tc>
          <w:tcPr>
            <w:tcW w:w="1860" w:type="dxa"/>
            <w:vAlign w:val="bottom"/>
            <w:tcBorders>
              <w:bottom w:val="single" w:sz="8" w:color="auto"/>
            </w:tcBorders>
          </w:tcPr>
          <w:p>
            <w:pPr>
              <w:jc w:val="center"/>
              <w:ind w:left="1025"/>
              <w:spacing w:after="0" w:line="157" w:lineRule="exact"/>
              <w:rPr>
                <w:sz w:val="20"/>
                <w:szCs w:val="20"/>
                <w:color w:val="auto"/>
              </w:rPr>
            </w:pPr>
            <w:r>
              <w:rPr>
                <w:rFonts w:ascii="Arial" w:cs="Arial" w:eastAsia="Arial" w:hAnsi="Arial"/>
                <w:sz w:val="14"/>
                <w:szCs w:val="14"/>
                <w:color w:val="auto"/>
                <w:w w:val="98"/>
              </w:rPr>
              <w:t>Tax Rate</w:t>
            </w: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left="565"/>
              <w:spacing w:after="0" w:line="157" w:lineRule="exact"/>
              <w:rPr>
                <w:sz w:val="20"/>
                <w:szCs w:val="20"/>
                <w:color w:val="auto"/>
              </w:rPr>
            </w:pPr>
            <w:r>
              <w:rPr>
                <w:rFonts w:ascii="Arial" w:cs="Arial" w:eastAsia="Arial" w:hAnsi="Arial"/>
                <w:sz w:val="14"/>
                <w:szCs w:val="14"/>
                <w:color w:val="auto"/>
              </w:rPr>
              <w:t>Expense</w:t>
            </w:r>
          </w:p>
        </w:tc>
        <w:tc>
          <w:tcPr>
            <w:tcW w:w="4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Tax Rate</w:t>
            </w:r>
          </w:p>
        </w:tc>
      </w:tr>
      <w:tr>
        <w:trPr>
          <w:trHeight w:val="164"/>
        </w:trPr>
        <w:tc>
          <w:tcPr>
            <w:tcW w:w="3360" w:type="dxa"/>
            <w:vAlign w:val="bottom"/>
            <w:gridSpan w:val="2"/>
          </w:tcPr>
          <w:p>
            <w:pPr>
              <w:spacing w:after="0" w:line="164" w:lineRule="exact"/>
              <w:rPr>
                <w:sz w:val="20"/>
                <w:szCs w:val="20"/>
                <w:color w:val="auto"/>
              </w:rPr>
            </w:pPr>
            <w:r>
              <w:rPr>
                <w:rFonts w:ascii="Arial" w:cs="Arial" w:eastAsia="Arial" w:hAnsi="Arial"/>
                <w:sz w:val="16"/>
                <w:szCs w:val="16"/>
                <w:color w:val="auto"/>
              </w:rPr>
              <w:t>Sempra Energy Consolidated</w:t>
            </w:r>
          </w:p>
        </w:tc>
        <w:tc>
          <w:tcPr>
            <w:tcW w:w="1540" w:type="dxa"/>
            <w:vAlign w:val="bottom"/>
          </w:tcPr>
          <w:p>
            <w:pPr>
              <w:jc w:val="right"/>
              <w:ind w:right="1186"/>
              <w:spacing w:after="0" w:line="164" w:lineRule="exact"/>
              <w:rPr>
                <w:sz w:val="20"/>
                <w:szCs w:val="20"/>
                <w:color w:val="auto"/>
              </w:rPr>
            </w:pPr>
            <w:r>
              <w:rPr>
                <w:rFonts w:ascii="Arial" w:cs="Arial" w:eastAsia="Arial" w:hAnsi="Arial"/>
                <w:sz w:val="16"/>
                <w:szCs w:val="16"/>
                <w:color w:val="auto"/>
              </w:rPr>
              <w:t>$</w:t>
            </w:r>
          </w:p>
        </w:tc>
        <w:tc>
          <w:tcPr>
            <w:tcW w:w="1860" w:type="dxa"/>
            <w:vAlign w:val="bottom"/>
          </w:tcPr>
          <w:p>
            <w:pPr>
              <w:jc w:val="right"/>
              <w:ind w:right="1365"/>
              <w:spacing w:after="0" w:line="164" w:lineRule="exact"/>
              <w:rPr>
                <w:sz w:val="20"/>
                <w:szCs w:val="20"/>
                <w:color w:val="auto"/>
              </w:rPr>
            </w:pPr>
            <w:r>
              <w:rPr>
                <w:rFonts w:ascii="Arial" w:cs="Arial" w:eastAsia="Arial" w:hAnsi="Arial"/>
                <w:sz w:val="16"/>
                <w:szCs w:val="16"/>
                <w:color w:val="auto"/>
              </w:rPr>
              <w:t>(1)</w:t>
            </w:r>
          </w:p>
        </w:tc>
        <w:tc>
          <w:tcPr>
            <w:tcW w:w="720" w:type="dxa"/>
            <w:vAlign w:val="bottom"/>
          </w:tcPr>
          <w:p>
            <w:pPr>
              <w:jc w:val="right"/>
              <w:ind w:right="99"/>
              <w:spacing w:after="0" w:line="164"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1105"/>
              <w:spacing w:after="0" w:line="164"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214</w:t>
            </w:r>
          </w:p>
        </w:tc>
        <w:tc>
          <w:tcPr>
            <w:tcW w:w="2100" w:type="dxa"/>
            <w:vAlign w:val="bottom"/>
          </w:tcPr>
          <w:p>
            <w:pPr>
              <w:ind w:left="1580"/>
              <w:spacing w:after="0" w:line="164" w:lineRule="exact"/>
              <w:rPr>
                <w:sz w:val="20"/>
                <w:szCs w:val="20"/>
                <w:color w:val="auto"/>
              </w:rPr>
            </w:pPr>
            <w:r>
              <w:rPr>
                <w:rFonts w:ascii="Arial" w:cs="Arial" w:eastAsia="Arial" w:hAnsi="Arial"/>
                <w:sz w:val="16"/>
                <w:szCs w:val="16"/>
                <w:color w:val="auto"/>
              </w:rPr>
              <w:t>23 %</w:t>
            </w:r>
          </w:p>
        </w:tc>
      </w:tr>
      <w:tr>
        <w:trPr>
          <w:trHeight w:val="176"/>
        </w:trPr>
        <w:tc>
          <w:tcPr>
            <w:tcW w:w="336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540" w:type="dxa"/>
            <w:vAlign w:val="bottom"/>
          </w:tcPr>
          <w:p>
            <w:pPr>
              <w:spacing w:after="0"/>
              <w:rPr>
                <w:sz w:val="15"/>
                <w:szCs w:val="15"/>
                <w:color w:val="auto"/>
              </w:rPr>
            </w:pPr>
          </w:p>
        </w:tc>
        <w:tc>
          <w:tcPr>
            <w:tcW w:w="1860" w:type="dxa"/>
            <w:vAlign w:val="bottom"/>
          </w:tcPr>
          <w:p>
            <w:pPr>
              <w:jc w:val="right"/>
              <w:ind w:right="1405"/>
              <w:spacing w:after="0" w:line="176" w:lineRule="exact"/>
              <w:rPr>
                <w:sz w:val="20"/>
                <w:szCs w:val="20"/>
                <w:color w:val="auto"/>
              </w:rPr>
            </w:pPr>
            <w:r>
              <w:rPr>
                <w:rFonts w:ascii="Arial" w:cs="Arial" w:eastAsia="Arial" w:hAnsi="Arial"/>
                <w:sz w:val="16"/>
                <w:szCs w:val="16"/>
                <w:color w:val="auto"/>
              </w:rPr>
              <w:t>113</w:t>
            </w:r>
          </w:p>
        </w:tc>
        <w:tc>
          <w:tcPr>
            <w:tcW w:w="72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35</w:t>
            </w:r>
          </w:p>
        </w:tc>
        <w:tc>
          <w:tcPr>
            <w:tcW w:w="144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91</w:t>
            </w:r>
          </w:p>
        </w:tc>
        <w:tc>
          <w:tcPr>
            <w:tcW w:w="2100" w:type="dxa"/>
            <w:vAlign w:val="bottom"/>
          </w:tcPr>
          <w:p>
            <w:pPr>
              <w:ind w:left="1580"/>
              <w:spacing w:after="0" w:line="176" w:lineRule="exact"/>
              <w:rPr>
                <w:sz w:val="20"/>
                <w:szCs w:val="20"/>
                <w:color w:val="auto"/>
              </w:rPr>
            </w:pPr>
            <w:r>
              <w:rPr>
                <w:rFonts w:ascii="Arial" w:cs="Arial" w:eastAsia="Arial" w:hAnsi="Arial"/>
                <w:sz w:val="16"/>
                <w:szCs w:val="16"/>
                <w:color w:val="auto"/>
              </w:rPr>
              <w:t>38</w:t>
            </w:r>
          </w:p>
        </w:tc>
      </w:tr>
      <w:tr>
        <w:trPr>
          <w:trHeight w:val="194"/>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5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405"/>
              <w:spacing w:after="0"/>
              <w:rPr>
                <w:sz w:val="20"/>
                <w:szCs w:val="20"/>
                <w:color w:val="auto"/>
              </w:rPr>
            </w:pPr>
            <w:r>
              <w:rPr>
                <w:rFonts w:ascii="Arial" w:cs="Arial" w:eastAsia="Arial" w:hAnsi="Arial"/>
                <w:sz w:val="16"/>
                <w:szCs w:val="16"/>
                <w:color w:val="auto"/>
              </w:rPr>
              <w:t>68</w:t>
            </w: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36</w:t>
            </w:r>
          </w:p>
        </w:tc>
        <w:tc>
          <w:tcPr>
            <w:tcW w:w="14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10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34</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Effective Income Tax Rates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ind w:right="1540"/>
        <w:spacing w:after="0" w:line="286" w:lineRule="auto"/>
        <w:rPr>
          <w:sz w:val="20"/>
          <w:szCs w:val="20"/>
          <w:color w:val="auto"/>
        </w:rPr>
      </w:pPr>
      <w:r>
        <w:rPr>
          <w:rFonts w:ascii="Arial" w:cs="Arial" w:eastAsia="Arial" w:hAnsi="Arial"/>
          <w:sz w:val="17"/>
          <w:szCs w:val="17"/>
          <w:color w:val="auto"/>
        </w:rPr>
        <w:t>The change in effective income tax rate for the three months ended June 30, 2012 was primarily due to significantly lower pretax income due to the write-down of our investment in Rockies Express in 2012 and the remeasurement gain in 2011 related to our acquisition of controlling interests in Chilquinta Energía and Luz del Sur. Other items affecting the effective income tax rate were:</w:t>
      </w:r>
    </w:p>
    <w:p>
      <w:pPr>
        <w:spacing w:after="0" w:line="166" w:lineRule="exact"/>
        <w:rPr>
          <w:sz w:val="20"/>
          <w:szCs w:val="20"/>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$121 million deferred income tax benefit associated with the impairment to our Rockies Express partnership investment;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$54 million income tax benefit primarily associated with our decision to hold life insurance contracts kept in support of certain benefit plans to term.</w:t>
      </w:r>
    </w:p>
    <w:p>
      <w:pPr>
        <w:sectPr>
          <w:pgSz w:w="11900" w:h="16838" w:orient="portrait"/>
          <w:cols w:equalWidth="0" w:num="1">
            <w:col w:w="11420"/>
          </w:cols>
          <w:pgMar w:left="240" w:top="125" w:right="239" w:bottom="0" w:gutter="0" w:footer="0" w:header="0"/>
        </w:sectPr>
      </w:pPr>
    </w:p>
    <w:bookmarkStart w:id="25" w:name="page26"/>
    <w:bookmarkEnd w:id="25"/>
    <w:p>
      <w:pPr>
        <w:ind w:left="340" w:right="20"/>
        <w:spacing w:after="0" w:line="277" w:lineRule="auto"/>
        <w:rPr>
          <w:sz w:val="20"/>
          <w:szCs w:val="20"/>
          <w:color w:val="auto"/>
        </w:rPr>
      </w:pPr>
      <w:r>
        <w:rPr>
          <w:rFonts w:ascii="Arial" w:cs="Arial" w:eastAsia="Arial" w:hAnsi="Arial"/>
          <w:sz w:val="18"/>
          <w:szCs w:val="18"/>
          <w:color w:val="auto"/>
        </w:rPr>
        <w:t>Previously, we took the position that we might cash in or sell these contracts before maturity, which required that we record deferred income taxes on unrealized gains on investments held within the insurance contracts;</w:t>
      </w:r>
    </w:p>
    <w:p>
      <w:pPr>
        <w:spacing w:after="0" w:line="197" w:lineRule="exact"/>
        <w:rPr>
          <w:sz w:val="20"/>
          <w:szCs w:val="20"/>
          <w:color w:val="auto"/>
        </w:rPr>
      </w:pPr>
    </w:p>
    <w:p>
      <w:pPr>
        <w:ind w:left="340" w:hanging="188"/>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income tax expense in 2012 due to Mexican currency translation and inflation adjustments;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planned renewable energy income tax credits and deferred income tax benefits related to renewable energy projects;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lower book depreciation over income tax depreciation related to a certain portion of utility plant fixed assets;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income in 2012 in countries with lower statutory income tax rates; such income was higher in 2011 due to a $277 million non-taxable gain from remeasurement of our equity method investments related to our acquisition from AEI of its investments in Chile and Peru;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U.S. income tax on non-U.S. non-operating activity due to the expiration of the look-through rule, as we discuss below.</w:t>
      </w:r>
    </w:p>
    <w:p>
      <w:pPr>
        <w:spacing w:after="0" w:line="252" w:lineRule="exact"/>
        <w:rPr>
          <w:sz w:val="20"/>
          <w:szCs w:val="20"/>
          <w:color w:val="auto"/>
        </w:rPr>
      </w:pPr>
    </w:p>
    <w:p>
      <w:pPr>
        <w:ind w:right="2000"/>
        <w:spacing w:after="0" w:line="308" w:lineRule="auto"/>
        <w:rPr>
          <w:sz w:val="20"/>
          <w:szCs w:val="20"/>
          <w:color w:val="auto"/>
        </w:rPr>
      </w:pPr>
      <w:r>
        <w:rPr>
          <w:rFonts w:ascii="Arial" w:cs="Arial" w:eastAsia="Arial" w:hAnsi="Arial"/>
          <w:sz w:val="17"/>
          <w:szCs w:val="17"/>
          <w:color w:val="auto"/>
        </w:rPr>
        <w:t>The effective tax rate for the six months ended June 30, 2012 was also significantly impacted by the effect on pretax income of the impairment charge in 2012 and the remeasurement gain in 2011. The effective income tax rate also decreased due to:</w:t>
      </w:r>
    </w:p>
    <w:p>
      <w:pPr>
        <w:spacing w:after="0" w:line="147" w:lineRule="exact"/>
        <w:rPr>
          <w:sz w:val="20"/>
          <w:szCs w:val="20"/>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$121 million deferred income tax benefit associated with the impairment to the Rockies Express partnership investment;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$54 million income tax benefit primarily associated with the decision to hold life insurance contracts to term, as we discuss above;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planned renewable energy income tax credits and deferred income tax benefits related to renewable energy projects;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income tax expense in 2012 due to Mexican currency translation and inflation adjustments;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lower book depreciation over income tax depreciation related to a certain portion of utility plant fixed assets;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income in 2012 in countries with lower statutory income tax rates; such income was higher in 2011 due to the $277 million non-taxable gain discussed above;</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lower deductions for self-developed software costs;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U.S. income tax on non-U.S. non-operating activity due to the expiration of the look-through rule, as we discuss below.</w:t>
      </w:r>
    </w:p>
    <w:p>
      <w:pPr>
        <w:spacing w:after="0" w:line="25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spread evenly over the year. The forecasted items, anticipated on a full year basis, may include, among others, self-developed software, renewable energy income tax credits, deferred income tax benefits related to renewable energy projects, exclusions from taxable income of the equity portion of AFUDC, and depreciation on a certain portion of utility plant assets. Items that cannot be reliably forecasted (e.g., adjustments related to prior years’ income tax items, Mexican currency translation and inflation adjustments, deferred income tax benefit associated with the impairment of a book investment, etc.) are recorded in the interim period in which they actually occur, which can result in variability to income tax expense.</w:t>
      </w:r>
    </w:p>
    <w:p>
      <w:pPr>
        <w:spacing w:after="0" w:line="16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plan for assets placed into service in 2012 includes assets that were under construction in 2011. We have used grant accounting for these assets in anticipation of applying for cash grants. Grant accounting for cash grants is very similar to the deferral method of accounting for investment tax credits, the primary difference being the recording of a grant receivable instead of an income tax receivable.</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Under the deferral method of accounting for ITC and under grant accounting for cash grants, a deferred income tax benefit, on day one, is reflected in income tax expense by recording a deferred tax asset when renewable energy assets are placed in service. This deferred tax asset results from the day-one difference in the income tax basis and financial statement basis of the renewable energy assets, referred to as the “day-one basis difference.” The financial statement basis of the assets is reduced by 100 percent of the ITC or grant expected; U.S. federal income tax basis is reduced by only 50 percent for both ITC and grants; and state income tax basis is reduced 50 percent for grants and not at all for ITC.</w:t>
      </w:r>
    </w:p>
    <w:p>
      <w:pPr>
        <w:spacing w:after="0" w:line="1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December 2010, the Tax Relief, Unemployment Insurance Reauthorization, and Job Creation Act of 2010 (2010 Tax Act) was signed into law. The 2010 Tax Act extended for years 2010 and 2011 the U.S. federal income tax law known as the look-through rule. This rule allows, under certain situations, for certain non-operating activity (e.g., dividend income, royalty income, interest income, rental income, etc.), of a greater than 50-percent owned non-U.S. subsidiary, to not be taxed under U.S. federal income tax law. As of June 30, 2012, this rule has not yet been extended beyond 2011, which has a negative impact on Sempra Energy’s effective income tax rate for 2012.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SDG&amp;E’s effective income tax rate for the three months ended June 30, 2012 was primarily due to:</w:t>
      </w:r>
    </w:p>
    <w:p>
      <w:pPr>
        <w:spacing w:after="0" w:line="225" w:lineRule="exact"/>
        <w:rPr>
          <w:sz w:val="20"/>
          <w:szCs w:val="20"/>
          <w:color w:val="auto"/>
        </w:rPr>
      </w:pPr>
    </w:p>
    <w:p>
      <w:pPr>
        <w:ind w:left="340" w:hanging="188"/>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Otay Mesa VIE, as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unfavorable adjustments related to prior years’ income tax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SDG&amp;E’s effective income tax rate for the six months ended June 30, 2012 was primarily due to:</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the impact of Otay Mesa VIE, as we discuss below;</w:t>
      </w:r>
    </w:p>
    <w:p>
      <w:pPr>
        <w:sectPr>
          <w:pgSz w:w="11900" w:h="16838" w:orient="portrait"/>
          <w:cols w:equalWidth="0" w:num="1">
            <w:col w:w="11420"/>
          </w:cols>
          <w:pgMar w:left="240" w:top="125" w:right="239" w:bottom="0" w:gutter="0" w:footer="0" w:header="0"/>
        </w:sectPr>
      </w:pPr>
    </w:p>
    <w:bookmarkStart w:id="26" w:name="page27"/>
    <w:bookmarkEnd w:id="26"/>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lower unfavorable adjustments related to prior years’ income tax items;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deductions for self-developed software costs;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exclusions from taxable income of the equity portion of AFUDC.</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Results for Sempra Energy Consolidated and SDG&amp;E include Otay Mesa VIE, which is consolidated, and therefore, their effective income tax rates are impacted by the VIE’s stand-alone effective income tax rate.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increase in SoCalGas’ effective income tax rate for the three months ended June 30, 2012 was primarily due to lower deductions for self-developed software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SoCalGas’ effective income tax rate for the six months ended June 30, 2012 was primarily due to:</w:t>
      </w:r>
    </w:p>
    <w:p>
      <w:pPr>
        <w:spacing w:after="0" w:line="221" w:lineRule="exact"/>
        <w:rPr>
          <w:sz w:val="20"/>
          <w:szCs w:val="20"/>
          <w:color w:val="auto"/>
        </w:rPr>
      </w:pPr>
    </w:p>
    <w:p>
      <w:pPr>
        <w:ind w:left="340" w:hanging="188"/>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 xml:space="preserve">lower deductions for self-developed software costs;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lower book depreciation over income tax depreciation related to a certain portion of utility plant fixed assets.</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California Public Utilities Commission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taxes are not recorded to deferred income tax expense, but rather to a regulatory asset or liability. As a result, changes in the relative size of these items compared to pretax income, from period to period, can cause variations in the effective income tax rate. The following items are subject to flow-through treatment:</w:t>
      </w:r>
    </w:p>
    <w:p>
      <w:pPr>
        <w:spacing w:after="0" w:line="173" w:lineRule="exact"/>
        <w:rPr>
          <w:sz w:val="20"/>
          <w:szCs w:val="20"/>
          <w:color w:val="auto"/>
        </w:rPr>
      </w:pPr>
    </w:p>
    <w:p>
      <w:pPr>
        <w:ind w:left="340" w:hanging="197"/>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18"/>
          <w:szCs w:val="18"/>
          <w:color w:val="auto"/>
        </w:rPr>
        <w:t>the equity portion of AFUDC</w:t>
      </w:r>
    </w:p>
    <w:p>
      <w:pPr>
        <w:spacing w:after="0" w:line="242" w:lineRule="exact"/>
        <w:rPr>
          <w:rFonts w:ascii="Arial" w:cs="Arial" w:eastAsia="Arial" w:hAnsi="Arial"/>
          <w:sz w:val="20"/>
          <w:szCs w:val="20"/>
          <w:color w:val="auto"/>
        </w:rPr>
      </w:pPr>
    </w:p>
    <w:p>
      <w:pPr>
        <w:ind w:left="340" w:hanging="188"/>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removal of utility plant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self-developed software costs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263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NOTE 6. DEBT AND CREDIT FACILITIES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LINES OF CREDIT</w:t>
      </w:r>
    </w:p>
    <w:p>
      <w:pPr>
        <w:spacing w:after="0" w:line="234"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At June 30, 2012, Sempra Energy Consolidated had $4.1 billion in committed lines of credit to provide liquidity and to support commercial paper and variable-rate demand notes, the major components of which we detail below. Available unused credit on these lines at June 30, 2012 was $3.2 billion.</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March 2012, Sempra Energy entered into a new $1.067 billion, five-year syndicated revolving credit agreement expiring in March 2017. Citibank, N.A. serves as administrative agent for the syndicate of 24 lenders. No single lender has greater than a 7-percent share. The new facility replaces the $1.0 billion credit agreement set to expire in 2014.</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The facility also provides for issuance of up to $400 million (increased to $600 million in July 2012) of letters of credit on behalf of Sempra Energy with the amount of borrowings otherwise available under the facility reduced by the amount of outstanding letters of credit.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June 30, 2012, Sempra Energy had $12 million of letters of credit outstanding supported by the facility.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March 2012, Sempra Global entered into a $2.189 billion, five-year syndicated revolving credit agreement expiring in March 2017. Citibank, N.A. serves as administrative agent for the syndicate of 25 lenders. No single lender has greater than a 7-percent share. The new facility replaces the $2.0 billion credit agreement set to expire in 2014.</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w:t>
      </w:r>
    </w:p>
    <w:p>
      <w:pPr>
        <w:sectPr>
          <w:pgSz w:w="11900" w:h="16838" w:orient="portrait"/>
          <w:cols w:equalWidth="0" w:num="1">
            <w:col w:w="11420"/>
          </w:cols>
          <w:pgMar w:left="240" w:top="125" w:right="239" w:bottom="15" w:gutter="0" w:footer="0" w:header="0"/>
        </w:sectPr>
      </w:pPr>
    </w:p>
    <w:bookmarkStart w:id="27" w:name="page28"/>
    <w:bookmarkEnd w:id="27"/>
    <w:p>
      <w:pPr>
        <w:spacing w:after="0" w:line="302" w:lineRule="auto"/>
        <w:rPr>
          <w:sz w:val="20"/>
          <w:szCs w:val="20"/>
          <w:color w:val="auto"/>
        </w:rPr>
      </w:pPr>
      <w:r>
        <w:rPr>
          <w:rFonts w:ascii="Arial" w:cs="Arial" w:eastAsia="Arial" w:hAnsi="Arial"/>
          <w:sz w:val="16"/>
          <w:szCs w:val="16"/>
          <w:color w:val="auto"/>
        </w:rPr>
        <w:t>At June 30, 2012, Sempra Global had $514 million of commercial paper outstanding supported by the facility. At December 31, 2011, $400 million of commercial paper outstanding was classified as long-term debt based on management’s intent and ability to maintain this level of borrowing on a long-term basis either supported by this credit facility or by issuing long-term debt. This classification has no impact on cash flows. As a result of issuances of long-term debt in the six months ended June 30, 2012, as we discuss below, none of the commercial paper outstanding at June 30, 2012 is classified as long-term debt.</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2012, SDG&amp;E and SoCalGas entered into a new combined $877 million, five-year syndicated revolving credit agreement expiring in March 2017. JPMorgan Chase Bank, N.A. serves as administrative agent for the syndicate of 24 lenders. No single lender has greater than a 7-percent share. The agreement permits each utility to individually borrow up to $658 million, subject to a combined limit of $877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 The new facility replaces the $800 million combined credit agreement set to expire in 2014.</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At June 30, 2012, SoCalGas had no outstanding borrowings and SDG&amp;E had $173 million of commercial paper outstanding and $237 million variable-rate demand notes outstanding supported by the facility. Available unused credit on the line at June 30, 2012 was $248 million at SDG&amp;E and $467 million at SoCalGas; SoCalGas’ availability reflects the impact of SDG&amp;E’s use of the combined credit available on the line.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we discuss in Note 4, in 2010 and early 2011, Sempra Energy, RBS and RBS Sempra Commodities sold substantially all of the businesses and assets within the partnership in four separate transactions. In connection with each of these transactions, the buyers were, subject to certain qualifications, obligated to replace any guarantees that we had issued in connection with the applicable businesses sold with guarantees of their own. The buyers have substantially completed this process with regard to existing, open positions. For those guarantees which have not been replaced, the buyers are obligated to indemnify us in accordance with the applicable transaction documents for any claims or losses in connection with the guarantees that we issued associated with the businesses sold.</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At June 30, 2012, RBS Sempra Commodities no longer requires significant working capital support. However, we have provided back-up guarantees for a portion of RBS Sempra Commodities’ remaining trading obligations. A few of these back-up guarantees may continue for a prolonged period of time. RBS has fully indemnified us for any claims or losses in connection with these arrangements, with the exception of those obligations for which JP Morgan has agreed to indemnify us. We discuss the indemnification release in Note 4. We discuss additional matters related to our investment in RBS Sempra Commodities in Note 10.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INTEREST RATES</w:t>
      </w:r>
    </w:p>
    <w:p>
      <w:pPr>
        <w:spacing w:after="0" w:line="234"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The weighted average interest rates on the total short-term debt outstanding at Sempra Energy were 0.58 percent and 0.93 percent at June 30, 2012 and December 31, 2011, respectively. The weighted average interest rate on the total short-term debt outstanding at SDG&amp;E was 0.21 percent at June 30,</w:t>
      </w:r>
    </w:p>
    <w:p>
      <w:pPr>
        <w:ind w:right="80"/>
        <w:spacing w:after="0" w:line="261" w:lineRule="auto"/>
        <w:rPr>
          <w:sz w:val="20"/>
          <w:szCs w:val="20"/>
          <w:color w:val="auto"/>
        </w:rPr>
      </w:pPr>
      <w:r>
        <w:rPr>
          <w:rFonts w:ascii="Arial" w:cs="Arial" w:eastAsia="Arial" w:hAnsi="Arial"/>
          <w:sz w:val="18"/>
          <w:szCs w:val="18"/>
          <w:color w:val="auto"/>
        </w:rPr>
        <w:t>2012. The weighted average interest rates at Sempra Energy at December 31, 2011 include interest rates for commercial paper borrowings classified as long-term, as we discuss above.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March 2012, Sempra Energy publicly offered and sold $600 million of 2.3-percent notes maturing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March 2012, SDG&amp;E publicly offered and sold $250 million of 4.3-percent first mortgage bonds maturing in 2042.</w:t>
      </w:r>
    </w:p>
    <w:p>
      <w:pPr>
        <w:spacing w:after="0" w:line="225" w:lineRule="exact"/>
        <w:rPr>
          <w:sz w:val="20"/>
          <w:szCs w:val="20"/>
          <w:color w:val="auto"/>
        </w:rPr>
      </w:pPr>
    </w:p>
    <w:p>
      <w:pPr>
        <w:ind w:right="840"/>
        <w:spacing w:after="0" w:line="279" w:lineRule="auto"/>
        <w:rPr>
          <w:sz w:val="20"/>
          <w:szCs w:val="20"/>
          <w:color w:val="auto"/>
        </w:rPr>
      </w:pPr>
      <w:r>
        <w:rPr>
          <w:rFonts w:ascii="Arial" w:cs="Arial" w:eastAsia="Arial" w:hAnsi="Arial"/>
          <w:sz w:val="17"/>
          <w:szCs w:val="17"/>
          <w:color w:val="auto"/>
        </w:rPr>
        <w:t>In June 2012, Sempra Renewables obtained a $117 million loan, the proceeds of which were applied to construction costs of the Copper Mountain Solar 1 project. The loan fully matures in December 2028. To partially moderate its exposure to interest rate changes, Sempra Renewables has also entered into floating-to-fixed interest rate swaps (2.043 percent) maturing December 2028 and covering $88 million of the loan outstanding. The remaining balance bears interest at rates varying with market rates (3.23% at June 30, 2012).</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NOTE 7. DERIVATIVE FINANCIAL INSTRUMENTS</w:t>
      </w:r>
    </w:p>
    <w:p>
      <w:pPr>
        <w:sectPr>
          <w:pgSz w:w="11900" w:h="16838" w:orient="portrait"/>
          <w:cols w:equalWidth="0" w:num="1">
            <w:col w:w="11420"/>
          </w:cols>
          <w:pgMar w:left="240" w:top="125" w:right="239" w:bottom="120" w:gutter="0" w:footer="0" w:header="0"/>
        </w:sectPr>
      </w:pPr>
    </w:p>
    <w:bookmarkStart w:id="28" w:name="page29"/>
    <w:bookmarkEnd w:id="28"/>
    <w:p>
      <w:pPr>
        <w:spacing w:after="0" w:line="6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use derivative instruments primarily to manage exposures arising in the normal course of business. Our principal exposures are commodity market risk and benchmark interest rate risk. We may also manage foreign exchange rate exposures using derivatives. Our use of derivatives for these risks is integrated into the economic management of our anticipated revenues, anticipated expenses, assets and liabilities. Derivatives may be effective in mitigating these risks</w:t>
      </w:r>
    </w:p>
    <w:p>
      <w:pPr>
        <w:jc w:val="both"/>
        <w:ind w:right="460" w:firstLine="8"/>
        <w:spacing w:after="0" w:line="25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could lead to declines in anticipated revenues or increases in anticipated expenses, or (2)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19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record all derivatives at fair value on the Condensed Consolidated Balance Sheets. We designate each derivative as (1) a cash flow hedge, (2) a fair value hedge, or (3) undesignated. Depending on the applicability of hedge accounting and, for the California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Consolidated Statements of Cash Flows.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designate a derivative as a cash flow hedging instrument if it effectively converts anticipated revenues or expenses to a fixed dollar amount. We may utilize cash flow hedge accounting for derivative commodity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pacing w:after="0" w:line="23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181" w:lineRule="exact"/>
        <w:rPr>
          <w:sz w:val="20"/>
          <w:szCs w:val="20"/>
          <w:color w:val="auto"/>
        </w:rPr>
      </w:pPr>
    </w:p>
    <w:p>
      <w:pPr>
        <w:jc w:val="both"/>
        <w:ind w:left="340" w:hanging="188"/>
        <w:spacing w:after="0" w:line="25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California Utilities use natural gas energy derivatives, on their customers’ behalf,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 approved by the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220" w:lineRule="exact"/>
        <w:rPr>
          <w:rFonts w:ascii="Arial" w:cs="Arial" w:eastAsia="Arial" w:hAnsi="Arial"/>
          <w:sz w:val="18"/>
          <w:szCs w:val="18"/>
          <w:color w:val="auto"/>
        </w:rPr>
      </w:pPr>
    </w:p>
    <w:p>
      <w:pPr>
        <w:jc w:val="both"/>
        <w:ind w:left="340" w:hanging="188"/>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Condensed Consolidated Statements of Operations.</w:t>
      </w:r>
    </w:p>
    <w:p>
      <w:pPr>
        <w:spacing w:after="0" w:line="213" w:lineRule="exact"/>
        <w:rPr>
          <w:rFonts w:ascii="Arial" w:cs="Arial" w:eastAsia="Arial" w:hAnsi="Arial"/>
          <w:sz w:val="18"/>
          <w:szCs w:val="18"/>
          <w:color w:val="auto"/>
        </w:rPr>
      </w:pPr>
    </w:p>
    <w:p>
      <w:pPr>
        <w:jc w:val="both"/>
        <w:ind w:left="340" w:hanging="188"/>
        <w:spacing w:after="0" w:line="31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Sempra Mexico uses natural gas derivatives and Sempra Natural Gas uses natural gas and electricity derivatives to market energy commodities and optimize the earnings of their natural gas power plants. Gains and losses associated with these undesignated derivatives are recognized in Energy-Related Businesses Revenues or in Cost of Natural Gas, Electric Fuel and Purchased Power on the Condensed Consolidated Statements of Operations.</w:t>
      </w:r>
    </w:p>
    <w:p>
      <w:pPr>
        <w:spacing w:after="0" w:line="173" w:lineRule="exact"/>
        <w:rPr>
          <w:rFonts w:ascii="Arial" w:cs="Arial" w:eastAsia="Arial" w:hAnsi="Arial"/>
          <w:sz w:val="16"/>
          <w:szCs w:val="16"/>
          <w:color w:val="auto"/>
        </w:rPr>
      </w:pPr>
    </w:p>
    <w:p>
      <w:pPr>
        <w:jc w:val="both"/>
        <w:ind w:left="340" w:hanging="188"/>
        <w:spacing w:after="0" w:line="293"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Sempra Mexico and Sempra Natural Gas use natural gas derivatives to market energy commodities and optimize the earnings of our liquefied natural gas (LNG) business and Sempra Natural Gas’ natural gas storage and transportation assets and LNG assets. Certain of these derivatives are undesignated, and their impact on earnings is recorded in Energy-Related Businesses Revenues on the Condensed Consolidated Statements of Operations. Certain of these derivatives may also be designated as cash flow hedges. Sempra Mexico also uses natural gas energy derivatives with the objective of managing price risk and lowering natural gas prices at its Mexican distribution operations. These derivatives, which are recorded as commodity costs that are offset by regulatory account balances and recovered in rates, are recognized in Cost of Natural Gas on the Condensed Consolidated Statements of Operations.</w:t>
      </w:r>
    </w:p>
    <w:p>
      <w:pPr>
        <w:spacing w:after="0" w:line="191"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time to time, our various businesses, including the California Utilities, may use other energy derivatives to hedge exposures such as the price of vehicle fuel.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summarize net energy derivative volumes as of June 30, 2012 and December 31, 2011 as follows: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and Commodity</w:t>
            </w:r>
          </w:p>
        </w:tc>
        <w:tc>
          <w:tcPr>
            <w:tcW w:w="4160" w:type="dxa"/>
            <w:vAlign w:val="bottom"/>
            <w:tcBorders>
              <w:bottom w:val="single" w:sz="8" w:color="auto"/>
            </w:tcBorders>
          </w:tcPr>
          <w:p>
            <w:pPr>
              <w:jc w:val="right"/>
              <w:ind w:right="1080"/>
              <w:spacing w:after="0"/>
              <w:rPr>
                <w:sz w:val="20"/>
                <w:szCs w:val="20"/>
                <w:color w:val="auto"/>
              </w:rPr>
            </w:pPr>
            <w:r>
              <w:rPr>
                <w:rFonts w:ascii="Arial" w:cs="Arial" w:eastAsia="Arial" w:hAnsi="Arial"/>
                <w:sz w:val="14"/>
                <w:szCs w:val="14"/>
                <w:color w:val="auto"/>
              </w:rPr>
              <w:t>June 30, 2012</w:t>
            </w:r>
          </w:p>
        </w:tc>
        <w:tc>
          <w:tcPr>
            <w:tcW w:w="2900" w:type="dxa"/>
            <w:vAlign w:val="bottom"/>
            <w:tcBorders>
              <w:bottom w:val="single" w:sz="8" w:color="auto"/>
            </w:tcBorders>
          </w:tcPr>
          <w:p>
            <w:pPr>
              <w:jc w:val="right"/>
              <w:ind w:right="1220"/>
              <w:spacing w:after="0"/>
              <w:rPr>
                <w:sz w:val="20"/>
                <w:szCs w:val="20"/>
                <w:color w:val="auto"/>
              </w:rPr>
            </w:pPr>
            <w:r>
              <w:rPr>
                <w:rFonts w:ascii="Arial" w:cs="Arial" w:eastAsia="Arial" w:hAnsi="Arial"/>
                <w:sz w:val="14"/>
                <w:szCs w:val="14"/>
                <w:color w:val="auto"/>
              </w:rPr>
              <w:t>December 31, 2011</w:t>
            </w:r>
          </w:p>
        </w:tc>
      </w:tr>
      <w:tr>
        <w:trPr>
          <w:trHeight w:val="210"/>
        </w:trPr>
        <w:tc>
          <w:tcPr>
            <w:tcW w:w="4360" w:type="dxa"/>
            <w:vAlign w:val="bottom"/>
          </w:tcPr>
          <w:p>
            <w:pPr>
              <w:spacing w:after="0"/>
              <w:rPr>
                <w:sz w:val="20"/>
                <w:szCs w:val="20"/>
                <w:color w:val="auto"/>
              </w:rPr>
            </w:pPr>
            <w:r>
              <w:rPr>
                <w:rFonts w:ascii="Arial" w:cs="Arial" w:eastAsia="Arial" w:hAnsi="Arial"/>
                <w:sz w:val="16"/>
                <w:szCs w:val="16"/>
                <w:color w:val="auto"/>
              </w:rPr>
              <w:t>California Utilities:</w:t>
            </w: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183"/>
        </w:trPr>
        <w:tc>
          <w:tcPr>
            <w:tcW w:w="4360" w:type="dxa"/>
            <w:vAlign w:val="bottom"/>
          </w:tcPr>
          <w:p>
            <w:pPr>
              <w:ind w:left="180"/>
              <w:spacing w:after="0"/>
              <w:rPr>
                <w:sz w:val="20"/>
                <w:szCs w:val="20"/>
                <w:color w:val="auto"/>
              </w:rPr>
            </w:pPr>
            <w:r>
              <w:rPr>
                <w:rFonts w:ascii="Arial" w:cs="Arial" w:eastAsia="Arial" w:hAnsi="Arial"/>
                <w:sz w:val="16"/>
                <w:szCs w:val="16"/>
                <w:color w:val="auto"/>
              </w:rPr>
              <w:t>SDG&amp;E:</w:t>
            </w:r>
          </w:p>
        </w:tc>
        <w:tc>
          <w:tcPr>
            <w:tcW w:w="416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176"/>
        </w:trPr>
        <w:tc>
          <w:tcPr>
            <w:tcW w:w="4360" w:type="dxa"/>
            <w:vAlign w:val="bottom"/>
          </w:tcPr>
          <w:p>
            <w:pPr>
              <w:ind w:left="360"/>
              <w:spacing w:after="0" w:line="176" w:lineRule="exact"/>
              <w:rPr>
                <w:sz w:val="20"/>
                <w:szCs w:val="20"/>
                <w:color w:val="auto"/>
              </w:rPr>
            </w:pPr>
            <w:r>
              <w:rPr>
                <w:rFonts w:ascii="Arial" w:cs="Arial" w:eastAsia="Arial" w:hAnsi="Arial"/>
                <w:sz w:val="16"/>
                <w:szCs w:val="16"/>
                <w:color w:val="auto"/>
              </w:rPr>
              <w:t>Natural gas</w:t>
            </w:r>
          </w:p>
        </w:tc>
        <w:tc>
          <w:tcPr>
            <w:tcW w:w="41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29 million MMBtu</w:t>
            </w:r>
          </w:p>
        </w:tc>
        <w:tc>
          <w:tcPr>
            <w:tcW w:w="290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35 million MMBtu</w:t>
            </w:r>
            <w:r>
              <w:rPr>
                <w:rFonts w:ascii="Arial" w:cs="Arial" w:eastAsia="Arial" w:hAnsi="Arial"/>
                <w:sz w:val="14"/>
                <w:szCs w:val="14"/>
                <w:color w:val="auto"/>
              </w:rPr>
              <w:t>(1)</w:t>
            </w:r>
          </w:p>
        </w:tc>
      </w:tr>
      <w:tr>
        <w:trPr>
          <w:trHeight w:val="202"/>
        </w:trPr>
        <w:tc>
          <w:tcPr>
            <w:tcW w:w="4360" w:type="dxa"/>
            <w:vAlign w:val="bottom"/>
          </w:tcPr>
          <w:p>
            <w:pPr>
              <w:ind w:left="360"/>
              <w:spacing w:after="0"/>
              <w:rPr>
                <w:sz w:val="20"/>
                <w:szCs w:val="20"/>
                <w:color w:val="auto"/>
              </w:rPr>
            </w:pPr>
            <w:r>
              <w:rPr>
                <w:rFonts w:ascii="Arial" w:cs="Arial" w:eastAsia="Arial" w:hAnsi="Arial"/>
                <w:sz w:val="16"/>
                <w:szCs w:val="16"/>
                <w:color w:val="auto"/>
              </w:rPr>
              <w:t>Congestion revenue rights</w:t>
            </w:r>
          </w:p>
        </w:tc>
        <w:tc>
          <w:tcPr>
            <w:tcW w:w="4160" w:type="dxa"/>
            <w:vAlign w:val="bottom"/>
          </w:tcPr>
          <w:p>
            <w:pPr>
              <w:jc w:val="right"/>
              <w:ind w:right="240"/>
              <w:spacing w:after="0"/>
              <w:rPr>
                <w:sz w:val="20"/>
                <w:szCs w:val="20"/>
                <w:color w:val="auto"/>
              </w:rPr>
            </w:pPr>
            <w:r>
              <w:rPr>
                <w:rFonts w:ascii="Arial" w:cs="Arial" w:eastAsia="Arial" w:hAnsi="Arial"/>
                <w:sz w:val="16"/>
                <w:szCs w:val="16"/>
                <w:color w:val="auto"/>
              </w:rPr>
              <w:t>14 million MWh</w:t>
            </w:r>
          </w:p>
        </w:tc>
        <w:tc>
          <w:tcPr>
            <w:tcW w:w="2900" w:type="dxa"/>
            <w:vAlign w:val="bottom"/>
          </w:tcPr>
          <w:p>
            <w:pPr>
              <w:jc w:val="right"/>
              <w:ind w:right="400"/>
              <w:spacing w:after="0"/>
              <w:rPr>
                <w:sz w:val="20"/>
                <w:szCs w:val="20"/>
                <w:color w:val="auto"/>
              </w:rPr>
            </w:pPr>
            <w:r>
              <w:rPr>
                <w:rFonts w:ascii="Arial" w:cs="Arial" w:eastAsia="Arial" w:hAnsi="Arial"/>
                <w:sz w:val="16"/>
                <w:szCs w:val="16"/>
                <w:color w:val="auto"/>
              </w:rPr>
              <w:t>19 million MWh</w:t>
            </w:r>
            <w:r>
              <w:rPr>
                <w:rFonts w:ascii="Arial" w:cs="Arial" w:eastAsia="Arial" w:hAnsi="Arial"/>
                <w:sz w:val="14"/>
                <w:szCs w:val="14"/>
                <w:color w:val="auto"/>
              </w:rPr>
              <w:t>(2)</w:t>
            </w:r>
          </w:p>
        </w:tc>
      </w:tr>
      <w:tr>
        <w:trPr>
          <w:trHeight w:val="398"/>
        </w:trPr>
        <w:tc>
          <w:tcPr>
            <w:tcW w:w="436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41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436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16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4360" w:type="dxa"/>
            <w:vAlign w:val="bottom"/>
          </w:tcPr>
          <w:p>
            <w:pPr>
              <w:ind w:left="360"/>
              <w:spacing w:after="0"/>
              <w:rPr>
                <w:sz w:val="20"/>
                <w:szCs w:val="20"/>
                <w:color w:val="auto"/>
              </w:rPr>
            </w:pPr>
            <w:r>
              <w:rPr>
                <w:rFonts w:ascii="Arial" w:cs="Arial" w:eastAsia="Arial" w:hAnsi="Arial"/>
                <w:sz w:val="16"/>
                <w:szCs w:val="16"/>
                <w:color w:val="auto"/>
              </w:rPr>
              <w:t>Electric power</w:t>
            </w:r>
          </w:p>
        </w:tc>
        <w:tc>
          <w:tcPr>
            <w:tcW w:w="4160" w:type="dxa"/>
            <w:vAlign w:val="bottom"/>
          </w:tcPr>
          <w:p>
            <w:pPr>
              <w:jc w:val="right"/>
              <w:ind w:right="240"/>
              <w:spacing w:after="0"/>
              <w:rPr>
                <w:sz w:val="20"/>
                <w:szCs w:val="20"/>
                <w:color w:val="auto"/>
              </w:rPr>
            </w:pPr>
            <w:r>
              <w:rPr>
                <w:rFonts w:ascii="Arial" w:cs="Arial" w:eastAsia="Arial" w:hAnsi="Arial"/>
                <w:sz w:val="16"/>
                <w:szCs w:val="16"/>
                <w:color w:val="auto"/>
              </w:rPr>
              <w:t>4 million MWh</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5 million MWh</w:t>
            </w:r>
          </w:p>
        </w:tc>
      </w:tr>
      <w:tr>
        <w:trPr>
          <w:trHeight w:val="203"/>
        </w:trPr>
        <w:tc>
          <w:tcPr>
            <w:tcW w:w="4360" w:type="dxa"/>
            <w:vAlign w:val="bottom"/>
          </w:tcPr>
          <w:p>
            <w:pPr>
              <w:ind w:left="360"/>
              <w:spacing w:after="0"/>
              <w:rPr>
                <w:sz w:val="20"/>
                <w:szCs w:val="20"/>
                <w:color w:val="auto"/>
              </w:rPr>
            </w:pPr>
            <w:r>
              <w:rPr>
                <w:rFonts w:ascii="Arial" w:cs="Arial" w:eastAsia="Arial" w:hAnsi="Arial"/>
                <w:sz w:val="16"/>
                <w:szCs w:val="16"/>
                <w:color w:val="auto"/>
              </w:rPr>
              <w:t>Natural gas</w:t>
            </w:r>
          </w:p>
        </w:tc>
        <w:tc>
          <w:tcPr>
            <w:tcW w:w="4160" w:type="dxa"/>
            <w:vAlign w:val="bottom"/>
          </w:tcPr>
          <w:p>
            <w:pPr>
              <w:jc w:val="right"/>
              <w:ind w:right="240"/>
              <w:spacing w:after="0"/>
              <w:rPr>
                <w:sz w:val="20"/>
                <w:szCs w:val="20"/>
                <w:color w:val="auto"/>
              </w:rPr>
            </w:pPr>
            <w:r>
              <w:rPr>
                <w:rFonts w:ascii="Arial" w:cs="Arial" w:eastAsia="Arial" w:hAnsi="Arial"/>
                <w:sz w:val="16"/>
                <w:szCs w:val="16"/>
                <w:color w:val="auto"/>
              </w:rPr>
              <w:t>21 million MMBtu</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20 million MMBtu</w:t>
            </w:r>
          </w:p>
        </w:tc>
      </w:tr>
      <w:tr>
        <w:trPr>
          <w:trHeight w:val="195"/>
        </w:trPr>
        <w:tc>
          <w:tcPr>
            <w:tcW w:w="43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Sempra Mexico - natural gas</w:t>
            </w:r>
          </w:p>
        </w:tc>
        <w:tc>
          <w:tcPr>
            <w:tcW w:w="41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 million MMBtu</w:t>
            </w:r>
          </w:p>
        </w:tc>
        <w:tc>
          <w:tcPr>
            <w:tcW w:w="290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1 million MMBtu</w:t>
            </w:r>
          </w:p>
        </w:tc>
      </w:tr>
    </w:tbl>
    <w:p>
      <w:pPr>
        <w:sectPr>
          <w:pgSz w:w="11900" w:h="16900" w:orient="portrait"/>
          <w:cols w:equalWidth="0" w:num="1">
            <w:col w:w="11420"/>
          </w:cols>
          <w:pgMar w:left="240" w:top="125" w:right="239" w:bottom="0" w:gutter="0" w:footer="0" w:header="0"/>
        </w:sectPr>
      </w:pPr>
    </w:p>
    <w:bookmarkStart w:id="29" w:name="page30"/>
    <w:bookmarkEnd w:id="29"/>
    <w:p>
      <w:pPr>
        <w:ind w:left="620" w:hanging="612"/>
        <w:spacing w:after="0"/>
        <w:tabs>
          <w:tab w:leader="none" w:pos="6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Million British thermal units</w:t>
      </w:r>
    </w:p>
    <w:p>
      <w:pPr>
        <w:spacing w:after="0" w:line="15" w:lineRule="exact"/>
        <w:rPr>
          <w:rFonts w:ascii="Arial" w:cs="Arial" w:eastAsia="Arial" w:hAnsi="Arial"/>
          <w:sz w:val="14"/>
          <w:szCs w:val="14"/>
          <w:i w:val="1"/>
          <w:iCs w:val="1"/>
          <w:color w:val="auto"/>
        </w:rPr>
      </w:pPr>
    </w:p>
    <w:p>
      <w:pPr>
        <w:ind w:left="620" w:hanging="612"/>
        <w:spacing w:after="0"/>
        <w:tabs>
          <w:tab w:leader="none" w:pos="6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Megawatt hours</w:t>
      </w:r>
    </w:p>
    <w:p>
      <w:pPr>
        <w:spacing w:after="0" w:line="200" w:lineRule="exact"/>
        <w:rPr>
          <w:sz w:val="20"/>
          <w:szCs w:val="20"/>
          <w:color w:val="auto"/>
        </w:rPr>
      </w:pPr>
    </w:p>
    <w:p>
      <w:pPr>
        <w:spacing w:after="0" w:line="2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the amounts noted above, we frequently use commodity derivatives to manage risks associated with the physical locations of our customers, assets and other contractual obligations, such as natural gas purchases and sales.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23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on outstanding debt or in anticipation of future financings.</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Interest rate derivatives are utilized by the California Utilities as well as by other Sempra Energy subsidiaries. Although the California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California Utilities, as well as at the rest of Sempra Energy’s subsidiaries. Separately, Otay Mesa VIE has entered into interest rate swap agreements to moderate its exposure to interest rate changes. This activity was designated as a cash flow hedge as of April 1,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amounts of our interest rate derivatives as of June 30, 2012 and December 31, 2011 were: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June 30, 2012</w:t>
            </w:r>
          </w:p>
        </w:tc>
        <w:tc>
          <w:tcPr>
            <w:tcW w:w="1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2011</w:t>
            </w: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0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tcPr>
          <w:p>
            <w:pPr>
              <w:spacing w:after="0"/>
              <w:rPr>
                <w:sz w:val="14"/>
                <w:szCs w:val="14"/>
                <w:color w:val="auto"/>
              </w:rPr>
            </w:pPr>
          </w:p>
        </w:tc>
        <w:tc>
          <w:tcPr>
            <w:tcW w:w="1900" w:type="dxa"/>
            <w:vAlign w:val="bottom"/>
          </w:tcPr>
          <w:p>
            <w:pPr>
              <w:jc w:val="right"/>
              <w:ind w:right="923"/>
              <w:spacing w:after="0"/>
              <w:rPr>
                <w:sz w:val="20"/>
                <w:szCs w:val="20"/>
                <w:color w:val="auto"/>
              </w:rPr>
            </w:pPr>
            <w:r>
              <w:rPr>
                <w:rFonts w:ascii="Arial" w:cs="Arial" w:eastAsia="Arial" w:hAnsi="Arial"/>
                <w:sz w:val="14"/>
                <w:szCs w:val="14"/>
                <w:color w:val="auto"/>
              </w:rPr>
              <w:t>Notional Debt</w:t>
            </w:r>
          </w:p>
        </w:tc>
        <w:tc>
          <w:tcPr>
            <w:tcW w:w="1480" w:type="dxa"/>
            <w:vAlign w:val="bottom"/>
          </w:tcPr>
          <w:p>
            <w:pPr>
              <w:jc w:val="right"/>
              <w:ind w:right="682"/>
              <w:spacing w:after="0"/>
              <w:rPr>
                <w:sz w:val="20"/>
                <w:szCs w:val="20"/>
                <w:color w:val="auto"/>
              </w:rPr>
            </w:pPr>
            <w:r>
              <w:rPr>
                <w:rFonts w:ascii="Arial" w:cs="Arial" w:eastAsia="Arial" w:hAnsi="Arial"/>
                <w:sz w:val="14"/>
                <w:szCs w:val="14"/>
                <w:color w:val="auto"/>
              </w:rPr>
              <w:t>Maturities</w:t>
            </w:r>
          </w:p>
        </w:tc>
        <w:tc>
          <w:tcPr>
            <w:tcW w:w="300" w:type="dxa"/>
            <w:vAlign w:val="bottom"/>
          </w:tcPr>
          <w:p>
            <w:pPr>
              <w:spacing w:after="0"/>
              <w:rPr>
                <w:sz w:val="14"/>
                <w:szCs w:val="14"/>
                <w:color w:val="auto"/>
              </w:rPr>
            </w:pPr>
          </w:p>
        </w:tc>
        <w:tc>
          <w:tcPr>
            <w:tcW w:w="2000" w:type="dxa"/>
            <w:vAlign w:val="bottom"/>
          </w:tcPr>
          <w:p>
            <w:pPr>
              <w:jc w:val="right"/>
              <w:ind w:right="1023"/>
              <w:spacing w:after="0"/>
              <w:rPr>
                <w:sz w:val="20"/>
                <w:szCs w:val="20"/>
                <w:color w:val="auto"/>
              </w:rPr>
            </w:pPr>
            <w:r>
              <w:rPr>
                <w:rFonts w:ascii="Arial" w:cs="Arial" w:eastAsia="Arial" w:hAnsi="Arial"/>
                <w:sz w:val="14"/>
                <w:szCs w:val="14"/>
                <w:color w:val="auto"/>
              </w:rPr>
              <w:t>Notional Debt</w:t>
            </w:r>
          </w:p>
        </w:tc>
        <w:tc>
          <w:tcPr>
            <w:tcW w:w="1240" w:type="dxa"/>
            <w:vAlign w:val="bottom"/>
            <w:gridSpan w:val="2"/>
          </w:tcPr>
          <w:p>
            <w:pPr>
              <w:jc w:val="right"/>
              <w:ind w:right="600"/>
              <w:spacing w:after="0"/>
              <w:rPr>
                <w:sz w:val="20"/>
                <w:szCs w:val="20"/>
                <w:color w:val="auto"/>
              </w:rPr>
            </w:pPr>
            <w:r>
              <w:rPr>
                <w:rFonts w:ascii="Arial" w:cs="Arial" w:eastAsia="Arial" w:hAnsi="Arial"/>
                <w:sz w:val="14"/>
                <w:szCs w:val="14"/>
                <w:color w:val="auto"/>
              </w:rPr>
              <w:t>Maturities</w:t>
            </w:r>
          </w:p>
        </w:tc>
      </w:tr>
      <w:tr>
        <w:trPr>
          <w:trHeight w:val="164"/>
        </w:trPr>
        <w:tc>
          <w:tcPr>
            <w:tcW w:w="20" w:type="dxa"/>
            <w:vAlign w:val="bottom"/>
          </w:tcPr>
          <w:p>
            <w:pPr>
              <w:spacing w:after="0"/>
              <w:rPr>
                <w:sz w:val="14"/>
                <w:szCs w:val="14"/>
                <w:color w:val="auto"/>
              </w:rPr>
            </w:pPr>
          </w:p>
        </w:tc>
        <w:tc>
          <w:tcPr>
            <w:tcW w:w="400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Sempra Energy Consolidated(1)</w:t>
            </w:r>
          </w:p>
        </w:tc>
        <w:tc>
          <w:tcPr>
            <w:tcW w:w="5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w:t>
            </w:r>
          </w:p>
        </w:tc>
        <w:tc>
          <w:tcPr>
            <w:tcW w:w="1900" w:type="dxa"/>
            <w:vAlign w:val="bottom"/>
            <w:tcBorders>
              <w:top w:val="single" w:sz="8" w:color="auto"/>
            </w:tcBorders>
          </w:tcPr>
          <w:p>
            <w:pPr>
              <w:jc w:val="right"/>
              <w:ind w:right="403"/>
              <w:spacing w:after="0" w:line="164" w:lineRule="exact"/>
              <w:rPr>
                <w:sz w:val="20"/>
                <w:szCs w:val="20"/>
                <w:color w:val="auto"/>
              </w:rPr>
            </w:pPr>
            <w:r>
              <w:rPr>
                <w:rFonts w:ascii="Arial" w:cs="Arial" w:eastAsia="Arial" w:hAnsi="Arial"/>
                <w:sz w:val="16"/>
                <w:szCs w:val="16"/>
                <w:color w:val="auto"/>
              </w:rPr>
              <w:t>4-369</w:t>
            </w:r>
          </w:p>
        </w:tc>
        <w:tc>
          <w:tcPr>
            <w:tcW w:w="1480" w:type="dxa"/>
            <w:vAlign w:val="bottom"/>
            <w:tcBorders>
              <w:top w:val="single" w:sz="8" w:color="auto"/>
            </w:tcBorders>
          </w:tcPr>
          <w:p>
            <w:pPr>
              <w:jc w:val="right"/>
              <w:ind w:right="122"/>
              <w:spacing w:after="0" w:line="164" w:lineRule="exact"/>
              <w:rPr>
                <w:sz w:val="20"/>
                <w:szCs w:val="20"/>
                <w:color w:val="auto"/>
              </w:rPr>
            </w:pPr>
            <w:r>
              <w:rPr>
                <w:rFonts w:ascii="Arial" w:cs="Arial" w:eastAsia="Arial" w:hAnsi="Arial"/>
                <w:sz w:val="16"/>
                <w:szCs w:val="16"/>
                <w:color w:val="auto"/>
              </w:rPr>
              <w:t>2013-2028</w:t>
            </w:r>
          </w:p>
        </w:tc>
        <w:tc>
          <w:tcPr>
            <w:tcW w:w="3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tcPr>
          <w:p>
            <w:pPr>
              <w:jc w:val="right"/>
              <w:ind w:right="483"/>
              <w:spacing w:after="0" w:line="164" w:lineRule="exact"/>
              <w:rPr>
                <w:sz w:val="20"/>
                <w:szCs w:val="20"/>
                <w:color w:val="auto"/>
              </w:rPr>
            </w:pPr>
            <w:r>
              <w:rPr>
                <w:rFonts w:ascii="Arial" w:cs="Arial" w:eastAsia="Arial" w:hAnsi="Arial"/>
                <w:sz w:val="16"/>
                <w:szCs w:val="16"/>
                <w:color w:val="auto"/>
              </w:rPr>
              <w:t>15-305</w:t>
            </w:r>
          </w:p>
        </w:tc>
        <w:tc>
          <w:tcPr>
            <w:tcW w:w="12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2013-2019</w:t>
            </w:r>
          </w:p>
        </w:tc>
        <w:tc>
          <w:tcPr>
            <w:tcW w:w="20" w:type="dxa"/>
            <w:vAlign w:val="bottom"/>
          </w:tcPr>
          <w:p>
            <w:pPr>
              <w:spacing w:after="0"/>
              <w:rPr>
                <w:sz w:val="14"/>
                <w:szCs w:val="14"/>
                <w:color w:val="auto"/>
              </w:rPr>
            </w:pPr>
          </w:p>
        </w:tc>
      </w:tr>
      <w:tr>
        <w:trPr>
          <w:trHeight w:val="195"/>
        </w:trPr>
        <w:tc>
          <w:tcPr>
            <w:tcW w:w="4020" w:type="dxa"/>
            <w:vAlign w:val="bottom"/>
            <w:gridSpan w:val="2"/>
          </w:tcPr>
          <w:p>
            <w:pPr>
              <w:spacing w:after="0"/>
              <w:rPr>
                <w:sz w:val="20"/>
                <w:szCs w:val="20"/>
                <w:color w:val="auto"/>
              </w:rPr>
            </w:pPr>
            <w:r>
              <w:rPr>
                <w:rFonts w:ascii="Arial" w:cs="Arial" w:eastAsia="Arial" w:hAnsi="Arial"/>
                <w:sz w:val="16"/>
                <w:szCs w:val="16"/>
                <w:color w:val="auto"/>
              </w:rPr>
              <w:t>SDG&amp;E(1)</w:t>
            </w:r>
          </w:p>
        </w:tc>
        <w:tc>
          <w:tcPr>
            <w:tcW w:w="500" w:type="dxa"/>
            <w:vAlign w:val="bottom"/>
          </w:tcPr>
          <w:p>
            <w:pPr>
              <w:spacing w:after="0"/>
              <w:rPr>
                <w:sz w:val="16"/>
                <w:szCs w:val="16"/>
                <w:color w:val="auto"/>
              </w:rPr>
            </w:pPr>
          </w:p>
        </w:tc>
        <w:tc>
          <w:tcPr>
            <w:tcW w:w="1900" w:type="dxa"/>
            <w:vAlign w:val="bottom"/>
          </w:tcPr>
          <w:p>
            <w:pPr>
              <w:jc w:val="right"/>
              <w:ind w:right="403"/>
              <w:spacing w:after="0"/>
              <w:rPr>
                <w:sz w:val="20"/>
                <w:szCs w:val="20"/>
                <w:color w:val="auto"/>
              </w:rPr>
            </w:pPr>
            <w:r>
              <w:rPr>
                <w:rFonts w:ascii="Arial" w:cs="Arial" w:eastAsia="Arial" w:hAnsi="Arial"/>
                <w:sz w:val="16"/>
                <w:szCs w:val="16"/>
                <w:color w:val="auto"/>
              </w:rPr>
              <w:t>285-350</w:t>
            </w:r>
          </w:p>
        </w:tc>
        <w:tc>
          <w:tcPr>
            <w:tcW w:w="1480" w:type="dxa"/>
            <w:vAlign w:val="bottom"/>
          </w:tcPr>
          <w:p>
            <w:pPr>
              <w:jc w:val="right"/>
              <w:ind w:right="122"/>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16"/>
                <w:szCs w:val="16"/>
                <w:color w:val="auto"/>
              </w:rPr>
            </w:pPr>
          </w:p>
        </w:tc>
        <w:tc>
          <w:tcPr>
            <w:tcW w:w="2000" w:type="dxa"/>
            <w:vAlign w:val="bottom"/>
          </w:tcPr>
          <w:p>
            <w:pPr>
              <w:jc w:val="right"/>
              <w:ind w:right="483"/>
              <w:spacing w:after="0"/>
              <w:rPr>
                <w:sz w:val="20"/>
                <w:szCs w:val="20"/>
                <w:color w:val="auto"/>
              </w:rPr>
            </w:pPr>
            <w:r>
              <w:rPr>
                <w:rFonts w:ascii="Arial" w:cs="Arial" w:eastAsia="Arial" w:hAnsi="Arial"/>
                <w:sz w:val="16"/>
                <w:szCs w:val="16"/>
                <w:color w:val="auto"/>
              </w:rPr>
              <w:t>285-355</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40" w:hanging="632"/>
        <w:spacing w:after="0"/>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interest rate derivatives relate to Otay Mesa VIE.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23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exposed to exchange rate movements primarily as a result of our Mexican subsidiaries, which have U.S. dollar denominated receivables and payables (monetary assets and liabilities) that give rise to Mexican currency exchange rate movements for Mexican income tax purposes. These subsidiaries also have deferred income tax assets and liabilities that are denominated in the Mexican peso, which must be translated into U.S. dollars for financial reporting purposes. From time to time, we may utilize short-term foreign currency derivatives at our subsidiaries and at the consolidated level as a means to manage the risk of exposure to significant fluctuations in our income tax expense from these impacts.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234"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following tables provide the fair values of derivative instruments, without consideration of margin deposits held or posted, on the Condensed Consolidated Balance Sheets as of June 30, 2012 and December 31, 2011:</w:t>
      </w:r>
    </w:p>
    <w:p>
      <w:pPr>
        <w:spacing w:after="0" w:line="200" w:lineRule="exact"/>
        <w:rPr>
          <w:sz w:val="20"/>
          <w:szCs w:val="20"/>
          <w:color w:val="auto"/>
        </w:rPr>
      </w:pPr>
    </w:p>
    <w:p>
      <w:pPr>
        <w:spacing w:after="0" w:line="210" w:lineRule="exact"/>
        <w:rPr>
          <w:sz w:val="20"/>
          <w:szCs w:val="20"/>
          <w:color w:val="auto"/>
        </w:rPr>
      </w:pPr>
    </w:p>
    <w:p>
      <w:pPr>
        <w:ind w:right="4640"/>
        <w:spacing w:after="0" w:line="243"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1082"/>
              <w:spacing w:after="0" w:line="159" w:lineRule="exact"/>
              <w:rPr>
                <w:sz w:val="20"/>
                <w:szCs w:val="20"/>
                <w:color w:val="auto"/>
              </w:rPr>
            </w:pPr>
            <w:r>
              <w:rPr>
                <w:rFonts w:ascii="Arial" w:cs="Arial" w:eastAsia="Arial" w:hAnsi="Arial"/>
                <w:sz w:val="14"/>
                <w:szCs w:val="14"/>
                <w:color w:val="auto"/>
              </w:rPr>
              <w:t>June 30, 2012</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color w:val="auto"/>
              </w:rPr>
              <w:t>Deferred</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credits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Current</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Current</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liabilities: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Fixed-price</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Fixed-price</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Fixed-price</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4"/>
                <w:szCs w:val="14"/>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contracts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w w:val="99"/>
              </w:rPr>
              <w:t>assets:</w:t>
            </w: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164"/>
        </w:trPr>
        <w:tc>
          <w:tcPr>
            <w:tcW w:w="5200" w:type="dxa"/>
            <w:vAlign w:val="bottom"/>
            <w:gridSpan w:val="2"/>
          </w:tcPr>
          <w:p>
            <w:pPr>
              <w:spacing w:after="0" w:line="137" w:lineRule="exact"/>
              <w:rPr>
                <w:sz w:val="20"/>
                <w:szCs w:val="20"/>
                <w:color w:val="auto"/>
              </w:rPr>
            </w:pPr>
            <w:r>
              <w:rPr>
                <w:rFonts w:ascii="Arial" w:cs="Arial" w:eastAsia="Arial" w:hAnsi="Arial"/>
                <w:sz w:val="14"/>
                <w:szCs w:val="14"/>
                <w:color w:val="auto"/>
              </w:rPr>
              <w:t>Derivatives designated as hedging instruments</w:t>
            </w:r>
          </w:p>
        </w:tc>
        <w:tc>
          <w:tcPr>
            <w:tcW w:w="360" w:type="dxa"/>
            <w:vAlign w:val="bottom"/>
          </w:tcPr>
          <w:p>
            <w:pPr>
              <w:spacing w:after="0"/>
              <w:rPr>
                <w:sz w:val="14"/>
                <w:szCs w:val="14"/>
                <w:color w:val="auto"/>
              </w:rPr>
            </w:pPr>
          </w:p>
        </w:tc>
        <w:tc>
          <w:tcPr>
            <w:tcW w:w="1260" w:type="dxa"/>
            <w:vAlign w:val="bottom"/>
          </w:tcPr>
          <w:p>
            <w:pPr>
              <w:jc w:val="center"/>
              <w:ind w:right="102"/>
              <w:spacing w:after="0" w:line="137" w:lineRule="exact"/>
              <w:rPr>
                <w:sz w:val="20"/>
                <w:szCs w:val="20"/>
                <w:color w:val="auto"/>
              </w:rPr>
            </w:pPr>
            <w:r>
              <w:rPr>
                <w:rFonts w:ascii="Arial" w:cs="Arial" w:eastAsia="Arial" w:hAnsi="Arial"/>
                <w:sz w:val="14"/>
                <w:szCs w:val="14"/>
                <w:color w:val="auto"/>
              </w:rPr>
              <w:t>derivatives(1)</w:t>
            </w:r>
          </w:p>
        </w:tc>
        <w:tc>
          <w:tcPr>
            <w:tcW w:w="300" w:type="dxa"/>
            <w:vAlign w:val="bottom"/>
          </w:tcPr>
          <w:p>
            <w:pPr>
              <w:spacing w:after="0"/>
              <w:rPr>
                <w:sz w:val="14"/>
                <w:szCs w:val="14"/>
                <w:color w:val="auto"/>
              </w:rPr>
            </w:pPr>
          </w:p>
        </w:tc>
        <w:tc>
          <w:tcPr>
            <w:tcW w:w="1240" w:type="dxa"/>
            <w:vAlign w:val="bottom"/>
          </w:tcPr>
          <w:p>
            <w:pPr>
              <w:jc w:val="center"/>
              <w:ind w:right="121"/>
              <w:spacing w:after="0" w:line="137" w:lineRule="exact"/>
              <w:rPr>
                <w:sz w:val="20"/>
                <w:szCs w:val="20"/>
                <w:color w:val="auto"/>
              </w:rPr>
            </w:pPr>
            <w:r>
              <w:rPr>
                <w:rFonts w:ascii="Arial" w:cs="Arial" w:eastAsia="Arial" w:hAnsi="Arial"/>
                <w:sz w:val="14"/>
                <w:szCs w:val="14"/>
                <w:color w:val="auto"/>
                <w:w w:val="99"/>
              </w:rPr>
              <w:t>Sundry</w:t>
            </w:r>
          </w:p>
        </w:tc>
        <w:tc>
          <w:tcPr>
            <w:tcW w:w="280" w:type="dxa"/>
            <w:vAlign w:val="bottom"/>
          </w:tcPr>
          <w:p>
            <w:pPr>
              <w:spacing w:after="0"/>
              <w:rPr>
                <w:sz w:val="14"/>
                <w:szCs w:val="14"/>
                <w:color w:val="auto"/>
              </w:rPr>
            </w:pPr>
          </w:p>
        </w:tc>
        <w:tc>
          <w:tcPr>
            <w:tcW w:w="1280" w:type="dxa"/>
            <w:vAlign w:val="bottom"/>
          </w:tcPr>
          <w:p>
            <w:pPr>
              <w:jc w:val="center"/>
              <w:ind w:right="102"/>
              <w:spacing w:after="0" w:line="137" w:lineRule="exact"/>
              <w:rPr>
                <w:sz w:val="20"/>
                <w:szCs w:val="20"/>
                <w:color w:val="auto"/>
              </w:rPr>
            </w:pPr>
            <w:r>
              <w:rPr>
                <w:rFonts w:ascii="Arial" w:cs="Arial" w:eastAsia="Arial" w:hAnsi="Arial"/>
                <w:sz w:val="14"/>
                <w:szCs w:val="14"/>
                <w:color w:val="auto"/>
              </w:rPr>
              <w:t>derivatives(2)</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line="137" w:lineRule="exact"/>
              <w:rPr>
                <w:sz w:val="20"/>
                <w:szCs w:val="20"/>
                <w:color w:val="auto"/>
              </w:rPr>
            </w:pPr>
            <w:r>
              <w:rPr>
                <w:rFonts w:ascii="Arial" w:cs="Arial" w:eastAsia="Arial" w:hAnsi="Arial"/>
                <w:sz w:val="14"/>
                <w:szCs w:val="14"/>
                <w:color w:val="auto"/>
              </w:rPr>
              <w:t>derivatives</w:t>
            </w:r>
          </w:p>
        </w:tc>
      </w:tr>
      <w:tr>
        <w:trPr>
          <w:trHeight w:val="164"/>
        </w:trPr>
        <w:tc>
          <w:tcPr>
            <w:tcW w:w="52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r>
      <w:tr>
        <w:trPr>
          <w:trHeight w:val="164"/>
        </w:trPr>
        <w:tc>
          <w:tcPr>
            <w:tcW w:w="20" w:type="dxa"/>
            <w:vAlign w:val="bottom"/>
          </w:tcPr>
          <w:p>
            <w:pPr>
              <w:spacing w:after="0"/>
              <w:rPr>
                <w:sz w:val="14"/>
                <w:szCs w:val="14"/>
                <w:color w:val="auto"/>
              </w:rPr>
            </w:pPr>
          </w:p>
        </w:tc>
        <w:tc>
          <w:tcPr>
            <w:tcW w:w="51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Interest rate instruments(3)</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r>
      <w:tr>
        <w:trPr>
          <w:trHeight w:val="345"/>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Derivatives not designated as hedging instruments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4"/>
        </w:trPr>
        <w:tc>
          <w:tcPr>
            <w:tcW w:w="52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Interest rate instruments</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8</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43</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(8)</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(37)</w:t>
            </w: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130</w:t>
            </w:r>
          </w:p>
        </w:tc>
        <w:tc>
          <w:tcPr>
            <w:tcW w:w="300" w:type="dxa"/>
            <w:vAlign w:val="bottom"/>
          </w:tcPr>
          <w:p>
            <w:pPr>
              <w:spacing w:after="0"/>
              <w:rPr>
                <w:sz w:val="15"/>
                <w:szCs w:val="15"/>
                <w:color w:val="auto"/>
              </w:rPr>
            </w:pP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17</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(130)</w:t>
            </w:r>
          </w:p>
        </w:tc>
        <w:tc>
          <w:tcPr>
            <w:tcW w:w="320" w:type="dxa"/>
            <w:vAlign w:val="bottom"/>
          </w:tcPr>
          <w:p>
            <w:pPr>
              <w:spacing w:after="0"/>
              <w:rPr>
                <w:sz w:val="15"/>
                <w:szCs w:val="15"/>
                <w:color w:val="auto"/>
              </w:rPr>
            </w:pP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(39)</w:t>
            </w:r>
          </w:p>
        </w:tc>
      </w:tr>
      <w:tr>
        <w:trPr>
          <w:trHeight w:val="176"/>
        </w:trPr>
        <w:tc>
          <w:tcPr>
            <w:tcW w:w="20" w:type="dxa"/>
            <w:vAlign w:val="bottom"/>
          </w:tcPr>
          <w:p>
            <w:pPr>
              <w:spacing w:after="0"/>
              <w:rPr>
                <w:sz w:val="15"/>
                <w:szCs w:val="15"/>
                <w:color w:val="auto"/>
              </w:rPr>
            </w:pPr>
          </w:p>
        </w:tc>
        <w:tc>
          <w:tcPr>
            <w:tcW w:w="5180" w:type="dxa"/>
            <w:vAlign w:val="bottom"/>
          </w:tcPr>
          <w:p>
            <w:pPr>
              <w:ind w:left="340"/>
              <w:spacing w:after="0" w:line="176" w:lineRule="exact"/>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5"/>
                <w:szCs w:val="15"/>
                <w:color w:val="auto"/>
              </w:rPr>
            </w:pPr>
          </w:p>
        </w:tc>
        <w:tc>
          <w:tcPr>
            <w:tcW w:w="1260" w:type="dxa"/>
            <w:vAlign w:val="bottom"/>
          </w:tcPr>
          <w:p>
            <w:pPr>
              <w:jc w:val="right"/>
              <w:ind w:right="2"/>
              <w:spacing w:after="0" w:line="176" w:lineRule="exact"/>
              <w:rPr>
                <w:sz w:val="20"/>
                <w:szCs w:val="20"/>
                <w:color w:val="auto"/>
              </w:rPr>
            </w:pPr>
            <w:r>
              <w:rPr>
                <w:rFonts w:ascii="Arial" w:cs="Arial" w:eastAsia="Arial" w:hAnsi="Arial"/>
                <w:sz w:val="16"/>
                <w:szCs w:val="16"/>
                <w:color w:val="auto"/>
              </w:rPr>
              <w:t>(108)</w:t>
            </w:r>
          </w:p>
        </w:tc>
        <w:tc>
          <w:tcPr>
            <w:tcW w:w="300" w:type="dxa"/>
            <w:vAlign w:val="bottom"/>
          </w:tcPr>
          <w:p>
            <w:pPr>
              <w:spacing w:after="0"/>
              <w:rPr>
                <w:sz w:val="15"/>
                <w:szCs w:val="15"/>
                <w:color w:val="auto"/>
              </w:rPr>
            </w:pPr>
          </w:p>
        </w:tc>
        <w:tc>
          <w:tcPr>
            <w:tcW w:w="1240" w:type="dxa"/>
            <w:vAlign w:val="bottom"/>
          </w:tcPr>
          <w:p>
            <w:pPr>
              <w:jc w:val="right"/>
              <w:ind w:right="1"/>
              <w:spacing w:after="0" w:line="176" w:lineRule="exact"/>
              <w:rPr>
                <w:sz w:val="20"/>
                <w:szCs w:val="20"/>
                <w:color w:val="auto"/>
              </w:rPr>
            </w:pPr>
            <w:r>
              <w:rPr>
                <w:rFonts w:ascii="Arial" w:cs="Arial" w:eastAsia="Arial" w:hAnsi="Arial"/>
                <w:sz w:val="16"/>
                <w:szCs w:val="16"/>
                <w:color w:val="auto"/>
              </w:rPr>
              <w:t>(14)</w:t>
            </w:r>
          </w:p>
        </w:tc>
        <w:tc>
          <w:tcPr>
            <w:tcW w:w="280" w:type="dxa"/>
            <w:vAlign w:val="bottom"/>
          </w:tcPr>
          <w:p>
            <w:pPr>
              <w:spacing w:after="0"/>
              <w:rPr>
                <w:sz w:val="15"/>
                <w:szCs w:val="15"/>
                <w:color w:val="auto"/>
              </w:rPr>
            </w:pPr>
          </w:p>
        </w:tc>
        <w:tc>
          <w:tcPr>
            <w:tcW w:w="128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108</w:t>
            </w:r>
          </w:p>
        </w:tc>
        <w:tc>
          <w:tcPr>
            <w:tcW w:w="3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11</w:t>
            </w:r>
          </w:p>
        </w:tc>
        <w:tc>
          <w:tcPr>
            <w:tcW w:w="300" w:type="dxa"/>
            <w:vAlign w:val="bottom"/>
          </w:tcPr>
          <w:p>
            <w:pPr>
              <w:spacing w:after="0"/>
              <w:rPr>
                <w:sz w:val="15"/>
                <w:szCs w:val="15"/>
                <w:color w:val="auto"/>
              </w:rPr>
            </w:pP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7</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(56)</w:t>
            </w:r>
          </w:p>
        </w:tc>
        <w:tc>
          <w:tcPr>
            <w:tcW w:w="320" w:type="dxa"/>
            <w:vAlign w:val="bottom"/>
          </w:tcPr>
          <w:p>
            <w:pPr>
              <w:spacing w:after="0"/>
              <w:rPr>
                <w:sz w:val="15"/>
                <w:szCs w:val="15"/>
                <w:color w:val="auto"/>
              </w:rPr>
            </w:pP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(15)</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36</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52</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(81)</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(76)</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10</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7</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(54)</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(15)</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6</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(50)</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(3)</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95"/>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Total</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0" w:gutter="0" w:footer="0" w:header="0"/>
        </w:sectPr>
      </w:pPr>
    </w:p>
    <w:p>
      <w:pPr>
        <w:ind w:left="500" w:hanging="492"/>
        <w:spacing w:after="0"/>
        <w:tabs>
          <w:tab w:leader="none" w:pos="50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13" w:lineRule="exact"/>
        <w:rPr>
          <w:rFonts w:ascii="Arial" w:cs="Arial" w:eastAsia="Arial" w:hAnsi="Arial"/>
          <w:sz w:val="14"/>
          <w:szCs w:val="14"/>
          <w:i w:val="1"/>
          <w:iCs w:val="1"/>
          <w:color w:val="auto"/>
        </w:rPr>
      </w:pPr>
    </w:p>
    <w:p>
      <w:pPr>
        <w:ind w:left="500" w:hanging="492"/>
        <w:spacing w:after="0"/>
        <w:tabs>
          <w:tab w:leader="none" w:pos="50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ectPr>
          <w:pgSz w:w="11900" w:h="16838" w:orient="portrait"/>
          <w:cols w:equalWidth="0" w:num="1">
            <w:col w:w="11420"/>
          </w:cols>
          <w:pgMar w:left="240" w:top="130" w:right="239" w:bottom="0" w:gutter="0" w:footer="0" w:header="0"/>
          <w:type w:val="continuous"/>
        </w:sectPr>
      </w:pPr>
    </w:p>
    <w:bookmarkStart w:id="30" w:name="page31"/>
    <w:bookmarkEnd w:id="30"/>
    <w:p>
      <w:pPr>
        <w:ind w:right="4640"/>
        <w:spacing w:after="0" w:line="243"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842"/>
              <w:spacing w:after="0" w:line="159" w:lineRule="exact"/>
              <w:rPr>
                <w:sz w:val="20"/>
                <w:szCs w:val="20"/>
                <w:color w:val="auto"/>
              </w:rPr>
            </w:pPr>
            <w:r>
              <w:rPr>
                <w:rFonts w:ascii="Arial" w:cs="Arial" w:eastAsia="Arial" w:hAnsi="Arial"/>
                <w:sz w:val="14"/>
                <w:szCs w:val="14"/>
                <w:color w:val="auto"/>
              </w:rPr>
              <w:t>December 31, 2011</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color w:val="auto"/>
              </w:rPr>
              <w:t>Deferred</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rPr>
              <w:t>credits</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ind w:right="82"/>
              <w:spacing w:after="0"/>
              <w:rPr>
                <w:sz w:val="20"/>
                <w:szCs w:val="20"/>
                <w:color w:val="auto"/>
              </w:rPr>
            </w:pPr>
            <w:r>
              <w:rPr>
                <w:rFonts w:ascii="Arial" w:cs="Arial" w:eastAsia="Arial" w:hAnsi="Arial"/>
                <w:sz w:val="14"/>
                <w:szCs w:val="14"/>
                <w:color w:val="auto"/>
              </w:rPr>
              <w:t>Current</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82"/>
              <w:spacing w:after="0"/>
              <w:rPr>
                <w:sz w:val="20"/>
                <w:szCs w:val="20"/>
                <w:color w:val="auto"/>
              </w:rPr>
            </w:pPr>
            <w:r>
              <w:rPr>
                <w:rFonts w:ascii="Arial" w:cs="Arial" w:eastAsia="Arial" w:hAnsi="Arial"/>
                <w:sz w:val="14"/>
                <w:szCs w:val="14"/>
                <w:color w:val="auto"/>
              </w:rPr>
              <w:t>Current</w:t>
            </w:r>
          </w:p>
        </w:tc>
        <w:tc>
          <w:tcPr>
            <w:tcW w:w="3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rPr>
              <w:t>liabilities:</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ind w:right="82"/>
              <w:spacing w:after="0"/>
              <w:rPr>
                <w:sz w:val="20"/>
                <w:szCs w:val="20"/>
                <w:color w:val="auto"/>
              </w:rPr>
            </w:pPr>
            <w:r>
              <w:rPr>
                <w:rFonts w:ascii="Arial" w:cs="Arial" w:eastAsia="Arial" w:hAnsi="Arial"/>
                <w:sz w:val="14"/>
                <w:szCs w:val="14"/>
                <w:color w:val="auto"/>
              </w:rPr>
              <w:t>Fixed-price</w:t>
            </w:r>
          </w:p>
        </w:tc>
        <w:tc>
          <w:tcPr>
            <w:tcW w:w="280" w:type="dxa"/>
            <w:vAlign w:val="bottom"/>
          </w:tcPr>
          <w:p>
            <w:pPr>
              <w:spacing w:after="0"/>
              <w:rPr>
                <w:sz w:val="14"/>
                <w:szCs w:val="14"/>
                <w:color w:val="auto"/>
              </w:rPr>
            </w:pPr>
          </w:p>
        </w:tc>
        <w:tc>
          <w:tcPr>
            <w:tcW w:w="1220" w:type="dxa"/>
            <w:vAlign w:val="bottom"/>
          </w:tcPr>
          <w:p>
            <w:pPr>
              <w:jc w:val="center"/>
              <w:ind w:right="121"/>
              <w:spacing w:after="0"/>
              <w:rPr>
                <w:sz w:val="20"/>
                <w:szCs w:val="20"/>
                <w:color w:val="auto"/>
              </w:rPr>
            </w:pPr>
            <w:r>
              <w:rPr>
                <w:rFonts w:ascii="Arial" w:cs="Arial" w:eastAsia="Arial" w:hAnsi="Arial"/>
                <w:sz w:val="14"/>
                <w:szCs w:val="14"/>
                <w:color w:val="auto"/>
              </w:rPr>
              <w:t>Investments</w:t>
            </w:r>
          </w:p>
        </w:tc>
        <w:tc>
          <w:tcPr>
            <w:tcW w:w="260" w:type="dxa"/>
            <w:vAlign w:val="bottom"/>
          </w:tcPr>
          <w:p>
            <w:pPr>
              <w:spacing w:after="0"/>
              <w:rPr>
                <w:sz w:val="14"/>
                <w:szCs w:val="14"/>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color w:val="auto"/>
              </w:rPr>
              <w:t>Fixed-price</w:t>
            </w:r>
          </w:p>
        </w:tc>
        <w:tc>
          <w:tcPr>
            <w:tcW w:w="3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color w:val="auto"/>
              </w:rPr>
              <w:t>Fixed-price</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280" w:type="dxa"/>
            <w:vAlign w:val="bottom"/>
          </w:tcPr>
          <w:p>
            <w:pPr>
              <w:spacing w:after="0"/>
              <w:rPr>
                <w:sz w:val="14"/>
                <w:szCs w:val="14"/>
                <w:color w:val="auto"/>
              </w:rPr>
            </w:pPr>
          </w:p>
        </w:tc>
        <w:tc>
          <w:tcPr>
            <w:tcW w:w="122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260" w:type="dxa"/>
            <w:vAlign w:val="bottom"/>
          </w:tcPr>
          <w:p>
            <w:pPr>
              <w:spacing w:after="0"/>
              <w:rPr>
                <w:sz w:val="14"/>
                <w:szCs w:val="14"/>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rPr>
              <w:t>contracts</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ind w:right="82"/>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4"/>
                <w:szCs w:val="14"/>
                <w:color w:val="auto"/>
              </w:rPr>
            </w:pPr>
          </w:p>
        </w:tc>
        <w:tc>
          <w:tcPr>
            <w:tcW w:w="1220" w:type="dxa"/>
            <w:vAlign w:val="bottom"/>
          </w:tcPr>
          <w:p>
            <w:pPr>
              <w:jc w:val="center"/>
              <w:ind w:right="121"/>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14"/>
                <w:szCs w:val="14"/>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164"/>
        </w:trPr>
        <w:tc>
          <w:tcPr>
            <w:tcW w:w="5400" w:type="dxa"/>
            <w:vAlign w:val="bottom"/>
            <w:gridSpan w:val="2"/>
          </w:tcPr>
          <w:p>
            <w:pPr>
              <w:spacing w:after="0" w:line="157" w:lineRule="exact"/>
              <w:rPr>
                <w:sz w:val="20"/>
                <w:szCs w:val="20"/>
                <w:color w:val="auto"/>
              </w:rPr>
            </w:pPr>
            <w:r>
              <w:rPr>
                <w:rFonts w:ascii="Arial" w:cs="Arial" w:eastAsia="Arial" w:hAnsi="Arial"/>
                <w:sz w:val="14"/>
                <w:szCs w:val="14"/>
                <w:color w:val="auto"/>
              </w:rPr>
              <w:t>Derivatives designated as hedging instruments</w:t>
            </w:r>
          </w:p>
        </w:tc>
        <w:tc>
          <w:tcPr>
            <w:tcW w:w="320" w:type="dxa"/>
            <w:vAlign w:val="bottom"/>
          </w:tcPr>
          <w:p>
            <w:pPr>
              <w:spacing w:after="0"/>
              <w:rPr>
                <w:sz w:val="14"/>
                <w:szCs w:val="14"/>
                <w:color w:val="auto"/>
              </w:rPr>
            </w:pPr>
          </w:p>
        </w:tc>
        <w:tc>
          <w:tcPr>
            <w:tcW w:w="1240" w:type="dxa"/>
            <w:vAlign w:val="bottom"/>
          </w:tcPr>
          <w:p>
            <w:pPr>
              <w:jc w:val="center"/>
              <w:ind w:right="102"/>
              <w:spacing w:after="0" w:line="157" w:lineRule="exact"/>
              <w:rPr>
                <w:sz w:val="20"/>
                <w:szCs w:val="20"/>
                <w:color w:val="auto"/>
              </w:rPr>
            </w:pPr>
            <w:r>
              <w:rPr>
                <w:rFonts w:ascii="Arial" w:cs="Arial" w:eastAsia="Arial" w:hAnsi="Arial"/>
                <w:sz w:val="14"/>
                <w:szCs w:val="14"/>
                <w:color w:val="auto"/>
              </w:rPr>
              <w:t>derivatives(1)</w:t>
            </w:r>
          </w:p>
        </w:tc>
        <w:tc>
          <w:tcPr>
            <w:tcW w:w="280" w:type="dxa"/>
            <w:vAlign w:val="bottom"/>
          </w:tcPr>
          <w:p>
            <w:pPr>
              <w:spacing w:after="0"/>
              <w:rPr>
                <w:sz w:val="14"/>
                <w:szCs w:val="14"/>
                <w:color w:val="auto"/>
              </w:rPr>
            </w:pPr>
          </w:p>
        </w:tc>
        <w:tc>
          <w:tcPr>
            <w:tcW w:w="1220" w:type="dxa"/>
            <w:vAlign w:val="bottom"/>
          </w:tcPr>
          <w:p>
            <w:pPr>
              <w:jc w:val="center"/>
              <w:ind w:right="121"/>
              <w:spacing w:after="0" w:line="157" w:lineRule="exact"/>
              <w:rPr>
                <w:sz w:val="20"/>
                <w:szCs w:val="20"/>
                <w:color w:val="auto"/>
              </w:rPr>
            </w:pPr>
            <w:r>
              <w:rPr>
                <w:rFonts w:ascii="Arial" w:cs="Arial" w:eastAsia="Arial" w:hAnsi="Arial"/>
                <w:sz w:val="14"/>
                <w:szCs w:val="14"/>
                <w:color w:val="auto"/>
              </w:rPr>
              <w:t>Sundry</w:t>
            </w:r>
          </w:p>
        </w:tc>
        <w:tc>
          <w:tcPr>
            <w:tcW w:w="260" w:type="dxa"/>
            <w:vAlign w:val="bottom"/>
          </w:tcPr>
          <w:p>
            <w:pPr>
              <w:spacing w:after="0"/>
              <w:rPr>
                <w:sz w:val="14"/>
                <w:szCs w:val="14"/>
                <w:color w:val="auto"/>
              </w:rPr>
            </w:pPr>
          </w:p>
        </w:tc>
        <w:tc>
          <w:tcPr>
            <w:tcW w:w="1240" w:type="dxa"/>
            <w:vAlign w:val="bottom"/>
          </w:tcPr>
          <w:p>
            <w:pPr>
              <w:jc w:val="center"/>
              <w:ind w:right="102"/>
              <w:spacing w:after="0" w:line="157" w:lineRule="exact"/>
              <w:rPr>
                <w:sz w:val="20"/>
                <w:szCs w:val="20"/>
                <w:color w:val="auto"/>
              </w:rPr>
            </w:pPr>
            <w:r>
              <w:rPr>
                <w:rFonts w:ascii="Arial" w:cs="Arial" w:eastAsia="Arial" w:hAnsi="Arial"/>
                <w:sz w:val="14"/>
                <w:szCs w:val="14"/>
                <w:color w:val="auto"/>
              </w:rPr>
              <w:t>derivatives(2)</w:t>
            </w:r>
          </w:p>
        </w:tc>
        <w:tc>
          <w:tcPr>
            <w:tcW w:w="300" w:type="dxa"/>
            <w:vAlign w:val="bottom"/>
          </w:tcPr>
          <w:p>
            <w:pPr>
              <w:spacing w:after="0"/>
              <w:rPr>
                <w:sz w:val="14"/>
                <w:szCs w:val="14"/>
                <w:color w:val="auto"/>
              </w:rPr>
            </w:pPr>
          </w:p>
        </w:tc>
        <w:tc>
          <w:tcPr>
            <w:tcW w:w="1180" w:type="dxa"/>
            <w:vAlign w:val="bottom"/>
            <w:gridSpan w:val="2"/>
          </w:tcPr>
          <w:p>
            <w:pPr>
              <w:jc w:val="center"/>
              <w:ind w:right="180"/>
              <w:spacing w:after="0" w:line="157" w:lineRule="exact"/>
              <w:rPr>
                <w:sz w:val="20"/>
                <w:szCs w:val="20"/>
                <w:color w:val="auto"/>
              </w:rPr>
            </w:pPr>
            <w:r>
              <w:rPr>
                <w:rFonts w:ascii="Arial" w:cs="Arial" w:eastAsia="Arial" w:hAnsi="Arial"/>
                <w:sz w:val="14"/>
                <w:szCs w:val="14"/>
                <w:color w:val="auto"/>
              </w:rPr>
              <w:t>derivatives</w:t>
            </w:r>
          </w:p>
        </w:tc>
      </w:tr>
      <w:tr>
        <w:trPr>
          <w:trHeight w:val="164"/>
        </w:trPr>
        <w:tc>
          <w:tcPr>
            <w:tcW w:w="540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380" w:type="dxa"/>
            <w:vAlign w:val="bottom"/>
          </w:tcPr>
          <w:p>
            <w:pPr>
              <w:ind w:left="160"/>
              <w:spacing w:after="0"/>
              <w:rPr>
                <w:sz w:val="20"/>
                <w:szCs w:val="20"/>
                <w:color w:val="auto"/>
              </w:rPr>
            </w:pPr>
            <w:r>
              <w:rPr>
                <w:rFonts w:ascii="Arial" w:cs="Arial" w:eastAsia="Arial" w:hAnsi="Arial"/>
                <w:sz w:val="16"/>
                <w:szCs w:val="16"/>
                <w:color w:val="auto"/>
              </w:rPr>
              <w:t>Interest rate instruments(3)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r>
      <w:tr>
        <w:trPr>
          <w:trHeight w:val="164"/>
        </w:trPr>
        <w:tc>
          <w:tcPr>
            <w:tcW w:w="20" w:type="dxa"/>
            <w:vAlign w:val="bottom"/>
          </w:tcPr>
          <w:p>
            <w:pPr>
              <w:spacing w:after="0"/>
              <w:rPr>
                <w:sz w:val="14"/>
                <w:szCs w:val="14"/>
                <w:color w:val="auto"/>
              </w:rPr>
            </w:pPr>
          </w:p>
        </w:tc>
        <w:tc>
          <w:tcPr>
            <w:tcW w:w="53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Interest rate instruments(3)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r>
      <w:tr>
        <w:trPr>
          <w:trHeight w:val="372"/>
        </w:trPr>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Derivatives not designated as hedging instruments</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4"/>
        </w:trPr>
        <w:tc>
          <w:tcPr>
            <w:tcW w:w="54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380" w:type="dxa"/>
            <w:vAlign w:val="bottom"/>
          </w:tcPr>
          <w:p>
            <w:pPr>
              <w:ind w:left="160"/>
              <w:spacing w:after="0" w:line="176" w:lineRule="exact"/>
              <w:rPr>
                <w:sz w:val="20"/>
                <w:szCs w:val="20"/>
                <w:color w:val="auto"/>
              </w:rPr>
            </w:pPr>
            <w:r>
              <w:rPr>
                <w:rFonts w:ascii="Arial" w:cs="Arial" w:eastAsia="Arial" w:hAnsi="Arial"/>
                <w:sz w:val="16"/>
                <w:szCs w:val="16"/>
                <w:color w:val="auto"/>
              </w:rPr>
              <w:t>Interest rate instruments</w:t>
            </w:r>
          </w:p>
        </w:tc>
        <w:tc>
          <w:tcPr>
            <w:tcW w:w="3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line="176" w:lineRule="exact"/>
              <w:rPr>
                <w:sz w:val="20"/>
                <w:szCs w:val="20"/>
                <w:color w:val="auto"/>
              </w:rPr>
            </w:pPr>
            <w:r>
              <w:rPr>
                <w:rFonts w:ascii="Arial" w:cs="Arial" w:eastAsia="Arial" w:hAnsi="Arial"/>
                <w:sz w:val="16"/>
                <w:szCs w:val="16"/>
                <w:color w:val="auto"/>
              </w:rPr>
              <w:t>8</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line="176" w:lineRule="exact"/>
              <w:rPr>
                <w:sz w:val="20"/>
                <w:szCs w:val="20"/>
                <w:color w:val="auto"/>
              </w:rPr>
            </w:pPr>
            <w:r>
              <w:rPr>
                <w:rFonts w:ascii="Arial" w:cs="Arial" w:eastAsia="Arial" w:hAnsi="Arial"/>
                <w:sz w:val="16"/>
                <w:szCs w:val="16"/>
                <w:color w:val="auto"/>
              </w:rPr>
              <w:t>41</w:t>
            </w:r>
          </w:p>
        </w:tc>
        <w:tc>
          <w:tcPr>
            <w:tcW w:w="2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3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(36)</w:t>
            </w:r>
          </w:p>
        </w:tc>
      </w:tr>
      <w:tr>
        <w:trPr>
          <w:trHeight w:val="176"/>
        </w:trPr>
        <w:tc>
          <w:tcPr>
            <w:tcW w:w="20" w:type="dxa"/>
            <w:vAlign w:val="bottom"/>
          </w:tcPr>
          <w:p>
            <w:pPr>
              <w:spacing w:after="0"/>
              <w:rPr>
                <w:sz w:val="15"/>
                <w:szCs w:val="15"/>
                <w:color w:val="auto"/>
              </w:rPr>
            </w:pPr>
          </w:p>
        </w:tc>
        <w:tc>
          <w:tcPr>
            <w:tcW w:w="53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 to rate recovery</w:t>
            </w:r>
          </w:p>
        </w:tc>
        <w:tc>
          <w:tcPr>
            <w:tcW w:w="320" w:type="dxa"/>
            <w:vAlign w:val="bottom"/>
          </w:tcPr>
          <w:p>
            <w:pPr>
              <w:spacing w:after="0"/>
              <w:rPr>
                <w:sz w:val="15"/>
                <w:szCs w:val="15"/>
                <w:color w:val="auto"/>
              </w:rPr>
            </w:pPr>
          </w:p>
        </w:tc>
        <w:tc>
          <w:tcPr>
            <w:tcW w:w="1240" w:type="dxa"/>
            <w:vAlign w:val="bottom"/>
          </w:tcPr>
          <w:p>
            <w:pPr>
              <w:jc w:val="right"/>
              <w:ind w:right="22"/>
              <w:spacing w:after="0" w:line="176" w:lineRule="exact"/>
              <w:rPr>
                <w:sz w:val="20"/>
                <w:szCs w:val="20"/>
                <w:color w:val="auto"/>
              </w:rPr>
            </w:pPr>
            <w:r>
              <w:rPr>
                <w:rFonts w:ascii="Arial" w:cs="Arial" w:eastAsia="Arial" w:hAnsi="Arial"/>
                <w:sz w:val="16"/>
                <w:szCs w:val="16"/>
                <w:color w:val="auto"/>
              </w:rPr>
              <w:t>156</w:t>
            </w:r>
          </w:p>
        </w:tc>
        <w:tc>
          <w:tcPr>
            <w:tcW w:w="280" w:type="dxa"/>
            <w:vAlign w:val="bottom"/>
          </w:tcPr>
          <w:p>
            <w:pPr>
              <w:spacing w:after="0"/>
              <w:rPr>
                <w:sz w:val="15"/>
                <w:szCs w:val="15"/>
                <w:color w:val="auto"/>
              </w:rPr>
            </w:pPr>
          </w:p>
        </w:tc>
        <w:tc>
          <w:tcPr>
            <w:tcW w:w="1220" w:type="dxa"/>
            <w:vAlign w:val="bottom"/>
          </w:tcPr>
          <w:p>
            <w:pPr>
              <w:jc w:val="right"/>
              <w:ind w:right="41"/>
              <w:spacing w:after="0" w:line="176" w:lineRule="exact"/>
              <w:rPr>
                <w:sz w:val="20"/>
                <w:szCs w:val="20"/>
                <w:color w:val="auto"/>
              </w:rPr>
            </w:pPr>
            <w:r>
              <w:rPr>
                <w:rFonts w:ascii="Arial" w:cs="Arial" w:eastAsia="Arial" w:hAnsi="Arial"/>
                <w:sz w:val="16"/>
                <w:szCs w:val="16"/>
                <w:color w:val="auto"/>
              </w:rPr>
              <w:t>72</w:t>
            </w:r>
          </w:p>
        </w:tc>
        <w:tc>
          <w:tcPr>
            <w:tcW w:w="2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(148)</w:t>
            </w:r>
          </w:p>
        </w:tc>
        <w:tc>
          <w:tcPr>
            <w:tcW w:w="300" w:type="dxa"/>
            <w:vAlign w:val="bottom"/>
          </w:tcPr>
          <w:p>
            <w:pPr>
              <w:spacing w:after="0"/>
              <w:rPr>
                <w:sz w:val="15"/>
                <w:szCs w:val="15"/>
                <w:color w:val="auto"/>
              </w:rPr>
            </w:pP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(94)</w:t>
            </w:r>
          </w:p>
        </w:tc>
      </w:tr>
      <w:tr>
        <w:trPr>
          <w:trHeight w:val="176"/>
        </w:trPr>
        <w:tc>
          <w:tcPr>
            <w:tcW w:w="20" w:type="dxa"/>
            <w:vAlign w:val="bottom"/>
          </w:tcPr>
          <w:p>
            <w:pPr>
              <w:spacing w:after="0"/>
              <w:rPr>
                <w:sz w:val="15"/>
                <w:szCs w:val="15"/>
                <w:color w:val="auto"/>
              </w:rPr>
            </w:pPr>
          </w:p>
        </w:tc>
        <w:tc>
          <w:tcPr>
            <w:tcW w:w="5380" w:type="dxa"/>
            <w:vAlign w:val="bottom"/>
          </w:tcPr>
          <w:p>
            <w:pPr>
              <w:ind w:left="340"/>
              <w:spacing w:after="0" w:line="176" w:lineRule="exact"/>
              <w:rPr>
                <w:sz w:val="20"/>
                <w:szCs w:val="20"/>
                <w:color w:val="auto"/>
              </w:rPr>
            </w:pPr>
            <w:r>
              <w:rPr>
                <w:rFonts w:ascii="Arial" w:cs="Arial" w:eastAsia="Arial" w:hAnsi="Arial"/>
                <w:sz w:val="16"/>
                <w:szCs w:val="16"/>
                <w:color w:val="auto"/>
              </w:rPr>
              <w:t>Associated offsetting commodity contracts</w:t>
            </w:r>
          </w:p>
        </w:tc>
        <w:tc>
          <w:tcPr>
            <w:tcW w:w="32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(120)</w:t>
            </w:r>
          </w:p>
        </w:tc>
        <w:tc>
          <w:tcPr>
            <w:tcW w:w="2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(68)</w:t>
            </w:r>
          </w:p>
        </w:tc>
        <w:tc>
          <w:tcPr>
            <w:tcW w:w="260" w:type="dxa"/>
            <w:vAlign w:val="bottom"/>
          </w:tcPr>
          <w:p>
            <w:pPr>
              <w:spacing w:after="0"/>
              <w:rPr>
                <w:sz w:val="15"/>
                <w:szCs w:val="15"/>
                <w:color w:val="auto"/>
              </w:rPr>
            </w:pPr>
          </w:p>
        </w:tc>
        <w:tc>
          <w:tcPr>
            <w:tcW w:w="124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120</w:t>
            </w:r>
          </w:p>
        </w:tc>
        <w:tc>
          <w:tcPr>
            <w:tcW w:w="30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68</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3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20" w:type="dxa"/>
            <w:vAlign w:val="bottom"/>
          </w:tcPr>
          <w:p>
            <w:pPr>
              <w:spacing w:after="0"/>
              <w:rPr>
                <w:sz w:val="15"/>
                <w:szCs w:val="15"/>
                <w:color w:val="auto"/>
              </w:rPr>
            </w:pPr>
          </w:p>
        </w:tc>
        <w:tc>
          <w:tcPr>
            <w:tcW w:w="1240" w:type="dxa"/>
            <w:vAlign w:val="bottom"/>
          </w:tcPr>
          <w:p>
            <w:pPr>
              <w:jc w:val="right"/>
              <w:ind w:right="22"/>
              <w:spacing w:after="0" w:line="176" w:lineRule="exact"/>
              <w:rPr>
                <w:sz w:val="20"/>
                <w:szCs w:val="20"/>
                <w:color w:val="auto"/>
              </w:rPr>
            </w:pPr>
            <w:r>
              <w:rPr>
                <w:rFonts w:ascii="Arial" w:cs="Arial" w:eastAsia="Arial" w:hAnsi="Arial"/>
                <w:sz w:val="16"/>
                <w:szCs w:val="16"/>
                <w:color w:val="auto"/>
              </w:rPr>
              <w:t>28</w:t>
            </w:r>
          </w:p>
        </w:tc>
        <w:tc>
          <w:tcPr>
            <w:tcW w:w="280" w:type="dxa"/>
            <w:vAlign w:val="bottom"/>
          </w:tcPr>
          <w:p>
            <w:pPr>
              <w:spacing w:after="0"/>
              <w:rPr>
                <w:sz w:val="15"/>
                <w:szCs w:val="15"/>
                <w:color w:val="auto"/>
              </w:rPr>
            </w:pPr>
          </w:p>
        </w:tc>
        <w:tc>
          <w:tcPr>
            <w:tcW w:w="1220" w:type="dxa"/>
            <w:vAlign w:val="bottom"/>
          </w:tcPr>
          <w:p>
            <w:pPr>
              <w:jc w:val="right"/>
              <w:ind w:right="21"/>
              <w:spacing w:after="0" w:line="176" w:lineRule="exact"/>
              <w:rPr>
                <w:sz w:val="20"/>
                <w:szCs w:val="20"/>
                <w:color w:val="auto"/>
              </w:rPr>
            </w:pPr>
            <w:r>
              <w:rPr>
                <w:rFonts w:ascii="Arial" w:cs="Arial" w:eastAsia="Arial" w:hAnsi="Arial"/>
                <w:sz w:val="16"/>
                <w:szCs w:val="16"/>
                <w:color w:val="auto"/>
              </w:rPr>
              <w:t>8</w:t>
            </w:r>
          </w:p>
        </w:tc>
        <w:tc>
          <w:tcPr>
            <w:tcW w:w="2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c>
          <w:tcPr>
            <w:tcW w:w="300" w:type="dxa"/>
            <w:vAlign w:val="bottom"/>
          </w:tcPr>
          <w:p>
            <w:pPr>
              <w:spacing w:after="0"/>
              <w:rPr>
                <w:sz w:val="15"/>
                <w:szCs w:val="15"/>
                <w:color w:val="auto"/>
              </w:rPr>
            </w:pP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(24)</w:t>
            </w:r>
          </w:p>
        </w:tc>
      </w:tr>
      <w:tr>
        <w:trPr>
          <w:trHeight w:val="194"/>
        </w:trPr>
        <w:tc>
          <w:tcPr>
            <w:tcW w:w="20" w:type="dxa"/>
            <w:vAlign w:val="bottom"/>
          </w:tcPr>
          <w:p>
            <w:pPr>
              <w:spacing w:after="0"/>
              <w:rPr>
                <w:sz w:val="16"/>
                <w:szCs w:val="16"/>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3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2"/>
              <w:spacing w:after="0" w:line="176" w:lineRule="exact"/>
              <w:rPr>
                <w:sz w:val="20"/>
                <w:szCs w:val="20"/>
                <w:color w:val="auto"/>
              </w:rPr>
            </w:pPr>
            <w:r>
              <w:rPr>
                <w:rFonts w:ascii="Arial" w:cs="Arial" w:eastAsia="Arial" w:hAnsi="Arial"/>
                <w:sz w:val="16"/>
                <w:szCs w:val="16"/>
                <w:color w:val="auto"/>
              </w:rPr>
              <w:t>62</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51</w:t>
            </w:r>
          </w:p>
        </w:tc>
        <w:tc>
          <w:tcPr>
            <w:tcW w:w="2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(87)</w:t>
            </w:r>
          </w:p>
        </w:tc>
        <w:tc>
          <w:tcPr>
            <w:tcW w:w="3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(84)</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38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3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line="176" w:lineRule="exact"/>
              <w:rPr>
                <w:sz w:val="20"/>
                <w:szCs w:val="20"/>
                <w:color w:val="auto"/>
              </w:rPr>
            </w:pPr>
            <w:r>
              <w:rPr>
                <w:rFonts w:ascii="Arial" w:cs="Arial" w:eastAsia="Arial" w:hAnsi="Arial"/>
                <w:sz w:val="16"/>
                <w:szCs w:val="16"/>
                <w:color w:val="auto"/>
              </w:rPr>
              <w:t>22</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line="176" w:lineRule="exact"/>
              <w:rPr>
                <w:sz w:val="20"/>
                <w:szCs w:val="20"/>
                <w:color w:val="auto"/>
              </w:rPr>
            </w:pPr>
            <w:r>
              <w:rPr>
                <w:rFonts w:ascii="Arial" w:cs="Arial" w:eastAsia="Arial" w:hAnsi="Arial"/>
                <w:sz w:val="16"/>
                <w:szCs w:val="16"/>
                <w:color w:val="auto"/>
              </w:rPr>
              <w:t>8</w:t>
            </w:r>
          </w:p>
        </w:tc>
        <w:tc>
          <w:tcPr>
            <w:tcW w:w="2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3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(24)</w:t>
            </w:r>
          </w:p>
        </w:tc>
      </w:tr>
      <w:tr>
        <w:trPr>
          <w:trHeight w:val="194"/>
        </w:trPr>
        <w:tc>
          <w:tcPr>
            <w:tcW w:w="20" w:type="dxa"/>
            <w:vAlign w:val="bottom"/>
          </w:tcPr>
          <w:p>
            <w:pPr>
              <w:spacing w:after="0"/>
              <w:rPr>
                <w:sz w:val="16"/>
                <w:szCs w:val="16"/>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3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2"/>
              <w:spacing w:after="0" w:line="176" w:lineRule="exact"/>
              <w:rPr>
                <w:sz w:val="20"/>
                <w:szCs w:val="20"/>
                <w:color w:val="auto"/>
              </w:rPr>
            </w:pPr>
            <w:r>
              <w:rPr>
                <w:rFonts w:ascii="Arial" w:cs="Arial" w:eastAsia="Arial" w:hAnsi="Arial"/>
                <w:sz w:val="16"/>
                <w:szCs w:val="16"/>
                <w:color w:val="auto"/>
              </w:rPr>
              <w:t>17</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1"/>
              <w:spacing w:after="0" w:line="176" w:lineRule="exact"/>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(50)</w:t>
            </w:r>
          </w:p>
        </w:tc>
        <w:tc>
          <w:tcPr>
            <w:tcW w:w="3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38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3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line="176" w:lineRule="exact"/>
              <w:rPr>
                <w:sz w:val="20"/>
                <w:szCs w:val="20"/>
                <w:color w:val="auto"/>
              </w:rPr>
            </w:pPr>
            <w:r>
              <w:rPr>
                <w:rFonts w:ascii="Arial" w:cs="Arial" w:eastAsia="Arial" w:hAnsi="Arial"/>
                <w:sz w:val="16"/>
                <w:szCs w:val="16"/>
                <w:color w:val="auto"/>
              </w:rPr>
              <w:t>6</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3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95"/>
        </w:trPr>
        <w:tc>
          <w:tcPr>
            <w:tcW w:w="20" w:type="dxa"/>
            <w:vAlign w:val="bottom"/>
          </w:tcPr>
          <w:p>
            <w:pPr>
              <w:spacing w:after="0"/>
              <w:rPr>
                <w:sz w:val="16"/>
                <w:szCs w:val="16"/>
                <w:color w:val="auto"/>
              </w:rPr>
            </w:pPr>
          </w:p>
        </w:tc>
        <w:tc>
          <w:tcPr>
            <w:tcW w:w="5380" w:type="dxa"/>
            <w:vAlign w:val="bottom"/>
          </w:tcPr>
          <w:p>
            <w:pPr>
              <w:ind w:left="16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hanging="572"/>
        <w:spacing w:after="0"/>
        <w:tabs>
          <w:tab w:leader="none" w:pos="58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13" w:lineRule="exact"/>
        <w:rPr>
          <w:rFonts w:ascii="Arial" w:cs="Arial" w:eastAsia="Arial" w:hAnsi="Arial"/>
          <w:sz w:val="14"/>
          <w:szCs w:val="14"/>
          <w:i w:val="1"/>
          <w:iCs w:val="1"/>
          <w:color w:val="auto"/>
        </w:rPr>
      </w:pPr>
    </w:p>
    <w:p>
      <w:pPr>
        <w:ind w:left="580" w:hanging="572"/>
        <w:spacing w:after="0"/>
        <w:tabs>
          <w:tab w:leader="none" w:pos="58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200" w:lineRule="exact"/>
        <w:rPr>
          <w:sz w:val="20"/>
          <w:szCs w:val="20"/>
          <w:color w:val="auto"/>
        </w:rPr>
      </w:pPr>
    </w:p>
    <w:p>
      <w:pPr>
        <w:spacing w:after="0" w:line="24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effects of derivative instruments designated as hedges on the Condensed Consolidated Statements of Operations and on Other Comprehensive Income (OCI) and Accumulated Other Comprehensive Income (AOCI) for the three months and six months ended June 30 were:</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080" w:type="dxa"/>
            <w:vAlign w:val="bottom"/>
          </w:tcPr>
          <w:p>
            <w:pPr>
              <w:spacing w:after="0"/>
              <w:rPr>
                <w:sz w:val="16"/>
                <w:szCs w:val="16"/>
                <w:color w:val="auto"/>
              </w:rPr>
            </w:pPr>
          </w:p>
        </w:tc>
        <w:tc>
          <w:tcPr>
            <w:tcW w:w="3100" w:type="dxa"/>
            <w:vAlign w:val="bottom"/>
            <w:gridSpan w:val="3"/>
            <w:vMerge w:val="restart"/>
          </w:tcPr>
          <w:p>
            <w:pPr>
              <w:jc w:val="right"/>
              <w:spacing w:after="0"/>
              <w:rPr>
                <w:sz w:val="20"/>
                <w:szCs w:val="20"/>
                <w:color w:val="auto"/>
              </w:rPr>
            </w:pPr>
            <w:r>
              <w:rPr>
                <w:rFonts w:ascii="Arial" w:cs="Arial" w:eastAsia="Arial" w:hAnsi="Arial"/>
                <w:sz w:val="14"/>
                <w:szCs w:val="14"/>
                <w:color w:val="auto"/>
              </w:rPr>
              <w:t>Gain on derivatives recognized in earnings</w:t>
            </w:r>
          </w:p>
        </w:tc>
        <w:tc>
          <w:tcPr>
            <w:tcW w:w="340" w:type="dxa"/>
            <w:vAlign w:val="bottom"/>
          </w:tcPr>
          <w:p>
            <w:pPr>
              <w:spacing w:after="0"/>
              <w:rPr>
                <w:sz w:val="16"/>
                <w:szCs w:val="16"/>
                <w:color w:val="auto"/>
              </w:rPr>
            </w:pPr>
          </w:p>
        </w:tc>
        <w:tc>
          <w:tcPr>
            <w:tcW w:w="3360" w:type="dxa"/>
            <w:vAlign w:val="bottom"/>
            <w:gridSpan w:val="4"/>
            <w:vMerge w:val="restart"/>
          </w:tcPr>
          <w:p>
            <w:pPr>
              <w:ind w:left="80"/>
              <w:spacing w:after="0"/>
              <w:rPr>
                <w:sz w:val="20"/>
                <w:szCs w:val="20"/>
                <w:color w:val="auto"/>
              </w:rPr>
            </w:pPr>
            <w:r>
              <w:rPr>
                <w:rFonts w:ascii="Arial" w:cs="Arial" w:eastAsia="Arial" w:hAnsi="Arial"/>
                <w:sz w:val="14"/>
                <w:szCs w:val="14"/>
                <w:color w:val="auto"/>
              </w:rPr>
              <w:t>Gain (loss) on derivatives recognized in earnings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10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10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color w:val="auto"/>
              </w:rPr>
              <w:t>Three months ended June 30,</w:t>
            </w: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Location</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2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ind w:left="160"/>
              <w:spacing w:after="0" w:line="176" w:lineRule="exact"/>
              <w:rPr>
                <w:sz w:val="20"/>
                <w:szCs w:val="20"/>
                <w:color w:val="auto"/>
              </w:rPr>
            </w:pPr>
            <w:r>
              <w:rPr>
                <w:rFonts w:ascii="Arial" w:cs="Arial" w:eastAsia="Arial" w:hAnsi="Arial"/>
                <w:sz w:val="16"/>
                <w:szCs w:val="16"/>
                <w:color w:val="auto"/>
              </w:rPr>
              <w:t>Interest rate instruments</w:t>
            </w:r>
          </w:p>
        </w:tc>
        <w:tc>
          <w:tcPr>
            <w:tcW w:w="2080" w:type="dxa"/>
            <w:vAlign w:val="bottom"/>
          </w:tcPr>
          <w:p>
            <w:pPr>
              <w:ind w:left="220"/>
              <w:spacing w:after="0" w:line="176" w:lineRule="exact"/>
              <w:rPr>
                <w:sz w:val="20"/>
                <w:szCs w:val="20"/>
                <w:color w:val="auto"/>
              </w:rPr>
            </w:pPr>
            <w:r>
              <w:rPr>
                <w:rFonts w:ascii="Arial" w:cs="Arial" w:eastAsia="Arial" w:hAnsi="Arial"/>
                <w:sz w:val="16"/>
                <w:szCs w:val="16"/>
                <w:color w:val="auto"/>
              </w:rPr>
              <w:t>Interest Expense</w:t>
            </w:r>
          </w:p>
        </w:tc>
        <w:tc>
          <w:tcPr>
            <w:tcW w:w="1240" w:type="dxa"/>
            <w:vAlign w:val="bottom"/>
          </w:tcPr>
          <w:p>
            <w:pPr>
              <w:jc w:val="right"/>
              <w:ind w:right="923"/>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jc w:val="center"/>
              <w:ind w:left="99"/>
              <w:spacing w:after="0" w:line="176" w:lineRule="exact"/>
              <w:rPr>
                <w:sz w:val="20"/>
                <w:szCs w:val="20"/>
                <w:color w:val="auto"/>
              </w:rPr>
            </w:pPr>
            <w:r>
              <w:rPr>
                <w:rFonts w:ascii="Arial" w:cs="Arial" w:eastAsia="Arial" w:hAnsi="Arial"/>
                <w:sz w:val="16"/>
                <w:szCs w:val="16"/>
                <w:color w:val="auto"/>
              </w:rPr>
              <w:t>2</w:t>
            </w:r>
          </w:p>
        </w:tc>
        <w:tc>
          <w:tcPr>
            <w:tcW w:w="1340" w:type="dxa"/>
            <w:vAlign w:val="bottom"/>
          </w:tcPr>
          <w:p>
            <w:pPr>
              <w:jc w:val="right"/>
              <w:ind w:right="1101"/>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2</w:t>
            </w:r>
          </w:p>
        </w:tc>
        <w:tc>
          <w:tcPr>
            <w:tcW w:w="380" w:type="dxa"/>
            <w:vAlign w:val="bottom"/>
          </w:tcPr>
          <w:p>
            <w:pPr>
              <w:ind w:left="80"/>
              <w:spacing w:after="0" w:line="176" w:lineRule="exact"/>
              <w:rPr>
                <w:sz w:val="20"/>
                <w:szCs w:val="20"/>
                <w:color w:val="auto"/>
              </w:rPr>
            </w:pPr>
            <w:r>
              <w:rPr>
                <w:rFonts w:ascii="Arial" w:cs="Arial" w:eastAsia="Arial" w:hAnsi="Arial"/>
                <w:sz w:val="16"/>
                <w:szCs w:val="16"/>
                <w:color w:val="auto"/>
              </w:rPr>
              <w:t>$</w:t>
            </w:r>
          </w:p>
        </w:tc>
        <w:tc>
          <w:tcPr>
            <w:tcW w:w="1340" w:type="dxa"/>
            <w:vAlign w:val="bottom"/>
          </w:tcPr>
          <w:p>
            <w:pPr>
              <w:jc w:val="center"/>
              <w:ind w:left="901"/>
              <w:spacing w:after="0" w:line="176" w:lineRule="exact"/>
              <w:rPr>
                <w:sz w:val="20"/>
                <w:szCs w:val="20"/>
                <w:color w:val="auto"/>
              </w:rPr>
            </w:pPr>
            <w:r>
              <w:rPr>
                <w:rFonts w:ascii="Arial" w:cs="Arial" w:eastAsia="Arial" w:hAnsi="Arial"/>
                <w:sz w:val="16"/>
                <w:szCs w:val="16"/>
                <w:color w:val="auto"/>
                <w:w w:val="89"/>
              </w:rPr>
              <w:t>4</w:t>
            </w:r>
          </w:p>
        </w:tc>
        <w:tc>
          <w:tcPr>
            <w:tcW w:w="38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center"/>
              <w:ind w:left="1000"/>
              <w:spacing w:after="0" w:line="17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20" w:type="dxa"/>
            <w:vAlign w:val="bottom"/>
          </w:tcPr>
          <w:p>
            <w:pPr>
              <w:ind w:left="160"/>
              <w:spacing w:after="0"/>
              <w:rPr>
                <w:sz w:val="20"/>
                <w:szCs w:val="20"/>
                <w:color w:val="auto"/>
              </w:rPr>
            </w:pPr>
            <w:r>
              <w:rPr>
                <w:rFonts w:ascii="Arial" w:cs="Arial" w:eastAsia="Arial" w:hAnsi="Arial"/>
                <w:sz w:val="16"/>
                <w:szCs w:val="16"/>
                <w:color w:val="auto"/>
              </w:rPr>
              <w:t>Interest rate instruments</w:t>
            </w:r>
          </w:p>
        </w:tc>
        <w:tc>
          <w:tcPr>
            <w:tcW w:w="2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1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901"/>
              <w:spacing w:after="0"/>
              <w:rPr>
                <w:sz w:val="20"/>
                <w:szCs w:val="20"/>
                <w:color w:val="auto"/>
              </w:rPr>
            </w:pPr>
            <w:r>
              <w:rPr>
                <w:rFonts w:ascii="Arial" w:cs="Arial" w:eastAsia="Arial" w:hAnsi="Arial"/>
                <w:sz w:val="16"/>
                <w:szCs w:val="16"/>
                <w:color w:val="auto"/>
                <w:w w:val="89"/>
              </w:rPr>
              <w:t>2</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10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Total(1)</w:t>
            </w:r>
          </w:p>
        </w:tc>
        <w:tc>
          <w:tcPr>
            <w:tcW w:w="20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23"/>
              <w:spacing w:after="0" w:line="176"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center"/>
              <w:ind w:left="99"/>
              <w:spacing w:after="0" w:line="176" w:lineRule="exact"/>
              <w:rPr>
                <w:sz w:val="20"/>
                <w:szCs w:val="20"/>
                <w:color w:val="auto"/>
              </w:rPr>
            </w:pPr>
            <w:r>
              <w:rPr>
                <w:rFonts w:ascii="Arial" w:cs="Arial" w:eastAsia="Arial" w:hAnsi="Arial"/>
                <w:sz w:val="16"/>
                <w:szCs w:val="16"/>
                <w:color w:val="auto"/>
              </w:rPr>
              <w:t>2</w:t>
            </w:r>
          </w:p>
        </w:tc>
        <w:tc>
          <w:tcPr>
            <w:tcW w:w="1340" w:type="dxa"/>
            <w:vAlign w:val="bottom"/>
            <w:tcBorders>
              <w:bottom w:val="single" w:sz="8" w:color="auto"/>
            </w:tcBorders>
          </w:tcPr>
          <w:p>
            <w:pPr>
              <w:jc w:val="right"/>
              <w:ind w:right="1101"/>
              <w:spacing w:after="0" w:line="17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10</w:t>
            </w:r>
          </w:p>
        </w:tc>
        <w:tc>
          <w:tcPr>
            <w:tcW w:w="380" w:type="dxa"/>
            <w:vAlign w:val="bottom"/>
            <w:tcBorders>
              <w:bottom w:val="single" w:sz="8" w:color="auto"/>
            </w:tcBorders>
          </w:tcPr>
          <w:p>
            <w:pPr>
              <w:ind w:left="80"/>
              <w:spacing w:after="0" w:line="176"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center"/>
              <w:ind w:left="901"/>
              <w:spacing w:after="0" w:line="176" w:lineRule="exact"/>
              <w:rPr>
                <w:sz w:val="20"/>
                <w:szCs w:val="20"/>
                <w:color w:val="auto"/>
              </w:rPr>
            </w:pPr>
            <w:r>
              <w:rPr>
                <w:rFonts w:ascii="Arial" w:cs="Arial" w:eastAsia="Arial" w:hAnsi="Arial"/>
                <w:sz w:val="16"/>
                <w:szCs w:val="16"/>
                <w:color w:val="auto"/>
                <w:w w:val="89"/>
              </w:rPr>
              <w:t>6</w:t>
            </w:r>
          </w:p>
        </w:tc>
        <w:tc>
          <w:tcPr>
            <w:tcW w:w="38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center"/>
              <w:ind w:left="1000"/>
              <w:spacing w:after="0" w:line="17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2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ind w:left="160"/>
              <w:spacing w:after="0" w:line="176" w:lineRule="exact"/>
              <w:rPr>
                <w:sz w:val="20"/>
                <w:szCs w:val="20"/>
                <w:color w:val="auto"/>
              </w:rPr>
            </w:pPr>
            <w:r>
              <w:rPr>
                <w:rFonts w:ascii="Arial" w:cs="Arial" w:eastAsia="Arial" w:hAnsi="Arial"/>
                <w:sz w:val="16"/>
                <w:szCs w:val="16"/>
                <w:color w:val="auto"/>
              </w:rPr>
              <w:t>Interest rate instrument</w:t>
            </w:r>
          </w:p>
        </w:tc>
        <w:tc>
          <w:tcPr>
            <w:tcW w:w="2080" w:type="dxa"/>
            <w:vAlign w:val="bottom"/>
          </w:tcPr>
          <w:p>
            <w:pPr>
              <w:ind w:left="220"/>
              <w:spacing w:after="0" w:line="176" w:lineRule="exact"/>
              <w:rPr>
                <w:sz w:val="20"/>
                <w:szCs w:val="20"/>
                <w:color w:val="auto"/>
              </w:rPr>
            </w:pPr>
            <w:r>
              <w:rPr>
                <w:rFonts w:ascii="Arial" w:cs="Arial" w:eastAsia="Arial" w:hAnsi="Arial"/>
                <w:sz w:val="16"/>
                <w:szCs w:val="16"/>
                <w:color w:val="auto"/>
              </w:rPr>
              <w:t>Interest Expense</w:t>
            </w:r>
          </w:p>
        </w:tc>
        <w:tc>
          <w:tcPr>
            <w:tcW w:w="1240" w:type="dxa"/>
            <w:vAlign w:val="bottom"/>
          </w:tcPr>
          <w:p>
            <w:pPr>
              <w:jc w:val="right"/>
              <w:ind w:right="923"/>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jc w:val="center"/>
              <w:ind w:left="119"/>
              <w:spacing w:after="0" w:line="176" w:lineRule="exact"/>
              <w:rPr>
                <w:sz w:val="20"/>
                <w:szCs w:val="20"/>
                <w:color w:val="auto"/>
              </w:rPr>
            </w:pPr>
            <w:r>
              <w:rPr>
                <w:rFonts w:ascii="Arial" w:cs="Arial" w:eastAsia="Arial" w:hAnsi="Arial"/>
                <w:sz w:val="16"/>
                <w:szCs w:val="16"/>
                <w:color w:val="auto"/>
                <w:w w:val="99"/>
              </w:rPr>
              <w:t>―</w:t>
            </w:r>
          </w:p>
        </w:tc>
        <w:tc>
          <w:tcPr>
            <w:tcW w:w="1340" w:type="dxa"/>
            <w:vAlign w:val="bottom"/>
          </w:tcPr>
          <w:p>
            <w:pPr>
              <w:jc w:val="right"/>
              <w:ind w:right="1101"/>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ind w:left="80"/>
              <w:spacing w:after="0" w:line="176" w:lineRule="exact"/>
              <w:rPr>
                <w:sz w:val="20"/>
                <w:szCs w:val="20"/>
                <w:color w:val="auto"/>
              </w:rPr>
            </w:pPr>
            <w:r>
              <w:rPr>
                <w:rFonts w:ascii="Arial" w:cs="Arial" w:eastAsia="Arial" w:hAnsi="Arial"/>
                <w:sz w:val="16"/>
                <w:szCs w:val="16"/>
                <w:color w:val="auto"/>
              </w:rPr>
              <w:t>$</w:t>
            </w:r>
          </w:p>
        </w:tc>
        <w:tc>
          <w:tcPr>
            <w:tcW w:w="1340" w:type="dxa"/>
            <w:vAlign w:val="bottom"/>
          </w:tcPr>
          <w:p>
            <w:pPr>
              <w:jc w:val="center"/>
              <w:ind w:left="921"/>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center"/>
              <w:ind w:left="1000"/>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20" w:type="dxa"/>
            <w:vAlign w:val="bottom"/>
          </w:tcPr>
          <w:p>
            <w:pPr>
              <w:ind w:left="160"/>
              <w:spacing w:after="0"/>
              <w:rPr>
                <w:sz w:val="20"/>
                <w:szCs w:val="20"/>
                <w:color w:val="auto"/>
              </w:rPr>
            </w:pPr>
            <w:r>
              <w:rPr>
                <w:rFonts w:ascii="Arial" w:cs="Arial" w:eastAsia="Arial" w:hAnsi="Arial"/>
                <w:sz w:val="16"/>
                <w:szCs w:val="16"/>
                <w:color w:val="auto"/>
              </w:rPr>
              <w:t>Interest rate instrument</w:t>
            </w:r>
          </w:p>
        </w:tc>
        <w:tc>
          <w:tcPr>
            <w:tcW w:w="2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1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92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9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Pr>
          <w:p>
            <w:pPr>
              <w:ind w:left="160"/>
              <w:spacing w:after="0"/>
              <w:rPr>
                <w:sz w:val="20"/>
                <w:szCs w:val="20"/>
                <w:color w:val="auto"/>
              </w:rPr>
            </w:pPr>
            <w:r>
              <w:rPr>
                <w:rFonts w:ascii="Arial" w:cs="Arial" w:eastAsia="Arial" w:hAnsi="Arial"/>
                <w:sz w:val="16"/>
                <w:szCs w:val="16"/>
                <w:color w:val="auto"/>
              </w:rPr>
              <w:t>Total(1)</w:t>
            </w:r>
          </w:p>
        </w:tc>
        <w:tc>
          <w:tcPr>
            <w:tcW w:w="2080" w:type="dxa"/>
            <w:vAlign w:val="bottom"/>
          </w:tcPr>
          <w:p>
            <w:pPr>
              <w:spacing w:after="0"/>
              <w:rPr>
                <w:sz w:val="16"/>
                <w:szCs w:val="16"/>
                <w:color w:val="auto"/>
              </w:rPr>
            </w:pPr>
          </w:p>
        </w:tc>
        <w:tc>
          <w:tcPr>
            <w:tcW w:w="1240" w:type="dxa"/>
            <w:vAlign w:val="bottom"/>
          </w:tcPr>
          <w:p>
            <w:pPr>
              <w:jc w:val="right"/>
              <w:ind w:right="923"/>
              <w:spacing w:after="0"/>
              <w:rPr>
                <w:sz w:val="20"/>
                <w:szCs w:val="20"/>
                <w:color w:val="auto"/>
              </w:rPr>
            </w:pPr>
            <w:r>
              <w:rPr>
                <w:rFonts w:ascii="Arial" w:cs="Arial" w:eastAsia="Arial" w:hAnsi="Arial"/>
                <w:sz w:val="16"/>
                <w:szCs w:val="16"/>
                <w:color w:val="auto"/>
              </w:rPr>
              <w:t>$</w:t>
            </w:r>
          </w:p>
        </w:tc>
        <w:tc>
          <w:tcPr>
            <w:tcW w:w="520" w:type="dxa"/>
            <w:vAlign w:val="bottom"/>
          </w:tcPr>
          <w:p>
            <w:pPr>
              <w:jc w:val="center"/>
              <w:ind w:left="119"/>
              <w:spacing w:after="0"/>
              <w:rPr>
                <w:sz w:val="20"/>
                <w:szCs w:val="20"/>
                <w:color w:val="auto"/>
              </w:rPr>
            </w:pPr>
            <w:r>
              <w:rPr>
                <w:rFonts w:ascii="Arial" w:cs="Arial" w:eastAsia="Arial" w:hAnsi="Arial"/>
                <w:sz w:val="16"/>
                <w:szCs w:val="16"/>
                <w:color w:val="auto"/>
                <w:w w:val="99"/>
              </w:rPr>
              <w:t>―</w:t>
            </w:r>
          </w:p>
        </w:tc>
        <w:tc>
          <w:tcPr>
            <w:tcW w:w="1340" w:type="dxa"/>
            <w:vAlign w:val="bottom"/>
          </w:tcPr>
          <w:p>
            <w:pPr>
              <w:jc w:val="right"/>
              <w:ind w:right="1101"/>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340" w:type="dxa"/>
            <w:vAlign w:val="bottom"/>
          </w:tcPr>
          <w:p>
            <w:pPr>
              <w:jc w:val="center"/>
              <w:ind w:left="92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center"/>
              <w:ind w:left="9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20" w:right="20" w:hanging="512"/>
        <w:spacing w:after="0" w:line="277" w:lineRule="auto"/>
        <w:tabs>
          <w:tab w:leader="none" w:pos="5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 rate swap agreements are exactly offset by changes in the fair value of the underlying long-term debt.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400" w:type="dxa"/>
            <w:vAlign w:val="bottom"/>
            <w:gridSpan w:val="3"/>
            <w:vMerge w:val="restart"/>
          </w:tcPr>
          <w:p>
            <w:pPr>
              <w:jc w:val="center"/>
              <w:ind w:left="308"/>
              <w:spacing w:after="0"/>
              <w:rPr>
                <w:sz w:val="20"/>
                <w:szCs w:val="20"/>
                <w:color w:val="auto"/>
              </w:rPr>
            </w:pPr>
            <w:r>
              <w:rPr>
                <w:rFonts w:ascii="Arial" w:cs="Arial" w:eastAsia="Arial" w:hAnsi="Arial"/>
                <w:sz w:val="14"/>
                <w:szCs w:val="14"/>
                <w:color w:val="auto"/>
              </w:rPr>
              <w:t>Pretax loss recognized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3"/>
            <w:vMerge w:val="restart"/>
          </w:tcPr>
          <w:p>
            <w:pPr>
              <w:jc w:val="center"/>
              <w:ind w:right="228"/>
              <w:spacing w:after="0"/>
              <w:rPr>
                <w:sz w:val="20"/>
                <w:szCs w:val="20"/>
                <w:color w:val="auto"/>
              </w:rPr>
            </w:pPr>
            <w:r>
              <w:rPr>
                <w:rFonts w:ascii="Arial" w:cs="Arial" w:eastAsia="Arial" w:hAnsi="Arial"/>
                <w:sz w:val="14"/>
                <w:szCs w:val="14"/>
                <w:color w:val="auto"/>
              </w:rPr>
              <w:t>Gain (loss) reclassified from AOCI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0" w:type="dxa"/>
            <w:vAlign w:val="bottom"/>
            <w:tcBorders>
              <w:bottom w:val="single" w:sz="8" w:color="auto"/>
            </w:tcBorders>
            <w:gridSpan w:val="3"/>
          </w:tcPr>
          <w:p>
            <w:pPr>
              <w:jc w:val="center"/>
              <w:ind w:left="328"/>
              <w:spacing w:after="0" w:line="157" w:lineRule="exact"/>
              <w:rPr>
                <w:sz w:val="20"/>
                <w:szCs w:val="20"/>
                <w:color w:val="auto"/>
              </w:rPr>
            </w:pPr>
            <w:r>
              <w:rPr>
                <w:rFonts w:ascii="Arial" w:cs="Arial" w:eastAsia="Arial" w:hAnsi="Arial"/>
                <w:sz w:val="14"/>
                <w:szCs w:val="14"/>
                <w:color w:val="auto"/>
              </w:rPr>
              <w:t>in OCI (effective portion)</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center"/>
              <w:ind w:right="228"/>
              <w:spacing w:after="0" w:line="157" w:lineRule="exact"/>
              <w:rPr>
                <w:sz w:val="20"/>
                <w:szCs w:val="20"/>
                <w:color w:val="auto"/>
              </w:rPr>
            </w:pPr>
            <w:r>
              <w:rPr>
                <w:rFonts w:ascii="Arial" w:cs="Arial" w:eastAsia="Arial" w:hAnsi="Arial"/>
                <w:sz w:val="14"/>
                <w:szCs w:val="14"/>
                <w:color w:val="auto"/>
              </w:rPr>
              <w:t>into earnings (effective portion)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0" w:type="dxa"/>
            <w:vAlign w:val="bottom"/>
            <w:tcBorders>
              <w:bottom w:val="single" w:sz="8" w:color="auto"/>
            </w:tcBorders>
            <w:gridSpan w:val="3"/>
          </w:tcPr>
          <w:p>
            <w:pPr>
              <w:jc w:val="center"/>
              <w:ind w:left="328"/>
              <w:spacing w:after="0"/>
              <w:rPr>
                <w:sz w:val="20"/>
                <w:szCs w:val="20"/>
                <w:color w:val="auto"/>
              </w:rPr>
            </w:pPr>
            <w:r>
              <w:rPr>
                <w:rFonts w:ascii="Arial" w:cs="Arial" w:eastAsia="Arial" w:hAnsi="Arial"/>
                <w:sz w:val="14"/>
                <w:szCs w:val="14"/>
                <w:color w:val="auto"/>
              </w:rPr>
              <w:t>Three months ended June,</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Location</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ind w:left="140"/>
              <w:spacing w:after="0"/>
              <w:rPr>
                <w:sz w:val="20"/>
                <w:szCs w:val="20"/>
                <w:color w:val="auto"/>
              </w:rPr>
            </w:pPr>
            <w:r>
              <w:rPr>
                <w:rFonts w:ascii="Arial" w:cs="Arial" w:eastAsia="Arial" w:hAnsi="Arial"/>
                <w:sz w:val="14"/>
                <w:szCs w:val="14"/>
                <w:color w:val="auto"/>
              </w:rPr>
              <w:t>Interest rate instruments(1)</w:t>
            </w:r>
          </w:p>
        </w:tc>
        <w:tc>
          <w:tcPr>
            <w:tcW w:w="98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9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27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92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Equity Earnings,</w:t>
            </w:r>
          </w:p>
        </w:tc>
        <w:tc>
          <w:tcPr>
            <w:tcW w:w="300" w:type="dxa"/>
            <w:vAlign w:val="bottom"/>
          </w:tcPr>
          <w:p>
            <w:pPr>
              <w:spacing w:after="0"/>
              <w:rPr>
                <w:sz w:val="14"/>
                <w:szCs w:val="14"/>
                <w:color w:val="auto"/>
              </w:rPr>
            </w:pP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40" w:type="dxa"/>
            <w:vAlign w:val="bottom"/>
          </w:tcPr>
          <w:p>
            <w:pPr>
              <w:ind w:left="140"/>
              <w:spacing w:after="0" w:line="127" w:lineRule="exact"/>
              <w:rPr>
                <w:sz w:val="20"/>
                <w:szCs w:val="20"/>
                <w:color w:val="auto"/>
              </w:rPr>
            </w:pPr>
            <w:r>
              <w:rPr>
                <w:rFonts w:ascii="Arial" w:cs="Arial" w:eastAsia="Arial" w:hAnsi="Arial"/>
                <w:sz w:val="14"/>
                <w:szCs w:val="14"/>
                <w:color w:val="auto"/>
              </w:rPr>
              <w:t>Interest rate instruments</w:t>
            </w: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ind w:left="280"/>
              <w:spacing w:after="0" w:line="127" w:lineRule="exact"/>
              <w:rPr>
                <w:sz w:val="20"/>
                <w:szCs w:val="20"/>
                <w:color w:val="auto"/>
              </w:rPr>
            </w:pPr>
            <w:r>
              <w:rPr>
                <w:rFonts w:ascii="Arial" w:cs="Arial" w:eastAsia="Arial" w:hAnsi="Arial"/>
                <w:sz w:val="14"/>
                <w:szCs w:val="14"/>
                <w:color w:val="auto"/>
              </w:rPr>
              <w:t>Net of Income Tax</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9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(19)</w:t>
            </w:r>
          </w:p>
        </w:tc>
        <w:tc>
          <w:tcPr>
            <w:tcW w:w="2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Interest rate instruments(1)</w:t>
            </w:r>
          </w:p>
        </w:tc>
        <w:tc>
          <w:tcPr>
            <w:tcW w:w="980" w:type="dxa"/>
            <w:vAlign w:val="bottom"/>
            <w:tcBorders>
              <w:bottom w:val="single" w:sz="8" w:color="auto"/>
            </w:tcBorders>
          </w:tcPr>
          <w:p>
            <w:pPr>
              <w:jc w:val="right"/>
              <w:ind w:right="668"/>
              <w:spacing w:after="0" w:line="157"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920" w:type="dxa"/>
            <w:vAlign w:val="bottom"/>
            <w:tcBorders>
              <w:bottom w:val="single" w:sz="8" w:color="auto"/>
            </w:tcBorders>
          </w:tcPr>
          <w:p>
            <w:pPr>
              <w:jc w:val="right"/>
              <w:ind w:right="688"/>
              <w:spacing w:after="0" w:line="157"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(11)</w:t>
            </w:r>
          </w:p>
        </w:tc>
        <w:tc>
          <w:tcPr>
            <w:tcW w:w="270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Interest rate instruments</w:t>
            </w:r>
          </w:p>
        </w:tc>
        <w:tc>
          <w:tcPr>
            <w:tcW w:w="980" w:type="dxa"/>
            <w:vAlign w:val="bottom"/>
            <w:tcBorders>
              <w:bottom w:val="single" w:sz="8" w:color="auto"/>
            </w:tcBorders>
          </w:tcPr>
          <w:p>
            <w:pPr>
              <w:jc w:val="right"/>
              <w:ind w:right="668"/>
              <w:spacing w:after="0" w:line="157"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8"/>
              <w:spacing w:after="0" w:line="157"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270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color w:val="auto"/>
              </w:rPr>
              <w:t>Six months ended June,</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Location</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ind w:left="140"/>
              <w:spacing w:after="0"/>
              <w:rPr>
                <w:sz w:val="20"/>
                <w:szCs w:val="20"/>
                <w:color w:val="auto"/>
              </w:rPr>
            </w:pPr>
            <w:r>
              <w:rPr>
                <w:rFonts w:ascii="Arial" w:cs="Arial" w:eastAsia="Arial" w:hAnsi="Arial"/>
                <w:sz w:val="14"/>
                <w:szCs w:val="14"/>
                <w:color w:val="auto"/>
              </w:rPr>
              <w:t>Interest rate instruments(1)</w:t>
            </w:r>
          </w:p>
        </w:tc>
        <w:tc>
          <w:tcPr>
            <w:tcW w:w="98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9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27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92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Equity Earnings,</w:t>
            </w:r>
          </w:p>
        </w:tc>
        <w:tc>
          <w:tcPr>
            <w:tcW w:w="300" w:type="dxa"/>
            <w:vAlign w:val="bottom"/>
          </w:tcPr>
          <w:p>
            <w:pPr>
              <w:spacing w:after="0"/>
              <w:rPr>
                <w:sz w:val="14"/>
                <w:szCs w:val="14"/>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40" w:type="dxa"/>
            <w:vAlign w:val="bottom"/>
          </w:tcPr>
          <w:p>
            <w:pPr>
              <w:ind w:left="140"/>
              <w:spacing w:after="0" w:line="127" w:lineRule="exact"/>
              <w:rPr>
                <w:sz w:val="20"/>
                <w:szCs w:val="20"/>
                <w:color w:val="auto"/>
              </w:rPr>
            </w:pPr>
            <w:r>
              <w:rPr>
                <w:rFonts w:ascii="Arial" w:cs="Arial" w:eastAsia="Arial" w:hAnsi="Arial"/>
                <w:sz w:val="14"/>
                <w:szCs w:val="14"/>
                <w:color w:val="auto"/>
              </w:rPr>
              <w:t>Interest rate instruments</w:t>
            </w: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ind w:left="280"/>
              <w:spacing w:after="0" w:line="127" w:lineRule="exact"/>
              <w:rPr>
                <w:sz w:val="20"/>
                <w:szCs w:val="20"/>
                <w:color w:val="auto"/>
              </w:rPr>
            </w:pPr>
            <w:r>
              <w:rPr>
                <w:rFonts w:ascii="Arial" w:cs="Arial" w:eastAsia="Arial" w:hAnsi="Arial"/>
                <w:sz w:val="14"/>
                <w:szCs w:val="14"/>
                <w:color w:val="auto"/>
              </w:rPr>
              <w:t>Net of Income Tax</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9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(18)</w:t>
            </w:r>
          </w:p>
        </w:tc>
        <w:tc>
          <w:tcPr>
            <w:tcW w:w="2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Interest rate instruments(1)</w:t>
            </w:r>
          </w:p>
        </w:tc>
        <w:tc>
          <w:tcPr>
            <w:tcW w:w="980" w:type="dxa"/>
            <w:vAlign w:val="bottom"/>
            <w:tcBorders>
              <w:bottom w:val="single" w:sz="8" w:color="auto"/>
            </w:tcBorders>
          </w:tcPr>
          <w:p>
            <w:pPr>
              <w:jc w:val="right"/>
              <w:ind w:right="668"/>
              <w:spacing w:after="0" w:line="157"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920" w:type="dxa"/>
            <w:vAlign w:val="bottom"/>
            <w:tcBorders>
              <w:bottom w:val="single" w:sz="8" w:color="auto"/>
            </w:tcBorders>
          </w:tcPr>
          <w:p>
            <w:pPr>
              <w:jc w:val="right"/>
              <w:ind w:right="688"/>
              <w:spacing w:after="0" w:line="157"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(11)</w:t>
            </w:r>
          </w:p>
        </w:tc>
        <w:tc>
          <w:tcPr>
            <w:tcW w:w="270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b w:val="1"/>
          <w:bCs w:val="1"/>
          <w:color w:val="auto"/>
        </w:rPr>
        <w:t>SoCalGas:</w:t>
      </w:r>
    </w:p>
    <w:p>
      <w:pPr>
        <w:sectPr>
          <w:pgSz w:w="11900" w:h="16838" w:orient="portrait"/>
          <w:cols w:equalWidth="0" w:num="1">
            <w:col w:w="11420"/>
          </w:cols>
          <w:pgMar w:left="240" w:top="1053" w:right="239" w:bottom="0" w:gutter="0" w:footer="0" w:header="0"/>
        </w:sectPr>
      </w:pPr>
    </w:p>
    <w:bookmarkStart w:id="31" w:name="page32"/>
    <w:bookmarkEnd w:id="31"/>
    <w:p>
      <w:pPr>
        <w:ind w:left="160"/>
        <w:spacing w:after="0"/>
        <w:tabs>
          <w:tab w:leader="none" w:pos="3100" w:val="left"/>
          <w:tab w:leader="none" w:pos="4200" w:val="left"/>
          <w:tab w:leader="none" w:pos="4500" w:val="left"/>
          <w:tab w:leader="none" w:pos="5600" w:val="left"/>
          <w:tab w:leader="none" w:pos="5980" w:val="left"/>
          <w:tab w:leader="none" w:pos="8720" w:val="left"/>
          <w:tab w:leader="none" w:pos="9800" w:val="left"/>
          <w:tab w:leader="none" w:pos="10140" w:val="left"/>
          <w:tab w:leader="none" w:pos="11220" w:val="left"/>
        </w:tabs>
        <w:rPr>
          <w:sz w:val="20"/>
          <w:szCs w:val="20"/>
          <w:color w:val="auto"/>
        </w:rPr>
      </w:pPr>
      <w:r>
        <w:rPr>
          <w:rFonts w:ascii="Arial" w:cs="Arial" w:eastAsia="Arial" w:hAnsi="Arial"/>
          <w:sz w:val="14"/>
          <w:szCs w:val="14"/>
          <w:color w:val="auto"/>
        </w:rPr>
        <w:t>Interest rate instruments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Interest 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w:t>
        <w:tab/>
        <w:t>$</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right="60" w:hanging="492"/>
        <w:spacing w:after="0" w:line="279" w:lineRule="auto"/>
        <w:tabs>
          <w:tab w:leader="none" w:pos="50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Otay Mesa VIE. All of SDG&amp;E’s interest rate derivative activity relates to Otay Mesa VIE. There has been a negligible amount of ineffectiveness related to these swaps.</w:t>
      </w:r>
    </w:p>
    <w:p>
      <w:pPr>
        <w:spacing w:after="0" w:line="200" w:lineRule="exact"/>
        <w:rPr>
          <w:sz w:val="20"/>
          <w:szCs w:val="20"/>
          <w:color w:val="auto"/>
        </w:rPr>
      </w:pP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Sempra Energy expects that losses of $12 million, which are net of income tax benefit, that are currently recorded in AOCI related to cash flow hedges will be reclassified into earnings during the next twelve months as the hedged items affect earnings. Actual amounts ultimately reclassified into earnings depend on the interest rates in effect when derivative contracts that are currently outstanding mature.</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SDG&amp;E and SoCalGas expect that losses of $6 million and $1 million, respectively, which are net of income tax benefit, that are currently recorded in AOCI related to cash flow hedges will be reclassified into earnings during the next twelve months as the hedged items affect earnings.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all forecasted transactions, the maximum term over which we are hedging exposure to the variability of cash flows at June 30, 2012 is 82 months for both Sempra Energy and SDG&amp;E. The maximum term of hedged interest rate variability related to debt at Sempra Renewables’ equity method investees is 19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recorded negligible hedge ineffectiveness in the three months and six months ended June 30, 2012.</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effects of derivative instruments not designated as hedging instruments on the Condensed Consolidated Statements of Operations for the three months and six months ended June 30 were:</w:t>
      </w:r>
    </w:p>
    <w:p>
      <w:pPr>
        <w:spacing w:after="0" w:line="200" w:lineRule="exact"/>
        <w:rPr>
          <w:sz w:val="20"/>
          <w:szCs w:val="20"/>
          <w:color w:val="auto"/>
        </w:rPr>
      </w:pPr>
    </w:p>
    <w:p>
      <w:pPr>
        <w:spacing w:after="0" w:line="210" w:lineRule="exact"/>
        <w:rPr>
          <w:sz w:val="20"/>
          <w:szCs w:val="20"/>
          <w:color w:val="auto"/>
        </w:rPr>
      </w:pPr>
    </w:p>
    <w:p>
      <w:pPr>
        <w:ind w:right="2920"/>
        <w:spacing w:after="0" w:line="243" w:lineRule="auto"/>
        <w:rPr>
          <w:sz w:val="20"/>
          <w:szCs w:val="20"/>
          <w:color w:val="auto"/>
        </w:rPr>
      </w:pPr>
      <w:r>
        <w:rPr>
          <w:rFonts w:ascii="Arial" w:cs="Arial" w:eastAsia="Arial" w:hAnsi="Arial"/>
          <w:sz w:val="16"/>
          <w:szCs w:val="16"/>
          <w:b w:val="1"/>
          <w:bCs w:val="1"/>
          <w:color w:val="auto"/>
        </w:rPr>
        <w:t xml:space="preserve">UNDESIGNATED DERIVATIVE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6"/>
          </w:tcPr>
          <w:p>
            <w:pPr>
              <w:jc w:val="right"/>
              <w:ind w:right="59"/>
              <w:spacing w:after="0" w:line="159" w:lineRule="exact"/>
              <w:rPr>
                <w:sz w:val="20"/>
                <w:szCs w:val="20"/>
                <w:color w:val="auto"/>
              </w:rPr>
            </w:pPr>
            <w:r>
              <w:rPr>
                <w:rFonts w:ascii="Arial" w:cs="Arial" w:eastAsia="Arial" w:hAnsi="Arial"/>
                <w:sz w:val="14"/>
                <w:szCs w:val="14"/>
                <w:color w:val="auto"/>
              </w:rPr>
              <w:t>Gain (loss) on derivatives recognized in earnings</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color w:val="auto"/>
              </w:rPr>
              <w:t>Three months ended June 30,</w:t>
            </w: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ind w:left="1420"/>
              <w:spacing w:after="0"/>
              <w:rPr>
                <w:sz w:val="20"/>
                <w:szCs w:val="20"/>
                <w:color w:val="auto"/>
              </w:rPr>
            </w:pPr>
            <w:r>
              <w:rPr>
                <w:rFonts w:ascii="Arial" w:cs="Arial" w:eastAsia="Arial" w:hAnsi="Arial"/>
                <w:sz w:val="14"/>
                <w:szCs w:val="14"/>
                <w:color w:val="auto"/>
              </w:rPr>
              <w:t>Location</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6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6"/>
                <w:szCs w:val="16"/>
                <w:color w:val="auto"/>
              </w:rPr>
              <w:t>Interest rate and foreign exchange</w:t>
            </w: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400"/>
              <w:spacing w:after="0" w:line="176" w:lineRule="exact"/>
              <w:rPr>
                <w:sz w:val="20"/>
                <w:szCs w:val="20"/>
                <w:color w:val="auto"/>
              </w:rPr>
            </w:pPr>
            <w:r>
              <w:rPr>
                <w:rFonts w:ascii="Arial" w:cs="Arial" w:eastAsia="Arial" w:hAnsi="Arial"/>
                <w:sz w:val="16"/>
                <w:szCs w:val="16"/>
                <w:color w:val="auto"/>
              </w:rPr>
              <w:t>instruments</w:t>
            </w:r>
          </w:p>
        </w:tc>
        <w:tc>
          <w:tcPr>
            <w:tcW w:w="3040" w:type="dxa"/>
            <w:vAlign w:val="bottom"/>
          </w:tcPr>
          <w:p>
            <w:pPr>
              <w:ind w:left="340"/>
              <w:spacing w:after="0" w:line="176" w:lineRule="exact"/>
              <w:rPr>
                <w:sz w:val="20"/>
                <w:szCs w:val="20"/>
                <w:color w:val="auto"/>
              </w:rPr>
            </w:pPr>
            <w:r>
              <w:rPr>
                <w:rFonts w:ascii="Arial" w:cs="Arial" w:eastAsia="Arial" w:hAnsi="Arial"/>
                <w:sz w:val="16"/>
                <w:szCs w:val="16"/>
                <w:color w:val="auto"/>
              </w:rPr>
              <w:t>Other Income, Net</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line="176" w:lineRule="exact"/>
              <w:rPr>
                <w:sz w:val="20"/>
                <w:szCs w:val="20"/>
                <w:color w:val="auto"/>
              </w:rPr>
            </w:pPr>
            <w:r>
              <w:rPr>
                <w:rFonts w:ascii="Arial" w:cs="Arial" w:eastAsia="Arial" w:hAnsi="Arial"/>
                <w:sz w:val="16"/>
                <w:szCs w:val="16"/>
                <w:color w:val="auto"/>
              </w:rPr>
              <w:t>2</w:t>
            </w:r>
          </w:p>
        </w:tc>
        <w:tc>
          <w:tcPr>
            <w:tcW w:w="3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10</w:t>
            </w:r>
          </w:p>
        </w:tc>
        <w:tc>
          <w:tcPr>
            <w:tcW w:w="3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040" w:type="dxa"/>
            <w:vAlign w:val="bottom"/>
          </w:tcPr>
          <w:p>
            <w:pPr>
              <w:ind w:left="340"/>
              <w:spacing w:after="0" w:line="176" w:lineRule="exact"/>
              <w:rPr>
                <w:sz w:val="20"/>
                <w:szCs w:val="20"/>
                <w:color w:val="auto"/>
              </w:rPr>
            </w:pPr>
            <w:r>
              <w:rPr>
                <w:rFonts w:ascii="Arial" w:cs="Arial" w:eastAsia="Arial" w:hAnsi="Arial"/>
                <w:sz w:val="16"/>
                <w:szCs w:val="16"/>
                <w:color w:val="auto"/>
              </w:rPr>
              <w:t>Revenues: Energy-Related</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340"/>
              <w:spacing w:after="0" w:line="176" w:lineRule="exact"/>
              <w:rPr>
                <w:sz w:val="20"/>
                <w:szCs w:val="20"/>
                <w:color w:val="auto"/>
              </w:rPr>
            </w:pPr>
            <w:r>
              <w:rPr>
                <w:rFonts w:ascii="Arial" w:cs="Arial" w:eastAsia="Arial" w:hAnsi="Arial"/>
                <w:sz w:val="16"/>
                <w:szCs w:val="16"/>
                <w:color w:val="auto"/>
              </w:rPr>
              <w:t>to rate recovery</w:t>
            </w:r>
          </w:p>
        </w:tc>
        <w:tc>
          <w:tcPr>
            <w:tcW w:w="3040" w:type="dxa"/>
            <w:vAlign w:val="bottom"/>
          </w:tcPr>
          <w:p>
            <w:pPr>
              <w:ind w:left="520"/>
              <w:spacing w:after="0" w:line="176" w:lineRule="exact"/>
              <w:rPr>
                <w:sz w:val="20"/>
                <w:szCs w:val="20"/>
                <w:color w:val="auto"/>
              </w:rPr>
            </w:pPr>
            <w:r>
              <w:rPr>
                <w:rFonts w:ascii="Arial" w:cs="Arial" w:eastAsia="Arial" w:hAnsi="Arial"/>
                <w:sz w:val="16"/>
                <w:szCs w:val="16"/>
                <w:color w:val="auto"/>
              </w:rPr>
              <w:t>Businesses</w:t>
            </w:r>
          </w:p>
        </w:tc>
        <w:tc>
          <w:tcPr>
            <w:tcW w:w="30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300" w:type="dxa"/>
            <w:vAlign w:val="bottom"/>
          </w:tcPr>
          <w:p>
            <w:pPr>
              <w:spacing w:after="0"/>
              <w:rPr>
                <w:sz w:val="15"/>
                <w:szCs w:val="15"/>
                <w:color w:val="auto"/>
              </w:rPr>
            </w:pPr>
          </w:p>
        </w:tc>
        <w:tc>
          <w:tcPr>
            <w:tcW w:w="1040" w:type="dxa"/>
            <w:vAlign w:val="bottom"/>
          </w:tcPr>
          <w:p>
            <w:pPr>
              <w:jc w:val="right"/>
              <w:ind w:right="40"/>
              <w:spacing w:after="0" w:line="176" w:lineRule="exact"/>
              <w:rPr>
                <w:sz w:val="20"/>
                <w:szCs w:val="20"/>
                <w:color w:val="auto"/>
              </w:rPr>
            </w:pPr>
            <w:r>
              <w:rPr>
                <w:rFonts w:ascii="Arial" w:cs="Arial" w:eastAsia="Arial" w:hAnsi="Arial"/>
                <w:sz w:val="16"/>
                <w:szCs w:val="16"/>
                <w:color w:val="auto"/>
              </w:rPr>
              <w:t>8</w:t>
            </w:r>
          </w:p>
        </w:tc>
        <w:tc>
          <w:tcPr>
            <w:tcW w:w="300" w:type="dxa"/>
            <w:vAlign w:val="bottom"/>
          </w:tcPr>
          <w:p>
            <w:pPr>
              <w:spacing w:after="0"/>
              <w:rPr>
                <w:sz w:val="15"/>
                <w:szCs w:val="15"/>
                <w:color w:val="auto"/>
              </w:rPr>
            </w:pPr>
          </w:p>
        </w:tc>
        <w:tc>
          <w:tcPr>
            <w:tcW w:w="1060" w:type="dxa"/>
            <w:vAlign w:val="bottom"/>
          </w:tcPr>
          <w:p>
            <w:pPr>
              <w:jc w:val="right"/>
              <w:ind w:right="40"/>
              <w:spacing w:after="0" w:line="176" w:lineRule="exact"/>
              <w:rPr>
                <w:sz w:val="20"/>
                <w:szCs w:val="20"/>
                <w:color w:val="auto"/>
              </w:rPr>
            </w:pPr>
            <w:r>
              <w:rPr>
                <w:rFonts w:ascii="Arial" w:cs="Arial" w:eastAsia="Arial" w:hAnsi="Arial"/>
                <w:sz w:val="16"/>
                <w:szCs w:val="16"/>
                <w:color w:val="auto"/>
              </w:rPr>
              <w:t>2</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040" w:type="dxa"/>
            <w:vAlign w:val="bottom"/>
          </w:tcPr>
          <w:p>
            <w:pPr>
              <w:ind w:left="340"/>
              <w:spacing w:after="0" w:line="176" w:lineRule="exact"/>
              <w:rPr>
                <w:sz w:val="20"/>
                <w:szCs w:val="20"/>
                <w:color w:val="auto"/>
              </w:rPr>
            </w:pPr>
            <w:r>
              <w:rPr>
                <w:rFonts w:ascii="Arial" w:cs="Arial" w:eastAsia="Arial" w:hAnsi="Arial"/>
                <w:sz w:val="16"/>
                <w:szCs w:val="16"/>
                <w:color w:val="auto"/>
              </w:rPr>
              <w:t>Cost of Natural Gas, Electric</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340"/>
              <w:spacing w:after="0" w:line="176" w:lineRule="exact"/>
              <w:rPr>
                <w:sz w:val="20"/>
                <w:szCs w:val="20"/>
                <w:color w:val="auto"/>
              </w:rPr>
            </w:pPr>
            <w:r>
              <w:rPr>
                <w:rFonts w:ascii="Arial" w:cs="Arial" w:eastAsia="Arial" w:hAnsi="Arial"/>
                <w:sz w:val="16"/>
                <w:szCs w:val="16"/>
                <w:color w:val="auto"/>
              </w:rPr>
              <w:t>to rate recovery</w:t>
            </w:r>
          </w:p>
        </w:tc>
        <w:tc>
          <w:tcPr>
            <w:tcW w:w="3040" w:type="dxa"/>
            <w:vAlign w:val="bottom"/>
          </w:tcPr>
          <w:p>
            <w:pPr>
              <w:ind w:left="520"/>
              <w:spacing w:after="0" w:line="176" w:lineRule="exact"/>
              <w:rPr>
                <w:sz w:val="20"/>
                <w:szCs w:val="20"/>
                <w:color w:val="auto"/>
              </w:rPr>
            </w:pPr>
            <w:r>
              <w:rPr>
                <w:rFonts w:ascii="Arial" w:cs="Arial" w:eastAsia="Arial" w:hAnsi="Arial"/>
                <w:sz w:val="16"/>
                <w:szCs w:val="16"/>
                <w:color w:val="auto"/>
              </w:rPr>
              <w:t>Fuel and Purchased Power</w:t>
            </w:r>
          </w:p>
        </w:tc>
        <w:tc>
          <w:tcPr>
            <w:tcW w:w="30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340"/>
              <w:spacing w:after="0" w:line="176" w:lineRule="exact"/>
              <w:rPr>
                <w:sz w:val="20"/>
                <w:szCs w:val="20"/>
                <w:color w:val="auto"/>
              </w:rPr>
            </w:pPr>
            <w:r>
              <w:rPr>
                <w:rFonts w:ascii="Arial" w:cs="Arial" w:eastAsia="Arial" w:hAnsi="Arial"/>
                <w:sz w:val="16"/>
                <w:szCs w:val="16"/>
                <w:color w:val="auto"/>
              </w:rPr>
              <w:t>to rate recovery</w:t>
            </w:r>
          </w:p>
        </w:tc>
        <w:tc>
          <w:tcPr>
            <w:tcW w:w="3040" w:type="dxa"/>
            <w:vAlign w:val="bottom"/>
          </w:tcPr>
          <w:p>
            <w:pPr>
              <w:ind w:left="340"/>
              <w:spacing w:after="0" w:line="176" w:lineRule="exact"/>
              <w:rPr>
                <w:sz w:val="20"/>
                <w:szCs w:val="20"/>
                <w:color w:val="auto"/>
              </w:rPr>
            </w:pPr>
            <w:r>
              <w:rPr>
                <w:rFonts w:ascii="Arial" w:cs="Arial" w:eastAsia="Arial" w:hAnsi="Arial"/>
                <w:sz w:val="16"/>
                <w:szCs w:val="16"/>
                <w:color w:val="auto"/>
              </w:rPr>
              <w:t>Operation and Maintenance</w:t>
            </w:r>
          </w:p>
        </w:tc>
        <w:tc>
          <w:tcPr>
            <w:tcW w:w="30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w:t>
            </w:r>
          </w:p>
        </w:tc>
        <w:tc>
          <w:tcPr>
            <w:tcW w:w="3040" w:type="dxa"/>
            <w:vAlign w:val="bottom"/>
          </w:tcPr>
          <w:p>
            <w:pPr>
              <w:ind w:left="340"/>
              <w:spacing w:after="0" w:line="176" w:lineRule="exact"/>
              <w:rPr>
                <w:sz w:val="20"/>
                <w:szCs w:val="20"/>
                <w:color w:val="auto"/>
              </w:rPr>
            </w:pPr>
            <w:r>
              <w:rPr>
                <w:rFonts w:ascii="Arial" w:cs="Arial" w:eastAsia="Arial" w:hAnsi="Arial"/>
                <w:sz w:val="16"/>
                <w:szCs w:val="16"/>
                <w:color w:val="auto"/>
              </w:rPr>
              <w:t>Cost of Electric Fuel</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340"/>
              <w:spacing w:after="0" w:line="176" w:lineRule="exact"/>
              <w:rPr>
                <w:sz w:val="20"/>
                <w:szCs w:val="20"/>
                <w:color w:val="auto"/>
              </w:rPr>
            </w:pPr>
            <w:r>
              <w:rPr>
                <w:rFonts w:ascii="Arial" w:cs="Arial" w:eastAsia="Arial" w:hAnsi="Arial"/>
                <w:sz w:val="16"/>
                <w:szCs w:val="16"/>
                <w:color w:val="auto"/>
              </w:rPr>
              <w:t>to rate recovery</w:t>
            </w:r>
          </w:p>
        </w:tc>
        <w:tc>
          <w:tcPr>
            <w:tcW w:w="3040" w:type="dxa"/>
            <w:vAlign w:val="bottom"/>
          </w:tcPr>
          <w:p>
            <w:pPr>
              <w:ind w:left="520"/>
              <w:spacing w:after="0" w:line="176" w:lineRule="exact"/>
              <w:rPr>
                <w:sz w:val="20"/>
                <w:szCs w:val="20"/>
                <w:color w:val="auto"/>
              </w:rPr>
            </w:pPr>
            <w:r>
              <w:rPr>
                <w:rFonts w:ascii="Arial" w:cs="Arial" w:eastAsia="Arial" w:hAnsi="Arial"/>
                <w:sz w:val="16"/>
                <w:szCs w:val="16"/>
                <w:color w:val="auto"/>
              </w:rPr>
              <w:t>and Purchased Power</w:t>
            </w:r>
          </w:p>
        </w:tc>
        <w:tc>
          <w:tcPr>
            <w:tcW w:w="300" w:type="dxa"/>
            <w:vAlign w:val="bottom"/>
          </w:tcPr>
          <w:p>
            <w:pPr>
              <w:spacing w:after="0"/>
              <w:rPr>
                <w:sz w:val="15"/>
                <w:szCs w:val="15"/>
                <w:color w:val="auto"/>
              </w:rPr>
            </w:pPr>
          </w:p>
        </w:tc>
        <w:tc>
          <w:tcPr>
            <w:tcW w:w="1100" w:type="dxa"/>
            <w:vAlign w:val="bottom"/>
          </w:tcPr>
          <w:p>
            <w:pPr>
              <w:jc w:val="right"/>
              <w:ind w:right="41"/>
              <w:spacing w:after="0" w:line="176" w:lineRule="exact"/>
              <w:rPr>
                <w:sz w:val="20"/>
                <w:szCs w:val="20"/>
                <w:color w:val="auto"/>
              </w:rPr>
            </w:pPr>
            <w:r>
              <w:rPr>
                <w:rFonts w:ascii="Arial" w:cs="Arial" w:eastAsia="Arial" w:hAnsi="Arial"/>
                <w:sz w:val="16"/>
                <w:szCs w:val="16"/>
                <w:color w:val="auto"/>
              </w:rPr>
              <w:t>12</w:t>
            </w:r>
          </w:p>
        </w:tc>
        <w:tc>
          <w:tcPr>
            <w:tcW w:w="3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auto"/>
              </w:rPr>
              <w:t>Commodity contracts subject</w:t>
            </w:r>
          </w:p>
        </w:tc>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6"/>
                <w:szCs w:val="16"/>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60" w:type="dxa"/>
            <w:vAlign w:val="bottom"/>
          </w:tcPr>
          <w:p>
            <w:pPr>
              <w:ind w:left="340"/>
              <w:spacing w:after="0" w:line="168" w:lineRule="exact"/>
              <w:rPr>
                <w:sz w:val="20"/>
                <w:szCs w:val="20"/>
                <w:color w:val="auto"/>
              </w:rPr>
            </w:pPr>
            <w:r>
              <w:rPr>
                <w:rFonts w:ascii="Arial" w:cs="Arial" w:eastAsia="Arial" w:hAnsi="Arial"/>
                <w:sz w:val="16"/>
                <w:szCs w:val="16"/>
                <w:color w:val="auto"/>
              </w:rPr>
              <w:t>to rate recovery</w:t>
            </w:r>
          </w:p>
        </w:tc>
        <w:tc>
          <w:tcPr>
            <w:tcW w:w="3040" w:type="dxa"/>
            <w:vAlign w:val="bottom"/>
          </w:tcPr>
          <w:p>
            <w:pPr>
              <w:ind w:left="340"/>
              <w:spacing w:after="0" w:line="168" w:lineRule="exact"/>
              <w:rPr>
                <w:sz w:val="20"/>
                <w:szCs w:val="20"/>
                <w:color w:val="auto"/>
              </w:rPr>
            </w:pPr>
            <w:r>
              <w:rPr>
                <w:rFonts w:ascii="Arial" w:cs="Arial" w:eastAsia="Arial" w:hAnsi="Arial"/>
                <w:sz w:val="16"/>
                <w:szCs w:val="16"/>
                <w:color w:val="auto"/>
              </w:rPr>
              <w:t>Cost of Natural Gas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6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6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340"/>
              <w:spacing w:after="0" w:line="176" w:lineRule="exact"/>
              <w:rPr>
                <w:sz w:val="20"/>
                <w:szCs w:val="20"/>
                <w:color w:val="auto"/>
              </w:rPr>
            </w:pPr>
            <w:r>
              <w:rPr>
                <w:rFonts w:ascii="Arial" w:cs="Arial" w:eastAsia="Arial" w:hAnsi="Arial"/>
                <w:sz w:val="16"/>
                <w:szCs w:val="16"/>
                <w:color w:val="auto"/>
              </w:rPr>
              <w:t>to rate recovery</w:t>
            </w:r>
          </w:p>
        </w:tc>
        <w:tc>
          <w:tcPr>
            <w:tcW w:w="3040" w:type="dxa"/>
            <w:vAlign w:val="bottom"/>
          </w:tcPr>
          <w:p>
            <w:pPr>
              <w:ind w:left="340"/>
              <w:spacing w:after="0" w:line="176" w:lineRule="exact"/>
              <w:rPr>
                <w:sz w:val="20"/>
                <w:szCs w:val="20"/>
                <w:color w:val="auto"/>
              </w:rPr>
            </w:pPr>
            <w:r>
              <w:rPr>
                <w:rFonts w:ascii="Arial" w:cs="Arial" w:eastAsia="Arial" w:hAnsi="Arial"/>
                <w:sz w:val="16"/>
                <w:szCs w:val="16"/>
                <w:color w:val="auto"/>
              </w:rPr>
              <w:t>Operation and Maintenance</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auto"/>
              </w:rPr>
              <w:t>Commodity contracts subject</w:t>
            </w:r>
          </w:p>
        </w:tc>
        <w:tc>
          <w:tcPr>
            <w:tcW w:w="3040" w:type="dxa"/>
            <w:vAlign w:val="bottom"/>
          </w:tcPr>
          <w:p>
            <w:pPr>
              <w:ind w:left="340"/>
              <w:spacing w:after="0"/>
              <w:rPr>
                <w:sz w:val="20"/>
                <w:szCs w:val="20"/>
                <w:color w:val="auto"/>
              </w:rPr>
            </w:pPr>
            <w:r>
              <w:rPr>
                <w:rFonts w:ascii="Arial" w:cs="Arial" w:eastAsia="Arial" w:hAnsi="Arial"/>
                <w:sz w:val="16"/>
                <w:szCs w:val="16"/>
                <w:color w:val="auto"/>
              </w:rPr>
              <w:t>Cost of Electric Fuel</w:t>
            </w:r>
          </w:p>
        </w:tc>
        <w:tc>
          <w:tcPr>
            <w:tcW w:w="300" w:type="dxa"/>
            <w:vAlign w:val="bottom"/>
          </w:tcPr>
          <w:p>
            <w:pPr>
              <w:spacing w:after="0"/>
              <w:rPr>
                <w:sz w:val="16"/>
                <w:szCs w:val="16"/>
                <w:color w:val="auto"/>
              </w:rPr>
            </w:pPr>
          </w:p>
        </w:tc>
        <w:tc>
          <w:tcPr>
            <w:tcW w:w="1100" w:type="dxa"/>
            <w:vAlign w:val="bottom"/>
            <w:vMerge w:val="restart"/>
          </w:tcPr>
          <w:p>
            <w:pPr>
              <w:jc w:val="right"/>
              <w:ind w:right="41"/>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60" w:type="dxa"/>
            <w:vAlign w:val="bottom"/>
          </w:tcPr>
          <w:p>
            <w:pPr>
              <w:ind w:left="340"/>
              <w:spacing w:after="0" w:line="168" w:lineRule="exact"/>
              <w:rPr>
                <w:sz w:val="20"/>
                <w:szCs w:val="20"/>
                <w:color w:val="auto"/>
              </w:rPr>
            </w:pPr>
            <w:r>
              <w:rPr>
                <w:rFonts w:ascii="Arial" w:cs="Arial" w:eastAsia="Arial" w:hAnsi="Arial"/>
                <w:sz w:val="16"/>
                <w:szCs w:val="16"/>
                <w:color w:val="auto"/>
              </w:rPr>
              <w:t>to rate recovery</w:t>
            </w:r>
          </w:p>
        </w:tc>
        <w:tc>
          <w:tcPr>
            <w:tcW w:w="3040" w:type="dxa"/>
            <w:vAlign w:val="bottom"/>
          </w:tcPr>
          <w:p>
            <w:pPr>
              <w:ind w:left="520"/>
              <w:spacing w:after="0" w:line="168" w:lineRule="exact"/>
              <w:rPr>
                <w:sz w:val="20"/>
                <w:szCs w:val="20"/>
                <w:color w:val="auto"/>
              </w:rPr>
            </w:pPr>
            <w:r>
              <w:rPr>
                <w:rFonts w:ascii="Arial" w:cs="Arial" w:eastAsia="Arial" w:hAnsi="Arial"/>
                <w:sz w:val="16"/>
                <w:szCs w:val="16"/>
                <w:color w:val="auto"/>
              </w:rPr>
              <w:t>and Purchased Power</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6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w:t>
            </w:r>
          </w:p>
        </w:tc>
        <w:tc>
          <w:tcPr>
            <w:tcW w:w="3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6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tcPr>
          <w:p>
            <w:pPr>
              <w:ind w:left="340"/>
              <w:spacing w:after="0"/>
              <w:rPr>
                <w:sz w:val="20"/>
                <w:szCs w:val="20"/>
                <w:color w:val="auto"/>
              </w:rPr>
            </w:pPr>
            <w:r>
              <w:rPr>
                <w:rFonts w:ascii="Arial" w:cs="Arial" w:eastAsia="Arial" w:hAnsi="Arial"/>
                <w:sz w:val="16"/>
                <w:szCs w:val="16"/>
                <w:color w:val="auto"/>
              </w:rPr>
              <w:t>to rate recovery</w:t>
            </w:r>
          </w:p>
        </w:tc>
        <w:tc>
          <w:tcPr>
            <w:tcW w:w="3040" w:type="dxa"/>
            <w:vAlign w:val="bottom"/>
          </w:tcPr>
          <w:p>
            <w:pPr>
              <w:ind w:left="340"/>
              <w:spacing w:after="0"/>
              <w:rPr>
                <w:sz w:val="20"/>
                <w:szCs w:val="20"/>
                <w:color w:val="auto"/>
              </w:rPr>
            </w:pPr>
            <w:r>
              <w:rPr>
                <w:rFonts w:ascii="Arial" w:cs="Arial" w:eastAsia="Arial" w:hAnsi="Arial"/>
                <w:sz w:val="16"/>
                <w:szCs w:val="16"/>
                <w:color w:val="auto"/>
              </w:rPr>
              <w:t>Operation and Maintenance</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auto"/>
              </w:rPr>
              <w:t>Commodity contracts subject</w:t>
            </w:r>
          </w:p>
        </w:tc>
        <w:tc>
          <w:tcPr>
            <w:tcW w:w="3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60" w:type="dxa"/>
            <w:vAlign w:val="bottom"/>
          </w:tcPr>
          <w:p>
            <w:pPr>
              <w:ind w:left="340"/>
              <w:spacing w:after="0" w:line="168" w:lineRule="exact"/>
              <w:rPr>
                <w:sz w:val="20"/>
                <w:szCs w:val="20"/>
                <w:color w:val="auto"/>
              </w:rPr>
            </w:pPr>
            <w:r>
              <w:rPr>
                <w:rFonts w:ascii="Arial" w:cs="Arial" w:eastAsia="Arial" w:hAnsi="Arial"/>
                <w:sz w:val="16"/>
                <w:szCs w:val="16"/>
                <w:color w:val="auto"/>
              </w:rPr>
              <w:t>to rate recovery</w:t>
            </w:r>
          </w:p>
        </w:tc>
        <w:tc>
          <w:tcPr>
            <w:tcW w:w="3040" w:type="dxa"/>
            <w:vAlign w:val="bottom"/>
          </w:tcPr>
          <w:p>
            <w:pPr>
              <w:ind w:left="340"/>
              <w:spacing w:after="0" w:line="168" w:lineRule="exact"/>
              <w:rPr>
                <w:sz w:val="20"/>
                <w:szCs w:val="20"/>
                <w:color w:val="auto"/>
              </w:rPr>
            </w:pPr>
            <w:r>
              <w:rPr>
                <w:rFonts w:ascii="Arial" w:cs="Arial" w:eastAsia="Arial" w:hAnsi="Arial"/>
                <w:sz w:val="16"/>
                <w:szCs w:val="16"/>
                <w:color w:val="auto"/>
              </w:rPr>
              <w:t>Cost of Natural Gas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6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FEATURES</w:t>
      </w:r>
    </w:p>
    <w:p>
      <w:pPr>
        <w:spacing w:after="0" w:line="23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 Sempra Energy and SDG&amp;E, certain of our derivative instruments contain credit limits which vary depending upon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Sempra Energy and SDG&amp;E, the total fair value of this group of derivative instruments in a net liability position at June 30, 2012 is $23 million and $11 million, respectively. As of June 30, 2012, if the credit ratings of Sempra Energy and SDG&amp;E were reduced below investment grade, $23 million and $11 million, respectively, of additional assets could be required to be posted as collateral for these derivative contracts.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Sempra Energy,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263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NOTE 8. FAIR VALUE MEASUREMENTS</w:t>
      </w:r>
    </w:p>
    <w:p>
      <w:pPr>
        <w:spacing w:after="0" w:line="19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discuss the valuation techniques and inputs we use to measure fair value and the definition of the three levels of the fair value hierarchy in Notes 1 and 2 of the Notes to Consolidated Financial Statements in the Updated Annual Report. We have not changed the valuation techniques or inputs we use to measure fair value during the six months ended June 30, 2012.</w:t>
      </w:r>
    </w:p>
    <w:p>
      <w:pPr>
        <w:sectPr>
          <w:pgSz w:w="11900" w:h="16838" w:orient="portrait"/>
          <w:cols w:equalWidth="0" w:num="1">
            <w:col w:w="11420"/>
          </w:cols>
          <w:pgMar w:left="240" w:top="144" w:right="239" w:bottom="0" w:gutter="0" w:footer="0" w:header="0"/>
        </w:sect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Recurring Fair Value Measures</w:t>
      </w:r>
    </w:p>
    <w:p>
      <w:pPr>
        <w:sectPr>
          <w:pgSz w:w="11900" w:h="16838" w:orient="portrait"/>
          <w:cols w:equalWidth="0" w:num="1">
            <w:col w:w="11420"/>
          </w:cols>
          <w:pgMar w:left="240" w:top="144" w:right="239" w:bottom="0" w:gutter="0" w:footer="0" w:header="0"/>
          <w:type w:val="continuous"/>
        </w:sectPr>
      </w:pPr>
    </w:p>
    <w:bookmarkStart w:id="32" w:name="page33"/>
    <w:bookmarkEnd w:id="32"/>
    <w:p>
      <w:pPr>
        <w:ind w:right="80"/>
        <w:spacing w:after="0" w:line="279" w:lineRule="auto"/>
        <w:rPr>
          <w:sz w:val="20"/>
          <w:szCs w:val="20"/>
          <w:color w:val="auto"/>
        </w:rPr>
      </w:pPr>
      <w:r>
        <w:rPr>
          <w:rFonts w:ascii="Arial" w:cs="Arial" w:eastAsia="Arial" w:hAnsi="Arial"/>
          <w:sz w:val="17"/>
          <w:szCs w:val="17"/>
          <w:color w:val="auto"/>
        </w:rPr>
        <w:t>The three tables below, by level within the fair value hierarchy, set forth our financial assets and liabilities that were accounted for at fair value on a recurring basis as of June 30, 2012 and December 31, 2011.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fair value of commodity derivative assets and liabilities is determined in accordance with our netting policy, as discussed below under “Derivative Positions Net of Cash Collateral.”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financial assets and liabilities that were accounted for at fair value on a recurring basis as of June 30, 2012 and December 31, 2011 in the tables below include the following:</w:t>
      </w:r>
    </w:p>
    <w:p>
      <w:pPr>
        <w:spacing w:after="0" w:line="170" w:lineRule="exact"/>
        <w:rPr>
          <w:sz w:val="20"/>
          <w:szCs w:val="20"/>
          <w:color w:val="auto"/>
        </w:rPr>
      </w:pPr>
    </w:p>
    <w:p>
      <w:pPr>
        <w:jc w:val="both"/>
        <w:ind w:left="340" w:hanging="188"/>
        <w:spacing w:after="0" w:line="276"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Nuclear decommissioning trusts reflect the assets of SDG&amp;E’s nuclear decommissioning trusts, excluding cash balances. A third party trustee values the trust assets using prices from a pricing service based on a market approach. We validate these prices by comparison to prices from other independent data sources. Equity and certain debt securities are valued using quoted prices listed on nationally recognized securities exchanges or based on closing prices reported in the active market in which the identical security is traded (Level 1). Other debt securities are valued based on yields that are currently available for comparable securities of issuers with similar credit ratings (Level 2).</w:t>
      </w:r>
    </w:p>
    <w:p>
      <w:pPr>
        <w:spacing w:after="0" w:line="199" w:lineRule="exact"/>
        <w:rPr>
          <w:rFonts w:ascii="Arial" w:cs="Arial" w:eastAsia="Arial" w:hAnsi="Arial"/>
          <w:sz w:val="17"/>
          <w:szCs w:val="17"/>
          <w:color w:val="auto"/>
        </w:rPr>
      </w:pPr>
    </w:p>
    <w:p>
      <w:pPr>
        <w:jc w:val="both"/>
        <w:ind w:left="340" w:hanging="188"/>
        <w:spacing w:after="0" w:line="271"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enter into commodity contracts and interest rate derivatives primarily as a means to manage price exposures. We primarily use a market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All Level 3 recurring items are related to CRRs at SDG&amp;E, as discussed below under “Level 3 Information.” Commodity derivative contracts that are subject to rate recovery are recorded as commodity costs that are offset by regulatory account balances and are recovered in rates.</w:t>
      </w:r>
    </w:p>
    <w:p>
      <w:pPr>
        <w:spacing w:after="0" w:line="205"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Investments include marketable securities that we value using a market approach based on closing prices reported in the active market in which the identical security is traded (Level 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into or out of Level 1, Level 2, or Level 3 for Sempra Energy Consolidated, SDG&amp;E or SoCalGas during the periods presented.</w:t>
      </w:r>
    </w:p>
    <w:p>
      <w:pPr>
        <w:spacing w:after="0" w:line="200" w:lineRule="exact"/>
        <w:rPr>
          <w:sz w:val="20"/>
          <w:szCs w:val="20"/>
          <w:color w:val="auto"/>
        </w:rPr>
      </w:pPr>
    </w:p>
    <w:p>
      <w:pPr>
        <w:spacing w:after="0" w:line="276" w:lineRule="exact"/>
        <w:rPr>
          <w:sz w:val="20"/>
          <w:szCs w:val="20"/>
          <w:color w:val="auto"/>
        </w:rPr>
      </w:pPr>
    </w:p>
    <w:p>
      <w:pPr>
        <w:ind w:right="5540"/>
        <w:spacing w:after="0" w:line="243" w:lineRule="auto"/>
        <w:rPr>
          <w:sz w:val="20"/>
          <w:szCs w:val="20"/>
          <w:color w:val="auto"/>
        </w:rPr>
      </w:pPr>
      <w:r>
        <w:rPr>
          <w:rFonts w:ascii="Arial" w:cs="Arial" w:eastAsia="Arial" w:hAnsi="Arial"/>
          <w:sz w:val="16"/>
          <w:szCs w:val="16"/>
          <w:b w:val="1"/>
          <w:bCs w:val="1"/>
          <w:color w:val="auto"/>
        </w:rPr>
        <w:t xml:space="preserve">RECURRING FAIR VALUE MEASURES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spacing w:after="0" w:line="159" w:lineRule="exact"/>
              <w:rPr>
                <w:sz w:val="20"/>
                <w:szCs w:val="20"/>
                <w:color w:val="auto"/>
              </w:rPr>
            </w:pPr>
            <w:r>
              <w:rPr>
                <w:rFonts w:ascii="Arial" w:cs="Arial" w:eastAsia="Arial" w:hAnsi="Arial"/>
                <w:sz w:val="14"/>
                <w:szCs w:val="14"/>
                <w:color w:val="auto"/>
              </w:rPr>
              <w:t>At fair value as of June 30, 2012</w:t>
            </w: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center"/>
              <w:ind w:right="2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line="157" w:lineRule="exact"/>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68"/>
              <w:spacing w:after="0" w:line="157" w:lineRule="exact"/>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08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493</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59"/>
        </w:trPr>
        <w:tc>
          <w:tcPr>
            <w:tcW w:w="50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0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3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78</w:t>
            </w:r>
          </w:p>
        </w:tc>
        <w:tc>
          <w:tcPr>
            <w:tcW w:w="340" w:type="dxa"/>
            <w:vAlign w:val="bottom"/>
          </w:tcPr>
          <w:p>
            <w:pPr>
              <w:spacing w:after="0"/>
              <w:rPr>
                <w:sz w:val="14"/>
                <w:szCs w:val="14"/>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2"/>
        </w:trPr>
        <w:tc>
          <w:tcPr>
            <w:tcW w:w="50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340" w:type="dxa"/>
            <w:vAlign w:val="bottom"/>
          </w:tcPr>
          <w:p>
            <w:pPr>
              <w:spacing w:after="0"/>
              <w:rPr>
                <w:sz w:val="14"/>
                <w:szCs w:val="14"/>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4"/>
        </w:trPr>
        <w:tc>
          <w:tcPr>
            <w:tcW w:w="508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85</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4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9"/>
        </w:trPr>
        <w:tc>
          <w:tcPr>
            <w:tcW w:w="508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77</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229</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69"/>
        </w:trPr>
        <w:tc>
          <w:tcPr>
            <w:tcW w:w="508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570</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229</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67"/>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70</w:t>
            </w:r>
          </w:p>
        </w:tc>
        <w:tc>
          <w:tcPr>
            <w:tcW w:w="340" w:type="dxa"/>
            <w:vAlign w:val="bottom"/>
          </w:tcPr>
          <w:p>
            <w:pPr>
              <w:spacing w:after="0"/>
              <w:rPr>
                <w:sz w:val="14"/>
                <w:szCs w:val="14"/>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2"/>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20" w:type="dxa"/>
            <w:vAlign w:val="bottom"/>
          </w:tcPr>
          <w:p>
            <w:pPr>
              <w:ind w:left="580"/>
              <w:spacing w:after="0"/>
              <w:rPr>
                <w:sz w:val="20"/>
                <w:szCs w:val="20"/>
                <w:color w:val="auto"/>
              </w:rPr>
            </w:pPr>
            <w:r>
              <w:rPr>
                <w:rFonts w:ascii="Arial" w:cs="Arial" w:eastAsia="Arial" w:hAnsi="Arial"/>
                <w:sz w:val="14"/>
                <w:szCs w:val="14"/>
                <w:color w:val="auto"/>
              </w:rPr>
              <w:t>13</w:t>
            </w: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2"/>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3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340" w:type="dxa"/>
            <w:vAlign w:val="bottom"/>
          </w:tcPr>
          <w:p>
            <w:pPr>
              <w:spacing w:after="0"/>
              <w:rPr>
                <w:sz w:val="14"/>
                <w:szCs w:val="14"/>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4"/>
        </w:trPr>
        <w:tc>
          <w:tcPr>
            <w:tcW w:w="5080" w:type="dxa"/>
            <w:vAlign w:val="bottom"/>
          </w:tcPr>
          <w:p>
            <w:pPr>
              <w:ind w:left="160"/>
              <w:spacing w:after="0" w:line="137" w:lineRule="exact"/>
              <w:rPr>
                <w:sz w:val="20"/>
                <w:szCs w:val="20"/>
                <w:color w:val="auto"/>
              </w:rPr>
            </w:pPr>
            <w:r>
              <w:rPr>
                <w:rFonts w:ascii="Arial" w:cs="Arial" w:eastAsia="Arial" w:hAnsi="Arial"/>
                <w:sz w:val="14"/>
                <w:szCs w:val="14"/>
                <w:color w:val="auto"/>
              </w:rPr>
              <w:t>Investments</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4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508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604</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580"/>
              <w:spacing w:after="0" w:line="142" w:lineRule="exact"/>
              <w:rPr>
                <w:sz w:val="20"/>
                <w:szCs w:val="20"/>
                <w:color w:val="auto"/>
              </w:rPr>
            </w:pPr>
            <w:r>
              <w:rPr>
                <w:rFonts w:ascii="Arial" w:cs="Arial" w:eastAsia="Arial" w:hAnsi="Arial"/>
                <w:sz w:val="14"/>
                <w:szCs w:val="14"/>
                <w:color w:val="auto"/>
              </w:rPr>
              <w:t>13</w:t>
            </w:r>
          </w:p>
        </w:tc>
        <w:tc>
          <w:tcPr>
            <w:tcW w:w="4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167"/>
        </w:trPr>
        <w:tc>
          <w:tcPr>
            <w:tcW w:w="508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133</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2"/>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51</w:t>
            </w:r>
          </w:p>
        </w:tc>
        <w:tc>
          <w:tcPr>
            <w:tcW w:w="3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14"/>
                <w:szCs w:val="14"/>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4"/>
        </w:trPr>
        <w:tc>
          <w:tcPr>
            <w:tcW w:w="50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6</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41</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4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(9)</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9"/>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188</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345"/>
        </w:trPr>
        <w:tc>
          <w:tcPr>
            <w:tcW w:w="50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right"/>
              <w:ind w:right="768"/>
              <w:spacing w:after="0"/>
              <w:rPr>
                <w:sz w:val="20"/>
                <w:szCs w:val="20"/>
                <w:color w:val="auto"/>
              </w:rPr>
            </w:pPr>
            <w:r>
              <w:rPr>
                <w:rFonts w:ascii="Arial" w:cs="Arial" w:eastAsia="Arial" w:hAnsi="Arial"/>
                <w:sz w:val="14"/>
                <w:szCs w:val="14"/>
                <w:color w:val="auto"/>
              </w:rPr>
              <w:t>At fair value as of December 31, 2011</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center"/>
              <w:ind w:right="2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line="157" w:lineRule="exact"/>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68"/>
              <w:spacing w:after="0" w:line="157" w:lineRule="exact"/>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08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468</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59"/>
        </w:trPr>
        <w:tc>
          <w:tcPr>
            <w:tcW w:w="50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0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92</w:t>
            </w:r>
          </w:p>
        </w:tc>
        <w:tc>
          <w:tcPr>
            <w:tcW w:w="3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78</w:t>
            </w:r>
          </w:p>
        </w:tc>
        <w:tc>
          <w:tcPr>
            <w:tcW w:w="340" w:type="dxa"/>
            <w:vAlign w:val="bottom"/>
          </w:tcPr>
          <w:p>
            <w:pPr>
              <w:spacing w:after="0"/>
              <w:rPr>
                <w:sz w:val="14"/>
                <w:szCs w:val="14"/>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50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340" w:type="dxa"/>
            <w:vAlign w:val="bottom"/>
          </w:tcPr>
          <w:p>
            <w:pPr>
              <w:spacing w:after="0"/>
              <w:rPr>
                <w:sz w:val="14"/>
                <w:szCs w:val="14"/>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4"/>
        </w:trPr>
        <w:tc>
          <w:tcPr>
            <w:tcW w:w="508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78</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4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9"/>
        </w:trPr>
        <w:tc>
          <w:tcPr>
            <w:tcW w:w="508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92</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233</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69"/>
        </w:trPr>
        <w:tc>
          <w:tcPr>
            <w:tcW w:w="508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560</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233</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67"/>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340" w:type="dxa"/>
            <w:vAlign w:val="bottom"/>
          </w:tcPr>
          <w:p>
            <w:pPr>
              <w:spacing w:after="0"/>
              <w:rPr>
                <w:sz w:val="14"/>
                <w:szCs w:val="14"/>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920" w:type="dxa"/>
            <w:vAlign w:val="bottom"/>
          </w:tcPr>
          <w:p>
            <w:pPr>
              <w:ind w:left="580"/>
              <w:spacing w:after="0"/>
              <w:rPr>
                <w:sz w:val="20"/>
                <w:szCs w:val="20"/>
                <w:color w:val="auto"/>
              </w:rPr>
            </w:pPr>
            <w:r>
              <w:rPr>
                <w:rFonts w:ascii="Arial" w:cs="Arial" w:eastAsia="Arial" w:hAnsi="Arial"/>
                <w:sz w:val="14"/>
                <w:szCs w:val="14"/>
                <w:color w:val="auto"/>
              </w:rPr>
              <w:t>23</w:t>
            </w: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35</w:t>
            </w:r>
          </w:p>
        </w:tc>
        <w:tc>
          <w:tcPr>
            <w:tcW w:w="340" w:type="dxa"/>
            <w:vAlign w:val="bottom"/>
          </w:tcPr>
          <w:p>
            <w:pPr>
              <w:spacing w:after="0"/>
              <w:rPr>
                <w:sz w:val="14"/>
                <w:szCs w:val="14"/>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4"/>
        </w:trPr>
        <w:tc>
          <w:tcPr>
            <w:tcW w:w="5080" w:type="dxa"/>
            <w:vAlign w:val="bottom"/>
          </w:tcPr>
          <w:p>
            <w:pPr>
              <w:ind w:left="160"/>
              <w:spacing w:after="0" w:line="137" w:lineRule="exact"/>
              <w:rPr>
                <w:sz w:val="20"/>
                <w:szCs w:val="20"/>
                <w:color w:val="auto"/>
              </w:rPr>
            </w:pPr>
            <w:r>
              <w:rPr>
                <w:rFonts w:ascii="Arial" w:cs="Arial" w:eastAsia="Arial" w:hAnsi="Arial"/>
                <w:sz w:val="14"/>
                <w:szCs w:val="14"/>
                <w:color w:val="auto"/>
              </w:rPr>
              <w:t>Investments</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5</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4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9"/>
        </w:trPr>
        <w:tc>
          <w:tcPr>
            <w:tcW w:w="508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590</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335</w:t>
            </w:r>
          </w:p>
        </w:tc>
        <w:tc>
          <w:tcPr>
            <w:tcW w:w="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580"/>
              <w:spacing w:after="0" w:line="142" w:lineRule="exact"/>
              <w:rPr>
                <w:sz w:val="20"/>
                <w:szCs w:val="20"/>
                <w:color w:val="auto"/>
              </w:rPr>
            </w:pPr>
            <w:r>
              <w:rPr>
                <w:rFonts w:ascii="Arial" w:cs="Arial" w:eastAsia="Arial" w:hAnsi="Arial"/>
                <w:sz w:val="14"/>
                <w:szCs w:val="14"/>
                <w:color w:val="auto"/>
              </w:rPr>
              <w:t>23</w:t>
            </w:r>
          </w:p>
        </w:tc>
        <w:tc>
          <w:tcPr>
            <w:tcW w:w="4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67"/>
        </w:trPr>
        <w:tc>
          <w:tcPr>
            <w:tcW w:w="508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124</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2"/>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14"/>
                <w:szCs w:val="14"/>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4"/>
        </w:trPr>
        <w:tc>
          <w:tcPr>
            <w:tcW w:w="50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52</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4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(4)</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5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w:t>
            </w:r>
          </w:p>
        </w:tc>
        <w:tc>
          <w:tcPr>
            <w:tcW w:w="5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189</w:t>
            </w:r>
          </w:p>
        </w:tc>
        <w:tc>
          <w:tcPr>
            <w:tcW w:w="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w:t>
            </w:r>
          </w:p>
        </w:tc>
        <w:tc>
          <w:tcPr>
            <w:tcW w:w="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r>
      <w:tr>
        <w:trPr>
          <w:trHeight w:val="218"/>
        </w:trPr>
        <w:tc>
          <w:tcPr>
            <w:tcW w:w="400" w:type="dxa"/>
            <w:vAlign w:val="bottom"/>
          </w:tcPr>
          <w:p>
            <w:pPr>
              <w:spacing w:after="0"/>
              <w:rPr>
                <w:sz w:val="20"/>
                <w:szCs w:val="20"/>
                <w:color w:val="auto"/>
              </w:rPr>
            </w:pPr>
            <w:r>
              <w:rPr>
                <w:rFonts w:ascii="Arial" w:cs="Arial" w:eastAsia="Arial" w:hAnsi="Arial"/>
                <w:sz w:val="14"/>
                <w:szCs w:val="14"/>
                <w:i w:val="1"/>
                <w:iCs w:val="1"/>
                <w:color w:val="auto"/>
              </w:rPr>
              <w:t>(1)</w:t>
            </w:r>
          </w:p>
        </w:tc>
        <w:tc>
          <w:tcPr>
            <w:tcW w:w="5340" w:type="dxa"/>
            <w:vAlign w:val="bottom"/>
          </w:tcPr>
          <w:p>
            <w:pPr>
              <w:jc w:val="right"/>
              <w:ind w:right="2188"/>
              <w:spacing w:after="0"/>
              <w:rPr>
                <w:sz w:val="20"/>
                <w:szCs w:val="20"/>
                <w:color w:val="auto"/>
              </w:rPr>
            </w:pPr>
            <w:r>
              <w:rPr>
                <w:rFonts w:ascii="Arial" w:cs="Arial" w:eastAsia="Arial" w:hAnsi="Arial"/>
                <w:sz w:val="14"/>
                <w:szCs w:val="14"/>
                <w:i w:val="1"/>
                <w:iCs w:val="1"/>
                <w:color w:val="auto"/>
              </w:rPr>
              <w:t>Excludes cash balances and cash equivalents.</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5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5"/>
          </w:tcPr>
          <w:p>
            <w:pPr>
              <w:jc w:val="right"/>
              <w:ind w:right="808"/>
              <w:spacing w:after="0" w:line="159" w:lineRule="exact"/>
              <w:rPr>
                <w:sz w:val="20"/>
                <w:szCs w:val="20"/>
                <w:color w:val="auto"/>
              </w:rPr>
            </w:pPr>
            <w:r>
              <w:rPr>
                <w:rFonts w:ascii="Arial" w:cs="Arial" w:eastAsia="Arial" w:hAnsi="Arial"/>
                <w:sz w:val="14"/>
                <w:szCs w:val="14"/>
                <w:color w:val="auto"/>
              </w:rPr>
              <w:t>At fair value as of June 30, 2012</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Level 3</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68"/>
              <w:spacing w:after="0" w:line="157" w:lineRule="exact"/>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2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auto"/>
              </w:rPr>
              <w:t>493</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59"/>
        </w:trPr>
        <w:tc>
          <w:tcPr>
            <w:tcW w:w="52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2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77</w:t>
            </w:r>
          </w:p>
        </w:tc>
        <w:tc>
          <w:tcPr>
            <w:tcW w:w="3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78</w:t>
            </w:r>
          </w:p>
        </w:tc>
        <w:tc>
          <w:tcPr>
            <w:tcW w:w="320" w:type="dxa"/>
            <w:vAlign w:val="bottom"/>
          </w:tcPr>
          <w:p>
            <w:pPr>
              <w:spacing w:after="0"/>
              <w:rPr>
                <w:sz w:val="14"/>
                <w:szCs w:val="14"/>
                <w:color w:val="auto"/>
              </w:rPr>
            </w:pP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2"/>
        </w:trPr>
        <w:tc>
          <w:tcPr>
            <w:tcW w:w="52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320" w:type="dxa"/>
            <w:vAlign w:val="bottom"/>
          </w:tcPr>
          <w:p>
            <w:pPr>
              <w:spacing w:after="0"/>
              <w:rPr>
                <w:sz w:val="14"/>
                <w:szCs w:val="14"/>
                <w:color w:val="auto"/>
              </w:rPr>
            </w:pP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4"/>
        </w:trPr>
        <w:tc>
          <w:tcPr>
            <w:tcW w:w="528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85</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540"/>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9"/>
        </w:trPr>
        <w:tc>
          <w:tcPr>
            <w:tcW w:w="528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77</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229</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570</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229</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67"/>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40" w:type="dxa"/>
            <w:vAlign w:val="bottom"/>
          </w:tcPr>
          <w:p>
            <w:pPr>
              <w:ind w:left="480"/>
              <w:spacing w:after="0"/>
              <w:rPr>
                <w:sz w:val="20"/>
                <w:szCs w:val="20"/>
                <w:color w:val="auto"/>
              </w:rPr>
            </w:pPr>
            <w:r>
              <w:rPr>
                <w:rFonts w:ascii="Arial" w:cs="Arial" w:eastAsia="Arial" w:hAnsi="Arial"/>
                <w:sz w:val="14"/>
                <w:szCs w:val="14"/>
                <w:color w:val="auto"/>
              </w:rPr>
              <w:t>13</w:t>
            </w:r>
          </w:p>
        </w:tc>
        <w:tc>
          <w:tcPr>
            <w:tcW w:w="3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4"/>
        </w:trPr>
        <w:tc>
          <w:tcPr>
            <w:tcW w:w="52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540"/>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528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586</w:t>
            </w:r>
          </w:p>
        </w:tc>
        <w:tc>
          <w:tcPr>
            <w:tcW w:w="3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229</w:t>
            </w:r>
          </w:p>
        </w:tc>
        <w:tc>
          <w:tcPr>
            <w:tcW w:w="3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color w:val="auto"/>
              </w:rPr>
              <w:t>13</w:t>
            </w:r>
          </w:p>
        </w:tc>
        <w:tc>
          <w:tcPr>
            <w:tcW w:w="3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329"/>
        </w:trPr>
        <w:tc>
          <w:tcPr>
            <w:tcW w:w="528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83</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4"/>
        </w:trPr>
        <w:tc>
          <w:tcPr>
            <w:tcW w:w="52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51</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12</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540"/>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(51)</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9"/>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95</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331"/>
        </w:trPr>
        <w:tc>
          <w:tcPr>
            <w:tcW w:w="5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color w:val="auto"/>
              </w:rPr>
              <w:t>At fair value as of December 31, 2011</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Level 3</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68"/>
              <w:spacing w:after="0" w:line="157" w:lineRule="exact"/>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2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auto"/>
              </w:rPr>
              <w:t>468</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59"/>
        </w:trPr>
        <w:tc>
          <w:tcPr>
            <w:tcW w:w="52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2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92</w:t>
            </w:r>
          </w:p>
        </w:tc>
        <w:tc>
          <w:tcPr>
            <w:tcW w:w="3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78</w:t>
            </w:r>
          </w:p>
        </w:tc>
        <w:tc>
          <w:tcPr>
            <w:tcW w:w="320" w:type="dxa"/>
            <w:vAlign w:val="bottom"/>
          </w:tcPr>
          <w:p>
            <w:pPr>
              <w:spacing w:after="0"/>
              <w:rPr>
                <w:sz w:val="14"/>
                <w:szCs w:val="14"/>
                <w:color w:val="auto"/>
              </w:rPr>
            </w:pP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52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320" w:type="dxa"/>
            <w:vAlign w:val="bottom"/>
          </w:tcPr>
          <w:p>
            <w:pPr>
              <w:spacing w:after="0"/>
              <w:rPr>
                <w:sz w:val="14"/>
                <w:szCs w:val="14"/>
                <w:color w:val="auto"/>
              </w:rPr>
            </w:pP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4"/>
        </w:trPr>
        <w:tc>
          <w:tcPr>
            <w:tcW w:w="528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78</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540"/>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9"/>
        </w:trPr>
        <w:tc>
          <w:tcPr>
            <w:tcW w:w="528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92</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560</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67"/>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40" w:type="dxa"/>
            <w:vAlign w:val="bottom"/>
          </w:tcPr>
          <w:p>
            <w:pPr>
              <w:ind w:left="480"/>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4"/>
        </w:trPr>
        <w:tc>
          <w:tcPr>
            <w:tcW w:w="52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540"/>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528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570</w:t>
            </w:r>
          </w:p>
        </w:tc>
        <w:tc>
          <w:tcPr>
            <w:tcW w:w="3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329"/>
        </w:trPr>
        <w:tc>
          <w:tcPr>
            <w:tcW w:w="528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81</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64"/>
        </w:trPr>
        <w:tc>
          <w:tcPr>
            <w:tcW w:w="52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61</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12</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540"/>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(61)</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9"/>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61</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93</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45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5"/>
          </w:tcPr>
          <w:p>
            <w:pPr>
              <w:jc w:val="right"/>
              <w:ind w:right="108"/>
              <w:spacing w:after="0" w:line="159" w:lineRule="exact"/>
              <w:rPr>
                <w:sz w:val="20"/>
                <w:szCs w:val="20"/>
                <w:color w:val="auto"/>
              </w:rPr>
            </w:pPr>
            <w:r>
              <w:rPr>
                <w:rFonts w:ascii="Arial" w:cs="Arial" w:eastAsia="Arial" w:hAnsi="Arial"/>
                <w:sz w:val="14"/>
                <w:szCs w:val="14"/>
                <w:color w:val="auto"/>
              </w:rPr>
              <w:t>At fair value as of June 30, 2012</w:t>
            </w: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center"/>
              <w:ind w:right="268"/>
              <w:spacing w:after="0"/>
              <w:rPr>
                <w:sz w:val="20"/>
                <w:szCs w:val="20"/>
                <w:color w:val="auto"/>
              </w:rPr>
            </w:pPr>
            <w:r>
              <w:rPr>
                <w:rFonts w:ascii="Arial" w:cs="Arial" w:eastAsia="Arial" w:hAnsi="Arial"/>
                <w:sz w:val="14"/>
                <w:szCs w:val="14"/>
                <w:color w:val="auto"/>
              </w:rPr>
              <w:t>Collateral</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4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68"/>
              <w:spacing w:after="0" w:line="157" w:lineRule="exact"/>
              <w:rPr>
                <w:sz w:val="20"/>
                <w:szCs w:val="20"/>
                <w:color w:val="auto"/>
              </w:rPr>
            </w:pPr>
            <w:r>
              <w:rPr>
                <w:rFonts w:ascii="Arial" w:cs="Arial" w:eastAsia="Arial" w:hAnsi="Arial"/>
                <w:sz w:val="14"/>
                <w:szCs w:val="14"/>
                <w:color w:val="auto"/>
              </w:rPr>
              <w:t>netted</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Pr>
          <w:p>
            <w:pPr>
              <w:jc w:val="center"/>
              <w:ind w:right="28"/>
              <w:spacing w:after="0"/>
              <w:rPr>
                <w:sz w:val="20"/>
                <w:szCs w:val="20"/>
                <w:color w:val="auto"/>
              </w:rPr>
            </w:pPr>
            <w:r>
              <w:rPr>
                <w:rFonts w:ascii="Arial" w:cs="Arial" w:eastAsia="Arial" w:hAnsi="Arial"/>
                <w:sz w:val="14"/>
                <w:szCs w:val="14"/>
                <w:color w:val="auto"/>
              </w:rPr>
              <w:t>2</w:t>
            </w:r>
          </w:p>
        </w:tc>
        <w:tc>
          <w:tcPr>
            <w:tcW w:w="10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ind w:left="7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4"/>
        </w:trPr>
        <w:tc>
          <w:tcPr>
            <w:tcW w:w="454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1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ind w:right="28"/>
              <w:spacing w:after="0" w:line="137" w:lineRule="exact"/>
              <w:rPr>
                <w:sz w:val="20"/>
                <w:szCs w:val="20"/>
                <w:color w:val="auto"/>
              </w:rPr>
            </w:pPr>
            <w:r>
              <w:rPr>
                <w:rFonts w:ascii="Arial" w:cs="Arial" w:eastAsia="Arial" w:hAnsi="Arial"/>
                <w:sz w:val="14"/>
                <w:szCs w:val="14"/>
                <w:color w:val="auto"/>
              </w:rPr>
              <w:t>2</w:t>
            </w: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72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80"/>
              <w:spacing w:after="0" w:line="13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9"/>
        </w:trPr>
        <w:tc>
          <w:tcPr>
            <w:tcW w:w="454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tcPr>
          <w:p>
            <w:pPr>
              <w:jc w:val="right"/>
              <w:ind w:right="70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color w:val="auto"/>
              </w:rPr>
              <w:t>4</w:t>
            </w:r>
          </w:p>
        </w:tc>
        <w:tc>
          <w:tcPr>
            <w:tcW w:w="1000" w:type="dxa"/>
            <w:vAlign w:val="bottom"/>
            <w:tcBorders>
              <w:bottom w:val="single" w:sz="8" w:color="auto"/>
            </w:tcBorders>
          </w:tcPr>
          <w:p>
            <w:pPr>
              <w:jc w:val="right"/>
              <w:ind w:right="70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39"/>
        </w:trPr>
        <w:tc>
          <w:tcPr>
            <w:tcW w:w="4540" w:type="dxa"/>
            <w:vAlign w:val="bottom"/>
          </w:tcPr>
          <w:p>
            <w:pPr>
              <w:spacing w:after="0"/>
              <w:rPr>
                <w:sz w:val="20"/>
                <w:szCs w:val="20"/>
                <w:color w:val="auto"/>
              </w:rPr>
            </w:pPr>
            <w:r>
              <w:rPr>
                <w:rFonts w:ascii="Arial" w:cs="Arial" w:eastAsia="Arial" w:hAnsi="Arial"/>
                <w:sz w:val="14"/>
                <w:szCs w:val="14"/>
                <w:color w:val="auto"/>
              </w:rPr>
              <w:t>Liabilities:</w:t>
            </w:r>
          </w:p>
        </w:tc>
        <w:tc>
          <w:tcPr>
            <w:tcW w:w="1160" w:type="dxa"/>
            <w:vAlign w:val="bottom"/>
            <w:vMerge w:val="restart"/>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auto"/>
              </w:rPr>
              <w:t>2</w:t>
            </w:r>
          </w:p>
        </w:tc>
        <w:tc>
          <w:tcPr>
            <w:tcW w:w="3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9"/>
        </w:trPr>
        <w:tc>
          <w:tcPr>
            <w:tcW w:w="454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6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tcPr>
          <w:p>
            <w:pPr>
              <w:jc w:val="right"/>
              <w:ind w:right="70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70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color w:val="auto"/>
              </w:rPr>
              <w:t>2</w:t>
            </w:r>
          </w:p>
        </w:tc>
        <w:tc>
          <w:tcPr>
            <w:tcW w:w="3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31"/>
        </w:trPr>
        <w:tc>
          <w:tcPr>
            <w:tcW w:w="45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At fair value as of December 31, 2011</w:t>
            </w: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center"/>
              <w:ind w:right="268"/>
              <w:spacing w:after="0"/>
              <w:rPr>
                <w:sz w:val="20"/>
                <w:szCs w:val="20"/>
                <w:color w:val="auto"/>
              </w:rPr>
            </w:pPr>
            <w:r>
              <w:rPr>
                <w:rFonts w:ascii="Arial" w:cs="Arial" w:eastAsia="Arial" w:hAnsi="Arial"/>
                <w:sz w:val="14"/>
                <w:szCs w:val="14"/>
                <w:color w:val="auto"/>
              </w:rPr>
              <w:t>Collateral</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4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68"/>
              <w:spacing w:after="0" w:line="157" w:lineRule="exact"/>
              <w:rPr>
                <w:sz w:val="20"/>
                <w:szCs w:val="20"/>
                <w:color w:val="auto"/>
              </w:rPr>
            </w:pPr>
            <w:r>
              <w:rPr>
                <w:rFonts w:ascii="Arial" w:cs="Arial" w:eastAsia="Arial" w:hAnsi="Arial"/>
                <w:sz w:val="14"/>
                <w:szCs w:val="14"/>
                <w:color w:val="auto"/>
              </w:rPr>
              <w:t>netted</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Pr>
          <w:p>
            <w:pPr>
              <w:jc w:val="center"/>
              <w:ind w:right="28"/>
              <w:spacing w:after="0"/>
              <w:rPr>
                <w:sz w:val="20"/>
                <w:szCs w:val="20"/>
                <w:color w:val="auto"/>
              </w:rPr>
            </w:pPr>
            <w:r>
              <w:rPr>
                <w:rFonts w:ascii="Arial" w:cs="Arial" w:eastAsia="Arial" w:hAnsi="Arial"/>
                <w:sz w:val="14"/>
                <w:szCs w:val="14"/>
                <w:color w:val="auto"/>
              </w:rPr>
              <w:t>1</w:t>
            </w:r>
          </w:p>
        </w:tc>
        <w:tc>
          <w:tcPr>
            <w:tcW w:w="10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Pr>
          <w:p>
            <w:pPr>
              <w:jc w:val="center"/>
              <w:ind w:right="8"/>
              <w:spacing w:after="0"/>
              <w:rPr>
                <w:sz w:val="20"/>
                <w:szCs w:val="20"/>
                <w:color w:val="auto"/>
              </w:rPr>
            </w:pPr>
            <w:r>
              <w:rPr>
                <w:rFonts w:ascii="Arial" w:cs="Arial" w:eastAsia="Arial" w:hAnsi="Arial"/>
                <w:sz w:val="14"/>
                <w:szCs w:val="14"/>
                <w:color w:val="auto"/>
              </w:rPr>
              <w:t>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ind w:left="7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4"/>
        </w:trPr>
        <w:tc>
          <w:tcPr>
            <w:tcW w:w="454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1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ind w:right="28"/>
              <w:spacing w:after="0" w:line="137" w:lineRule="exact"/>
              <w:rPr>
                <w:sz w:val="20"/>
                <w:szCs w:val="20"/>
                <w:color w:val="auto"/>
              </w:rPr>
            </w:pPr>
            <w:r>
              <w:rPr>
                <w:rFonts w:ascii="Arial" w:cs="Arial" w:eastAsia="Arial" w:hAnsi="Arial"/>
                <w:sz w:val="14"/>
                <w:szCs w:val="14"/>
                <w:color w:val="auto"/>
              </w:rPr>
              <w:t>2</w:t>
            </w: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72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80"/>
              <w:spacing w:after="0" w:line="13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9"/>
        </w:trPr>
        <w:tc>
          <w:tcPr>
            <w:tcW w:w="454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tcPr>
          <w:p>
            <w:pPr>
              <w:jc w:val="right"/>
              <w:ind w:right="70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color w:val="auto"/>
              </w:rPr>
              <w:t>3</w:t>
            </w:r>
          </w:p>
        </w:tc>
        <w:tc>
          <w:tcPr>
            <w:tcW w:w="1000" w:type="dxa"/>
            <w:vAlign w:val="bottom"/>
            <w:tcBorders>
              <w:bottom w:val="single" w:sz="8" w:color="auto"/>
            </w:tcBorders>
          </w:tcPr>
          <w:p>
            <w:pPr>
              <w:jc w:val="right"/>
              <w:ind w:right="70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39"/>
        </w:trPr>
        <w:tc>
          <w:tcPr>
            <w:tcW w:w="4540" w:type="dxa"/>
            <w:vAlign w:val="bottom"/>
          </w:tcPr>
          <w:p>
            <w:pPr>
              <w:spacing w:after="0"/>
              <w:rPr>
                <w:sz w:val="20"/>
                <w:szCs w:val="20"/>
                <w:color w:val="auto"/>
              </w:rPr>
            </w:pPr>
            <w:r>
              <w:rPr>
                <w:rFonts w:ascii="Arial" w:cs="Arial" w:eastAsia="Arial" w:hAnsi="Arial"/>
                <w:sz w:val="14"/>
                <w:szCs w:val="14"/>
                <w:color w:val="auto"/>
              </w:rPr>
              <w:t>Liabilities:</w:t>
            </w:r>
          </w:p>
        </w:tc>
        <w:tc>
          <w:tcPr>
            <w:tcW w:w="1160" w:type="dxa"/>
            <w:vAlign w:val="bottom"/>
            <w:vMerge w:val="restart"/>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auto"/>
              </w:rPr>
              <w:t>1</w:t>
            </w:r>
          </w:p>
        </w:tc>
        <w:tc>
          <w:tcPr>
            <w:tcW w:w="3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9"/>
        </w:trPr>
        <w:tc>
          <w:tcPr>
            <w:tcW w:w="454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6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sets forth reconciliations of changes in the fair value of CRRs classified as Level 3 in the fair value hierarchy for Sempra Energy Consolidated and SDG&amp;E:</w:t>
      </w:r>
    </w:p>
    <w:p>
      <w:pPr>
        <w:sectPr>
          <w:pgSz w:w="11900" w:h="16838" w:orient="portrait"/>
          <w:cols w:equalWidth="0" w:num="1">
            <w:col w:w="11420"/>
          </w:cols>
          <w:pgMar w:left="240" w:top="141" w:right="239" w:bottom="0" w:gutter="0" w:footer="0" w:header="0"/>
        </w:sectPr>
      </w:pPr>
    </w:p>
    <w:p>
      <w:pPr>
        <w:spacing w:after="0" w:line="392"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-1905</wp:posOffset>
            </wp:positionV>
            <wp:extent cx="27444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44470" cy="17145"/>
                    </a:xfrm>
                    <a:prstGeom prst="rect">
                      <a:avLst/>
                    </a:prstGeom>
                    <a:noFill/>
                  </pic:spPr>
                </pic:pic>
              </a:graphicData>
            </a:graphic>
          </wp:anchor>
        </w:drawing>
      </w:r>
    </w:p>
    <w:p>
      <w:pPr>
        <w:sectPr>
          <w:pgSz w:w="11900" w:h="16838" w:orient="portrait"/>
          <w:cols w:equalWidth="0" w:num="1">
            <w:col w:w="11420"/>
          </w:cols>
          <w:pgMar w:left="240" w:top="141" w:right="239" w:bottom="0" w:gutter="0" w:footer="0" w:header="0"/>
          <w:type w:val="continuous"/>
        </w:sectPr>
      </w:pPr>
    </w:p>
    <w:bookmarkStart w:id="34" w:name="page35"/>
    <w:bookmarkEnd w:id="34"/>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7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101"/>
              <w:spacing w:after="0"/>
              <w:rPr>
                <w:sz w:val="20"/>
                <w:szCs w:val="20"/>
                <w:color w:val="auto"/>
              </w:rPr>
            </w:pPr>
            <w:r>
              <w:rPr>
                <w:rFonts w:ascii="Arial" w:cs="Arial" w:eastAsia="Arial" w:hAnsi="Arial"/>
                <w:sz w:val="14"/>
                <w:szCs w:val="14"/>
                <w:color w:val="auto"/>
              </w:rPr>
              <w:t>2012</w:t>
            </w:r>
          </w:p>
        </w:tc>
        <w:tc>
          <w:tcPr>
            <w:tcW w:w="6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60"/>
              <w:spacing w:after="0"/>
              <w:rPr>
                <w:sz w:val="20"/>
                <w:szCs w:val="20"/>
                <w:color w:val="auto"/>
              </w:rPr>
            </w:pPr>
            <w:r>
              <w:rPr>
                <w:rFonts w:ascii="Arial" w:cs="Arial" w:eastAsia="Arial" w:hAnsi="Arial"/>
                <w:sz w:val="14"/>
                <w:szCs w:val="14"/>
                <w:color w:val="auto"/>
              </w:rPr>
              <w:t>2011</w:t>
            </w:r>
          </w:p>
        </w:tc>
      </w:tr>
      <w:tr>
        <w:trPr>
          <w:trHeight w:val="164"/>
        </w:trPr>
        <w:tc>
          <w:tcPr>
            <w:tcW w:w="7100" w:type="dxa"/>
            <w:vAlign w:val="bottom"/>
            <w:gridSpan w:val="2"/>
          </w:tcPr>
          <w:p>
            <w:pPr>
              <w:spacing w:after="0" w:line="164" w:lineRule="exact"/>
              <w:rPr>
                <w:sz w:val="20"/>
                <w:szCs w:val="20"/>
                <w:color w:val="auto"/>
              </w:rPr>
            </w:pPr>
            <w:r>
              <w:rPr>
                <w:rFonts w:ascii="Arial" w:cs="Arial" w:eastAsia="Arial" w:hAnsi="Arial"/>
                <w:sz w:val="16"/>
                <w:szCs w:val="16"/>
                <w:color w:val="auto"/>
              </w:rPr>
              <w:t>Balance as of April 1</w:t>
            </w:r>
          </w:p>
        </w:tc>
        <w:tc>
          <w:tcPr>
            <w:tcW w:w="740" w:type="dxa"/>
            <w:vAlign w:val="bottom"/>
          </w:tcPr>
          <w:p>
            <w:pPr>
              <w:jc w:val="right"/>
              <w:ind w:right="79"/>
              <w:spacing w:after="0" w:line="164" w:lineRule="exact"/>
              <w:rPr>
                <w:sz w:val="20"/>
                <w:szCs w:val="20"/>
                <w:color w:val="auto"/>
              </w:rPr>
            </w:pPr>
            <w:r>
              <w:rPr>
                <w:rFonts w:ascii="Arial" w:cs="Arial" w:eastAsia="Arial" w:hAnsi="Arial"/>
                <w:sz w:val="16"/>
                <w:szCs w:val="16"/>
                <w:color w:val="auto"/>
              </w:rPr>
              <w:t>$</w:t>
            </w:r>
          </w:p>
        </w:tc>
        <w:tc>
          <w:tcPr>
            <w:tcW w:w="1660" w:type="dxa"/>
            <w:vAlign w:val="bottom"/>
          </w:tcPr>
          <w:p>
            <w:pPr>
              <w:jc w:val="right"/>
              <w:ind w:right="221"/>
              <w:spacing w:after="0" w:line="164" w:lineRule="exact"/>
              <w:rPr>
                <w:sz w:val="20"/>
                <w:szCs w:val="20"/>
                <w:color w:val="auto"/>
              </w:rPr>
            </w:pPr>
            <w:r>
              <w:rPr>
                <w:rFonts w:ascii="Arial" w:cs="Arial" w:eastAsia="Arial" w:hAnsi="Arial"/>
                <w:sz w:val="16"/>
                <w:szCs w:val="16"/>
                <w:color w:val="auto"/>
              </w:rPr>
              <w:t>21</w:t>
            </w:r>
          </w:p>
        </w:tc>
        <w:tc>
          <w:tcPr>
            <w:tcW w:w="640" w:type="dxa"/>
            <w:vAlign w:val="bottom"/>
          </w:tcPr>
          <w:p>
            <w:pPr>
              <w:jc w:val="right"/>
              <w:ind w:right="239"/>
              <w:spacing w:after="0" w:line="164"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3</w:t>
            </w:r>
          </w:p>
        </w:tc>
      </w:tr>
      <w:tr>
        <w:trPr>
          <w:trHeight w:val="176"/>
        </w:trPr>
        <w:tc>
          <w:tcPr>
            <w:tcW w:w="20" w:type="dxa"/>
            <w:vAlign w:val="bottom"/>
          </w:tcPr>
          <w:p>
            <w:pPr>
              <w:spacing w:after="0"/>
              <w:rPr>
                <w:sz w:val="15"/>
                <w:szCs w:val="15"/>
                <w:color w:val="auto"/>
              </w:rPr>
            </w:pPr>
          </w:p>
        </w:tc>
        <w:tc>
          <w:tcPr>
            <w:tcW w:w="7080" w:type="dxa"/>
            <w:vAlign w:val="bottom"/>
          </w:tcPr>
          <w:p>
            <w:pPr>
              <w:ind w:left="160"/>
              <w:spacing w:after="0" w:line="176" w:lineRule="exact"/>
              <w:rPr>
                <w:sz w:val="20"/>
                <w:szCs w:val="20"/>
                <w:color w:val="auto"/>
              </w:rPr>
            </w:pPr>
            <w:r>
              <w:rPr>
                <w:rFonts w:ascii="Arial" w:cs="Arial" w:eastAsia="Arial" w:hAnsi="Arial"/>
                <w:sz w:val="16"/>
                <w:szCs w:val="16"/>
                <w:color w:val="auto"/>
              </w:rPr>
              <w:t>Realized and unrealized gains</w:t>
            </w:r>
          </w:p>
        </w:tc>
        <w:tc>
          <w:tcPr>
            <w:tcW w:w="740" w:type="dxa"/>
            <w:vAlign w:val="bottom"/>
          </w:tcPr>
          <w:p>
            <w:pPr>
              <w:spacing w:after="0"/>
              <w:rPr>
                <w:sz w:val="15"/>
                <w:szCs w:val="15"/>
                <w:color w:val="auto"/>
              </w:rPr>
            </w:pPr>
          </w:p>
        </w:tc>
        <w:tc>
          <w:tcPr>
            <w:tcW w:w="166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5</w:t>
            </w:r>
          </w:p>
        </w:tc>
        <w:tc>
          <w:tcPr>
            <w:tcW w:w="6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r>
      <w:tr>
        <w:trPr>
          <w:trHeight w:val="176"/>
        </w:trPr>
        <w:tc>
          <w:tcPr>
            <w:tcW w:w="20" w:type="dxa"/>
            <w:vAlign w:val="bottom"/>
          </w:tcPr>
          <w:p>
            <w:pPr>
              <w:spacing w:after="0"/>
              <w:rPr>
                <w:sz w:val="15"/>
                <w:szCs w:val="15"/>
                <w:color w:val="auto"/>
              </w:rPr>
            </w:pPr>
          </w:p>
        </w:tc>
        <w:tc>
          <w:tcPr>
            <w:tcW w:w="7080" w:type="dxa"/>
            <w:vAlign w:val="bottom"/>
          </w:tcPr>
          <w:p>
            <w:pPr>
              <w:ind w:left="160"/>
              <w:spacing w:after="0" w:line="176" w:lineRule="exact"/>
              <w:rPr>
                <w:sz w:val="20"/>
                <w:szCs w:val="20"/>
                <w:color w:val="auto"/>
              </w:rPr>
            </w:pPr>
            <w:r>
              <w:rPr>
                <w:rFonts w:ascii="Arial" w:cs="Arial" w:eastAsia="Arial" w:hAnsi="Arial"/>
                <w:sz w:val="16"/>
                <w:szCs w:val="16"/>
                <w:color w:val="auto"/>
              </w:rPr>
              <w:t>Allocated transmission instruments</w:t>
            </w:r>
          </w:p>
        </w:tc>
        <w:tc>
          <w:tcPr>
            <w:tcW w:w="740" w:type="dxa"/>
            <w:vAlign w:val="bottom"/>
          </w:tcPr>
          <w:p>
            <w:pPr>
              <w:spacing w:after="0"/>
              <w:rPr>
                <w:sz w:val="15"/>
                <w:szCs w:val="15"/>
                <w:color w:val="auto"/>
              </w:rPr>
            </w:pPr>
          </w:p>
        </w:tc>
        <w:tc>
          <w:tcPr>
            <w:tcW w:w="1660" w:type="dxa"/>
            <w:vAlign w:val="bottom"/>
          </w:tcPr>
          <w:p>
            <w:pPr>
              <w:jc w:val="right"/>
              <w:ind w:right="181"/>
              <w:spacing w:after="0" w:line="176" w:lineRule="exact"/>
              <w:rPr>
                <w:sz w:val="20"/>
                <w:szCs w:val="20"/>
                <w:color w:val="auto"/>
              </w:rPr>
            </w:pPr>
            <w:r>
              <w:rPr>
                <w:rFonts w:ascii="Arial" w:cs="Arial" w:eastAsia="Arial" w:hAnsi="Arial"/>
                <w:sz w:val="16"/>
                <w:szCs w:val="16"/>
                <w:color w:val="auto"/>
              </w:rPr>
              <w:t>―</w:t>
            </w:r>
          </w:p>
        </w:tc>
        <w:tc>
          <w:tcPr>
            <w:tcW w:w="6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94"/>
        </w:trPr>
        <w:tc>
          <w:tcPr>
            <w:tcW w:w="20" w:type="dxa"/>
            <w:vAlign w:val="bottom"/>
          </w:tcPr>
          <w:p>
            <w:pPr>
              <w:spacing w:after="0"/>
              <w:rPr>
                <w:sz w:val="16"/>
                <w:szCs w:val="16"/>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Settlements</w:t>
            </w:r>
          </w:p>
        </w:tc>
        <w:tc>
          <w:tcPr>
            <w:tcW w:w="7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(13)</w:t>
            </w: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83"/>
        </w:trPr>
        <w:tc>
          <w:tcPr>
            <w:tcW w:w="710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June 30</w:t>
            </w:r>
          </w:p>
        </w:tc>
        <w:tc>
          <w:tcPr>
            <w:tcW w:w="74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21"/>
              <w:spacing w:after="0" w:line="176" w:lineRule="exact"/>
              <w:rPr>
                <w:sz w:val="20"/>
                <w:szCs w:val="20"/>
                <w:color w:val="auto"/>
              </w:rPr>
            </w:pPr>
            <w:r>
              <w:rPr>
                <w:rFonts w:ascii="Arial" w:cs="Arial" w:eastAsia="Arial" w:hAnsi="Arial"/>
                <w:sz w:val="16"/>
                <w:szCs w:val="16"/>
                <w:color w:val="auto"/>
              </w:rPr>
              <w:t>13</w:t>
            </w:r>
          </w:p>
        </w:tc>
        <w:tc>
          <w:tcPr>
            <w:tcW w:w="64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r>
      <w:tr>
        <w:trPr>
          <w:trHeight w:val="164"/>
        </w:trPr>
        <w:tc>
          <w:tcPr>
            <w:tcW w:w="7100" w:type="dxa"/>
            <w:vAlign w:val="bottom"/>
            <w:gridSpan w:val="2"/>
          </w:tcPr>
          <w:p>
            <w:pPr>
              <w:spacing w:after="0" w:line="164" w:lineRule="exact"/>
              <w:rPr>
                <w:sz w:val="20"/>
                <w:szCs w:val="20"/>
                <w:color w:val="auto"/>
              </w:rPr>
            </w:pPr>
            <w:r>
              <w:rPr>
                <w:rFonts w:ascii="Arial" w:cs="Arial" w:eastAsia="Arial" w:hAnsi="Arial"/>
                <w:sz w:val="16"/>
                <w:szCs w:val="16"/>
                <w:color w:val="auto"/>
              </w:rPr>
              <w:t>Change in unrealized gains or losses relating to</w:t>
            </w: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instruments still held at June 30</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412"/>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Six months ended June 30,</w:t>
            </w:r>
          </w:p>
        </w:tc>
        <w:tc>
          <w:tcPr>
            <w:tcW w:w="1280" w:type="dxa"/>
            <w:vAlign w:val="bottom"/>
            <w:tcBorders>
              <w:bottom w:val="single" w:sz="8" w:color="auto"/>
            </w:tcBorders>
          </w:tcPr>
          <w:p>
            <w:pPr>
              <w:spacing w:after="0"/>
              <w:rPr>
                <w:sz w:val="24"/>
                <w:szCs w:val="24"/>
                <w:color w:val="auto"/>
              </w:rPr>
            </w:pPr>
          </w:p>
        </w:tc>
      </w:tr>
      <w:tr>
        <w:trPr>
          <w:trHeight w:val="169"/>
        </w:trPr>
        <w:tc>
          <w:tcPr>
            <w:tcW w:w="7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740" w:type="dxa"/>
            <w:vAlign w:val="bottom"/>
          </w:tcPr>
          <w:p>
            <w:pPr>
              <w:spacing w:after="0"/>
              <w:rPr>
                <w:sz w:val="14"/>
                <w:szCs w:val="14"/>
                <w:color w:val="auto"/>
              </w:rPr>
            </w:pPr>
          </w:p>
        </w:tc>
        <w:tc>
          <w:tcPr>
            <w:tcW w:w="1660" w:type="dxa"/>
            <w:vAlign w:val="bottom"/>
          </w:tcPr>
          <w:p>
            <w:pPr>
              <w:jc w:val="right"/>
              <w:ind w:right="1101"/>
              <w:spacing w:after="0"/>
              <w:rPr>
                <w:sz w:val="20"/>
                <w:szCs w:val="20"/>
                <w:color w:val="auto"/>
              </w:rPr>
            </w:pPr>
            <w:r>
              <w:rPr>
                <w:rFonts w:ascii="Arial" w:cs="Arial" w:eastAsia="Arial" w:hAnsi="Arial"/>
                <w:sz w:val="14"/>
                <w:szCs w:val="14"/>
                <w:color w:val="auto"/>
              </w:rPr>
              <w:t>2012</w:t>
            </w:r>
          </w:p>
        </w:tc>
        <w:tc>
          <w:tcPr>
            <w:tcW w:w="640" w:type="dxa"/>
            <w:vAlign w:val="bottom"/>
          </w:tcPr>
          <w:p>
            <w:pPr>
              <w:spacing w:after="0"/>
              <w:rPr>
                <w:sz w:val="14"/>
                <w:szCs w:val="14"/>
                <w:color w:val="auto"/>
              </w:rPr>
            </w:pPr>
          </w:p>
        </w:tc>
        <w:tc>
          <w:tcPr>
            <w:tcW w:w="1280" w:type="dxa"/>
            <w:vAlign w:val="bottom"/>
          </w:tcPr>
          <w:p>
            <w:pPr>
              <w:jc w:val="right"/>
              <w:ind w:right="86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70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Balance as of January 1</w:t>
            </w:r>
          </w:p>
        </w:tc>
        <w:tc>
          <w:tcPr>
            <w:tcW w:w="740" w:type="dxa"/>
            <w:vAlign w:val="bottom"/>
            <w:tcBorders>
              <w:top w:val="single" w:sz="8" w:color="auto"/>
            </w:tcBorders>
          </w:tcPr>
          <w:p>
            <w:pPr>
              <w:jc w:val="right"/>
              <w:ind w:right="79"/>
              <w:spacing w:after="0" w:line="164" w:lineRule="exact"/>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tcPr>
          <w:p>
            <w:pPr>
              <w:jc w:val="right"/>
              <w:ind w:right="221"/>
              <w:spacing w:after="0" w:line="164" w:lineRule="exact"/>
              <w:rPr>
                <w:sz w:val="20"/>
                <w:szCs w:val="20"/>
                <w:color w:val="auto"/>
              </w:rPr>
            </w:pPr>
            <w:r>
              <w:rPr>
                <w:rFonts w:ascii="Arial" w:cs="Arial" w:eastAsia="Arial" w:hAnsi="Arial"/>
                <w:sz w:val="16"/>
                <w:szCs w:val="16"/>
                <w:color w:val="auto"/>
              </w:rPr>
              <w:t>23</w:t>
            </w:r>
          </w:p>
        </w:tc>
        <w:tc>
          <w:tcPr>
            <w:tcW w:w="640" w:type="dxa"/>
            <w:vAlign w:val="bottom"/>
            <w:tcBorders>
              <w:top w:val="single" w:sz="8" w:color="auto"/>
            </w:tcBorders>
          </w:tcPr>
          <w:p>
            <w:pPr>
              <w:jc w:val="right"/>
              <w:ind w:right="239"/>
              <w:spacing w:after="0" w:line="164"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2</w:t>
            </w:r>
          </w:p>
        </w:tc>
      </w:tr>
      <w:tr>
        <w:trPr>
          <w:trHeight w:val="176"/>
        </w:trPr>
        <w:tc>
          <w:tcPr>
            <w:tcW w:w="20" w:type="dxa"/>
            <w:vAlign w:val="bottom"/>
          </w:tcPr>
          <w:p>
            <w:pPr>
              <w:spacing w:after="0"/>
              <w:rPr>
                <w:sz w:val="15"/>
                <w:szCs w:val="15"/>
                <w:color w:val="auto"/>
              </w:rPr>
            </w:pPr>
          </w:p>
        </w:tc>
        <w:tc>
          <w:tcPr>
            <w:tcW w:w="7080" w:type="dxa"/>
            <w:vAlign w:val="bottom"/>
          </w:tcPr>
          <w:p>
            <w:pPr>
              <w:ind w:left="160"/>
              <w:spacing w:after="0" w:line="176" w:lineRule="exact"/>
              <w:rPr>
                <w:sz w:val="20"/>
                <w:szCs w:val="20"/>
                <w:color w:val="auto"/>
              </w:rPr>
            </w:pPr>
            <w:r>
              <w:rPr>
                <w:rFonts w:ascii="Arial" w:cs="Arial" w:eastAsia="Arial" w:hAnsi="Arial"/>
                <w:sz w:val="16"/>
                <w:szCs w:val="16"/>
                <w:color w:val="auto"/>
              </w:rPr>
              <w:t>Realized and unrealized gains</w:t>
            </w:r>
          </w:p>
        </w:tc>
        <w:tc>
          <w:tcPr>
            <w:tcW w:w="740" w:type="dxa"/>
            <w:vAlign w:val="bottom"/>
          </w:tcPr>
          <w:p>
            <w:pPr>
              <w:spacing w:after="0"/>
              <w:rPr>
                <w:sz w:val="15"/>
                <w:szCs w:val="15"/>
                <w:color w:val="auto"/>
              </w:rPr>
            </w:pPr>
          </w:p>
        </w:tc>
        <w:tc>
          <w:tcPr>
            <w:tcW w:w="166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7</w:t>
            </w:r>
          </w:p>
        </w:tc>
        <w:tc>
          <w:tcPr>
            <w:tcW w:w="6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r>
      <w:tr>
        <w:trPr>
          <w:trHeight w:val="176"/>
        </w:trPr>
        <w:tc>
          <w:tcPr>
            <w:tcW w:w="20" w:type="dxa"/>
            <w:vAlign w:val="bottom"/>
          </w:tcPr>
          <w:p>
            <w:pPr>
              <w:spacing w:after="0"/>
              <w:rPr>
                <w:sz w:val="15"/>
                <w:szCs w:val="15"/>
                <w:color w:val="auto"/>
              </w:rPr>
            </w:pPr>
          </w:p>
        </w:tc>
        <w:tc>
          <w:tcPr>
            <w:tcW w:w="7080" w:type="dxa"/>
            <w:vAlign w:val="bottom"/>
          </w:tcPr>
          <w:p>
            <w:pPr>
              <w:ind w:left="160"/>
              <w:spacing w:after="0" w:line="176" w:lineRule="exact"/>
              <w:rPr>
                <w:sz w:val="20"/>
                <w:szCs w:val="20"/>
                <w:color w:val="auto"/>
              </w:rPr>
            </w:pPr>
            <w:r>
              <w:rPr>
                <w:rFonts w:ascii="Arial" w:cs="Arial" w:eastAsia="Arial" w:hAnsi="Arial"/>
                <w:sz w:val="16"/>
                <w:szCs w:val="16"/>
                <w:color w:val="auto"/>
              </w:rPr>
              <w:t>Allocated transmission instruments</w:t>
            </w:r>
          </w:p>
        </w:tc>
        <w:tc>
          <w:tcPr>
            <w:tcW w:w="740" w:type="dxa"/>
            <w:vAlign w:val="bottom"/>
          </w:tcPr>
          <w:p>
            <w:pPr>
              <w:spacing w:after="0"/>
              <w:rPr>
                <w:sz w:val="15"/>
                <w:szCs w:val="15"/>
                <w:color w:val="auto"/>
              </w:rPr>
            </w:pPr>
          </w:p>
        </w:tc>
        <w:tc>
          <w:tcPr>
            <w:tcW w:w="166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1</w:t>
            </w:r>
          </w:p>
        </w:tc>
        <w:tc>
          <w:tcPr>
            <w:tcW w:w="6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94"/>
        </w:trPr>
        <w:tc>
          <w:tcPr>
            <w:tcW w:w="20" w:type="dxa"/>
            <w:vAlign w:val="bottom"/>
          </w:tcPr>
          <w:p>
            <w:pPr>
              <w:spacing w:after="0"/>
              <w:rPr>
                <w:sz w:val="16"/>
                <w:szCs w:val="16"/>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Settlements</w:t>
            </w:r>
          </w:p>
        </w:tc>
        <w:tc>
          <w:tcPr>
            <w:tcW w:w="7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(18)</w:t>
            </w: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83"/>
        </w:trPr>
        <w:tc>
          <w:tcPr>
            <w:tcW w:w="710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June 30</w:t>
            </w:r>
          </w:p>
        </w:tc>
        <w:tc>
          <w:tcPr>
            <w:tcW w:w="74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21"/>
              <w:spacing w:after="0" w:line="176" w:lineRule="exact"/>
              <w:rPr>
                <w:sz w:val="20"/>
                <w:szCs w:val="20"/>
                <w:color w:val="auto"/>
              </w:rPr>
            </w:pPr>
            <w:r>
              <w:rPr>
                <w:rFonts w:ascii="Arial" w:cs="Arial" w:eastAsia="Arial" w:hAnsi="Arial"/>
                <w:sz w:val="16"/>
                <w:szCs w:val="16"/>
                <w:color w:val="auto"/>
              </w:rPr>
              <w:t>13</w:t>
            </w:r>
          </w:p>
        </w:tc>
        <w:tc>
          <w:tcPr>
            <w:tcW w:w="64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r>
      <w:tr>
        <w:trPr>
          <w:trHeight w:val="164"/>
        </w:trPr>
        <w:tc>
          <w:tcPr>
            <w:tcW w:w="7100" w:type="dxa"/>
            <w:vAlign w:val="bottom"/>
            <w:gridSpan w:val="2"/>
          </w:tcPr>
          <w:p>
            <w:pPr>
              <w:spacing w:after="0" w:line="164" w:lineRule="exact"/>
              <w:rPr>
                <w:sz w:val="20"/>
                <w:szCs w:val="20"/>
                <w:color w:val="auto"/>
              </w:rPr>
            </w:pPr>
            <w:r>
              <w:rPr>
                <w:rFonts w:ascii="Arial" w:cs="Arial" w:eastAsia="Arial" w:hAnsi="Arial"/>
                <w:sz w:val="16"/>
                <w:szCs w:val="16"/>
                <w:color w:val="auto"/>
              </w:rPr>
              <w:t>Change in unrealized gains relating to</w:t>
            </w: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instruments still held at June 30</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7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CRRs are recorded at fair value based almost entirely on the most current auction prices published by the California Independent System Operator (ISO), an objective source. The impact associated with discounting is negligible. Because auction prices are a less observable input, these instruments are classified as Level 3. Auction prices range from $(3)/MWh to $5/MWh at a given location, and the fair value of these instruments is derived from auction price differences between two locations.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higher (lower) fair value measurement. We summarize CRR volumes in Note 7. The earnings impacts of CRRs are deferred and recorded in regulatory accounts to the extent they are recoverable or refundable through rates. Upon settlement, CRRs are included in Cost of Electric Fuel and Purchased Power on the Condensed Consolidated Statements of Operations.</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Positions Net of Cash Collateral</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Each Condensed Consolidated Balance Sheet reflects the offsetting of net derivative positions with fair value amounts for cash collateral with the same counterparty when management believes a legal right of offset exists.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amount of fair value of cash collateral receivables that were not offset in the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2012 and December 31, 2011:</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3860" w:type="dxa"/>
            <w:vAlign w:val="bottom"/>
          </w:tcPr>
          <w:p>
            <w:pPr>
              <w:jc w:val="center"/>
              <w:ind w:left="2565"/>
              <w:spacing w:after="0"/>
              <w:rPr>
                <w:sz w:val="20"/>
                <w:szCs w:val="20"/>
                <w:color w:val="auto"/>
              </w:rPr>
            </w:pPr>
            <w:r>
              <w:rPr>
                <w:rFonts w:ascii="Arial" w:cs="Arial" w:eastAsia="Arial" w:hAnsi="Arial"/>
                <w:sz w:val="14"/>
                <w:szCs w:val="14"/>
                <w:color w:val="auto"/>
              </w:rPr>
              <w:t>June 30,</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ind w:right="64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4"/>
        </w:trPr>
        <w:tc>
          <w:tcPr>
            <w:tcW w:w="4680" w:type="dxa"/>
            <w:vAlign w:val="bottom"/>
            <w:tcBorders>
              <w:bottom w:val="single" w:sz="8" w:color="auto"/>
            </w:tcBorders>
            <w:vMerge w:val="continue"/>
          </w:tcPr>
          <w:p>
            <w:pPr>
              <w:spacing w:after="0"/>
              <w:rPr>
                <w:sz w:val="14"/>
                <w:szCs w:val="14"/>
                <w:color w:val="auto"/>
              </w:rPr>
            </w:pPr>
          </w:p>
        </w:tc>
        <w:tc>
          <w:tcPr>
            <w:tcW w:w="3860" w:type="dxa"/>
            <w:vAlign w:val="bottom"/>
            <w:tcBorders>
              <w:bottom w:val="single" w:sz="8" w:color="auto"/>
            </w:tcBorders>
          </w:tcPr>
          <w:p>
            <w:pPr>
              <w:jc w:val="right"/>
              <w:ind w:right="405"/>
              <w:spacing w:after="0" w:line="157" w:lineRule="exact"/>
              <w:rPr>
                <w:sz w:val="20"/>
                <w:szCs w:val="20"/>
                <w:color w:val="auto"/>
              </w:rPr>
            </w:pPr>
            <w:r>
              <w:rPr>
                <w:rFonts w:ascii="Arial" w:cs="Arial" w:eastAsia="Arial" w:hAnsi="Arial"/>
                <w:sz w:val="14"/>
                <w:szCs w:val="14"/>
                <w:color w:val="auto"/>
              </w:rPr>
              <w:t>2012</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943"/>
              <w:spacing w:after="0" w:line="157"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4"/>
        </w:trPr>
        <w:tc>
          <w:tcPr>
            <w:tcW w:w="468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3860" w:type="dxa"/>
            <w:vAlign w:val="bottom"/>
          </w:tcPr>
          <w:p>
            <w:pPr>
              <w:jc w:val="right"/>
              <w:ind w:right="1125"/>
              <w:spacing w:after="0" w:line="164"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32</w:t>
            </w: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680" w:type="dxa"/>
            <w:vAlign w:val="bottom"/>
          </w:tcPr>
          <w:p>
            <w:pPr>
              <w:jc w:val="right"/>
              <w:spacing w:after="0" w:line="164"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6"/>
                <w:szCs w:val="16"/>
                <w:color w:val="auto"/>
              </w:rPr>
              <w:t>SDG&amp;E</w:t>
            </w:r>
          </w:p>
        </w:tc>
        <w:tc>
          <w:tcPr>
            <w:tcW w:w="3860" w:type="dxa"/>
            <w:vAlign w:val="bottom"/>
          </w:tcPr>
          <w:p>
            <w:pPr>
              <w:spacing w:after="0"/>
              <w:rPr>
                <w:sz w:val="15"/>
                <w:szCs w:val="15"/>
                <w:color w:val="auto"/>
              </w:rPr>
            </w:pPr>
          </w:p>
        </w:tc>
        <w:tc>
          <w:tcPr>
            <w:tcW w:w="76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16</w:t>
            </w:r>
          </w:p>
        </w:tc>
        <w:tc>
          <w:tcPr>
            <w:tcW w:w="440" w:type="dxa"/>
            <w:vAlign w:val="bottom"/>
          </w:tcPr>
          <w:p>
            <w:pPr>
              <w:spacing w:after="0"/>
              <w:rPr>
                <w:sz w:val="15"/>
                <w:szCs w:val="15"/>
                <w:color w:val="auto"/>
              </w:rPr>
            </w:pPr>
          </w:p>
        </w:tc>
        <w:tc>
          <w:tcPr>
            <w:tcW w:w="16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4"/>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38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0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fair values of certain of our financial instruments (cash, temporary investments, accounts and notes receivable, dividends and accounts payable, short-term debt and customer deposits) approximate their carrying amounts. The following table provides the carrying amounts and fair values of certain other financial instruments at June 30, 2012 and December 31, 2011: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421"/>
              <w:spacing w:after="0" w:line="159" w:lineRule="exact"/>
              <w:rPr>
                <w:sz w:val="20"/>
                <w:szCs w:val="20"/>
                <w:color w:val="auto"/>
              </w:rPr>
            </w:pPr>
            <w:r>
              <w:rPr>
                <w:rFonts w:ascii="Arial" w:cs="Arial" w:eastAsia="Arial" w:hAnsi="Arial"/>
                <w:sz w:val="14"/>
                <w:szCs w:val="14"/>
                <w:color w:val="auto"/>
              </w:rPr>
              <w:t>June 30, 2012</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center"/>
              <w:ind w:right="521"/>
              <w:spacing w:after="0" w:line="142" w:lineRule="exact"/>
              <w:rPr>
                <w:sz w:val="20"/>
                <w:szCs w:val="20"/>
                <w:color w:val="auto"/>
              </w:rPr>
            </w:pPr>
            <w:r>
              <w:rPr>
                <w:rFonts w:ascii="Arial" w:cs="Arial" w:eastAsia="Arial" w:hAnsi="Arial"/>
                <w:sz w:val="14"/>
                <w:szCs w:val="14"/>
                <w:color w:val="auto"/>
              </w:rPr>
              <w:t>Carrying</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601"/>
              <w:spacing w:after="0" w:line="142" w:lineRule="exact"/>
              <w:rPr>
                <w:sz w:val="20"/>
                <w:szCs w:val="20"/>
                <w:color w:val="auto"/>
              </w:rPr>
            </w:pPr>
            <w:r>
              <w:rPr>
                <w:rFonts w:ascii="Arial" w:cs="Arial" w:eastAsia="Arial" w:hAnsi="Arial"/>
                <w:sz w:val="14"/>
                <w:szCs w:val="14"/>
                <w:color w:val="auto"/>
              </w:rPr>
              <w:t>Fair Value</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21"/>
              <w:spacing w:after="0"/>
              <w:rPr>
                <w:sz w:val="20"/>
                <w:szCs w:val="20"/>
                <w:color w:val="auto"/>
              </w:rPr>
            </w:pPr>
            <w:r>
              <w:rPr>
                <w:rFonts w:ascii="Arial" w:cs="Arial" w:eastAsia="Arial" w:hAnsi="Arial"/>
                <w:sz w:val="14"/>
                <w:szCs w:val="14"/>
                <w:color w:val="auto"/>
                <w:w w:val="99"/>
              </w:rPr>
              <w:t>Amount</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Level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Total</w:t>
            </w:r>
          </w:p>
        </w:tc>
      </w:tr>
      <w:tr>
        <w:trPr>
          <w:trHeight w:val="164"/>
        </w:trPr>
        <w:tc>
          <w:tcPr>
            <w:tcW w:w="20" w:type="dxa"/>
            <w:vAlign w:val="bottom"/>
          </w:tcPr>
          <w:p>
            <w:pPr>
              <w:spacing w:after="0"/>
              <w:rPr>
                <w:sz w:val="14"/>
                <w:szCs w:val="14"/>
                <w:color w:val="auto"/>
              </w:rPr>
            </w:pPr>
          </w:p>
        </w:tc>
        <w:tc>
          <w:tcPr>
            <w:tcW w:w="444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460" w:type="dxa"/>
            <w:vAlign w:val="bottom"/>
            <w:gridSpan w:val="2"/>
          </w:tcPr>
          <w:p>
            <w:pPr>
              <w:spacing w:after="0" w:line="176" w:lineRule="exact"/>
              <w:rPr>
                <w:sz w:val="20"/>
                <w:szCs w:val="20"/>
                <w:color w:val="auto"/>
              </w:rPr>
            </w:pPr>
            <w:r>
              <w:rPr>
                <w:rFonts w:ascii="Arial" w:cs="Arial" w:eastAsia="Arial" w:hAnsi="Arial"/>
                <w:sz w:val="16"/>
                <w:szCs w:val="16"/>
                <w:color w:val="auto"/>
              </w:rPr>
              <w:t>Investments in affordable housing partnerships</w:t>
            </w:r>
            <w:r>
              <w:rPr>
                <w:rFonts w:ascii="Arial" w:cs="Arial" w:eastAsia="Arial" w:hAnsi="Arial"/>
                <w:sz w:val="14"/>
                <w:szCs w:val="14"/>
                <w:color w:val="auto"/>
              </w:rPr>
              <w:t>(1)</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18</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ind w:left="760"/>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61"/>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47</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r>
      <w:tr>
        <w:trPr>
          <w:trHeight w:val="176"/>
        </w:trPr>
        <w:tc>
          <w:tcPr>
            <w:tcW w:w="446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380" w:type="dxa"/>
            <w:vAlign w:val="bottom"/>
          </w:tcPr>
          <w:p>
            <w:pPr>
              <w:spacing w:after="0"/>
              <w:rPr>
                <w:sz w:val="15"/>
                <w:szCs w:val="15"/>
                <w:color w:val="auto"/>
              </w:rPr>
            </w:pPr>
          </w:p>
        </w:tc>
        <w:tc>
          <w:tcPr>
            <w:tcW w:w="116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10,832</w:t>
            </w:r>
          </w:p>
        </w:tc>
        <w:tc>
          <w:tcPr>
            <w:tcW w:w="400" w:type="dxa"/>
            <w:vAlign w:val="bottom"/>
          </w:tcPr>
          <w:p>
            <w:pPr>
              <w:spacing w:after="0"/>
              <w:rPr>
                <w:sz w:val="15"/>
                <w:szCs w:val="15"/>
                <w:color w:val="auto"/>
              </w:rPr>
            </w:pPr>
          </w:p>
        </w:tc>
        <w:tc>
          <w:tcPr>
            <w:tcW w:w="1000" w:type="dxa"/>
            <w:vAlign w:val="bottom"/>
          </w:tcPr>
          <w:p>
            <w:pPr>
              <w:ind w:left="760"/>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11,545</w:t>
            </w:r>
          </w:p>
        </w:tc>
        <w:tc>
          <w:tcPr>
            <w:tcW w:w="820" w:type="dxa"/>
            <w:vAlign w:val="bottom"/>
          </w:tcPr>
          <w:p>
            <w:pPr>
              <w:spacing w:after="0"/>
              <w:rPr>
                <w:sz w:val="15"/>
                <w:szCs w:val="15"/>
                <w:color w:val="auto"/>
              </w:rPr>
            </w:pPr>
          </w:p>
        </w:tc>
        <w:tc>
          <w:tcPr>
            <w:tcW w:w="5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755</w:t>
            </w:r>
          </w:p>
        </w:tc>
        <w:tc>
          <w:tcPr>
            <w:tcW w:w="3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12,300</w:t>
            </w:r>
          </w:p>
        </w:tc>
      </w:tr>
      <w:tr>
        <w:trPr>
          <w:trHeight w:val="194"/>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Preferred stock of subsidiaries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99</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109</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164"/>
        </w:trPr>
        <w:tc>
          <w:tcPr>
            <w:tcW w:w="446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46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4,140</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ind w:left="760"/>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4,283</w:t>
            </w:r>
          </w:p>
        </w:tc>
        <w:tc>
          <w:tcPr>
            <w:tcW w:w="82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350</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4,633</w:t>
            </w:r>
          </w:p>
        </w:tc>
      </w:tr>
      <w:tr>
        <w:trPr>
          <w:trHeight w:val="194"/>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Contingently redeemable preferred stock</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79</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87</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164"/>
        </w:trPr>
        <w:tc>
          <w:tcPr>
            <w:tcW w:w="446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46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(4)</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1,312</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ind w:left="760"/>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1,516</w:t>
            </w:r>
          </w:p>
        </w:tc>
        <w:tc>
          <w:tcPr>
            <w:tcW w:w="82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1,516</w:t>
            </w:r>
          </w:p>
        </w:tc>
      </w:tr>
      <w:tr>
        <w:trPr>
          <w:trHeight w:val="194"/>
        </w:trPr>
        <w:tc>
          <w:tcPr>
            <w:tcW w:w="446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380" w:type="dxa"/>
            <w:vAlign w:val="bottom"/>
          </w:tcPr>
          <w:p>
            <w:pPr>
              <w:spacing w:after="0"/>
              <w:rPr>
                <w:sz w:val="16"/>
                <w:szCs w:val="16"/>
                <w:color w:val="auto"/>
              </w:rPr>
            </w:pP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16"/>
                <w:szCs w:val="16"/>
                <w:color w:val="auto"/>
              </w:rPr>
            </w:pP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24</w:t>
            </w:r>
          </w:p>
        </w:tc>
        <w:tc>
          <w:tcPr>
            <w:tcW w:w="82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45"/>
        </w:trPr>
        <w:tc>
          <w:tcPr>
            <w:tcW w:w="20" w:type="dxa"/>
            <w:vAlign w:val="bottom"/>
          </w:tcPr>
          <w:p>
            <w:pPr>
              <w:spacing w:after="0"/>
              <w:rPr>
                <w:sz w:val="24"/>
                <w:szCs w:val="24"/>
                <w:color w:val="auto"/>
              </w:rPr>
            </w:pPr>
          </w:p>
        </w:tc>
        <w:tc>
          <w:tcPr>
            <w:tcW w:w="4440" w:type="dxa"/>
            <w:vAlign w:val="bottom"/>
            <w:tcBorders>
              <w:top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2500" w:type="dxa"/>
            <w:vAlign w:val="bottom"/>
            <w:tcBorders>
              <w:top w:val="single" w:sz="8" w:color="auto"/>
              <w:bottom w:val="single" w:sz="8" w:color="auto"/>
            </w:tcBorders>
            <w:gridSpan w:val="3"/>
          </w:tcPr>
          <w:p>
            <w:pPr>
              <w:jc w:val="right"/>
              <w:ind w:right="241"/>
              <w:spacing w:after="0"/>
              <w:rPr>
                <w:sz w:val="20"/>
                <w:szCs w:val="20"/>
                <w:color w:val="auto"/>
              </w:rPr>
            </w:pPr>
            <w:r>
              <w:rPr>
                <w:rFonts w:ascii="Arial" w:cs="Arial" w:eastAsia="Arial" w:hAnsi="Arial"/>
                <w:sz w:val="14"/>
                <w:szCs w:val="14"/>
                <w:color w:val="auto"/>
              </w:rPr>
              <w:t>December 31, 2011</w:t>
            </w:r>
          </w:p>
        </w:tc>
        <w:tc>
          <w:tcPr>
            <w:tcW w:w="82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center"/>
              <w:ind w:right="521"/>
              <w:spacing w:after="0" w:line="142" w:lineRule="exact"/>
              <w:rPr>
                <w:sz w:val="20"/>
                <w:szCs w:val="20"/>
                <w:color w:val="auto"/>
              </w:rPr>
            </w:pPr>
            <w:r>
              <w:rPr>
                <w:rFonts w:ascii="Arial" w:cs="Arial" w:eastAsia="Arial" w:hAnsi="Arial"/>
                <w:sz w:val="14"/>
                <w:szCs w:val="14"/>
                <w:color w:val="auto"/>
              </w:rPr>
              <w:t>Carrying</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601"/>
              <w:spacing w:after="0" w:line="142" w:lineRule="exact"/>
              <w:rPr>
                <w:sz w:val="20"/>
                <w:szCs w:val="20"/>
                <w:color w:val="auto"/>
              </w:rPr>
            </w:pPr>
            <w:r>
              <w:rPr>
                <w:rFonts w:ascii="Arial" w:cs="Arial" w:eastAsia="Arial" w:hAnsi="Arial"/>
                <w:sz w:val="14"/>
                <w:szCs w:val="14"/>
                <w:color w:val="auto"/>
              </w:rPr>
              <w:t>Fair Value</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21"/>
              <w:spacing w:after="0"/>
              <w:rPr>
                <w:sz w:val="20"/>
                <w:szCs w:val="20"/>
                <w:color w:val="auto"/>
              </w:rPr>
            </w:pPr>
            <w:r>
              <w:rPr>
                <w:rFonts w:ascii="Arial" w:cs="Arial" w:eastAsia="Arial" w:hAnsi="Arial"/>
                <w:sz w:val="14"/>
                <w:szCs w:val="14"/>
                <w:color w:val="auto"/>
                <w:w w:val="99"/>
              </w:rPr>
              <w:t>Amount</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Level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Total</w:t>
            </w:r>
          </w:p>
        </w:tc>
      </w:tr>
      <w:tr>
        <w:trPr>
          <w:trHeight w:val="164"/>
        </w:trPr>
        <w:tc>
          <w:tcPr>
            <w:tcW w:w="20" w:type="dxa"/>
            <w:vAlign w:val="bottom"/>
          </w:tcPr>
          <w:p>
            <w:pPr>
              <w:spacing w:after="0"/>
              <w:rPr>
                <w:sz w:val="14"/>
                <w:szCs w:val="14"/>
                <w:color w:val="auto"/>
              </w:rPr>
            </w:pPr>
          </w:p>
        </w:tc>
        <w:tc>
          <w:tcPr>
            <w:tcW w:w="444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460" w:type="dxa"/>
            <w:vAlign w:val="bottom"/>
            <w:gridSpan w:val="2"/>
          </w:tcPr>
          <w:p>
            <w:pPr>
              <w:spacing w:after="0" w:line="176" w:lineRule="exact"/>
              <w:rPr>
                <w:sz w:val="20"/>
                <w:szCs w:val="20"/>
                <w:color w:val="auto"/>
              </w:rPr>
            </w:pPr>
            <w:r>
              <w:rPr>
                <w:rFonts w:ascii="Arial" w:cs="Arial" w:eastAsia="Arial" w:hAnsi="Arial"/>
                <w:sz w:val="16"/>
                <w:szCs w:val="16"/>
                <w:color w:val="auto"/>
              </w:rPr>
              <w:t>Investments in affordable housing partnerships</w:t>
            </w:r>
            <w:r>
              <w:rPr>
                <w:rFonts w:ascii="Arial" w:cs="Arial" w:eastAsia="Arial" w:hAnsi="Arial"/>
                <w:sz w:val="14"/>
                <w:szCs w:val="14"/>
                <w:color w:val="auto"/>
              </w:rPr>
              <w:t>(1)</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21</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ind w:left="760"/>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61"/>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48</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48</w:t>
            </w:r>
          </w:p>
        </w:tc>
      </w:tr>
      <w:tr>
        <w:trPr>
          <w:trHeight w:val="176"/>
        </w:trPr>
        <w:tc>
          <w:tcPr>
            <w:tcW w:w="446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380" w:type="dxa"/>
            <w:vAlign w:val="bottom"/>
          </w:tcPr>
          <w:p>
            <w:pPr>
              <w:spacing w:after="0"/>
              <w:rPr>
                <w:sz w:val="15"/>
                <w:szCs w:val="15"/>
                <w:color w:val="auto"/>
              </w:rPr>
            </w:pPr>
          </w:p>
        </w:tc>
        <w:tc>
          <w:tcPr>
            <w:tcW w:w="116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9,826</w:t>
            </w:r>
          </w:p>
        </w:tc>
        <w:tc>
          <w:tcPr>
            <w:tcW w:w="400" w:type="dxa"/>
            <w:vAlign w:val="bottom"/>
          </w:tcPr>
          <w:p>
            <w:pPr>
              <w:spacing w:after="0"/>
              <w:rPr>
                <w:sz w:val="15"/>
                <w:szCs w:val="15"/>
                <w:color w:val="auto"/>
              </w:rPr>
            </w:pPr>
          </w:p>
        </w:tc>
        <w:tc>
          <w:tcPr>
            <w:tcW w:w="1000" w:type="dxa"/>
            <w:vAlign w:val="bottom"/>
          </w:tcPr>
          <w:p>
            <w:pPr>
              <w:ind w:left="760"/>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10,447</w:t>
            </w:r>
          </w:p>
        </w:tc>
        <w:tc>
          <w:tcPr>
            <w:tcW w:w="820" w:type="dxa"/>
            <w:vAlign w:val="bottom"/>
          </w:tcPr>
          <w:p>
            <w:pPr>
              <w:spacing w:after="0"/>
              <w:rPr>
                <w:sz w:val="15"/>
                <w:szCs w:val="15"/>
                <w:color w:val="auto"/>
              </w:rPr>
            </w:pPr>
          </w:p>
        </w:tc>
        <w:tc>
          <w:tcPr>
            <w:tcW w:w="5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600</w:t>
            </w:r>
          </w:p>
        </w:tc>
        <w:tc>
          <w:tcPr>
            <w:tcW w:w="3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11,047</w:t>
            </w:r>
          </w:p>
        </w:tc>
      </w:tr>
      <w:tr>
        <w:trPr>
          <w:trHeight w:val="194"/>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Preferred stock of subsidiaries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99</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106</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164"/>
        </w:trPr>
        <w:tc>
          <w:tcPr>
            <w:tcW w:w="446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46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3,895</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ind w:left="760"/>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3,933</w:t>
            </w:r>
          </w:p>
        </w:tc>
        <w:tc>
          <w:tcPr>
            <w:tcW w:w="82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355</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4,288</w:t>
            </w:r>
          </w:p>
        </w:tc>
      </w:tr>
      <w:tr>
        <w:trPr>
          <w:trHeight w:val="194"/>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Contingently redeemable preferred stock</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79</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86</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164"/>
        </w:trPr>
        <w:tc>
          <w:tcPr>
            <w:tcW w:w="446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46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(4)</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1,313</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ind w:left="760"/>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1,506</w:t>
            </w:r>
          </w:p>
        </w:tc>
        <w:tc>
          <w:tcPr>
            <w:tcW w:w="82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1,506</w:t>
            </w:r>
          </w:p>
        </w:tc>
      </w:tr>
      <w:tr>
        <w:trPr>
          <w:trHeight w:val="195"/>
        </w:trPr>
        <w:tc>
          <w:tcPr>
            <w:tcW w:w="446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380" w:type="dxa"/>
            <w:vAlign w:val="bottom"/>
          </w:tcPr>
          <w:p>
            <w:pPr>
              <w:spacing w:after="0"/>
              <w:rPr>
                <w:sz w:val="16"/>
                <w:szCs w:val="16"/>
                <w:color w:val="auto"/>
              </w:rPr>
            </w:pP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16"/>
                <w:szCs w:val="16"/>
                <w:color w:val="auto"/>
              </w:rPr>
            </w:pP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23</w:t>
            </w:r>
          </w:p>
        </w:tc>
        <w:tc>
          <w:tcPr>
            <w:tcW w:w="82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901" w:orient="portrait"/>
          <w:cols w:equalWidth="0" w:num="1">
            <w:col w:w="11420"/>
          </w:cols>
          <w:pgMar w:left="240" w:top="130" w:right="239" w:bottom="0" w:gutter="0" w:footer="0" w:header="0"/>
        </w:sectPr>
      </w:pPr>
    </w:p>
    <w:p>
      <w:pPr>
        <w:spacing w:after="0" w:line="10" w:lineRule="exact"/>
        <w:rPr>
          <w:sz w:val="20"/>
          <w:szCs w:val="20"/>
          <w:color w:val="auto"/>
        </w:rPr>
      </w:pPr>
    </w:p>
    <w:p>
      <w:pPr>
        <w:ind w:left="600" w:hanging="383"/>
        <w:spacing w:after="0"/>
        <w:tabs>
          <w:tab w:leader="none" w:pos="60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We discuss our investments in affordable housing partnerships in Note 4 of the Notes to Consolidated Financial Statements in the Updated Annual Report.</w:t>
      </w:r>
    </w:p>
    <w:p>
      <w:pPr>
        <w:spacing w:after="0" w:line="15" w:lineRule="exact"/>
        <w:rPr>
          <w:rFonts w:ascii="Arial" w:cs="Arial" w:eastAsia="Arial" w:hAnsi="Arial"/>
          <w:sz w:val="14"/>
          <w:szCs w:val="14"/>
          <w:i w:val="1"/>
          <w:iCs w:val="1"/>
          <w:color w:val="auto"/>
        </w:rPr>
      </w:pPr>
    </w:p>
    <w:p>
      <w:pPr>
        <w:ind w:left="600" w:hanging="383"/>
        <w:spacing w:after="0"/>
        <w:tabs>
          <w:tab w:leader="none" w:pos="60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(net of premium) of $15 million at June 30, 2012 and $16 million at December 31, 2011, and excluding capital leases of $196</w:t>
      </w:r>
    </w:p>
    <w:p>
      <w:pPr>
        <w:sectPr>
          <w:pgSz w:w="11900" w:h="16901" w:orient="portrait"/>
          <w:cols w:equalWidth="0" w:num="1">
            <w:col w:w="11420"/>
          </w:cols>
          <w:pgMar w:left="240" w:top="130" w:right="239" w:bottom="0" w:gutter="0" w:footer="0" w:header="0"/>
          <w:type w:val="continuous"/>
        </w:sectPr>
      </w:pPr>
    </w:p>
    <w:bookmarkStart w:id="35" w:name="page36"/>
    <w:bookmarkEnd w:id="35"/>
    <w:p>
      <w:pPr>
        <w:ind w:left="600" w:right="200"/>
        <w:spacing w:after="0" w:line="252" w:lineRule="auto"/>
        <w:rPr>
          <w:sz w:val="20"/>
          <w:szCs w:val="20"/>
          <w:color w:val="auto"/>
        </w:rPr>
      </w:pPr>
      <w:r>
        <w:rPr>
          <w:rFonts w:ascii="Arial" w:cs="Arial" w:eastAsia="Arial" w:hAnsi="Arial"/>
          <w:sz w:val="14"/>
          <w:szCs w:val="14"/>
          <w:i w:val="1"/>
          <w:iCs w:val="1"/>
          <w:color w:val="auto"/>
        </w:rPr>
        <w:t>million at June 30, 2012 and $204 million at December 31, 2011, and commercial paper classified as long-term debt of $400 million at December 31, 2011. We discuss our long-term debt in Note 6 above and in Note 5 of the Notes to Consolidated Financial Statements in the Updated Annual Report.</w:t>
      </w:r>
    </w:p>
    <w:p>
      <w:pPr>
        <w:ind w:left="600" w:hanging="383"/>
        <w:spacing w:after="0" w:line="241" w:lineRule="auto"/>
        <w:tabs>
          <w:tab w:leader="none" w:pos="60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$12 million at June 30, 2012 and $11 million at December 31, 2011, and excluding capital leases of $189 million at June 30, 2012 and $193 million at December 31, 2011.</w:t>
      </w:r>
    </w:p>
    <w:p>
      <w:pPr>
        <w:ind w:left="600" w:right="320" w:hanging="383"/>
        <w:spacing w:after="0" w:line="258" w:lineRule="auto"/>
        <w:tabs>
          <w:tab w:leader="none" w:pos="60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$2 million at June 30, 2012 and $3 million at December 31, 2011, and excluding capital leases of $7 million at June 30, 2012 and $11 million at December 31, 2011.</w:t>
      </w:r>
    </w:p>
    <w:p>
      <w:pPr>
        <w:spacing w:after="0" w:line="200" w:lineRule="exact"/>
        <w:rPr>
          <w:sz w:val="20"/>
          <w:szCs w:val="20"/>
          <w:color w:val="auto"/>
        </w:rPr>
      </w:pPr>
    </w:p>
    <w:p>
      <w:pPr>
        <w:spacing w:after="0" w:line="21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calculate the fair value of our investments in affordable housing partnerships using an income approach based on the present value of estimated future cash flows discounted at rates available for similar investments (Level 3).</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base the fair value of certain of our long-term debt and preferred stock on a market approach using quoted market prices for identical or similar securities in thinly-traded markets (Level 2). We value other long-term debt using an income approach based on the present value of estimated future cash flows discounted at rates available for similar securities (Level 3).</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 Decommissioning Trusts</w:t>
      </w:r>
    </w:p>
    <w:p>
      <w:pPr>
        <w:spacing w:after="0" w:line="20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discuss SDG&amp;E’s investments in nuclear decommissioning trust funds in Note 6 of the Notes to Consolidated Financial Statements in the Updated Annual Report. The following table shows the fair values and gross unrealized gains and losses for the securities held in the trust funds:</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center"/>
              <w:ind w:right="208"/>
              <w:spacing w:after="0"/>
              <w:rPr>
                <w:sz w:val="20"/>
                <w:szCs w:val="20"/>
                <w:color w:val="auto"/>
              </w:rPr>
            </w:pPr>
            <w:r>
              <w:rPr>
                <w:rFonts w:ascii="Arial" w:cs="Arial" w:eastAsia="Arial" w:hAnsi="Arial"/>
                <w:sz w:val="14"/>
                <w:szCs w:val="14"/>
                <w:color w:val="auto"/>
              </w:rPr>
              <w:t>Gross</w:t>
            </w:r>
          </w:p>
        </w:tc>
        <w:tc>
          <w:tcPr>
            <w:tcW w:w="360" w:type="dxa"/>
            <w:vAlign w:val="bottom"/>
          </w:tcPr>
          <w:p>
            <w:pPr>
              <w:spacing w:after="0"/>
              <w:rPr>
                <w:sz w:val="14"/>
                <w:szCs w:val="14"/>
                <w:color w:val="auto"/>
              </w:rPr>
            </w:pPr>
          </w:p>
        </w:tc>
        <w:tc>
          <w:tcPr>
            <w:tcW w:w="1180" w:type="dxa"/>
            <w:vAlign w:val="bottom"/>
          </w:tcPr>
          <w:p>
            <w:pPr>
              <w:jc w:val="center"/>
              <w:ind w:right="208"/>
              <w:spacing w:after="0"/>
              <w:rPr>
                <w:sz w:val="20"/>
                <w:szCs w:val="20"/>
                <w:color w:val="auto"/>
              </w:rPr>
            </w:pPr>
            <w:r>
              <w:rPr>
                <w:rFonts w:ascii="Arial" w:cs="Arial" w:eastAsia="Arial" w:hAnsi="Arial"/>
                <w:sz w:val="14"/>
                <w:szCs w:val="14"/>
                <w:color w:val="auto"/>
              </w:rPr>
              <w:t>Gross</w:t>
            </w:r>
          </w:p>
        </w:tc>
        <w:tc>
          <w:tcPr>
            <w:tcW w:w="4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color w:val="auto"/>
              </w:rPr>
              <w:t>Estimated</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rPr>
              <w:t>Unrealized</w:t>
            </w:r>
          </w:p>
        </w:tc>
        <w:tc>
          <w:tcPr>
            <w:tcW w:w="360" w:type="dxa"/>
            <w:vAlign w:val="bottom"/>
          </w:tcPr>
          <w:p>
            <w:pPr>
              <w:spacing w:after="0"/>
              <w:rPr>
                <w:sz w:val="17"/>
                <w:szCs w:val="17"/>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rPr>
              <w:t>Unrealized</w:t>
            </w:r>
          </w:p>
        </w:tc>
        <w:tc>
          <w:tcPr>
            <w:tcW w:w="400" w:type="dxa"/>
            <w:vAlign w:val="bottom"/>
          </w:tcPr>
          <w:p>
            <w:pPr>
              <w:spacing w:after="0"/>
              <w:rPr>
                <w:sz w:val="17"/>
                <w:szCs w:val="17"/>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color w:val="auto"/>
              </w:rPr>
              <w:t>Fair</w:t>
            </w:r>
          </w:p>
        </w:tc>
      </w:tr>
      <w:tr>
        <w:trPr>
          <w:trHeight w:val="195"/>
        </w:trPr>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Gains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Losses</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Value</w:t>
            </w:r>
          </w:p>
        </w:tc>
      </w:tr>
      <w:tr>
        <w:trPr>
          <w:trHeight w:val="167"/>
        </w:trPr>
        <w:tc>
          <w:tcPr>
            <w:tcW w:w="2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As of June 30, 2012:</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80" w:type="dxa"/>
            <w:vAlign w:val="bottom"/>
            <w:gridSpan w:val="3"/>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60" w:type="dxa"/>
            <w:vAlign w:val="bottom"/>
            <w:gridSpan w:val="2"/>
          </w:tcPr>
          <w:p>
            <w:pPr>
              <w:ind w:left="14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U.S. government corporations and agencies(1)</w:t>
            </w:r>
          </w:p>
        </w:tc>
        <w:tc>
          <w:tcPr>
            <w:tcW w:w="12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143</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12</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62"/>
        </w:trPr>
        <w:tc>
          <w:tcPr>
            <w:tcW w:w="20" w:type="dxa"/>
            <w:vAlign w:val="bottom"/>
          </w:tcPr>
          <w:p>
            <w:pPr>
              <w:spacing w:after="0"/>
              <w:rPr>
                <w:sz w:val="14"/>
                <w:szCs w:val="14"/>
                <w:color w:val="auto"/>
              </w:rPr>
            </w:pPr>
          </w:p>
        </w:tc>
        <w:tc>
          <w:tcPr>
            <w:tcW w:w="5060" w:type="dxa"/>
            <w:vAlign w:val="bottom"/>
            <w:gridSpan w:val="2"/>
          </w:tcPr>
          <w:p>
            <w:pPr>
              <w:ind w:left="140"/>
              <w:spacing w:after="0"/>
              <w:rPr>
                <w:sz w:val="20"/>
                <w:szCs w:val="20"/>
                <w:color w:val="auto"/>
              </w:rPr>
            </w:pPr>
            <w:r>
              <w:rPr>
                <w:rFonts w:ascii="Arial" w:cs="Arial" w:eastAsia="Arial" w:hAnsi="Arial"/>
                <w:sz w:val="14"/>
                <w:szCs w:val="14"/>
                <w:color w:val="auto"/>
              </w:rPr>
              <w:t>Municipal bonds(2)</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61</w:t>
            </w:r>
          </w:p>
        </w:tc>
        <w:tc>
          <w:tcPr>
            <w:tcW w:w="3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6</w:t>
            </w:r>
          </w:p>
        </w:tc>
        <w:tc>
          <w:tcPr>
            <w:tcW w:w="3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4"/>
        </w:trPr>
        <w:tc>
          <w:tcPr>
            <w:tcW w:w="20" w:type="dxa"/>
            <w:vAlign w:val="bottom"/>
          </w:tcPr>
          <w:p>
            <w:pPr>
              <w:spacing w:after="0"/>
              <w:rPr>
                <w:sz w:val="14"/>
                <w:szCs w:val="14"/>
                <w:color w:val="auto"/>
              </w:rPr>
            </w:pPr>
          </w:p>
        </w:tc>
        <w:tc>
          <w:tcPr>
            <w:tcW w:w="5060" w:type="dxa"/>
            <w:vAlign w:val="bottom"/>
            <w:gridSpan w:val="2"/>
          </w:tcPr>
          <w:p>
            <w:pPr>
              <w:ind w:left="140"/>
              <w:spacing w:after="0" w:line="137" w:lineRule="exact"/>
              <w:rPr>
                <w:sz w:val="20"/>
                <w:szCs w:val="20"/>
                <w:color w:val="auto"/>
              </w:rPr>
            </w:pPr>
            <w:r>
              <w:rPr>
                <w:rFonts w:ascii="Arial" w:cs="Arial" w:eastAsia="Arial" w:hAnsi="Arial"/>
                <w:sz w:val="14"/>
                <w:szCs w:val="14"/>
                <w:color w:val="auto"/>
              </w:rPr>
              <w:t>Other securities(3)</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80</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8"/>
              <w:spacing w:after="0" w:line="137" w:lineRule="exact"/>
              <w:rPr>
                <w:sz w:val="20"/>
                <w:szCs w:val="20"/>
                <w:color w:val="auto"/>
              </w:rPr>
            </w:pPr>
            <w:r>
              <w:rPr>
                <w:rFonts w:ascii="Arial" w:cs="Arial" w:eastAsia="Arial" w:hAnsi="Arial"/>
                <w:sz w:val="14"/>
                <w:szCs w:val="14"/>
                <w:color w:val="auto"/>
              </w:rPr>
              <w:t>5</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85</w:t>
            </w:r>
          </w:p>
        </w:tc>
      </w:tr>
      <w:tr>
        <w:trPr>
          <w:trHeight w:val="167"/>
        </w:trPr>
        <w:tc>
          <w:tcPr>
            <w:tcW w:w="5080" w:type="dxa"/>
            <w:vAlign w:val="bottom"/>
            <w:gridSpan w:val="3"/>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284</w:t>
            </w:r>
          </w:p>
        </w:tc>
        <w:tc>
          <w:tcPr>
            <w:tcW w:w="3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23</w:t>
            </w:r>
          </w:p>
        </w:tc>
        <w:tc>
          <w:tcPr>
            <w:tcW w:w="3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306</w:t>
            </w:r>
          </w:p>
        </w:tc>
      </w:tr>
      <w:tr>
        <w:trPr>
          <w:trHeight w:val="162"/>
        </w:trPr>
        <w:tc>
          <w:tcPr>
            <w:tcW w:w="5080" w:type="dxa"/>
            <w:vAlign w:val="bottom"/>
            <w:gridSpan w:val="3"/>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242</w:t>
            </w:r>
          </w:p>
        </w:tc>
        <w:tc>
          <w:tcPr>
            <w:tcW w:w="3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255</w:t>
            </w:r>
          </w:p>
        </w:tc>
        <w:tc>
          <w:tcPr>
            <w:tcW w:w="3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493</w:t>
            </w:r>
          </w:p>
        </w:tc>
      </w:tr>
      <w:tr>
        <w:trPr>
          <w:trHeight w:val="164"/>
        </w:trPr>
        <w:tc>
          <w:tcPr>
            <w:tcW w:w="5080" w:type="dxa"/>
            <w:vAlign w:val="bottom"/>
            <w:gridSpan w:val="3"/>
          </w:tcPr>
          <w:p>
            <w:pPr>
              <w:spacing w:after="0" w:line="137" w:lineRule="exact"/>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48</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48</w:t>
            </w:r>
          </w:p>
        </w:tc>
      </w:tr>
      <w:tr>
        <w:trPr>
          <w:trHeight w:val="169"/>
        </w:trPr>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4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574</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278</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w:t>
            </w:r>
          </w:p>
        </w:tc>
      </w:tr>
      <w:tr>
        <w:trPr>
          <w:trHeight w:val="167"/>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2011:</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80" w:type="dxa"/>
            <w:vAlign w:val="bottom"/>
            <w:gridSpan w:val="3"/>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60" w:type="dxa"/>
            <w:vAlign w:val="bottom"/>
            <w:gridSpan w:val="2"/>
          </w:tcPr>
          <w:p>
            <w:pPr>
              <w:ind w:left="14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U.S. government corporations and agencies</w:t>
            </w:r>
          </w:p>
        </w:tc>
        <w:tc>
          <w:tcPr>
            <w:tcW w:w="12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157</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13</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162"/>
        </w:trPr>
        <w:tc>
          <w:tcPr>
            <w:tcW w:w="20" w:type="dxa"/>
            <w:vAlign w:val="bottom"/>
          </w:tcPr>
          <w:p>
            <w:pPr>
              <w:spacing w:after="0"/>
              <w:rPr>
                <w:sz w:val="14"/>
                <w:szCs w:val="14"/>
                <w:color w:val="auto"/>
              </w:rPr>
            </w:pPr>
          </w:p>
        </w:tc>
        <w:tc>
          <w:tcPr>
            <w:tcW w:w="5060" w:type="dxa"/>
            <w:vAlign w:val="bottom"/>
            <w:gridSpan w:val="2"/>
          </w:tcPr>
          <w:p>
            <w:pPr>
              <w:ind w:left="140"/>
              <w:spacing w:after="0"/>
              <w:rPr>
                <w:sz w:val="20"/>
                <w:szCs w:val="20"/>
                <w:color w:val="auto"/>
              </w:rPr>
            </w:pPr>
            <w:r>
              <w:rPr>
                <w:rFonts w:ascii="Arial" w:cs="Arial" w:eastAsia="Arial" w:hAnsi="Arial"/>
                <w:sz w:val="14"/>
                <w:szCs w:val="14"/>
                <w:color w:val="auto"/>
              </w:rPr>
              <w:t>Municipal bonds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72</w:t>
            </w:r>
          </w:p>
        </w:tc>
        <w:tc>
          <w:tcPr>
            <w:tcW w:w="3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64"/>
        </w:trPr>
        <w:tc>
          <w:tcPr>
            <w:tcW w:w="20" w:type="dxa"/>
            <w:vAlign w:val="bottom"/>
          </w:tcPr>
          <w:p>
            <w:pPr>
              <w:spacing w:after="0"/>
              <w:rPr>
                <w:sz w:val="14"/>
                <w:szCs w:val="14"/>
                <w:color w:val="auto"/>
              </w:rPr>
            </w:pPr>
          </w:p>
        </w:tc>
        <w:tc>
          <w:tcPr>
            <w:tcW w:w="5060" w:type="dxa"/>
            <w:vAlign w:val="bottom"/>
            <w:gridSpan w:val="2"/>
          </w:tcPr>
          <w:p>
            <w:pPr>
              <w:ind w:left="140"/>
              <w:spacing w:after="0" w:line="137" w:lineRule="exact"/>
              <w:rPr>
                <w:sz w:val="20"/>
                <w:szCs w:val="20"/>
                <w:color w:val="auto"/>
              </w:rPr>
            </w:pPr>
            <w:r>
              <w:rPr>
                <w:rFonts w:ascii="Arial" w:cs="Arial" w:eastAsia="Arial" w:hAnsi="Arial"/>
                <w:sz w:val="14"/>
                <w:szCs w:val="14"/>
                <w:color w:val="auto"/>
              </w:rPr>
              <w:t>Other securities</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76</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8"/>
              <w:spacing w:after="0" w:line="137" w:lineRule="exact"/>
              <w:rPr>
                <w:sz w:val="20"/>
                <w:szCs w:val="20"/>
                <w:color w:val="auto"/>
              </w:rPr>
            </w:pPr>
            <w:r>
              <w:rPr>
                <w:rFonts w:ascii="Arial" w:cs="Arial" w:eastAsia="Arial" w:hAnsi="Arial"/>
                <w:sz w:val="14"/>
                <w:szCs w:val="14"/>
                <w:color w:val="auto"/>
              </w:rPr>
              <w:t>3</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(1)</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78</w:t>
            </w:r>
          </w:p>
        </w:tc>
      </w:tr>
      <w:tr>
        <w:trPr>
          <w:trHeight w:val="167"/>
        </w:trPr>
        <w:tc>
          <w:tcPr>
            <w:tcW w:w="5080" w:type="dxa"/>
            <w:vAlign w:val="bottom"/>
            <w:gridSpan w:val="3"/>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305</w:t>
            </w:r>
          </w:p>
        </w:tc>
        <w:tc>
          <w:tcPr>
            <w:tcW w:w="3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21</w:t>
            </w:r>
          </w:p>
        </w:tc>
        <w:tc>
          <w:tcPr>
            <w:tcW w:w="3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162"/>
        </w:trPr>
        <w:tc>
          <w:tcPr>
            <w:tcW w:w="5080" w:type="dxa"/>
            <w:vAlign w:val="bottom"/>
            <w:gridSpan w:val="3"/>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246</w:t>
            </w:r>
          </w:p>
        </w:tc>
        <w:tc>
          <w:tcPr>
            <w:tcW w:w="3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227</w:t>
            </w:r>
          </w:p>
        </w:tc>
        <w:tc>
          <w:tcPr>
            <w:tcW w:w="3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468</w:t>
            </w:r>
          </w:p>
        </w:tc>
      </w:tr>
      <w:tr>
        <w:trPr>
          <w:trHeight w:val="164"/>
        </w:trPr>
        <w:tc>
          <w:tcPr>
            <w:tcW w:w="5080" w:type="dxa"/>
            <w:vAlign w:val="bottom"/>
            <w:gridSpan w:val="3"/>
          </w:tcPr>
          <w:p>
            <w:pPr>
              <w:spacing w:after="0" w:line="137" w:lineRule="exact"/>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11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11</w:t>
            </w:r>
          </w:p>
        </w:tc>
      </w:tr>
      <w:tr>
        <w:trPr>
          <w:trHeight w:val="169"/>
        </w:trPr>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4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562</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248</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r>
      <w:tr>
        <w:trPr>
          <w:trHeight w:val="153"/>
        </w:trPr>
        <w:tc>
          <w:tcPr>
            <w:tcW w:w="34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(1)</w:t>
            </w:r>
          </w:p>
        </w:tc>
        <w:tc>
          <w:tcPr>
            <w:tcW w:w="4740" w:type="dxa"/>
            <w:vAlign w:val="bottom"/>
          </w:tcPr>
          <w:p>
            <w:pPr>
              <w:ind w:left="220"/>
              <w:spacing w:after="0" w:line="153" w:lineRule="exact"/>
              <w:rPr>
                <w:sz w:val="20"/>
                <w:szCs w:val="20"/>
                <w:color w:val="auto"/>
              </w:rPr>
            </w:pPr>
            <w:r>
              <w:rPr>
                <w:rFonts w:ascii="Arial" w:cs="Arial" w:eastAsia="Arial" w:hAnsi="Arial"/>
                <w:sz w:val="14"/>
                <w:szCs w:val="14"/>
                <w:i w:val="1"/>
                <w:iCs w:val="1"/>
                <w:color w:val="auto"/>
              </w:rPr>
              <w:t>Maturity dates are 2012-2042</w:t>
            </w: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340" w:type="dxa"/>
            <w:vAlign w:val="bottom"/>
            <w:gridSpan w:val="2"/>
          </w:tcPr>
          <w:p>
            <w:pPr>
              <w:spacing w:after="0"/>
              <w:rPr>
                <w:sz w:val="20"/>
                <w:szCs w:val="20"/>
                <w:color w:val="auto"/>
              </w:rPr>
            </w:pPr>
            <w:r>
              <w:rPr>
                <w:rFonts w:ascii="Arial" w:cs="Arial" w:eastAsia="Arial" w:hAnsi="Arial"/>
                <w:sz w:val="14"/>
                <w:szCs w:val="14"/>
                <w:i w:val="1"/>
                <w:iCs w:val="1"/>
                <w:color w:val="auto"/>
              </w:rPr>
              <w:t>(2)</w:t>
            </w:r>
          </w:p>
        </w:tc>
        <w:tc>
          <w:tcPr>
            <w:tcW w:w="4740" w:type="dxa"/>
            <w:vAlign w:val="bottom"/>
          </w:tcPr>
          <w:p>
            <w:pPr>
              <w:ind w:left="220"/>
              <w:spacing w:after="0"/>
              <w:rPr>
                <w:sz w:val="20"/>
                <w:szCs w:val="20"/>
                <w:color w:val="auto"/>
              </w:rPr>
            </w:pPr>
            <w:r>
              <w:rPr>
                <w:rFonts w:ascii="Arial" w:cs="Arial" w:eastAsia="Arial" w:hAnsi="Arial"/>
                <w:sz w:val="14"/>
                <w:szCs w:val="14"/>
                <w:i w:val="1"/>
                <w:iCs w:val="1"/>
                <w:color w:val="auto"/>
              </w:rPr>
              <w:t>Maturity dates are 2012-2057</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6"/>
        </w:trPr>
        <w:tc>
          <w:tcPr>
            <w:tcW w:w="340" w:type="dxa"/>
            <w:vAlign w:val="bottom"/>
            <w:gridSpan w:val="2"/>
          </w:tcPr>
          <w:p>
            <w:pPr>
              <w:spacing w:after="0"/>
              <w:rPr>
                <w:sz w:val="20"/>
                <w:szCs w:val="20"/>
                <w:color w:val="auto"/>
              </w:rPr>
            </w:pPr>
            <w:r>
              <w:rPr>
                <w:rFonts w:ascii="Arial" w:cs="Arial" w:eastAsia="Arial" w:hAnsi="Arial"/>
                <w:sz w:val="14"/>
                <w:szCs w:val="14"/>
                <w:i w:val="1"/>
                <w:iCs w:val="1"/>
                <w:color w:val="auto"/>
              </w:rPr>
              <w:t>(3)</w:t>
            </w:r>
          </w:p>
        </w:tc>
        <w:tc>
          <w:tcPr>
            <w:tcW w:w="4740" w:type="dxa"/>
            <w:vAlign w:val="bottom"/>
          </w:tcPr>
          <w:p>
            <w:pPr>
              <w:ind w:left="220"/>
              <w:spacing w:after="0"/>
              <w:rPr>
                <w:sz w:val="20"/>
                <w:szCs w:val="20"/>
                <w:color w:val="auto"/>
              </w:rPr>
            </w:pPr>
            <w:r>
              <w:rPr>
                <w:rFonts w:ascii="Arial" w:cs="Arial" w:eastAsia="Arial" w:hAnsi="Arial"/>
                <w:sz w:val="14"/>
                <w:szCs w:val="14"/>
                <w:i w:val="1"/>
                <w:iCs w:val="1"/>
                <w:color w:val="auto"/>
              </w:rPr>
              <w:t>Maturity dates are 2013-2111</w:t>
            </w: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proceeds from sales of securities in the trusts and gross realized gains and losses on those sales: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400" w:type="dxa"/>
            <w:vAlign w:val="bottom"/>
            <w:gridSpan w:val="3"/>
            <w:vMerge w:val="restart"/>
          </w:tcPr>
          <w:p>
            <w:pPr>
              <w:jc w:val="right"/>
              <w:ind w:right="403"/>
              <w:spacing w:after="0"/>
              <w:rPr>
                <w:sz w:val="20"/>
                <w:szCs w:val="20"/>
                <w:color w:val="auto"/>
              </w:rPr>
            </w:pPr>
            <w:r>
              <w:rPr>
                <w:rFonts w:ascii="Arial" w:cs="Arial" w:eastAsia="Arial" w:hAnsi="Arial"/>
                <w:sz w:val="14"/>
                <w:szCs w:val="14"/>
                <w:color w:val="auto"/>
              </w:rPr>
              <w:t>Three months ended June 30,</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60" w:type="dxa"/>
            <w:vAlign w:val="bottom"/>
            <w:gridSpan w:val="3"/>
            <w:vMerge w:val="restart"/>
          </w:tcPr>
          <w:p>
            <w:pPr>
              <w:jc w:val="right"/>
              <w:ind w:right="1041"/>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400" w:type="dxa"/>
            <w:vAlign w:val="bottom"/>
            <w:tcBorders>
              <w:bottom w:val="single" w:sz="8" w:color="auto"/>
            </w:tcBorders>
            <w:gridSpan w:val="3"/>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26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color w:val="auto"/>
              </w:rPr>
              <w:t>2012</w:t>
            </w:r>
          </w:p>
        </w:tc>
        <w:tc>
          <w:tcPr>
            <w:tcW w:w="8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2011</w:t>
            </w: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063"/>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80" w:type="dxa"/>
            <w:vAlign w:val="bottom"/>
          </w:tcPr>
          <w:p>
            <w:pPr>
              <w:spacing w:after="0" w:line="164" w:lineRule="exact"/>
              <w:rPr>
                <w:sz w:val="20"/>
                <w:szCs w:val="20"/>
                <w:color w:val="auto"/>
              </w:rPr>
            </w:pPr>
            <w:r>
              <w:rPr>
                <w:rFonts w:ascii="Arial" w:cs="Arial" w:eastAsia="Arial" w:hAnsi="Arial"/>
                <w:sz w:val="16"/>
                <w:szCs w:val="16"/>
                <w:color w:val="auto"/>
              </w:rPr>
              <w:t>Proceeds from sales</w:t>
            </w:r>
          </w:p>
        </w:tc>
        <w:tc>
          <w:tcPr>
            <w:tcW w:w="1380" w:type="dxa"/>
            <w:vAlign w:val="bottom"/>
          </w:tcPr>
          <w:p>
            <w:pPr>
              <w:jc w:val="right"/>
              <w:ind w:right="665"/>
              <w:spacing w:after="0" w:line="164"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239"/>
              <w:spacing w:after="0" w:line="164" w:lineRule="exact"/>
              <w:rPr>
                <w:sz w:val="20"/>
                <w:szCs w:val="20"/>
                <w:color w:val="auto"/>
              </w:rPr>
            </w:pPr>
            <w:r>
              <w:rPr>
                <w:rFonts w:ascii="Arial" w:cs="Arial" w:eastAsia="Arial" w:hAnsi="Arial"/>
                <w:sz w:val="16"/>
                <w:szCs w:val="16"/>
                <w:color w:val="auto"/>
              </w:rPr>
              <w:t>191</w:t>
            </w:r>
          </w:p>
        </w:tc>
        <w:tc>
          <w:tcPr>
            <w:tcW w:w="1160" w:type="dxa"/>
            <w:vAlign w:val="bottom"/>
          </w:tcPr>
          <w:p>
            <w:pPr>
              <w:jc w:val="right"/>
              <w:ind w:right="703"/>
              <w:spacing w:after="0" w:line="164"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39"/>
              <w:spacing w:after="0" w:line="164" w:lineRule="exact"/>
              <w:rPr>
                <w:sz w:val="20"/>
                <w:szCs w:val="20"/>
                <w:color w:val="auto"/>
              </w:rPr>
            </w:pPr>
            <w:r>
              <w:rPr>
                <w:rFonts w:ascii="Arial" w:cs="Arial" w:eastAsia="Arial" w:hAnsi="Arial"/>
                <w:sz w:val="16"/>
                <w:szCs w:val="16"/>
                <w:color w:val="auto"/>
              </w:rPr>
              <w:t>48</w:t>
            </w: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540" w:type="dxa"/>
            <w:vAlign w:val="bottom"/>
          </w:tcPr>
          <w:p>
            <w:pPr>
              <w:jc w:val="right"/>
              <w:ind w:right="243"/>
              <w:spacing w:after="0" w:line="164" w:lineRule="exact"/>
              <w:rPr>
                <w:sz w:val="20"/>
                <w:szCs w:val="20"/>
                <w:color w:val="auto"/>
              </w:rPr>
            </w:pPr>
            <w:r>
              <w:rPr>
                <w:rFonts w:ascii="Arial" w:cs="Arial" w:eastAsia="Arial" w:hAnsi="Arial"/>
                <w:sz w:val="16"/>
                <w:szCs w:val="16"/>
                <w:color w:val="auto"/>
              </w:rPr>
              <w:t>320</w:t>
            </w:r>
          </w:p>
        </w:tc>
        <w:tc>
          <w:tcPr>
            <w:tcW w:w="4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76"/>
        </w:trPr>
        <w:tc>
          <w:tcPr>
            <w:tcW w:w="3500" w:type="dxa"/>
            <w:vAlign w:val="bottom"/>
            <w:gridSpan w:val="2"/>
          </w:tcPr>
          <w:p>
            <w:pPr>
              <w:spacing w:after="0" w:line="176" w:lineRule="exact"/>
              <w:rPr>
                <w:sz w:val="20"/>
                <w:szCs w:val="20"/>
                <w:color w:val="auto"/>
              </w:rPr>
            </w:pPr>
            <w:r>
              <w:rPr>
                <w:rFonts w:ascii="Arial" w:cs="Arial" w:eastAsia="Arial" w:hAnsi="Arial"/>
                <w:sz w:val="16"/>
                <w:szCs w:val="16"/>
                <w:color w:val="auto"/>
              </w:rPr>
              <w:t>Gross realized gains</w:t>
            </w:r>
          </w:p>
        </w:tc>
        <w:tc>
          <w:tcPr>
            <w:tcW w:w="1380" w:type="dxa"/>
            <w:vAlign w:val="bottom"/>
          </w:tcPr>
          <w:p>
            <w:pPr>
              <w:spacing w:after="0"/>
              <w:rPr>
                <w:sz w:val="15"/>
                <w:szCs w:val="15"/>
                <w:color w:val="auto"/>
              </w:rPr>
            </w:pPr>
          </w:p>
        </w:tc>
        <w:tc>
          <w:tcPr>
            <w:tcW w:w="86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5</w:t>
            </w:r>
          </w:p>
        </w:tc>
        <w:tc>
          <w:tcPr>
            <w:tcW w:w="1160" w:type="dxa"/>
            <w:vAlign w:val="bottom"/>
          </w:tcPr>
          <w:p>
            <w:pPr>
              <w:spacing w:after="0"/>
              <w:rPr>
                <w:sz w:val="15"/>
                <w:szCs w:val="15"/>
                <w:color w:val="auto"/>
              </w:rPr>
            </w:pPr>
          </w:p>
        </w:tc>
        <w:tc>
          <w:tcPr>
            <w:tcW w:w="82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1</w:t>
            </w:r>
          </w:p>
        </w:tc>
        <w:tc>
          <w:tcPr>
            <w:tcW w:w="440" w:type="dxa"/>
            <w:vAlign w:val="bottom"/>
          </w:tcPr>
          <w:p>
            <w:pPr>
              <w:spacing w:after="0"/>
              <w:rPr>
                <w:sz w:val="15"/>
                <w:szCs w:val="15"/>
                <w:color w:val="auto"/>
              </w:rPr>
            </w:pPr>
          </w:p>
        </w:tc>
        <w:tc>
          <w:tcPr>
            <w:tcW w:w="1540" w:type="dxa"/>
            <w:vAlign w:val="bottom"/>
          </w:tcPr>
          <w:p>
            <w:pPr>
              <w:jc w:val="right"/>
              <w:ind w:right="243"/>
              <w:spacing w:after="0" w:line="176" w:lineRule="exact"/>
              <w:rPr>
                <w:sz w:val="20"/>
                <w:szCs w:val="20"/>
                <w:color w:val="auto"/>
              </w:rPr>
            </w:pPr>
            <w:r>
              <w:rPr>
                <w:rFonts w:ascii="Arial" w:cs="Arial" w:eastAsia="Arial" w:hAnsi="Arial"/>
                <w:sz w:val="16"/>
                <w:szCs w:val="16"/>
                <w:color w:val="auto"/>
              </w:rPr>
              <w:t>9</w:t>
            </w:r>
          </w:p>
        </w:tc>
        <w:tc>
          <w:tcPr>
            <w:tcW w:w="4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4"/>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Gross realized losses</w:t>
            </w:r>
          </w:p>
        </w:tc>
        <w:tc>
          <w:tcPr>
            <w:tcW w:w="1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w:t>
            </w:r>
          </w:p>
        </w:tc>
        <w:tc>
          <w:tcPr>
            <w:tcW w:w="1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(5)</w:t>
            </w: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Non-Recurring Fair Value Measures – Sempra Energy Consolidated</w:t>
      </w:r>
    </w:p>
    <w:p>
      <w:pPr>
        <w:spacing w:after="0" w:line="20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discuss non-recurring fair value measures and the associated accounting impact on our investments in RBS Sempra Commodities and Argentina in Note 4 of the Notes to Consolidated Financial Statements in the Updated Annual Report and, with regard to RBS Sempra Commodities, in Note 4 above. We also discuss non-recurring fair value measures and the associated accounting impact on our investment in Rockies Express in Note 4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637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NOTE 9. CALIFORNIA UTILITIES' REGULATORY MATTERS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MATTERS</w:t>
      </w:r>
    </w:p>
    <w:p>
      <w:pPr>
        <w:sectPr>
          <w:pgSz w:w="11900" w:h="16838" w:orient="portrait"/>
          <w:cols w:equalWidth="0" w:num="1">
            <w:col w:w="11420"/>
          </w:cols>
          <w:pgMar w:left="240" w:top="130" w:right="239" w:bottom="230" w:gutter="0" w:footer="0" w:header="0"/>
        </w:sectPr>
      </w:pPr>
    </w:p>
    <w:bookmarkStart w:id="36" w:name="page37"/>
    <w:bookmarkEnd w:id="36"/>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Rate Case (GRC)</w:t>
      </w:r>
    </w:p>
    <w:p>
      <w:pPr>
        <w:spacing w:after="0" w:line="20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CPUC uses a general rate case proceeding to prospectively set rates sufficient to allow the California Utilities to recover their reasonable cost of operations and maintenance and to provide the opportunity to realize their authorized rates of return on their investment. In December 2010, the California Utilities filed their 2012 General Rate Case (GRC) applications to establish their authorized 2012 revenue requirements and the ratemaking mechanisms by which those requirements will change on an annual basis over the subsequent three-year (2013-2015) period. Both SDG&amp;E and SoCalGas filed revised applications with the CPUC in July 2011. Evidentiary hearings were completed in January 2012, and final briefs reflecting the results from these hearings were filed with the CPUC in May 2012.</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February 2012, the California Utilities filed amendments to update their July 2011 revised applications. With these amendments, SDG&amp;E is requesting a revenue requirement in 2012 of $1.849 billion, an increase of $235 million (or 14.6%) over 2011, of which $67 million is being requested for cost recovery of the incremental wildfire insurance premiums which are not included in the 2011 revenue requirement as set forth in the 2008 GRC. SoCalGas is requesting a revenue requirement in 2012 of $2.112 billion, an increase of $268 million (14.5%) over 2011. The Division of Ratepayer Advocates (DRA) is recommending that the CPUC reduce the utilities’ revenue requirements in 2012 by approximately 5 percent compared to 2011.</w:t>
      </w:r>
    </w:p>
    <w:p>
      <w:pPr>
        <w:spacing w:after="0" w:line="17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Until such time as a final decision for the 2012 GRC is issued, the California Utilities are recording revenues in 2012 based on levels authorized in 2011 plus, for SDG&amp;E, consistent with the recent CPUC decisions for cost recovery for SDG&amp;E’s incremental wildfire insurance premiums, an amount for the recovery of 2012 wildfire insurance premiums. We currently expect a final decision for the 2012 GRC, which will be made effective retroactive to January 1, 2012, in the fourth quarter of 2012.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Capital</w:t>
      </w:r>
    </w:p>
    <w:p>
      <w:pPr>
        <w:spacing w:after="0" w:line="205"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A cost of capital proceeding determines a utility’s authorized capital structure and authorized rate of return on rate base (ROR), which is a weighted average of the authorized returns on debt, preferred stock, and common equity (return on equity or ROE). The authorized ROR is the rate that the California Utilities are authorized to earn on their investment in electric and natural gas distribution, natural gas transmission and electric generation assets. In addition, a cost of capital proceeding also addresses market-based benchmarks to be monitored to determine whether an adjustment to the established authorized rate of return is required during the interim years between proceedings through the approved adjustment mechanism.</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SDG&amp;E and SoCalGas filed separate applications with the CPUC in April 2012 to update their cost of capital effective January 1, 2013. Southern California Edison (Edison) and Pacific Gas and Electric Company (PG&amp;E) also filed separate cost of capital applications with the CPUC. SDG&amp;E is proposing to adjust its authorized capital structure by increasing the amount of its common equity from 49.0 percent to 52.0 percent. SDG&amp;E is also proposing to lower its authorized ROE from 11.1 percent to 11.0 percent and to lower its authorized ROR from 8.40 percent to 8.20 percent. SoCalGas is proposing to adjust its authorized capital structure by increasing the amount of its common equity from 48.0 percent to 52.0 percent. SoCalGas is also proposing to increase its authorized ROE from 10.82 percent to 10.9 percent and to lower its authorized ROR from 8.68 percent to 8.42 percent. SDG&amp;E is proposing to continue its cost of capital adjustment mechanism which uses a utility bond benchmark. SoCalGas is proposing to switch from its current cost of capital adjustment mechanism, which is based on U.S. Treasury Bonds, to the utility bond benchmark used by SDG&amp;E, Edison and PG&amp;E. Both SDG&amp;E and SoCalGas are proposing to add an “off ramp” provision to the adjustment mechanism as a safeguard to protect against extreme changes in interest rates and to allow the CPUC latitude to suspend the annual mechanism if prudent.</w:t>
      </w:r>
    </w:p>
    <w:p>
      <w:pPr>
        <w:spacing w:after="0" w:line="17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CPUC issued a ruling in June 2012 bifurcating the proceeding. Phase 1 will address each utility’s cost of capital for 2013. Phase 2 will address the continuation of the cost of capital adjustment mechanisms for SDG&amp;E, Edison and PG&amp;E. SoCalGas’ request to suspend and replace its Market Indexed Capital Adjustment Mechanism (MICAM) will be addressed by a separate ruling. A Phase 1 draft decision is targeted for November 2012. A Phase 2 schedule will be established at a later date.</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SDG&amp;E’s cost of capital adjustment mechanism benchmark is based on the 12-month average monthly A-rated utility bond yield as published by Moody’s for the 12-month period October through September of each fiscal year. If this 12-month average falls outside of a specified range, then SDG&amp;E’s authorized ROE would be adjusted, upward or downward, by one-half of the difference between the 12-month average and the mid-point of the specified range. In addition, SDG&amp;E’s authorized recovery rate for the cost of debt and preferred stock would also be adjusted to their respective actual weighted average cost. Therefore, SDG&amp;E’s authorized ROR would adjust, upward or downward, as a result of all three adjustments with the new rate going into effect on January 1 following the year in which the benchmark range was exceeded. However, SDG&amp;E expects that the CPUC decision from the 2013 cost of capital application will be effective as of January 1, 2013, and that it will supersede the rates that would result if, at the end of September 2012, this mechanism were to indicate that an adjustment is required.</w:t>
      </w:r>
    </w:p>
    <w:p>
      <w:pPr>
        <w:spacing w:after="0" w:line="19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SoCalGas’ MICAM identifies two conditions for determining whether a change in the authorized rate of return is required. Both conditions are based on the 30-year Treasury bond yields – one being the most recent trailing 12-month rolling average yield and the second being the corresponding 12-month forward forecast yield as published by Global Insight. If both conditions fall outside a specified range in a given month, SoCalGas’ authorized ROE would be adjusted, upward or downward, by one-half of the difference between the trailing 12-month rolling average yield and the midpoint of the range, effective January 1 following the year in which both conditions were exceeded. Also, SoCalGas’ authorized recovery rate for the cost of debt and preferred stock would be adjusted to their respective actual weighted average cost. Therefore, SoCalGas’ authorized ROR would adjust, upward or downward, as a result of all three cost adjustments. In the event of such an event occurring, the benchmark interest rate would be reset to the interest rate in effect at the time it was determined that the benchmark range had been exceeded.</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January 31, 2012, the historical rolling average yield for the 30-year Treasury bonds of 3.79 percent fell below the MICAM floor of 3.88 percent. In addition, the Global Insight 12-month forward forecasted yield of 3.48 percent published in February 2012 was also below the MICAM floor. Therefore, the MICAM calls for an adjustment of SoCalGas’ ROE and authorized recovery for the cost of debt and preferred stock to their actual weighted average cost to be effective on January 1, 2013. If the MICAM adjustment is implemented, SoCalGas’ ROE would be reduced to 10.02 percent effective January 1, 2013, a reduction of 80 basis points from its current authorized ROE, and its authorized ROR would be reduced to 7.99 percent, a reduction of 69 basis points from its current authorized ROR. However, SoCalGas expects that the CPUC decision from its 2013 cost of capital application will supersede the rates that would result from the MICAM adjustment.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Pipeline Operations Safety Assessments</w:t>
      </w:r>
    </w:p>
    <w:p>
      <w:pPr>
        <w:sectPr>
          <w:pgSz w:w="11900" w:h="16840" w:orient="portrait"/>
          <w:cols w:equalWidth="0" w:num="1">
            <w:col w:w="11420"/>
          </w:cols>
          <w:pgMar w:left="240" w:top="121" w:right="239" w:bottom="0" w:gutter="0" w:footer="0" w:header="0"/>
        </w:sectPr>
      </w:pPr>
    </w:p>
    <w:p>
      <w:pPr>
        <w:spacing w:after="0" w:line="20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a result of recent natural gas pipeline explosions in the U.S., including the September 2010 rupture in San Bruno, California of a natural gas pipeline owned and operated by PG&amp;E (the San Bruno incident), various regulatory agencies, including the CPUC, are evaluating natural gas pipeline safety</w:t>
      </w:r>
    </w:p>
    <w:p>
      <w:pPr>
        <w:sectPr>
          <w:pgSz w:w="11900" w:h="16840" w:orient="portrait"/>
          <w:cols w:equalWidth="0" w:num="1">
            <w:col w:w="11420"/>
          </w:cols>
          <w:pgMar w:left="240" w:top="121" w:right="239" w:bottom="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t>regulations, practices and procedures.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February 2011, the CPUC opened a forward-looking rulemaking proceeding to examine what changes should be made to existing pipeline safety regulations for California natural gas pipelines. The California Utilities are parties to this proceeding.</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June 2011, the CPUC directed SoCalGas, SDG&amp;E, PG&amp;E and Southwest Gas to file comprehensive implementation plans to test or replace all natural gas transmission pipelines that have not been pressure tested. The California Utilities filed their Pipeline Safety Enhancement Plan (PSEP) with the CPUC in August 2011. The proposed safety measures, investments and estimated costs are not included in the California Utilities’ 2012 GRC requests discussed above.</w:t>
      </w:r>
    </w:p>
    <w:p>
      <w:pPr>
        <w:spacing w:after="0" w:line="14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December 2011, the assigned Commissioner to the rulemaking proceeding for the pipeline safety regulations ruled that SDG&amp;E’s and SoCalGas’ Triennial Cost Allocation Proceeding (TCAP) would be the most logical proceeding to conduct the reasonableness and ratemaking review of the companies’ PSEP.</w:t>
      </w:r>
    </w:p>
    <w:p>
      <w:pPr>
        <w:spacing w:after="0" w:line="12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January 2012, the CPUC Consumer Protection and Safety Division (CPSD) issued a Technical Report of the California Utilities’ PSEP. The report, along with testimony and evidentiary hearings, will be used to evaluate the PSEP in the regulatory process. Generally, the report found that the PSEP approach to pipeline replacement and pressure testing and other proposed enhancements is reasonable.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2012, the assigned Commissioner in the TCAP issued a ruling setting a schedule for the review of the SDG&amp;E and SoCalGas PSEP with evidentiary hearings in August 2012. SDG&amp;E and SoCalGas expect a final decision in the first quarter of 2013. In April 2012, the CPUC issued an interim decision in the rulemaking proceeding formally transferring the PSEP to the TCAP and authorizing SDG&amp;E and SoCalGas to establish regulatory accounts to record the incremental costs of initiating the PSEP prior to a final decision on the PSEP. The TCAP proceeding will address the recovery of the costs recorded in the regulatory account.</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April 2012, the CPUC issued a decision expanding the scope of the rulemaking proceeding to incorporate the provisions of California Senate Bill 705, which requires gas utilities to develop and implement a plan for the safe and reliable operation of their gas pipeline facilities. SDG&amp;E and SoCalGas submitted their pipeline safety plans in June 2012. The CPUC must accept, modify or reject the plans by the end of 2012. The CPUC decision also orders the utilities to undergo independent management and financial audits to assure that the utilities are fully meeting their safety responsibilities. CPSD will select the independent auditors and will oversee the audits. A schedule for the audits has not been established.</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provide additional information regarding these rulemaking proceedings and the California Utilities’ PSEP in Note 14 of the Notes to Consolidated Financial Statements in the Updated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Utility Incentive Mechanisms</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CPUC applies performance-based measures and incentive mechanisms to all California investor-owned utilities, under which the California Utilities have earnings potential above authorized base margins if they achieve or exceed specific performance and operating goals.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provide additional information regarding these incentive mechanisms in Note 14 of the Notes to Consolidated Financial Statements in the Updated Annual Report, and in the updates below.</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Energy Efficiency</w:t>
      </w:r>
    </w:p>
    <w:p>
      <w:pPr>
        <w:spacing w:after="0" w:line="20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expect a draft decision on an incentive mechanism for the 2013-2014 program period in the third quarter of 2012, with a final decision by year-end. We expect a draft decision on how and if an incentive mechanism should apply to the 2010-2012 program cycle in the third quarter of 2012, and a final decision on any incentive awards for the 2010-2012 period by year-end. The CPUC issued its latest Order Instituting Rulemaking (OIR) in January 2012 to continue its review of the incentive mechanism.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Procurement</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first quarter of 2012, the CPUC approved and SoCalGas recorded SoCalGas’ application for its Gas Cost Incentive Mechanism (GCIM) award of $6.2 million for natural gas procured for its core customers during the 12-month period ending March 31, 2011.</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June 2012, SoCalGas applied to the CPUC for approval of a GCIM award of $5.4 million for natural gas procured for its core customers during the 12-month period ending March 31, 2012. SoCalGas expects a CPUC decision in the first half of 2013.</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MATTERS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Onofre Nuclear Generating Station (SONGS)</w:t>
      </w:r>
    </w:p>
    <w:p>
      <w:pPr>
        <w:spacing w:after="0" w:line="205" w:lineRule="exact"/>
        <w:rPr>
          <w:sz w:val="20"/>
          <w:szCs w:val="20"/>
          <w:color w:val="auto"/>
        </w:rPr>
      </w:pPr>
    </w:p>
    <w:p>
      <w:pPr>
        <w:jc w:val="both"/>
        <w:ind w:right="720"/>
        <w:spacing w:after="0" w:line="342" w:lineRule="auto"/>
        <w:rPr>
          <w:sz w:val="20"/>
          <w:szCs w:val="20"/>
          <w:color w:val="auto"/>
        </w:rPr>
      </w:pPr>
      <w:r>
        <w:rPr>
          <w:rFonts w:ascii="Arial" w:cs="Arial" w:eastAsia="Arial" w:hAnsi="Arial"/>
          <w:sz w:val="16"/>
          <w:szCs w:val="16"/>
          <w:color w:val="auto"/>
        </w:rPr>
        <w:t>SDG&amp;E has a 20-percent ownership interest in San Onofre Nuclear Generating Station (SONGS), a 2,150-MW nuclear generating facility near San Clemente, California. SONGS is operated by Edison and is subject to the jurisdiction of the Nuclear Regulatory Commission (NRC) and the CPUC.</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2005, the CPUC authorized a project to install four new steam generators in Units 2 and 3 at SONGS and remove and dispose of their predecessor generators. Edison completed the installation of these steam generators in 2010 and 2011 for Units 2 and 3, respectively. In January 2012, a water leak occurred in the Unit 3 steam generator which caused it to be shut down. Edison conducted inspection testing and determined that the water leak was the result of excessive wear from tube-to-tube contact. During a planned maintenance and refueling outage on the Unit 2 steam generators in February 2012, inspections found high levels of unexpected wear in some heat transfer tubes of the Unit 2 steam generators. As of today, both Units 2 and 3 remain offline.</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Any remedial action that will permit restart of one or both of the Units will need to be approved by the NRC. The schedule to restart these Units has not been determined. Edison currently believes that Unit 2 could be restarted months in advance of Unit 3; however, in order to do so, it is expected that Unit 2, pending further repairs and analysis, would operate at reduced power levels and with mid-cycle scheduled outages to provide assurance of safe operation. It is not clear at this time whether Unit 3 will be able to restart without extensive additional repairs, and Edison has not indicated when it believes Unit 3 may be ready to restart operations. Edison is engaged in the analysis of what repairs, if any, could be undertaken to restore the steam generators to their originally</w:t>
      </w:r>
    </w:p>
    <w:p>
      <w:pPr>
        <w:sectPr>
          <w:pgSz w:w="11900" w:h="16838" w:orient="portrait"/>
          <w:cols w:equalWidth="0" w:num="1">
            <w:col w:w="11400"/>
          </w:cols>
          <w:pgMar w:left="240" w:top="125" w:right="259" w:bottom="0" w:gutter="0" w:footer="0" w:header="0"/>
        </w:sectPr>
      </w:pPr>
    </w:p>
    <w:bookmarkStart w:id="38" w:name="page39"/>
    <w:bookmarkEnd w:id="38"/>
    <w:p>
      <w:pPr>
        <w:ind w:right="20"/>
        <w:spacing w:after="0" w:line="277" w:lineRule="auto"/>
        <w:rPr>
          <w:sz w:val="20"/>
          <w:szCs w:val="20"/>
          <w:color w:val="auto"/>
        </w:rPr>
      </w:pPr>
      <w:r>
        <w:rPr>
          <w:rFonts w:ascii="Arial" w:cs="Arial" w:eastAsia="Arial" w:hAnsi="Arial"/>
          <w:sz w:val="18"/>
          <w:szCs w:val="18"/>
          <w:color w:val="auto"/>
        </w:rPr>
        <w:t>specified capabilities safely, but has not yet determined what those repairs might be or whether the generators will need to be replaced for the Units to operate at their prior output levels. The timing of the restart of either of the Units is dependent upon approval by the NRC.</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March 2012, the NRC issued a Confirmatory Action Letter that required NRC permission to restart Unit 2 and Unit 3 and outlined actions that Edison must complete before permission to restart either Unit may be sought. The NRC could also choose to impose additional inspections and assessment processes that could result in significant costs or additional delay. Should Edison seek NRC approval to restart a Unit, the NRC may employ other procedures before making any determination about whether to grant permission pursuant to the terms of the Confirmatory Action Letter. It is also possible that one or more amendments to the NRC operating license for SONGS might be required (whether or not as a prerequisite to return a Unit to safe operation). There is no set or predetermined time period for such processes, and, accordingly, there can be no assurance about the length of time the NRC may take to review any request to restart submitted by Edison under the Confirmatory Action Letter or whether any such request would be granted in whole or in part.</w:t>
      </w:r>
    </w:p>
    <w:p>
      <w:pPr>
        <w:spacing w:after="0" w:line="1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Through June 30, 2012, SDG&amp;E’s proportional investment in the steam generators was approximately $178 million. These investment amounts remain subject to CPUC review upon submission of Edison’s final costs for the overall project.</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During the unscheduled outage at SONGS, SDG&amp;E has procured replacement power, the cost of which is fully recovered in revenues subject to a reasonableness review by the CPUC. Replacement power costs for outages associated with the unscheduled SONGS outage (commencing in 2012 on February 1 for Unit 3 and March 5 for Unit 2) through June 30, 2012 were approximately $25 million. Total replacement power costs will not be known until the Units are returned to service, but costs for power are likely to be higher during the summer months should replacement power still be required.</w:t>
      </w:r>
    </w:p>
    <w:p>
      <w:pPr>
        <w:spacing w:after="0" w:line="15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Currently, SDG&amp;E is collecting in customer rates its share of the operating costs, depreciation and return on its investment in SONGS. At June 30, 2012, SDG&amp;E’s rate base investment in SONGS was $228 million and its net book investment, including construction work in progress and nuclear fuel was $463 million. Under California Public Utilities Code Section 455.5, SDG&amp;E will be required to notify the CPUC if either of the Units has been out of service for nine consecutive months, not including preplanned outages (November 2012 for Unit 3 and December 2012 for Unit 2). In that event, the CPUC is required within 45 days of receipt of the notice to initiate an investigation to determine whether SDG&amp;E should remove from customer rates some or all revenue requirement associated with the portion of the facility that is out of service. From the initiation date of the investigation, such amounts recovered in rates are collected subject to refund. Under Section 455.5, any determination to adjust rates is made after hearings are conducted in connection with the next general rate case. If, after investigation and hearings, the CPUC were to require SDG&amp;E to reduce rates as a result of a Unit being out of service and the Unit is subsequently returned to service, rates may be readjusted to reflect that return to service after 100 continuous hours of operation. Notwithstanding the requirements of Section 455.5, the CPUC may institute other proceedings relating to the impact of the extended outage at SONGS and its potential effects on rates, and there is currently pending before the CPUC a proposal to initiate an Order Instituting Investigation regarding such impacts.</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steam generators are warranted for an initial period of 20 years from acceptance by its supplier Mitsubishi Heavy Industries (MHI). MHI is contractually obligated to repair or replace defective items and to pay specified damages for certain repairs. On July 18, 2012, the NRC issued a report providing the result of the inspection performed by the Augmented Inspection Team (AIT). The inspection concluded that faulty computer modeling that inadequately predicted conditions in the steam generators at SONGS and manufacturing issues contributed to excessive wear of the components. The most probable causes of the tube-to-tube wear were a combination of higher than predicted thermal/hydraulic conditions and changes in the manufacturing of the Unit 3 steam generators. This report also identified a number of yet unresolved issues that are continuing to be examined. Edison’s purchase contract with MHI states that MHI’s liability under the purchase agreement is limited to $137 million and excludes consequential damages, defined to include the cost of replacement power. Such limitations in the contract are subject to applicable exceptions.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SDG&amp;E is a named insured on the Edison insurance policies covering SONGS. These policies, issued by Nuclear Electric Insurance Limited (NEIL), cover nuclear property and non-nuclear property damage at the SONGS facility, as well as accidental outage insurance. Edison has placed NEIL on notice of potential claims for loss recovery. The NEIL policies contain a number of exclusions and limitations that may reduce or eliminate coverage. SDG&amp;E will assist Edison in pursuing claims recoveries from NEIL, as well as warranty claims with MHI, but there is no assurance that SDG&amp;E will recover all or any of its applicable costs pursuant to these arrangements.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light of the aftermath and the significant safety events at the Fukushima Daiichi nuclear plant in Japan resulting from the earthquake and tsunami in March 2011, the NRC plans to perform additional operation and safety reviews of nuclear facilities in the United States. The lessons learned from the events in Japan and the results of the NRC reviews may materially impact future operations and capital requirements at nuclear facilities in the United States, including the operations and capital requirements at SONGS.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Edison is also addressing a number of other regulatory and performance issues at SONGS, and the NRC has required Edison to take actions to provide greater assurance of compliance by SONGS personnel. Edison continues to implement plans and address the identified issues, however a number of these issues remain outstanding. To the extent that these issues persist, it is likely that additional action will be required by Edison, which may result in increased SONGS operating costs and/or materially adversely impacted operations. Currently, SDG&amp;E is allowed to fully offset its share of SONGS operating costs in revenue. If further action is required, it may result in an increase in SDG&amp;E’s Operation and Maintenance expense, with any increase being fully offset in Operating Revenues – Electric.</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provide more information about SONGS in Note 10 and in Notes 6, 14 and 15 of the Notes to Consolidated Financial Statements in the Updated Annual Report.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Power Procurement and Resource Planning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Renewable Energy</w:t>
      </w:r>
    </w:p>
    <w:p>
      <w:pPr>
        <w:spacing w:after="0" w:line="20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SDG&amp;E is subject to the Renewables Portfolio Standard (RPS) Program administered by both the CPUC and the California Energy Commission (CEC), which requires each California utility to procure 33 percent of its annual electric energy requirements from renewable energy sources by 2020, with an average of 20 percent required from January 1, 2011 to December 31, 2013; 25 percent by December 31, 2016; and 33 percent by December 31, 2020. The CPUC began a rulemaking in May 2011 to address the implementation of the 33% RPS Program. We discuss the RPS Program further in Note 14 of the Notes to Consolidated Financial Statements in the Updated Annual Report.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 Orange County Reliability Enhancement</w:t>
      </w:r>
    </w:p>
    <w:p>
      <w:pPr>
        <w:sectPr>
          <w:pgSz w:w="11900" w:h="16838" w:orient="portrait"/>
          <w:cols w:equalWidth="0" w:num="1">
            <w:col w:w="11400"/>
          </w:cols>
          <w:pgMar w:left="240" w:top="125" w:right="259" w:bottom="120" w:gutter="0" w:footer="0" w:header="0"/>
        </w:sectPr>
      </w:pPr>
    </w:p>
    <w:bookmarkStart w:id="39" w:name="page40"/>
    <w:bookmarkEnd w:id="39"/>
    <w:p>
      <w:pPr>
        <w:spacing w:after="0" w:line="276" w:lineRule="auto"/>
        <w:rPr>
          <w:sz w:val="20"/>
          <w:szCs w:val="20"/>
          <w:color w:val="auto"/>
        </w:rPr>
      </w:pPr>
      <w:r>
        <w:rPr>
          <w:rFonts w:ascii="Arial" w:cs="Arial" w:eastAsia="Arial" w:hAnsi="Arial"/>
          <w:sz w:val="17"/>
          <w:szCs w:val="17"/>
          <w:color w:val="auto"/>
        </w:rPr>
        <w:t>SDG&amp;E filed an application with the CPUC in May 2012 for a Certificate of Public Convenience and Necessity (CPCN) to construct the South Orange County Reliability Enhancement project. The purpose of the project is to enhance the capacity and reliability of SDG&amp;E’s electric service to the south Orange County area. The proposed project primarily includes replacing and upgrading approximately eight miles of transmission lines and rebuilding and upgrading a substation at an existing site. SDG&amp;E will be requesting a CPUC decision approving the estimated $473 million project by the third quarter of 2013. SDG&amp;E obtained approval for the project from the ISO in May 2011. The project is planned to be in service by the second half of 2017.</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Incremental Insurance Premium Cost Recovery</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2010, the CPUC approved SDG&amp;E’s request for a $29 million revenue requirement for the recovery of the incremental increase in its general liability and wildfire liability insurance premium costs for the July 2009/June 2010 policy period. In its decision approving this cost recovery, the CPUC also authorized SDG&amp;E to request recovery of any incremental insurance premiums for future policy periods through December 31, 2011, with a $5 million deductible applied to each policy renewal period. This approval was in response to a request filed by SDG&amp;E with the CPUC in August 2009 seeking authorization to recover higher liability insurance premiums (amounts in excess of those authorized to be recovered in the 2008 GRC), which SDG&amp;E began incurring commencing July 1, 2009, and any losses realized due to higher deductibles associated with the new policies. SDG&amp;E made the filing under the CPUC’s rules allowing utilities to seek recovery of significant cost increases incurred between GRC filings that meet certain criteria, subject to a $5 million deductible per event.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2011, the CPUC approved SDG&amp;E’s request for an incremental revenue requirement of $63 million for the July 2010/June 2011 policy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May 2012, the CPUC approved SDG&amp;E’s request for a $28 million revenue requirement for the first six months of the July 2011/June 2012 policy period.</w:t>
      </w:r>
    </w:p>
    <w:p>
      <w:pPr>
        <w:spacing w:after="0" w:line="2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CPUC’s December 2010 decision, discussed above, the CPUC directed SDG&amp;E to include in its 2012 GRC application the amount of the incremental wildfire insurance premiums it would be seeking recovery for in rates subsequent to December 31, 2011. SDG&amp;E’s 2012 GRC application does request $67 million of revenue requirement for cost recovery of wildfire insurance premiums in 2012. As a decision on SDG&amp;E’s 2012 GRC application is pending with the CPUC, with a decision currently expected in the fourth quarter of 2012, and based on the CPUC’s rulings for the recovery of the cost of the incremental wildfire insurance premiums incurred since July 2009, SDG&amp;E’s 2012 revenue through June 30, 2012 reflects the expected recovery of the cost of the incremental wildfire insurance premiums incurred in the current year.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Excess Wildfire Claims Cost Recovery</w:t>
      </w:r>
    </w:p>
    <w:p>
      <w:pPr>
        <w:spacing w:after="0" w:line="20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SDG&amp;E and SoCalGas filed an application, along with other related filings, with the CPUC in August 2009 proposing a new mechanism for the future recovery of all wildfire-related expenses for claims, litigation expenses and insurance premiums that are in excess of amounts authorized by the CPUC for recovery in rates. This application was made jointly with Edison and PG&amp;E. In July 2010, the CPUC approved SDG&amp;E’s and SoCalGas’ requests for separate regulatory memorandum accounts to record the subject expenses while the application is pending before the CPUC. Several parties protested the original application and, in response, the four utilities jointly submitted an amended application in August 2010. In November 2011, Edison and PG&amp;E requested to withdraw from the joint utility application due, in part, to the delays in the proceeding. In January 2012, the CPUC granted their requests to withdraw and held evidentiary hearings for SDG&amp;E and SoCalGas, both of which are still moving forward with the application. Legal briefs were completed in March 2012. We expect a final CPUC decision in the second half of 2012.</w:t>
      </w:r>
    </w:p>
    <w:p>
      <w:pPr>
        <w:spacing w:after="0" w:line="17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SDG&amp;E intends to request recovery for costs incurred associated with the 2007 wildfires that are in excess of amounts recovered from its insurance coverage and other responsible third parties in a future application. If a cost recovery mechanism covering the 2007 wildfire costs is approved by the CPUC as a result of these proceedings, SDG&amp;E intends to utilize the methodology authorized. Otherwise, SDG&amp;E will file an application for cost recovery utilizing other cost recovery application processes available through the CPUC.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2007 wildfire litigation costs and their recovery in Note 10.</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East County Substation</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June 2012, the CPUC approved SDG&amp;E’s application for authorization to proceed with the East County Substation project, estimated to cost $435 million. The Bureau of Land Management (BLM) is expected to issue its record of decision in the third quarter of 2012. SDG&amp;E expects to begin construction by the end of 2012 and the substation to be placed in service in 2014. We provide additional information on the project in Note 14 of the Notes to Consolidated Financial Statements in the Updated Annual Report.</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SOCALGAS MATTER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Aliso Canyon Natural Gas Storage Compressor Replacement</w:t>
      </w:r>
    </w:p>
    <w:p>
      <w:pPr>
        <w:spacing w:after="0" w:line="2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September 2009, SoCalGas filed an application with the CPUC requesting approval to replace certain obsolete natural gas turbine compressors used in the operations of SoCalGas’ Aliso Canyon natural gas storage reservoir, with a new electric compressor station. In April 2012, the CPUC issued a draft environmental impact report (EIR) for the project concluding that no significant or unavoidable adverse environmental impacts have been identified from the construction or operation of the proposed project. Public comments on the draft EIR were filed in May 2012. We expect a final EIR and CPUC decision on the estimated $200 million project in the first half of 2013.</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discuss additional matters affecting our California Utilities in Note 14 of the Notes to Consolidated Financial Statements in the Updated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7263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NOTE 10. COMMITMENTS AND CONTINGENCIES</w:t>
      </w:r>
    </w:p>
    <w:p>
      <w:pPr>
        <w:sectPr>
          <w:pgSz w:w="11900" w:h="16838" w:orient="portrait"/>
          <w:cols w:equalWidth="0" w:num="1">
            <w:col w:w="11420"/>
          </w:cols>
          <w:pgMar w:left="240" w:top="125" w:right="239" w:bottom="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ectPr>
          <w:pgSz w:w="11900" w:h="16838" w:orient="portrait"/>
          <w:cols w:equalWidth="0" w:num="1">
            <w:col w:w="11420"/>
          </w:cols>
          <w:pgMar w:left="240" w:top="125" w:right="239" w:bottom="0" w:gutter="0" w:footer="0" w:header="0"/>
          <w:type w:val="continuous"/>
        </w:sectPr>
      </w:pPr>
    </w:p>
    <w:bookmarkStart w:id="40" w:name="page41"/>
    <w:bookmarkEnd w:id="40"/>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accrue losses for legal proceedings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coverages and could materially adversely affect our business, cash flows, results of operations, and financial condition. Unless otherwise indicated, we are unable to estimate reasonably possible losses in excess of any amounts accrued.</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June 30, 2012, Sempra Energy’s accrued liabilities for material legal proceedings, on a consolidated basis, were $507 million. At June 30, 2012, accrued liabilities for material legal proceedings for SDG&amp;E and SoCalGas were $476 million and $18 million, respectively. At June 30, 2012, liabilities of $476 million at Sempra Energy and SDG&amp;E were related to wildfire litigation discussed below.</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approximately 1,141 homes destroyed.</w:t>
      </w:r>
    </w:p>
    <w:p>
      <w:pPr>
        <w:spacing w:after="0" w:line="19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September 2008 staff report issued by the CPUC’s CPSD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 any of its rules were violated were settled with SDG&amp;E’s payment of $14.75 million.</w:t>
      </w:r>
    </w:p>
    <w:p>
      <w:pPr>
        <w:spacing w:after="0" w:line="14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public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w:t>
      </w:r>
    </w:p>
    <w:p>
      <w:pPr>
        <w:spacing w:after="0" w:line="1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October 2010, the Court of Appeal affirmed the trial court’s ruling that these claims must be pursued in individual lawsuits, rather than as class actions on behalf of all persons who incurred wildfire damages. In February 2011, the California Supreme Court denied a petition for review of the affirmance. No trial date is currently scheduled.</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SDG&amp;E filed cross-complaints against Cox seeking indemnification for any liability that SDG&amp;E might incur in connection with the Guejito fire, two SDG&amp;E contractors seeking indemnification in connection with the Witch fire, and one SDG&amp;E contractor seeking indemnification in connection with the Rice fire.</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December 2010, SDG&amp;E and Cox reached an agreement settling SDG&amp;E’s claims against Cox and Cox’s insurers in the wildfire litigation (Cox Settlement). Among other things, the settlement agreement provided that SDG&amp;E receive approximately $444 million for wildfire related expenditures, and SDG&amp;E will defend and indemnify Cox against all compensatory damage claims and related costs arising out of the wildfires.</w:t>
      </w:r>
    </w:p>
    <w:p>
      <w:pPr>
        <w:spacing w:after="0" w:line="166"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SDG&amp;E has settled all of the approximately 19,000 claims brought by homeowner insurers for damage to insured property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16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wildfire litigation also includes claims of non-insurer plaintiffs for damage to uninsured and underinsured structures, business interruption, evacuation expenses, agricultural damage, emotional harm, personal injuries and other losses. SDG&amp;E has settled the claims of approximately 4,400 of these plaintiffs. Approximately 700 of the approximately 1,950 remaining individual and business plaintiffs have submitted settlement demands and damage estimates totaling approximately $860 million. SDG&amp;E does not expect significant additional plaintiffs to file lawsuits given the applicable statutes of limitation, but does expect to receive additional settlement demands and damage estimates from existing plaintiffs as settlement negotiations continue. SDG&amp;E has established reserves for the wildfire litigation as we discuss below.</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SDG&amp;E’s settled claims and defense costs have exceeded its $1.1 billion of liability insurance coverage and the approximately $455 million it has received from third parties, including Cox. It expects that its wildfire reserves and amounts paid to resolve wildfire claims will continue to increase as it obtains additional information.</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SDG&amp;E has concluded, however, that it is probable that it will be permitted to recover from its utility customers substantially all reasonably incurred costs of resolving wildfire claims in excess of its liability insurance coverage and any amounts recovered from other potentially responsible parties. Accordingly, although such recovery will require future regulatory actions, at June 30, 2012, SDG&amp;E recorded assets of $722 million in regulatory and balancing accounts, which represents the amount substantially equal to the aggregate amount it has paid or reserved for payment for the resolution of wildfire claims and related costs in excess of its liability insurance coverage and amounts received from third parties. SDG&amp;E will increase the regulatory assets and balancing accounts as additional amounts are paid or reserves are recorded and reduce them by any amounts recovered from other potentially responsible parties.</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a consequence of the expected recovery of wildfire costs from utility customers, Sempra Energy and SDG&amp;E expect no significant earnings impact from the resolution of the remaining wildfire claims. However, SDG&amp;E’s cash flow may be materially adversely affected due to the timing differences between the resolution of claims and the recoveries from other potentially responsible parties and utility customers, which may extend over a number of years. Also, recovery from customers will require future regulatory actions, and a failure to obtain substantial or full recovery, or any negative assessment of the likelihood of recovery, would likely have a material adverse effect on Sempra Energy’s and SDG&amp;E’s financial position, cash flows and results of operations.</w:t>
      </w:r>
    </w:p>
    <w:p>
      <w:pPr>
        <w:spacing w:after="0" w:line="15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assets</w:t>
      </w:r>
    </w:p>
    <w:p>
      <w:pPr>
        <w:sectPr>
          <w:pgSz w:w="11900" w:h="16840" w:orient="portrait"/>
          <w:cols w:equalWidth="0" w:num="1">
            <w:col w:w="11420"/>
          </w:cols>
          <w:pgMar w:left="240" w:top="341" w:right="239" w:bottom="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and balancing accounts as additional information becomes available.</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Since 2010, as liabilities for wildfire litigation have become reasonably estimable in the form of settlement demands, damage estimates, and other damage information, SDG&amp;E has recorded related reserves as a liability. The impact of this liability at June 30, 2012 is offset by the recognition of regulatory assets and balancing accounts, as discussed above, for reserves in excess of the insurance coverage and recoveries from third parties. The impact of the reserves on SDG&amp;E’s and Sempra Energy’s after-tax earnings was $3 million and $1 million for the three months ended June 30, 2012 and 2011, respectively, and $5 million and $2 million for the six months ended June 30, 2012 and 2011, respectively. At June 30, 2012, wildfire litigation reserves were $476 million ($305 million in current and $171 million in long-term). Additionally, through June 30, 2012, SDG&amp;E has expended $314 million (excluding amounts covered by insurance and amounts recovered from other responsible third parties) to pay costs associated with the settlement of wildfire claims.</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Sunrise Powerlink Electric Transmission Line</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SDG&amp;E commenced construction on the Sunrise Powerlink in the fall of 2010. The Sunrise Powerlink is a new 117-mile, 500-kilovolt (kV) electric transmission line between the Imperial Valley and the San Diego region, along a route that generally runs south of the Anza-Borrego Desert State Park. Construction of the transmission line has been completed and the line was energized and placed in service in June 2012. Through June 30, 2012, total capital investment in the Sunrise Powerlink is $1.8 billion. SDG&amp;E’s rate base investment as of June 30, 2012 was $1.6 billion, with a projected rate base investment of approximately $1.4 billion by the end of the year. While there are still incremental costs to be charged to the project, management believes that the final total investment in the Sunrise Powerlink will be below the CPUC-established cost cap of $1.9 billion.</w:t>
      </w:r>
    </w:p>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Sunrise Powerlink project was originally approved by the CPUC in December 2008, including approval of the environmental impact review conducted jointly with the BLM. The CPUC subsequently denied or dismissed all requests for rehearing of its approval of the project. In February 2011, the California Supreme Court denied a petition filed jointly by the Utility Consumers’ Action Network (UCAN) and the Center for Biological Diversity/Sierra Club challenging the CPUC’s decision with regard to implementation of the California Environmental Quality Act (CEQA).</w:t>
      </w:r>
    </w:p>
    <w:p>
      <w:pPr>
        <w:spacing w:after="0" w:line="17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January 2009, the BLM issued its decision approving the portions of the project, route and environmental review within its jurisdiction. The Interior Board of Land Appeals subsequently denied or dismissed all administrative appeals that were filed challenging the BLM’s approval of the project.</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2010, parties opposed to the project filed a lawsuit in Federal District Court in San Diego alleging that the BLM failed to properly address the environmental impacts of the approved Sunrise Powerlink route and the related potential development of renewable resources in east San Diego County and Imperial County. In July 2012, the U.S. Court of Appeals for the Ninth Circuit affirmed the District Court’s grant of the defendants’ motion for summary judgment.</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July 2010, the United States Forest Service (USFS) issued its decision approving the portions of the project, route and environmental review within its jurisdiction. The USFS subsequently denied all administrative appeals challenging its approval of the project.</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CPUC and BLM jointly approved the final Project Modification Report for Sunrise Powerlink in September 2010, accepting all of the proposed modifications to the approved route and finding that no additional environmental review was required. In March 2011, opponents of the Sunrise Powerlink filed a petition with the California Supreme Court challenging the CPUC’s acceptance of the Project Modification Report. The California Supreme Court denied the petition in April 2011.</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January 2011, project opponents filed a lawsuit in Federal District Court in San Diego alleging that the federal approvals for construction of the project on USFS land and BLM land violated the National Environmental Policy Act and other federal environmental laws. In June 2012, the U.S. Court of Appeals for the Ninth Circuit affirmed the District Court’s denial of plaintiffs’ motion for a preliminary injunction.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February 2011, opponents of the Sunrise Powerlink filed a lawsuit in Sacramento County Superior Court against the State Water Resources Control Board and SDG&amp;E alleging that the water quality certification issued by the Board under the Federal Clean Water Act violated CEQA. In July 2012, the Superior Court denied the plaintiff’s petition.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September 2011 Power Outage</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September 2011, a power outage lasting approximately 12 hours affected millions of people from Mexico to southern Orange County, California. Within several days of the outage, several SDG&amp;E customers filed a class action lawsuit in Federal District Court against Arizona Public Service Company, Pinnacle West, and SDG&amp;E alleging that the companies failed to prevent the outage. The lawsuit seeks recovery of unspecified amounts of damages, including punitive damages. In July 2012, the court granted SDG&amp;E’s motion to dismiss the punitive damages request and dismissed Arizona Public Service Company and Pinnacle West from the lawsuit. In addition, more than 7,000 customers’ claims, primarily related to food spoilage, have been submitted directly to SDG&amp;E. The Federal Energy Regulatory Commission (FERC) and North American Electric Reliability Corp. (NERC) conducted a joint inquiry to determine the cause of the power failure and issued a report in May 2012 regarding their findings. The report does not include any findings of failure on SDG&amp;E’s part that led to the power failure.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Smart Meters Patent Infringement Lawsuit</w:t>
      </w:r>
    </w:p>
    <w:p>
      <w:pPr>
        <w:spacing w:after="0" w:line="2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October 2011, SDG&amp;E was sued by a Texas design and manufacturing company in Federal District Court alleging that SDG&amp;E’s recently installed smart meters infringed certain patents. The meters were purchased from a third party vendor that has agreed to defend and indemnify SDG&amp;E. The lawsuit seeks injunctive relief and recovery of unspecified amounts of damages.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SoCalGas, along with Monsanto Co., Solutia, Inc., Pharmacia Corp., and Pfizer, Inc., are defendants in five Los Angeles County Superior Court lawsuits filed beginning in April 2011 seeking recovery of unspecified amounts of damages, including punitive damages, as a result of plaintiffs’ exposure to PCBs (polychlorinated biphenyls). The lawsuits allege plaintiffs were exposed to PCBs not only through the food chain and other various sources but from PCB-contaminated natural gas pipelines owned and operated by SoCalGas. This contamination allegedly caused plaintiffs to develop cancer and other serious illnesses. Plaintiffs assert various bases for recovery, including negligence and products liability.</w:t>
      </w:r>
    </w:p>
    <w:p>
      <w:pPr>
        <w:sectPr>
          <w:pgSz w:w="11900" w:h="16838" w:orient="portrait"/>
          <w:cols w:equalWidth="0" w:num="1">
            <w:col w:w="11400"/>
          </w:cols>
          <w:pgMar w:left="240" w:top="125" w:right="259" w:bottom="13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6"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Liberty Gas Storage, LLC (Liberty) received a demand for arbitration from Williams Midstream Natural Gas Liquids, Inc. (Williams)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Sempra Mexico has been engaged in a long-running land dispute relating to property adjacent to its Energía Costa Azul liquefied natural gas (LNG) terminal near Ensenada, Mexico. The adjacent property is not required by environmental or other regulatory permits for the operation of the terminal. A claimant to the adjacent property has nonetheless asserted that his health and safety are endangered by the operation of the facility. In June 2010, a Mexican federal appeals court revoked a district court order, issued at the behest of the claimant, directing Mexican regulatory authorities to provisionally suspend authorizations for the operation of the LNG terminal. In February 2011, based on a complaint by the claimant, the new Ensenada Mayor attempted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 Sempra Mexico expects additional Mexican court proceedings and governmental actions regarding the claimant’s assertions as to whether the terminal’s permits should be modified or revoked in any manner.</w:t>
      </w:r>
    </w:p>
    <w:p>
      <w:pPr>
        <w:spacing w:after="0" w:line="18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property claimant also filed a lawsuit in July 2010 against Sempra Energy in Federal District Court in San Diego seeking compensatory and punitive damages as well as the earnings from the Energía Costa Azul LNG terminal based on his allegations that he was wrongfully evicted from the adjacent property and that he has been harmed by other allegedly improper actions.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Additionally, several administrative challenges are pending in Mexico before the Mexican environmental protection agency (SEMARNAT) and/or the Federal Tax and Administrative Courts seeking revocation of the environmental impact authorization, or EIA, issued to Energía Costa Azul in 2003. These cases generally allege that the conditions and mitigation measures in the EIA are inadequate and challenge findings that the activities of the terminal are consistent with regional development guidelines. Also, there are two real property cases pending against Energía Costa Azul in which the plaintiffs seek to annul the recorded property titles for parcels on which the Energía Costa Azul LNG terminal is situated and to obtain possession of different parcels that allegedly sit in the same place. Sempra Mexico expects further proceedings on each of these matters.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July 2012, a Mexicali state court issued a ruling declaring the purchase contract by which Termoeléctrica de Mexicali (TDM) acquired the property on which the facility is located to be invalid, on the grounds that the proceeding in which the seller acquired title was invalid. TDM has appealed the ruling, and it is not enforceable while the appeal is pending. In accordance with Mexican law, TDM remains in possession of the property, and its operations have not been affected.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2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August 2007, the U.S. Court of Appeals for the Ninth Circuit issued a decision reversing and remanding certain FERC orders declining to provide refunds regarding short-term bilateral sales up to one month in the Pacific Northwest for the December 2000 to June 2001 time period. In December 2010, the FERC approved a comprehensive settlement previously reached by Sempra Energy and RBS Sempra Commodities with the State of California. The settlement resolves all issues with regard to sales between the California Department of Water Resources (DWR) and Sempra Commodities in the Pacific Northwest, but potential claims may exist regarding sales between Sempra Commodities and other buyers in the Pacific Northwest. The FERC is in the process of addressing these potential claims on remand. Pursuant to the agreements related to the formation of RBS Sempra Commodities, we have indemnified RBS should the liability from the final resolution of these matters be greater than the reserves related to Sempra Commodities. Pursuant to our agreement with the Noble Group Ltd., one of the buyers of RBS Sempra Commodities’ businesses, we have also indemnified Noble Americas Gas &amp; Power Corp. and its affiliates for all losses incurred by such parties resulting from these proceedings as related to Sempra Commodities.</w:t>
      </w:r>
    </w:p>
    <w:p>
      <w:pPr>
        <w:spacing w:after="0" w:line="16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Sempra Energy and several subsidiaries, along with three oil and natural gas companies, the City of Beverly Hills, and the Beverly Hills Unified School District, are defendants in toxic tort lawsuits filed beginning in 2003 in Los Angeles County Superior Court by approximately 1,000 plaintiffs. These lawsuits claim that various emissions resulted in cancer or fear of cancer. In November 2006, the court granted the defendants’ summary judgment motions based on lack of medical causation for the 12 initial plaintiffs scheduled to go to trial first. The court also granted summary judgment excluding punitive damages. The court has stayed the lawsuits as to the remaining plaintiffs pending the appeal of the rulings. A mediation occurred in June 2010, after which the plaintiffs’ counsel agreed to recommend a settlement of the lawsuits as to Sempra Energy and its subsidiaries for an amount that is not significant and has been recorded. Any such settlement will require approval by each of the plaintiffs. If approval is obtained, finalization of the settlement is expected to occur within six months.</w:t>
      </w:r>
    </w:p>
    <w:p>
      <w:pPr>
        <w:spacing w:after="0" w:line="19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described in Note 4, we hold a noncontrolling interest in RBS Sempra Commodities, a limited liability partnership in the process of being liquidated. In March 2012, RBS received a letter from the United Kingdom’s Revenue and Customs Department (HMRC) regarding a value-added-tax (VAT) matter related to RBS Sempra Energy Europe (RBS SEE), a former indirect subsidiary of RBS Sempra Commodities that was sold to JP Morgan. The letter states that HMRC is conducting a number of investigations into VAT tax refund claims made by various businesses related to the purchase and sale of carbon credit allowances. The letter also states that HMRC believes it has grounds to deny RBS the ability to reduce its VAT liability by VAT paid during 2009 because it knew or should have known that certain vendors in the trading chain did not remit their own VAT to HMRC. The letter states that VAT paid in connection with these transactions totals £86 million. While RBS has not yet responded to the letter and there has been no formal tax assessment issued by HMRC, it is possible that RBS Sempra Commodities could incur losses as a result of this matter that were not previously anticipated.</w:t>
      </w:r>
    </w:p>
    <w:p>
      <w:pPr>
        <w:spacing w:after="0" w:line="16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types of cases.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234"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SDG&amp;E and the other owners of SONGS have insurance to cover claims from nuclear liability incidents arising at SONGS. This insurance provides $375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$375 million insurance limit, all nuclear reactor owners could be required to contribute to the SFP. SDG&amp;E’s contribution would be up to $47 million. This amount is</w:t>
      </w:r>
    </w:p>
    <w:p>
      <w:pPr>
        <w:sectPr>
          <w:pgSz w:w="11900" w:h="16838" w:orient="portrait"/>
          <w:cols w:equalWidth="0" w:num="1">
            <w:col w:w="11420"/>
          </w:cols>
          <w:pgMar w:left="240" w:top="122" w:right="239" w:bottom="0" w:gutter="0" w:footer="0" w:header="0"/>
        </w:sectPr>
      </w:pPr>
    </w:p>
    <w:bookmarkStart w:id="43" w:name="page44"/>
    <w:bookmarkEnd w:id="43"/>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subject to an annual maximum of $7 million, unless a default occurs by any other SONGS owner. If the SFP is insufficient to cover the liability loss, SDG&amp;E could be subject to an additional assessment.</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a mutual insurance company. Insured members are subject to retrospective premium assessments. SDG&amp;E could be assessed up to $9.7 million.</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SONGS in Note 9.</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2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discuss below significant changes in the first six months of 2012 to contractual commitments discussed in Note 15 of the Notes to Consolidated Financial Statements in the Updated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Contracts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SoCalGas’ natural gas purchase and pipeline capacity commitments have increased by $81 million since December 31, 2011. The increase, primarily due to new natural gas purchase and pipeline capacity contracts of $372 million, is offset by a reduction of $291 million from fulfillment of commitments in the first six months of 2012. Net future payments are expected to decrease by $108 million in 2012 and increase by $116 million in 2013, $9 million in 2014, $7 million in 2015, $5 million in 2016 and $52 million thereafter compared to December 31, 2011.</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Sempra Mexico’s natural gas purchase commitments have decreased by $135 million since December 31, 2011, primarily due to changes in forward prices and fulfillment of commitments in the first six months of 2012. Net future payments are therefore expected to decrease by $71 million in 2012, $32 million in 2013 and $32 million in 2014 compared to December 31, 2011.</w:t>
      </w:r>
    </w:p>
    <w:p>
      <w:pPr>
        <w:spacing w:after="0" w:line="18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Sempra Natural Gas’ natural gas purchase and storage capacity commitments have increased by $62 million since December 31, 2011, primarily due to new storage capacity contracts in the first six months of 2012. Net future payments are expected to decrease by $8 million in 2012, and increase by $16 million in 2013, $11 million in 2014, $9 million in 2015, $8 million in 2016 and $26 million thereafter compared to December 31, 2011.</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LNG Purchase Agreements</w:t>
      </w:r>
    </w:p>
    <w:p>
      <w:pPr>
        <w:spacing w:after="0" w:line="2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June 30, 2012, Sempra Natural Gas has various purchase agreements with major international companies for the supply of LNG to the Energía Costa Azul and Cameron receipt terminals. We discuss these agreements further in Note 15 of the Notes to Consolidated Financial Statements in the Updated Annual Report. Sempra Natural Gas’ commitments under all LNG purchase agreements, reflecting changes in forward prices since December 31, 2011 and actual transactions for the first six months of 2012, are expected to decrease by $282 million in 2012, $54 million in 2013, $55 million in 2014, $65 million in 2015, $76 million in 2016 and $1.8 billion thereafter compared to December 31, 2011.</w:t>
      </w:r>
    </w:p>
    <w:p>
      <w:pPr>
        <w:spacing w:after="0" w:line="173"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LNG commitment amounts above are based on Sempra Natural Gas’ commitment to accept the maximum possible delivery of cargoes under the agreements. Actual LNG purchases for the six months ended June 30, 2012 have been significantly lower than the maximum amounts possible.</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Purchased-Power Contracts</w:t>
      </w:r>
    </w:p>
    <w:p>
      <w:pPr>
        <w:spacing w:after="0" w:line="20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SDG&amp;E’s commitments under purchased-power contract commitments have decreased by $207 million since December 31, 2011. The decrease is primarily due to cancellation of certain contracts associated with renewables development projects and changes in expected prices. Net future payments are therefore expected to decrease by $37 million in 2012, increase by $1 million in 2013, and decrease by $4 million in 2014, $4 million in 2015, $4 million in 2016 and $159 million thereafter compared to December 31, 2011.</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Sempra South American Utilities’ purchased-power contracts have increased by $102 million since December 31, 2011, primarily due to foreign currency translation (as the contracts are denominated in the local currency), offset by changes in expected prices and fulfillment of commitments in the first six months of 2012. Net future payments for the purchased-power contracts at Luz del Sur are expected to decrease by $186 million in 2012, increase by $1 million in 2013, and decrease by $6 million in 2014, $6 million in 2015, $6 million in 2016 and $51 million thereafter. Net future payments for the purchased-power contracts at Chilquinta Energía are expected to decrease by $127 million in 2012, and increase by $31 million in 2013, $34 million in 2014, $37 million in 2015, $37 million in 2016 and $344 million thereafter. These amounts are based on estimated future purchases at current contracted rates, as the contracts require no minimum purchases.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Leases</w:t>
      </w:r>
    </w:p>
    <w:p>
      <w:pPr>
        <w:spacing w:after="0" w:line="2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Sempra Renewables entered into a land lease for the Copper Mountain Solar 2 project, which lease expires in 2054. Future payments on the lease are $2 million in 2013, $2 million in 2014, $2 million in 2015, $2 million in 2016 and $59 million thereafter.</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Construction and Development Projects</w:t>
      </w:r>
    </w:p>
    <w:p>
      <w:pPr>
        <w:sectPr>
          <w:pgSz w:w="11900" w:h="16840" w:orient="portrait"/>
          <w:cols w:equalWidth="0" w:num="1">
            <w:col w:w="11420"/>
          </w:cols>
          <w:pgMar w:left="240" w:top="125" w:right="239" w:bottom="0" w:gutter="0" w:footer="0" w:header="0"/>
        </w:sectPr>
      </w:pPr>
    </w:p>
    <w:p>
      <w:pPr>
        <w:spacing w:after="0" w:line="205"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In the first six months of 2012, significant increases to contractual commitments at SDG&amp;E were $67 million primarily for electric transmission and distribution systems. The future payments for these contractual commitments are expected to be $65 million in 2012 and $2 million in 2013.</w:t>
      </w:r>
    </w:p>
    <w:p>
      <w:pPr>
        <w:sectPr>
          <w:pgSz w:w="11900" w:h="16840" w:orient="portrait"/>
          <w:cols w:equalWidth="0" w:num="1">
            <w:col w:w="11420"/>
          </w:cols>
          <w:pgMar w:left="240" w:top="125" w:right="239" w:bottom="0" w:gutter="0" w:footer="0" w:header="0"/>
          <w:type w:val="continuous"/>
        </w:sectPr>
      </w:pPr>
    </w:p>
    <w:bookmarkStart w:id="44" w:name="page45"/>
    <w:bookmarkEnd w:id="44"/>
    <w:p>
      <w:pPr>
        <w:spacing w:after="0" w:line="2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completion of the Sunrise Powerlink project, the CPUC required that SDG&amp;E establish a fire mitigation fund to minimize the risk of fire as well as reduce the potential wildfire impact on residences and structures near the Sunrise Powerlink. The future payments for these contractual commitments are expected to be approximately $3 million per year, subject to escalation of 2% per year, for 58 years.</w:t>
      </w:r>
    </w:p>
    <w:p>
      <w:pPr>
        <w:spacing w:after="0" w:line="16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In the first six months of 2012, significant increases to contractual commitments at SoCalGas were $61 million for construction and infrastructure improvements for natural gas transmission and distribution operations. The payments for these contractual commitments are all expected to be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NOTE 11. SEGMENT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have six separately managed reportable segments, as follows:</w:t>
      </w:r>
    </w:p>
    <w:p>
      <w:pPr>
        <w:spacing w:after="0" w:line="225" w:lineRule="exact"/>
        <w:rPr>
          <w:sz w:val="20"/>
          <w:szCs w:val="20"/>
          <w:color w:val="auto"/>
        </w:rPr>
      </w:pPr>
    </w:p>
    <w:p>
      <w:pPr>
        <w:ind w:left="660" w:hanging="229"/>
        <w:spacing w:after="0"/>
        <w:tabs>
          <w:tab w:leader="none" w:pos="6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SDG&amp;E </w:t>
      </w:r>
      <w:r>
        <w:rPr>
          <w:rFonts w:ascii="Arial" w:cs="Arial" w:eastAsia="Arial" w:hAnsi="Arial"/>
          <w:sz w:val="18"/>
          <w:szCs w:val="18"/>
          <w:color w:val="auto"/>
        </w:rPr>
        <w:t>provides electric service to San Diego and southern Orange counties and natural gas service to San Diego County.</w:t>
      </w:r>
    </w:p>
    <w:p>
      <w:pPr>
        <w:spacing w:after="0" w:line="211" w:lineRule="exact"/>
        <w:rPr>
          <w:rFonts w:ascii="Arial" w:cs="Arial" w:eastAsia="Arial" w:hAnsi="Arial"/>
          <w:sz w:val="18"/>
          <w:szCs w:val="18"/>
          <w:i w:val="1"/>
          <w:iCs w:val="1"/>
          <w:color w:val="auto"/>
        </w:rPr>
      </w:pPr>
    </w:p>
    <w:p>
      <w:pPr>
        <w:ind w:left="660" w:hanging="229"/>
        <w:spacing w:after="0"/>
        <w:tabs>
          <w:tab w:leader="none" w:pos="6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SoCalGas </w:t>
      </w:r>
      <w:r>
        <w:rPr>
          <w:rFonts w:ascii="Arial" w:cs="Arial" w:eastAsia="Arial" w:hAnsi="Arial"/>
          <w:sz w:val="18"/>
          <w:szCs w:val="18"/>
          <w:color w:val="auto"/>
        </w:rPr>
        <w:t>is a natural gas distribution utility, serving customers throughout most of Southern California and part of central California.</w:t>
      </w:r>
    </w:p>
    <w:p>
      <w:pPr>
        <w:spacing w:after="0" w:line="211" w:lineRule="exact"/>
        <w:rPr>
          <w:rFonts w:ascii="Arial" w:cs="Arial" w:eastAsia="Arial" w:hAnsi="Arial"/>
          <w:sz w:val="18"/>
          <w:szCs w:val="18"/>
          <w:i w:val="1"/>
          <w:iCs w:val="1"/>
          <w:color w:val="auto"/>
        </w:rPr>
      </w:pPr>
    </w:p>
    <w:p>
      <w:pPr>
        <w:jc w:val="both"/>
        <w:ind w:left="660" w:hanging="229"/>
        <w:spacing w:after="0" w:line="264" w:lineRule="auto"/>
        <w:tabs>
          <w:tab w:leader="none" w:pos="6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South American Utilities </w:t>
      </w:r>
      <w:r>
        <w:rPr>
          <w:rFonts w:ascii="Arial" w:cs="Arial" w:eastAsia="Arial" w:hAnsi="Arial"/>
          <w:sz w:val="18"/>
          <w:szCs w:val="18"/>
          <w:color w:val="auto"/>
        </w:rPr>
        <w:t>operates electric transmission and distribution utilities in Chile and Peru, and owns interests in utilities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Argentina. We are currently pursuing the sale of our interests in the Argentine utilities, which we discuss further in Note 4 of the Notes to Consolidated Financial Statements in the Updated Annual Report.</w:t>
      </w:r>
    </w:p>
    <w:p>
      <w:pPr>
        <w:spacing w:after="0" w:line="167" w:lineRule="exact"/>
        <w:rPr>
          <w:rFonts w:ascii="Arial" w:cs="Arial" w:eastAsia="Arial" w:hAnsi="Arial"/>
          <w:sz w:val="18"/>
          <w:szCs w:val="18"/>
          <w:i w:val="1"/>
          <w:iCs w:val="1"/>
          <w:color w:val="auto"/>
        </w:rPr>
      </w:pPr>
    </w:p>
    <w:p>
      <w:pPr>
        <w:ind w:left="660" w:hanging="229"/>
        <w:spacing w:after="0" w:line="308" w:lineRule="auto"/>
        <w:tabs>
          <w:tab w:leader="none" w:pos="660" w:val="left"/>
        </w:tabs>
        <w:numPr>
          <w:ilvl w:val="0"/>
          <w:numId w:val="4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Sempra Mexico </w:t>
      </w:r>
      <w:r>
        <w:rPr>
          <w:rFonts w:ascii="Arial" w:cs="Arial" w:eastAsia="Arial" w:hAnsi="Arial"/>
          <w:sz w:val="17"/>
          <w:szCs w:val="17"/>
          <w:color w:val="auto"/>
        </w:rPr>
        <w:t>develops, owns and operates, or holds interests in, natural gas transmission pipelines and propane systems, a natural gas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utility, electric generation facilities, including wind, and a terminal for the import of LNG and sale of natural gas in Mexico.</w:t>
      </w:r>
    </w:p>
    <w:p>
      <w:pPr>
        <w:spacing w:after="0" w:line="133" w:lineRule="exact"/>
        <w:rPr>
          <w:rFonts w:ascii="Arial" w:cs="Arial" w:eastAsia="Arial" w:hAnsi="Arial"/>
          <w:sz w:val="17"/>
          <w:szCs w:val="17"/>
          <w:i w:val="1"/>
          <w:iCs w:val="1"/>
          <w:color w:val="auto"/>
        </w:rPr>
      </w:pPr>
    </w:p>
    <w:p>
      <w:pPr>
        <w:ind w:left="660" w:hanging="229"/>
        <w:spacing w:after="0" w:line="277" w:lineRule="auto"/>
        <w:tabs>
          <w:tab w:leader="none" w:pos="6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Renewables </w:t>
      </w:r>
      <w:r>
        <w:rPr>
          <w:rFonts w:ascii="Arial" w:cs="Arial" w:eastAsia="Arial" w:hAnsi="Arial"/>
          <w:sz w:val="18"/>
          <w:szCs w:val="18"/>
          <w:color w:val="auto"/>
        </w:rPr>
        <w:t>develops, owns and operates, or holds interests in, wind and solar energy projects in Arizona, California, Colorado, Hawaii,</w:t>
      </w:r>
      <w:r>
        <w:rPr>
          <w:rFonts w:ascii="Arial" w:cs="Arial" w:eastAsia="Arial" w:hAnsi="Arial"/>
          <w:sz w:val="18"/>
          <w:szCs w:val="18"/>
          <w:i w:val="1"/>
          <w:iCs w:val="1"/>
          <w:color w:val="auto"/>
        </w:rPr>
        <w:t xml:space="preserve"> </w:t>
      </w:r>
      <w:r>
        <w:rPr>
          <w:rFonts w:ascii="Arial" w:cs="Arial" w:eastAsia="Arial" w:hAnsi="Arial"/>
          <w:sz w:val="18"/>
          <w:szCs w:val="18"/>
          <w:color w:val="auto"/>
        </w:rPr>
        <w:t>Indiana, Kansas, Nevada and Pennsylvania to serve wholesale electricity markets in the United States.</w:t>
      </w:r>
    </w:p>
    <w:p>
      <w:pPr>
        <w:spacing w:after="0" w:line="197" w:lineRule="exact"/>
        <w:rPr>
          <w:rFonts w:ascii="Arial" w:cs="Arial" w:eastAsia="Arial" w:hAnsi="Arial"/>
          <w:sz w:val="18"/>
          <w:szCs w:val="18"/>
          <w:i w:val="1"/>
          <w:iCs w:val="1"/>
          <w:color w:val="auto"/>
        </w:rPr>
      </w:pPr>
    </w:p>
    <w:p>
      <w:pPr>
        <w:ind w:left="660" w:hanging="229"/>
        <w:spacing w:after="0" w:line="342" w:lineRule="auto"/>
        <w:tabs>
          <w:tab w:leader="none" w:pos="66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Natural Gas </w:t>
      </w:r>
      <w:r>
        <w:rPr>
          <w:rFonts w:ascii="Arial" w:cs="Arial" w:eastAsia="Arial" w:hAnsi="Arial"/>
          <w:sz w:val="16"/>
          <w:szCs w:val="16"/>
          <w:color w:val="auto"/>
        </w:rPr>
        <w:t>develops, owns and operates, or holds interests in, a natural gas-fired electric generation plant, natural gas pipelines and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natural gas distribution utilities and a terminal for the import and export of LNG and sale of natural gas, all within the United States.</w:t>
      </w:r>
    </w:p>
    <w:p>
      <w:pPr>
        <w:spacing w:after="0" w:line="32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Sempra South American Utilities and Sempra Mexico comprise our Sempra International operating unit. Sempra Renewables and Sempra Natural Gas comprise our Sempra U.S. Gas &amp; Power operating unit.</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evaluate each segment’s performance based on its contribution to Sempra Energy’s reported earnings. The California Utilities operate in essentially separate service territories, under separate regulatory frameworks and rate structures set by the CPUC. The California Utilities’ operations are based on rates set by the CPUC and the FERC.</w:t>
      </w:r>
    </w:p>
    <w:p>
      <w:pPr>
        <w:spacing w:after="0" w:line="18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following tables show selected information by segment from our Condensed Consolidated Statements of Operations and Condensed Consolidated Balance Sheets. Amounts labeled as “All other” in the following tables consist primarily of parent organizations and the former commodities-marketing businesses.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110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1120" w:type="dxa"/>
            <w:vAlign w:val="bottom"/>
            <w:shd w:val="clear" w:color="auto" w:fill="C0C0C0"/>
          </w:tcPr>
          <w:p>
            <w:pPr>
              <w:spacing w:after="0"/>
              <w:rPr>
                <w:sz w:val="14"/>
                <w:szCs w:val="14"/>
                <w:color w:val="auto"/>
              </w:rPr>
            </w:pPr>
          </w:p>
        </w:tc>
        <w:tc>
          <w:tcPr>
            <w:tcW w:w="780" w:type="dxa"/>
            <w:vAlign w:val="bottom"/>
            <w:shd w:val="clear" w:color="auto" w:fill="C0C0C0"/>
          </w:tcPr>
          <w:p>
            <w:pPr>
              <w:spacing w:after="0"/>
              <w:rPr>
                <w:sz w:val="14"/>
                <w:szCs w:val="14"/>
                <w:color w:val="auto"/>
              </w:rPr>
            </w:pPr>
          </w:p>
        </w:tc>
        <w:tc>
          <w:tcPr>
            <w:tcW w:w="128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c>
          <w:tcPr>
            <w:tcW w:w="740" w:type="dxa"/>
            <w:vAlign w:val="bottom"/>
            <w:shd w:val="clear" w:color="auto" w:fill="C0C0C0"/>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color w:val="auto"/>
              </w:rPr>
              <w:t>Three months ended June 30,</w:t>
            </w:r>
          </w:p>
        </w:tc>
        <w:tc>
          <w:tcPr>
            <w:tcW w:w="1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4"/>
                <w:szCs w:val="14"/>
                <w:color w:val="auto"/>
              </w:rPr>
              <w:t>Six months ended June 30,</w:t>
            </w:r>
          </w:p>
        </w:tc>
        <w:tc>
          <w:tcPr>
            <w:tcW w:w="7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2012</w:t>
            </w:r>
          </w:p>
        </w:tc>
        <w:tc>
          <w:tcPr>
            <w:tcW w:w="1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2011</w:t>
            </w: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2011</w:t>
            </w:r>
          </w:p>
        </w:tc>
        <w:tc>
          <w:tcPr>
            <w:tcW w:w="74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020" w:type="dxa"/>
            <w:vAlign w:val="bottom"/>
          </w:tcPr>
          <w:p>
            <w:pPr>
              <w:spacing w:after="0" w:line="164" w:lineRule="exact"/>
              <w:rPr>
                <w:sz w:val="20"/>
                <w:szCs w:val="20"/>
                <w:color w:val="auto"/>
              </w:rPr>
            </w:pPr>
            <w:r>
              <w:rPr>
                <w:rFonts w:ascii="Arial" w:cs="Arial" w:eastAsia="Arial" w:hAnsi="Arial"/>
                <w:sz w:val="16"/>
                <w:szCs w:val="16"/>
                <w:color w:val="auto"/>
              </w:rPr>
              <w:t>REVENUES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580" w:type="dxa"/>
            <w:vAlign w:val="bottom"/>
            <w:gridSpan w:val="2"/>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780</w:t>
            </w:r>
          </w:p>
        </w:tc>
        <w:tc>
          <w:tcPr>
            <w:tcW w:w="110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37 % $</w:t>
            </w: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697</w:t>
            </w:r>
          </w:p>
        </w:tc>
        <w:tc>
          <w:tcPr>
            <w:tcW w:w="11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29 % $</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1,614</w:t>
            </w:r>
          </w:p>
        </w:tc>
        <w:tc>
          <w:tcPr>
            <w:tcW w:w="128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36 % $</w:t>
            </w: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1,537</w:t>
            </w:r>
          </w:p>
        </w:tc>
        <w:tc>
          <w:tcPr>
            <w:tcW w:w="7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32 %</w:t>
            </w: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SoCalGas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720</w:t>
            </w:r>
          </w:p>
        </w:tc>
        <w:tc>
          <w:tcPr>
            <w:tcW w:w="1100" w:type="dxa"/>
            <w:vAlign w:val="bottom"/>
          </w:tcPr>
          <w:p>
            <w:pPr>
              <w:jc w:val="right"/>
              <w:ind w:right="599"/>
              <w:spacing w:after="0" w:line="176" w:lineRule="exact"/>
              <w:rPr>
                <w:sz w:val="20"/>
                <w:szCs w:val="20"/>
                <w:color w:val="auto"/>
              </w:rPr>
            </w:pPr>
            <w:r>
              <w:rPr>
                <w:rFonts w:ascii="Arial" w:cs="Arial" w:eastAsia="Arial" w:hAnsi="Arial"/>
                <w:sz w:val="16"/>
                <w:szCs w:val="16"/>
                <w:color w:val="auto"/>
              </w:rPr>
              <w:t>34</w:t>
            </w: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876</w:t>
            </w:r>
          </w:p>
        </w:tc>
        <w:tc>
          <w:tcPr>
            <w:tcW w:w="1120" w:type="dxa"/>
            <w:vAlign w:val="bottom"/>
          </w:tcPr>
          <w:p>
            <w:pPr>
              <w:jc w:val="right"/>
              <w:ind w:right="599"/>
              <w:spacing w:after="0" w:line="176" w:lineRule="exact"/>
              <w:rPr>
                <w:sz w:val="20"/>
                <w:szCs w:val="20"/>
                <w:color w:val="auto"/>
              </w:rPr>
            </w:pPr>
            <w:r>
              <w:rPr>
                <w:rFonts w:ascii="Arial" w:cs="Arial" w:eastAsia="Arial" w:hAnsi="Arial"/>
                <w:sz w:val="16"/>
                <w:szCs w:val="16"/>
                <w:color w:val="auto"/>
              </w:rPr>
              <w:t>36</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1,600</w:t>
            </w:r>
          </w:p>
        </w:tc>
        <w:tc>
          <w:tcPr>
            <w:tcW w:w="1280" w:type="dxa"/>
            <w:vAlign w:val="bottom"/>
          </w:tcPr>
          <w:p>
            <w:pPr>
              <w:jc w:val="right"/>
              <w:ind w:right="620"/>
              <w:spacing w:after="0" w:line="176" w:lineRule="exact"/>
              <w:rPr>
                <w:sz w:val="20"/>
                <w:szCs w:val="20"/>
                <w:color w:val="auto"/>
              </w:rPr>
            </w:pPr>
            <w:r>
              <w:rPr>
                <w:rFonts w:ascii="Arial" w:cs="Arial" w:eastAsia="Arial" w:hAnsi="Arial"/>
                <w:sz w:val="16"/>
                <w:szCs w:val="16"/>
                <w:color w:val="auto"/>
              </w:rPr>
              <w:t>36</w:t>
            </w: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1,932</w:t>
            </w:r>
          </w:p>
        </w:tc>
        <w:tc>
          <w:tcPr>
            <w:tcW w:w="74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40</w:t>
            </w: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348</w:t>
            </w:r>
          </w:p>
        </w:tc>
        <w:tc>
          <w:tcPr>
            <w:tcW w:w="1100" w:type="dxa"/>
            <w:vAlign w:val="bottom"/>
          </w:tcPr>
          <w:p>
            <w:pPr>
              <w:jc w:val="right"/>
              <w:ind w:right="599"/>
              <w:spacing w:after="0" w:line="176" w:lineRule="exact"/>
              <w:rPr>
                <w:sz w:val="20"/>
                <w:szCs w:val="20"/>
                <w:color w:val="auto"/>
              </w:rPr>
            </w:pPr>
            <w:r>
              <w:rPr>
                <w:rFonts w:ascii="Arial" w:cs="Arial" w:eastAsia="Arial" w:hAnsi="Arial"/>
                <w:sz w:val="16"/>
                <w:szCs w:val="16"/>
                <w:color w:val="auto"/>
              </w:rPr>
              <w:t>17</w:t>
            </w: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361</w:t>
            </w:r>
          </w:p>
        </w:tc>
        <w:tc>
          <w:tcPr>
            <w:tcW w:w="1120" w:type="dxa"/>
            <w:vAlign w:val="bottom"/>
          </w:tcPr>
          <w:p>
            <w:pPr>
              <w:jc w:val="right"/>
              <w:ind w:right="599"/>
              <w:spacing w:after="0" w:line="176" w:lineRule="exact"/>
              <w:rPr>
                <w:sz w:val="20"/>
                <w:szCs w:val="20"/>
                <w:color w:val="auto"/>
              </w:rPr>
            </w:pPr>
            <w:r>
              <w:rPr>
                <w:rFonts w:ascii="Arial" w:cs="Arial" w:eastAsia="Arial" w:hAnsi="Arial"/>
                <w:sz w:val="16"/>
                <w:szCs w:val="16"/>
                <w:color w:val="auto"/>
              </w:rPr>
              <w:t>15</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705</w:t>
            </w:r>
          </w:p>
        </w:tc>
        <w:tc>
          <w:tcPr>
            <w:tcW w:w="1280" w:type="dxa"/>
            <w:vAlign w:val="bottom"/>
          </w:tcPr>
          <w:p>
            <w:pPr>
              <w:jc w:val="right"/>
              <w:ind w:right="620"/>
              <w:spacing w:after="0" w:line="176" w:lineRule="exact"/>
              <w:rPr>
                <w:sz w:val="20"/>
                <w:szCs w:val="20"/>
                <w:color w:val="auto"/>
              </w:rPr>
            </w:pPr>
            <w:r>
              <w:rPr>
                <w:rFonts w:ascii="Arial" w:cs="Arial" w:eastAsia="Arial" w:hAnsi="Arial"/>
                <w:sz w:val="16"/>
                <w:szCs w:val="16"/>
                <w:color w:val="auto"/>
              </w:rPr>
              <w:t>16</w:t>
            </w: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361</w:t>
            </w:r>
          </w:p>
        </w:tc>
        <w:tc>
          <w:tcPr>
            <w:tcW w:w="74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7</w:t>
            </w: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118</w:t>
            </w:r>
          </w:p>
        </w:tc>
        <w:tc>
          <w:tcPr>
            <w:tcW w:w="1100" w:type="dxa"/>
            <w:vAlign w:val="bottom"/>
          </w:tcPr>
          <w:p>
            <w:pPr>
              <w:jc w:val="right"/>
              <w:ind w:right="599"/>
              <w:spacing w:after="0" w:line="176" w:lineRule="exact"/>
              <w:rPr>
                <w:sz w:val="20"/>
                <w:szCs w:val="20"/>
                <w:color w:val="auto"/>
              </w:rPr>
            </w:pPr>
            <w:r>
              <w:rPr>
                <w:rFonts w:ascii="Arial" w:cs="Arial" w:eastAsia="Arial" w:hAnsi="Arial"/>
                <w:sz w:val="16"/>
                <w:szCs w:val="16"/>
                <w:color w:val="auto"/>
              </w:rPr>
              <w:t>6</w:t>
            </w: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171</w:t>
            </w:r>
          </w:p>
        </w:tc>
        <w:tc>
          <w:tcPr>
            <w:tcW w:w="1120" w:type="dxa"/>
            <w:vAlign w:val="bottom"/>
          </w:tcPr>
          <w:p>
            <w:pPr>
              <w:jc w:val="right"/>
              <w:ind w:right="599"/>
              <w:spacing w:after="0" w:line="176" w:lineRule="exact"/>
              <w:rPr>
                <w:sz w:val="20"/>
                <w:szCs w:val="20"/>
                <w:color w:val="auto"/>
              </w:rPr>
            </w:pPr>
            <w:r>
              <w:rPr>
                <w:rFonts w:ascii="Arial" w:cs="Arial" w:eastAsia="Arial" w:hAnsi="Arial"/>
                <w:sz w:val="16"/>
                <w:szCs w:val="16"/>
                <w:color w:val="auto"/>
              </w:rPr>
              <w:t>7</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253</w:t>
            </w:r>
          </w:p>
        </w:tc>
        <w:tc>
          <w:tcPr>
            <w:tcW w:w="1280" w:type="dxa"/>
            <w:vAlign w:val="bottom"/>
          </w:tcPr>
          <w:p>
            <w:pPr>
              <w:jc w:val="right"/>
              <w:ind w:right="620"/>
              <w:spacing w:after="0" w:line="176" w:lineRule="exact"/>
              <w:rPr>
                <w:sz w:val="20"/>
                <w:szCs w:val="20"/>
                <w:color w:val="auto"/>
              </w:rPr>
            </w:pPr>
            <w:r>
              <w:rPr>
                <w:rFonts w:ascii="Arial" w:cs="Arial" w:eastAsia="Arial" w:hAnsi="Arial"/>
                <w:sz w:val="16"/>
                <w:szCs w:val="16"/>
                <w:color w:val="auto"/>
              </w:rPr>
              <w:t>6</w:t>
            </w: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378</w:t>
            </w:r>
          </w:p>
        </w:tc>
        <w:tc>
          <w:tcPr>
            <w:tcW w:w="74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8</w:t>
            </w: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14</w:t>
            </w:r>
          </w:p>
        </w:tc>
        <w:tc>
          <w:tcPr>
            <w:tcW w:w="1100" w:type="dxa"/>
            <w:vAlign w:val="bottom"/>
          </w:tcPr>
          <w:p>
            <w:pPr>
              <w:jc w:val="right"/>
              <w:ind w:right="599"/>
              <w:spacing w:after="0" w:line="176" w:lineRule="exact"/>
              <w:rPr>
                <w:sz w:val="20"/>
                <w:szCs w:val="20"/>
                <w:color w:val="auto"/>
              </w:rPr>
            </w:pPr>
            <w:r>
              <w:rPr>
                <w:rFonts w:ascii="Arial" w:cs="Arial" w:eastAsia="Arial" w:hAnsi="Arial"/>
                <w:sz w:val="16"/>
                <w:szCs w:val="16"/>
                <w:color w:val="auto"/>
              </w:rPr>
              <w:t>1</w:t>
            </w: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6</w:t>
            </w:r>
          </w:p>
        </w:tc>
        <w:tc>
          <w:tcPr>
            <w:tcW w:w="1120" w:type="dxa"/>
            <w:vAlign w:val="bottom"/>
          </w:tcPr>
          <w:p>
            <w:pPr>
              <w:jc w:val="right"/>
              <w:ind w:right="559"/>
              <w:spacing w:after="0" w:line="176"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1280" w:type="dxa"/>
            <w:vAlign w:val="bottom"/>
          </w:tcPr>
          <w:p>
            <w:pPr>
              <w:jc w:val="right"/>
              <w:ind w:right="580"/>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10</w:t>
            </w:r>
          </w:p>
        </w:tc>
        <w:tc>
          <w:tcPr>
            <w:tcW w:w="7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198</w:t>
            </w:r>
          </w:p>
        </w:tc>
        <w:tc>
          <w:tcPr>
            <w:tcW w:w="1100" w:type="dxa"/>
            <w:vAlign w:val="bottom"/>
          </w:tcPr>
          <w:p>
            <w:pPr>
              <w:jc w:val="right"/>
              <w:ind w:right="599"/>
              <w:spacing w:after="0" w:line="176" w:lineRule="exact"/>
              <w:rPr>
                <w:sz w:val="20"/>
                <w:szCs w:val="20"/>
                <w:color w:val="auto"/>
              </w:rPr>
            </w:pPr>
            <w:r>
              <w:rPr>
                <w:rFonts w:ascii="Arial" w:cs="Arial" w:eastAsia="Arial" w:hAnsi="Arial"/>
                <w:sz w:val="16"/>
                <w:szCs w:val="16"/>
                <w:color w:val="auto"/>
              </w:rPr>
              <w:t>9</w:t>
            </w: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436</w:t>
            </w:r>
          </w:p>
        </w:tc>
        <w:tc>
          <w:tcPr>
            <w:tcW w:w="1120" w:type="dxa"/>
            <w:vAlign w:val="bottom"/>
          </w:tcPr>
          <w:p>
            <w:pPr>
              <w:jc w:val="right"/>
              <w:ind w:right="599"/>
              <w:spacing w:after="0" w:line="176" w:lineRule="exact"/>
              <w:rPr>
                <w:sz w:val="20"/>
                <w:szCs w:val="20"/>
                <w:color w:val="auto"/>
              </w:rPr>
            </w:pPr>
            <w:r>
              <w:rPr>
                <w:rFonts w:ascii="Arial" w:cs="Arial" w:eastAsia="Arial" w:hAnsi="Arial"/>
                <w:sz w:val="16"/>
                <w:szCs w:val="16"/>
                <w:color w:val="auto"/>
              </w:rPr>
              <w:t>18</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467</w:t>
            </w:r>
          </w:p>
        </w:tc>
        <w:tc>
          <w:tcPr>
            <w:tcW w:w="1280" w:type="dxa"/>
            <w:vAlign w:val="bottom"/>
          </w:tcPr>
          <w:p>
            <w:pPr>
              <w:jc w:val="right"/>
              <w:ind w:right="620"/>
              <w:spacing w:after="0" w:line="176" w:lineRule="exact"/>
              <w:rPr>
                <w:sz w:val="20"/>
                <w:szCs w:val="20"/>
                <w:color w:val="auto"/>
              </w:rPr>
            </w:pPr>
            <w:r>
              <w:rPr>
                <w:rFonts w:ascii="Arial" w:cs="Arial" w:eastAsia="Arial" w:hAnsi="Arial"/>
                <w:sz w:val="16"/>
                <w:szCs w:val="16"/>
                <w:color w:val="auto"/>
              </w:rPr>
              <w:t>10</w:t>
            </w: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885</w:t>
            </w:r>
          </w:p>
        </w:tc>
        <w:tc>
          <w:tcPr>
            <w:tcW w:w="74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18</w:t>
            </w:r>
          </w:p>
        </w:tc>
      </w:tr>
      <w:tr>
        <w:trPr>
          <w:trHeight w:val="176"/>
        </w:trPr>
        <w:tc>
          <w:tcPr>
            <w:tcW w:w="20" w:type="dxa"/>
            <w:vAlign w:val="bottom"/>
          </w:tcPr>
          <w:p>
            <w:pPr>
              <w:spacing w:after="0"/>
              <w:rPr>
                <w:sz w:val="15"/>
                <w:szCs w:val="15"/>
                <w:color w:val="auto"/>
              </w:rPr>
            </w:pPr>
          </w:p>
        </w:tc>
        <w:tc>
          <w:tcPr>
            <w:tcW w:w="3020" w:type="dxa"/>
            <w:vAlign w:val="bottom"/>
          </w:tcPr>
          <w:p>
            <w:pPr>
              <w:ind w:left="60"/>
              <w:spacing w:after="0" w:line="176" w:lineRule="exact"/>
              <w:rPr>
                <w:sz w:val="20"/>
                <w:szCs w:val="20"/>
                <w:color w:val="auto"/>
              </w:rPr>
            </w:pPr>
            <w:r>
              <w:rPr>
                <w:rFonts w:ascii="Arial" w:cs="Arial" w:eastAsia="Arial" w:hAnsi="Arial"/>
                <w:sz w:val="16"/>
                <w:szCs w:val="16"/>
                <w:color w:val="auto"/>
              </w:rPr>
              <w:t>Adjustments and eliminations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w:t>
            </w:r>
          </w:p>
        </w:tc>
        <w:tc>
          <w:tcPr>
            <w:tcW w:w="1100" w:type="dxa"/>
            <w:vAlign w:val="bottom"/>
          </w:tcPr>
          <w:p>
            <w:pPr>
              <w:jc w:val="right"/>
              <w:ind w:right="55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559"/>
              <w:spacing w:after="0" w:line="176"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280" w:type="dxa"/>
            <w:vAlign w:val="bottom"/>
          </w:tcPr>
          <w:p>
            <w:pPr>
              <w:jc w:val="right"/>
              <w:ind w:right="580"/>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3020" w:type="dxa"/>
            <w:vAlign w:val="bottom"/>
          </w:tcPr>
          <w:p>
            <w:pPr>
              <w:ind w:left="80"/>
              <w:spacing w:after="0"/>
              <w:rPr>
                <w:sz w:val="20"/>
                <w:szCs w:val="20"/>
                <w:color w:val="auto"/>
              </w:rPr>
            </w:pPr>
            <w:r>
              <w:rPr>
                <w:rFonts w:ascii="Arial" w:cs="Arial" w:eastAsia="Arial" w:hAnsi="Arial"/>
                <w:sz w:val="16"/>
                <w:szCs w:val="16"/>
                <w:color w:val="auto"/>
              </w:rPr>
              <w:t>Intersegment revenues(1)</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(88)</w:t>
            </w: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(4)</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w:t>
            </w: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(4)</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(247)</w:t>
            </w: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w:t>
            </w:r>
          </w:p>
        </w:tc>
      </w:tr>
      <w:tr>
        <w:trPr>
          <w:trHeight w:val="183"/>
        </w:trPr>
        <w:tc>
          <w:tcPr>
            <w:tcW w:w="20" w:type="dxa"/>
            <w:vAlign w:val="bottom"/>
          </w:tcPr>
          <w:p>
            <w:pPr>
              <w:spacing w:after="0"/>
              <w:rPr>
                <w:sz w:val="15"/>
                <w:szCs w:val="15"/>
                <w:color w:val="auto"/>
              </w:rPr>
            </w:pPr>
          </w:p>
        </w:tc>
        <w:tc>
          <w:tcPr>
            <w:tcW w:w="302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40"/>
              <w:spacing w:after="0" w:line="176" w:lineRule="exact"/>
              <w:rPr>
                <w:sz w:val="20"/>
                <w:szCs w:val="20"/>
                <w:color w:val="auto"/>
              </w:rPr>
            </w:pPr>
            <w:r>
              <w:rPr>
                <w:rFonts w:ascii="Arial" w:cs="Arial" w:eastAsia="Arial" w:hAnsi="Arial"/>
                <w:sz w:val="16"/>
                <w:szCs w:val="16"/>
                <w:color w:val="auto"/>
              </w:rPr>
              <w:t>2,089</w:t>
            </w:r>
          </w:p>
        </w:tc>
        <w:tc>
          <w:tcPr>
            <w:tcW w:w="11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100 % $</w:t>
            </w:r>
          </w:p>
        </w:tc>
        <w:tc>
          <w:tcPr>
            <w:tcW w:w="9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2,422</w:t>
            </w:r>
          </w:p>
        </w:tc>
        <w:tc>
          <w:tcPr>
            <w:tcW w:w="112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100 % $</w:t>
            </w: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4,472</w:t>
            </w:r>
          </w:p>
        </w:tc>
        <w:tc>
          <w:tcPr>
            <w:tcW w:w="1280" w:type="dxa"/>
            <w:vAlign w:val="bottom"/>
            <w:tcBorders>
              <w:bottom w:val="single" w:sz="8" w:color="auto"/>
            </w:tcBorders>
          </w:tcPr>
          <w:p>
            <w:pPr>
              <w:jc w:val="right"/>
              <w:ind w:right="240"/>
              <w:spacing w:after="0" w:line="176" w:lineRule="exact"/>
              <w:rPr>
                <w:sz w:val="20"/>
                <w:szCs w:val="20"/>
                <w:color w:val="auto"/>
              </w:rPr>
            </w:pPr>
            <w:r>
              <w:rPr>
                <w:rFonts w:ascii="Arial" w:cs="Arial" w:eastAsia="Arial" w:hAnsi="Arial"/>
                <w:sz w:val="16"/>
                <w:szCs w:val="16"/>
                <w:color w:val="auto"/>
              </w:rPr>
              <w:t>100 % $</w:t>
            </w:r>
          </w:p>
        </w:tc>
        <w:tc>
          <w:tcPr>
            <w:tcW w:w="94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4,856</w:t>
            </w:r>
          </w:p>
        </w:tc>
        <w:tc>
          <w:tcPr>
            <w:tcW w:w="7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100 %</w:t>
            </w:r>
          </w:p>
        </w:tc>
      </w:tr>
      <w:tr>
        <w:trPr>
          <w:trHeight w:val="164"/>
        </w:trPr>
        <w:tc>
          <w:tcPr>
            <w:tcW w:w="20" w:type="dxa"/>
            <w:vAlign w:val="bottom"/>
          </w:tcPr>
          <w:p>
            <w:pPr>
              <w:spacing w:after="0"/>
              <w:rPr>
                <w:sz w:val="14"/>
                <w:szCs w:val="14"/>
                <w:color w:val="auto"/>
              </w:rPr>
            </w:pPr>
          </w:p>
        </w:tc>
        <w:tc>
          <w:tcPr>
            <w:tcW w:w="3020" w:type="dxa"/>
            <w:vAlign w:val="bottom"/>
          </w:tcPr>
          <w:p>
            <w:pPr>
              <w:spacing w:after="0" w:line="164" w:lineRule="exact"/>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580" w:type="dxa"/>
            <w:vAlign w:val="bottom"/>
            <w:gridSpan w:val="2"/>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39</w:t>
            </w:r>
          </w:p>
        </w:tc>
        <w:tc>
          <w:tcPr>
            <w:tcW w:w="110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31</w:t>
            </w:r>
          </w:p>
        </w:tc>
        <w:tc>
          <w:tcPr>
            <w:tcW w:w="11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c>
          <w:tcPr>
            <w:tcW w:w="128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67</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SoCalGas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17</w:t>
            </w:r>
          </w:p>
        </w:tc>
        <w:tc>
          <w:tcPr>
            <w:tcW w:w="110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18</w:t>
            </w:r>
          </w:p>
        </w:tc>
        <w:tc>
          <w:tcPr>
            <w:tcW w:w="1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1280" w:type="dxa"/>
            <w:vAlign w:val="bottom"/>
          </w:tcPr>
          <w:p>
            <w:pPr>
              <w:spacing w:after="0"/>
              <w:rPr>
                <w:sz w:val="15"/>
                <w:szCs w:val="15"/>
                <w:color w:val="auto"/>
              </w:rPr>
            </w:pP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35</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6</w:t>
            </w:r>
          </w:p>
        </w:tc>
        <w:tc>
          <w:tcPr>
            <w:tcW w:w="110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12</w:t>
            </w:r>
          </w:p>
        </w:tc>
        <w:tc>
          <w:tcPr>
            <w:tcW w:w="1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1280" w:type="dxa"/>
            <w:vAlign w:val="bottom"/>
          </w:tcPr>
          <w:p>
            <w:pPr>
              <w:spacing w:after="0"/>
              <w:rPr>
                <w:sz w:val="15"/>
                <w:szCs w:val="15"/>
                <w:color w:val="auto"/>
              </w:rPr>
            </w:pP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14</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2</w:t>
            </w:r>
          </w:p>
        </w:tc>
        <w:tc>
          <w:tcPr>
            <w:tcW w:w="110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6</w:t>
            </w:r>
          </w:p>
        </w:tc>
        <w:tc>
          <w:tcPr>
            <w:tcW w:w="1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1280" w:type="dxa"/>
            <w:vAlign w:val="bottom"/>
          </w:tcPr>
          <w:p>
            <w:pPr>
              <w:spacing w:after="0"/>
              <w:rPr>
                <w:sz w:val="15"/>
                <w:szCs w:val="15"/>
                <w:color w:val="auto"/>
              </w:rPr>
            </w:pP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11</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3</w:t>
            </w:r>
          </w:p>
        </w:tc>
        <w:tc>
          <w:tcPr>
            <w:tcW w:w="110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w:t>
            </w:r>
          </w:p>
        </w:tc>
        <w:tc>
          <w:tcPr>
            <w:tcW w:w="1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1280" w:type="dxa"/>
            <w:vAlign w:val="bottom"/>
          </w:tcPr>
          <w:p>
            <w:pPr>
              <w:spacing w:after="0"/>
              <w:rPr>
                <w:sz w:val="15"/>
                <w:szCs w:val="15"/>
                <w:color w:val="auto"/>
              </w:rPr>
            </w:pP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5</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26</w:t>
            </w:r>
          </w:p>
        </w:tc>
        <w:tc>
          <w:tcPr>
            <w:tcW w:w="110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20</w:t>
            </w:r>
          </w:p>
        </w:tc>
        <w:tc>
          <w:tcPr>
            <w:tcW w:w="1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1280" w:type="dxa"/>
            <w:vAlign w:val="bottom"/>
          </w:tcPr>
          <w:p>
            <w:pPr>
              <w:spacing w:after="0"/>
              <w:rPr>
                <w:sz w:val="15"/>
                <w:szCs w:val="15"/>
                <w:color w:val="auto"/>
              </w:rPr>
            </w:pP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40</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60"/>
              <w:spacing w:after="0" w:line="176" w:lineRule="exact"/>
              <w:rPr>
                <w:sz w:val="20"/>
                <w:szCs w:val="20"/>
                <w:color w:val="auto"/>
              </w:rPr>
            </w:pPr>
            <w:r>
              <w:rPr>
                <w:rFonts w:ascii="Arial" w:cs="Arial" w:eastAsia="Arial" w:hAnsi="Arial"/>
                <w:sz w:val="16"/>
                <w:szCs w:val="16"/>
                <w:color w:val="auto"/>
              </w:rPr>
              <w:t>All other</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65</w:t>
            </w:r>
          </w:p>
        </w:tc>
        <w:tc>
          <w:tcPr>
            <w:tcW w:w="110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60</w:t>
            </w:r>
          </w:p>
        </w:tc>
        <w:tc>
          <w:tcPr>
            <w:tcW w:w="1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123</w:t>
            </w:r>
          </w:p>
        </w:tc>
        <w:tc>
          <w:tcPr>
            <w:tcW w:w="1280" w:type="dxa"/>
            <w:vAlign w:val="bottom"/>
          </w:tcPr>
          <w:p>
            <w:pPr>
              <w:spacing w:after="0"/>
              <w:rPr>
                <w:sz w:val="15"/>
                <w:szCs w:val="15"/>
                <w:color w:val="auto"/>
              </w:rPr>
            </w:pP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116</w:t>
            </w:r>
          </w:p>
        </w:tc>
        <w:tc>
          <w:tcPr>
            <w:tcW w:w="74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3020" w:type="dxa"/>
            <w:vAlign w:val="bottom"/>
          </w:tcPr>
          <w:p>
            <w:pPr>
              <w:ind w:left="80"/>
              <w:spacing w:after="0"/>
              <w:rPr>
                <w:sz w:val="20"/>
                <w:szCs w:val="20"/>
                <w:color w:val="auto"/>
              </w:rPr>
            </w:pPr>
            <w:r>
              <w:rPr>
                <w:rFonts w:ascii="Arial" w:cs="Arial" w:eastAsia="Arial" w:hAnsi="Arial"/>
                <w:sz w:val="16"/>
                <w:szCs w:val="16"/>
                <w:color w:val="auto"/>
              </w:rPr>
              <w:t>Intercompany eliminations</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(45)</w:t>
            </w:r>
          </w:p>
        </w:tc>
        <w:tc>
          <w:tcPr>
            <w:tcW w:w="1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w:t>
            </w:r>
          </w:p>
        </w:tc>
        <w:tc>
          <w:tcPr>
            <w:tcW w:w="1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w:t>
            </w:r>
          </w:p>
        </w:tc>
        <w:tc>
          <w:tcPr>
            <w:tcW w:w="74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02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40"/>
              <w:spacing w:after="0" w:line="176" w:lineRule="exact"/>
              <w:rPr>
                <w:sz w:val="20"/>
                <w:szCs w:val="20"/>
                <w:color w:val="auto"/>
              </w:rPr>
            </w:pPr>
            <w:r>
              <w:rPr>
                <w:rFonts w:ascii="Arial" w:cs="Arial" w:eastAsia="Arial" w:hAnsi="Arial"/>
                <w:sz w:val="16"/>
                <w:szCs w:val="16"/>
                <w:color w:val="auto"/>
              </w:rPr>
              <w:t>113</w:t>
            </w:r>
          </w:p>
        </w:tc>
        <w:tc>
          <w:tcPr>
            <w:tcW w:w="11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118</w:t>
            </w:r>
          </w:p>
        </w:tc>
        <w:tc>
          <w:tcPr>
            <w:tcW w:w="112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226</w:t>
            </w:r>
          </w:p>
        </w:tc>
        <w:tc>
          <w:tcPr>
            <w:tcW w:w="1280" w:type="dxa"/>
            <w:vAlign w:val="bottom"/>
            <w:tcBorders>
              <w:bottom w:val="single" w:sz="8" w:color="auto"/>
            </w:tcBorders>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226</w:t>
            </w:r>
          </w:p>
        </w:tc>
        <w:tc>
          <w:tcPr>
            <w:tcW w:w="74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020" w:type="dxa"/>
            <w:vAlign w:val="bottom"/>
          </w:tcPr>
          <w:p>
            <w:pPr>
              <w:spacing w:after="0" w:line="164" w:lineRule="exact"/>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580" w:type="dxa"/>
            <w:vAlign w:val="bottom"/>
            <w:gridSpan w:val="2"/>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4</w:t>
            </w:r>
          </w:p>
        </w:tc>
        <w:tc>
          <w:tcPr>
            <w:tcW w:w="110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10</w:t>
            </w:r>
          </w:p>
        </w:tc>
        <w:tc>
          <w:tcPr>
            <w:tcW w:w="11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128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12</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3</w:t>
            </w:r>
          </w:p>
        </w:tc>
        <w:tc>
          <w:tcPr>
            <w:tcW w:w="110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w:t>
            </w:r>
          </w:p>
        </w:tc>
        <w:tc>
          <w:tcPr>
            <w:tcW w:w="1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1280" w:type="dxa"/>
            <w:vAlign w:val="bottom"/>
          </w:tcPr>
          <w:p>
            <w:pPr>
              <w:spacing w:after="0"/>
              <w:rPr>
                <w:sz w:val="15"/>
                <w:szCs w:val="15"/>
                <w:color w:val="auto"/>
              </w:rPr>
            </w:pP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4</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w:t>
            </w:r>
          </w:p>
        </w:tc>
        <w:tc>
          <w:tcPr>
            <w:tcW w:w="1100" w:type="dxa"/>
            <w:vAlign w:val="bottom"/>
          </w:tcPr>
          <w:p>
            <w:pPr>
              <w:spacing w:after="0"/>
              <w:rPr>
                <w:sz w:val="15"/>
                <w:szCs w:val="15"/>
                <w:color w:val="auto"/>
              </w:rPr>
            </w:pPr>
          </w:p>
        </w:tc>
        <w:tc>
          <w:tcPr>
            <w:tcW w:w="9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280" w:type="dxa"/>
            <w:vAlign w:val="bottom"/>
          </w:tcPr>
          <w:p>
            <w:pPr>
              <w:spacing w:after="0"/>
              <w:rPr>
                <w:sz w:val="15"/>
                <w:szCs w:val="15"/>
                <w:color w:val="auto"/>
              </w:rPr>
            </w:pPr>
          </w:p>
        </w:tc>
        <w:tc>
          <w:tcPr>
            <w:tcW w:w="9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15</w:t>
            </w:r>
          </w:p>
        </w:tc>
        <w:tc>
          <w:tcPr>
            <w:tcW w:w="110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6</w:t>
            </w:r>
          </w:p>
        </w:tc>
        <w:tc>
          <w:tcPr>
            <w:tcW w:w="1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c>
          <w:tcPr>
            <w:tcW w:w="1280" w:type="dxa"/>
            <w:vAlign w:val="bottom"/>
          </w:tcPr>
          <w:p>
            <w:pPr>
              <w:spacing w:after="0"/>
              <w:rPr>
                <w:sz w:val="15"/>
                <w:szCs w:val="15"/>
                <w:color w:val="auto"/>
              </w:rPr>
            </w:pP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17</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60"/>
              <w:spacing w:after="0" w:line="176" w:lineRule="exact"/>
              <w:rPr>
                <w:sz w:val="20"/>
                <w:szCs w:val="20"/>
                <w:color w:val="auto"/>
              </w:rPr>
            </w:pPr>
            <w:r>
              <w:rPr>
                <w:rFonts w:ascii="Arial" w:cs="Arial" w:eastAsia="Arial" w:hAnsi="Arial"/>
                <w:sz w:val="16"/>
                <w:szCs w:val="16"/>
                <w:color w:val="auto"/>
              </w:rPr>
              <w:t>All other</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w:t>
            </w:r>
          </w:p>
        </w:tc>
        <w:tc>
          <w:tcPr>
            <w:tcW w:w="1100" w:type="dxa"/>
            <w:vAlign w:val="bottom"/>
          </w:tcPr>
          <w:p>
            <w:pPr>
              <w:spacing w:after="0"/>
              <w:rPr>
                <w:sz w:val="15"/>
                <w:szCs w:val="15"/>
                <w:color w:val="auto"/>
              </w:rPr>
            </w:pP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w:t>
            </w:r>
          </w:p>
        </w:tc>
        <w:tc>
          <w:tcPr>
            <w:tcW w:w="1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spacing w:after="0"/>
              <w:rPr>
                <w:sz w:val="15"/>
                <w:szCs w:val="15"/>
                <w:color w:val="auto"/>
              </w:rPr>
            </w:pP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3</w:t>
            </w:r>
          </w:p>
        </w:tc>
        <w:tc>
          <w:tcPr>
            <w:tcW w:w="74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3020" w:type="dxa"/>
            <w:vAlign w:val="bottom"/>
          </w:tcPr>
          <w:p>
            <w:pPr>
              <w:ind w:left="80"/>
              <w:spacing w:after="0"/>
              <w:rPr>
                <w:sz w:val="20"/>
                <w:szCs w:val="20"/>
                <w:color w:val="auto"/>
              </w:rPr>
            </w:pPr>
            <w:r>
              <w:rPr>
                <w:rFonts w:ascii="Arial" w:cs="Arial" w:eastAsia="Arial" w:hAnsi="Arial"/>
                <w:sz w:val="16"/>
                <w:szCs w:val="16"/>
                <w:color w:val="auto"/>
              </w:rPr>
              <w:t>Intercompany eliminations</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w:t>
            </w:r>
          </w:p>
        </w:tc>
        <w:tc>
          <w:tcPr>
            <w:tcW w:w="1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w:t>
            </w:r>
          </w:p>
        </w:tc>
        <w:tc>
          <w:tcPr>
            <w:tcW w:w="1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74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02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40"/>
              <w:spacing w:after="0" w:line="176" w:lineRule="exact"/>
              <w:rPr>
                <w:sz w:val="20"/>
                <w:szCs w:val="20"/>
                <w:color w:val="auto"/>
              </w:rPr>
            </w:pPr>
            <w:r>
              <w:rPr>
                <w:rFonts w:ascii="Arial" w:cs="Arial" w:eastAsia="Arial" w:hAnsi="Arial"/>
                <w:sz w:val="16"/>
                <w:szCs w:val="16"/>
                <w:color w:val="auto"/>
              </w:rPr>
              <w:t>4</w:t>
            </w:r>
          </w:p>
        </w:tc>
        <w:tc>
          <w:tcPr>
            <w:tcW w:w="11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12</w:t>
            </w:r>
          </w:p>
        </w:tc>
        <w:tc>
          <w:tcPr>
            <w:tcW w:w="112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w:t>
            </w:r>
          </w:p>
        </w:tc>
        <w:tc>
          <w:tcPr>
            <w:tcW w:w="1280" w:type="dxa"/>
            <w:vAlign w:val="bottom"/>
            <w:tcBorders>
              <w:bottom w:val="single" w:sz="8" w:color="auto"/>
            </w:tcBorders>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15</w:t>
            </w:r>
          </w:p>
        </w:tc>
        <w:tc>
          <w:tcPr>
            <w:tcW w:w="74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020" w:type="dxa"/>
            <w:vAlign w:val="bottom"/>
          </w:tcPr>
          <w:p>
            <w:pPr>
              <w:spacing w:after="0" w:line="164" w:lineRule="exact"/>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02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580" w:type="dxa"/>
            <w:vAlign w:val="bottom"/>
            <w:gridSpan w:val="2"/>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119</w:t>
            </w:r>
          </w:p>
        </w:tc>
        <w:tc>
          <w:tcPr>
            <w:tcW w:w="110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45 % $</w:t>
            </w: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105</w:t>
            </w:r>
          </w:p>
        </w:tc>
        <w:tc>
          <w:tcPr>
            <w:tcW w:w="11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42 % $</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231</w:t>
            </w:r>
          </w:p>
        </w:tc>
        <w:tc>
          <w:tcPr>
            <w:tcW w:w="128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44 % $</w:t>
            </w: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208</w:t>
            </w:r>
          </w:p>
        </w:tc>
        <w:tc>
          <w:tcPr>
            <w:tcW w:w="7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44 %</w:t>
            </w:r>
          </w:p>
        </w:tc>
      </w:tr>
      <w:tr>
        <w:trPr>
          <w:trHeight w:val="195"/>
        </w:trPr>
        <w:tc>
          <w:tcPr>
            <w:tcW w:w="20" w:type="dxa"/>
            <w:vAlign w:val="bottom"/>
          </w:tcPr>
          <w:p>
            <w:pPr>
              <w:spacing w:after="0"/>
              <w:rPr>
                <w:sz w:val="16"/>
                <w:szCs w:val="16"/>
                <w:color w:val="auto"/>
              </w:rPr>
            </w:pPr>
          </w:p>
        </w:tc>
        <w:tc>
          <w:tcPr>
            <w:tcW w:w="3020" w:type="dxa"/>
            <w:vAlign w:val="bottom"/>
          </w:tcPr>
          <w:p>
            <w:pPr>
              <w:ind w:left="80"/>
              <w:spacing w:after="0"/>
              <w:rPr>
                <w:sz w:val="20"/>
                <w:szCs w:val="20"/>
                <w:color w:val="auto"/>
              </w:rPr>
            </w:pPr>
            <w:r>
              <w:rPr>
                <w:rFonts w:ascii="Arial" w:cs="Arial" w:eastAsia="Arial" w:hAnsi="Arial"/>
                <w:sz w:val="16"/>
                <w:szCs w:val="16"/>
                <w:color w:val="auto"/>
              </w:rPr>
              <w:t>SoCalGas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90</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34</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82</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33</w:t>
            </w:r>
          </w:p>
        </w:tc>
        <w:tc>
          <w:tcPr>
            <w:tcW w:w="780" w:type="dxa"/>
            <w:vAlign w:val="bottom"/>
          </w:tcPr>
          <w:p>
            <w:pPr>
              <w:jc w:val="right"/>
              <w:spacing w:after="0"/>
              <w:rPr>
                <w:sz w:val="20"/>
                <w:szCs w:val="20"/>
                <w:color w:val="auto"/>
              </w:rPr>
            </w:pPr>
            <w:r>
              <w:rPr>
                <w:rFonts w:ascii="Arial" w:cs="Arial" w:eastAsia="Arial" w:hAnsi="Arial"/>
                <w:sz w:val="16"/>
                <w:szCs w:val="16"/>
                <w:color w:val="auto"/>
              </w:rPr>
              <w:t>177</w:t>
            </w:r>
          </w:p>
        </w:tc>
        <w:tc>
          <w:tcPr>
            <w:tcW w:w="1280" w:type="dxa"/>
            <w:vAlign w:val="bottom"/>
          </w:tcPr>
          <w:p>
            <w:pPr>
              <w:jc w:val="right"/>
              <w:ind w:right="620"/>
              <w:spacing w:after="0"/>
              <w:rPr>
                <w:sz w:val="20"/>
                <w:szCs w:val="20"/>
                <w:color w:val="auto"/>
              </w:rPr>
            </w:pPr>
            <w:r>
              <w:rPr>
                <w:rFonts w:ascii="Arial" w:cs="Arial" w:eastAsia="Arial" w:hAnsi="Arial"/>
                <w:sz w:val="16"/>
                <w:szCs w:val="16"/>
                <w:color w:val="auto"/>
              </w:rPr>
              <w:t>34</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163</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34</w:t>
            </w:r>
          </w:p>
        </w:tc>
      </w:tr>
      <w:tr>
        <w:trPr>
          <w:trHeight w:val="203"/>
        </w:trPr>
        <w:tc>
          <w:tcPr>
            <w:tcW w:w="20" w:type="dxa"/>
            <w:vAlign w:val="bottom"/>
          </w:tcPr>
          <w:p>
            <w:pPr>
              <w:spacing w:after="0"/>
              <w:rPr>
                <w:sz w:val="17"/>
                <w:szCs w:val="17"/>
                <w:color w:val="auto"/>
              </w:rPr>
            </w:pPr>
          </w:p>
        </w:tc>
        <w:tc>
          <w:tcPr>
            <w:tcW w:w="3020" w:type="dxa"/>
            <w:vAlign w:val="bottom"/>
          </w:tcPr>
          <w:p>
            <w:pPr>
              <w:ind w:left="80"/>
              <w:spacing w:after="0"/>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1100" w:type="dxa"/>
            <w:vAlign w:val="bottom"/>
          </w:tcPr>
          <w:p>
            <w:pPr>
              <w:jc w:val="right"/>
              <w:ind w:right="599"/>
              <w:spacing w:after="0"/>
              <w:rPr>
                <w:sz w:val="20"/>
                <w:szCs w:val="20"/>
                <w:color w:val="auto"/>
              </w:rPr>
            </w:pPr>
            <w:r>
              <w:rPr>
                <w:rFonts w:ascii="Arial" w:cs="Arial" w:eastAsia="Arial" w:hAnsi="Arial"/>
                <w:sz w:val="16"/>
                <w:szCs w:val="16"/>
                <w:color w:val="auto"/>
              </w:rPr>
              <w:t>5</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5</w:t>
            </w: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1280" w:type="dxa"/>
            <w:vAlign w:val="bottom"/>
          </w:tcPr>
          <w:p>
            <w:pPr>
              <w:jc w:val="right"/>
              <w:ind w:right="620"/>
              <w:spacing w:after="0"/>
              <w:rPr>
                <w:sz w:val="20"/>
                <w:szCs w:val="20"/>
                <w:color w:val="auto"/>
              </w:rPr>
            </w:pPr>
            <w:r>
              <w:rPr>
                <w:rFonts w:ascii="Arial" w:cs="Arial" w:eastAsia="Arial" w:hAnsi="Arial"/>
                <w:sz w:val="16"/>
                <w:szCs w:val="16"/>
                <w:color w:val="auto"/>
              </w:rPr>
              <w:t>5</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3</w:t>
            </w:r>
          </w:p>
        </w:tc>
      </w:tr>
    </w:tbl>
    <w:p>
      <w:pPr>
        <w:sectPr>
          <w:pgSz w:w="11900" w:h="16864" w:orient="portrait"/>
          <w:cols w:equalWidth="0" w:num="1">
            <w:col w:w="11420"/>
          </w:cols>
          <w:pgMar w:left="240" w:top="341" w:right="2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920" w:type="dxa"/>
            <w:vAlign w:val="bottom"/>
          </w:tcPr>
          <w:p>
            <w:pPr>
              <w:ind w:left="80"/>
              <w:spacing w:after="0"/>
              <w:rPr>
                <w:sz w:val="20"/>
                <w:szCs w:val="20"/>
                <w:color w:val="auto"/>
              </w:rPr>
            </w:pPr>
            <w:r>
              <w:rPr>
                <w:rFonts w:ascii="Arial" w:cs="Arial" w:eastAsia="Arial" w:hAnsi="Arial"/>
                <w:sz w:val="16"/>
                <w:szCs w:val="16"/>
                <w:color w:val="auto"/>
              </w:rPr>
              <w:t>Sempra Mexico</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180" w:type="dxa"/>
            <w:vAlign w:val="bottom"/>
          </w:tcPr>
          <w:p>
            <w:pPr>
              <w:jc w:val="right"/>
              <w:ind w:right="659"/>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160" w:type="dxa"/>
            <w:vAlign w:val="bottom"/>
          </w:tcPr>
          <w:p>
            <w:pPr>
              <w:jc w:val="right"/>
              <w:ind w:right="639"/>
              <w:spacing w:after="0"/>
              <w:rPr>
                <w:sz w:val="20"/>
                <w:szCs w:val="20"/>
                <w:color w:val="auto"/>
              </w:rPr>
            </w:pPr>
            <w:r>
              <w:rPr>
                <w:rFonts w:ascii="Arial" w:cs="Arial" w:eastAsia="Arial" w:hAnsi="Arial"/>
                <w:sz w:val="16"/>
                <w:szCs w:val="16"/>
                <w:color w:val="auto"/>
              </w:rPr>
              <w:t>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31</w:t>
            </w:r>
          </w:p>
        </w:tc>
        <w:tc>
          <w:tcPr>
            <w:tcW w:w="1200" w:type="dxa"/>
            <w:vAlign w:val="bottom"/>
          </w:tcPr>
          <w:p>
            <w:pPr>
              <w:jc w:val="right"/>
              <w:ind w:right="679"/>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31</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6</w:t>
            </w:r>
          </w:p>
        </w:tc>
      </w:tr>
      <w:tr>
        <w:trPr>
          <w:trHeight w:val="176"/>
        </w:trPr>
        <w:tc>
          <w:tcPr>
            <w:tcW w:w="20" w:type="dxa"/>
            <w:vAlign w:val="bottom"/>
          </w:tcPr>
          <w:p>
            <w:pPr>
              <w:spacing w:after="0"/>
              <w:rPr>
                <w:sz w:val="15"/>
                <w:szCs w:val="15"/>
                <w:color w:val="auto"/>
              </w:rPr>
            </w:pPr>
          </w:p>
        </w:tc>
        <w:tc>
          <w:tcPr>
            <w:tcW w:w="292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3</w:t>
            </w:r>
          </w:p>
        </w:tc>
        <w:tc>
          <w:tcPr>
            <w:tcW w:w="1180" w:type="dxa"/>
            <w:vAlign w:val="bottom"/>
          </w:tcPr>
          <w:p>
            <w:pPr>
              <w:jc w:val="right"/>
              <w:ind w:right="659"/>
              <w:spacing w:after="0" w:line="176" w:lineRule="exact"/>
              <w:rPr>
                <w:sz w:val="20"/>
                <w:szCs w:val="20"/>
                <w:color w:val="auto"/>
              </w:rPr>
            </w:pPr>
            <w:r>
              <w:rPr>
                <w:rFonts w:ascii="Arial" w:cs="Arial" w:eastAsia="Arial" w:hAnsi="Arial"/>
                <w:sz w:val="16"/>
                <w:szCs w:val="16"/>
                <w:color w:val="auto"/>
              </w:rPr>
              <w:t>1</w:t>
            </w: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w:t>
            </w:r>
          </w:p>
        </w:tc>
        <w:tc>
          <w:tcPr>
            <w:tcW w:w="1160" w:type="dxa"/>
            <w:vAlign w:val="bottom"/>
          </w:tcPr>
          <w:p>
            <w:pPr>
              <w:jc w:val="right"/>
              <w:ind w:right="639"/>
              <w:spacing w:after="0" w:line="176" w:lineRule="exact"/>
              <w:rPr>
                <w:sz w:val="20"/>
                <w:szCs w:val="20"/>
                <w:color w:val="auto"/>
              </w:rPr>
            </w:pPr>
            <w:r>
              <w:rPr>
                <w:rFonts w:ascii="Arial" w:cs="Arial" w:eastAsia="Arial" w:hAnsi="Arial"/>
                <w:sz w:val="16"/>
                <w:szCs w:val="16"/>
                <w:color w:val="auto"/>
              </w:rPr>
              <w:t>1</w:t>
            </w:r>
          </w:p>
        </w:tc>
        <w:tc>
          <w:tcPr>
            <w:tcW w:w="88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6</w:t>
            </w:r>
          </w:p>
        </w:tc>
        <w:tc>
          <w:tcPr>
            <w:tcW w:w="1200" w:type="dxa"/>
            <w:vAlign w:val="bottom"/>
          </w:tcPr>
          <w:p>
            <w:pPr>
              <w:jc w:val="right"/>
              <w:ind w:right="679"/>
              <w:spacing w:after="0" w:line="176" w:lineRule="exact"/>
              <w:rPr>
                <w:sz w:val="20"/>
                <w:szCs w:val="20"/>
                <w:color w:val="auto"/>
              </w:rPr>
            </w:pPr>
            <w:r>
              <w:rPr>
                <w:rFonts w:ascii="Arial" w:cs="Arial" w:eastAsia="Arial" w:hAnsi="Arial"/>
                <w:sz w:val="16"/>
                <w:szCs w:val="16"/>
                <w:color w:val="auto"/>
              </w:rPr>
              <w:t>1</w:t>
            </w:r>
          </w:p>
        </w:tc>
        <w:tc>
          <w:tcPr>
            <w:tcW w:w="88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3</w:t>
            </w:r>
          </w:p>
        </w:tc>
        <w:tc>
          <w:tcPr>
            <w:tcW w:w="74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1</w:t>
            </w:r>
          </w:p>
        </w:tc>
      </w:tr>
      <w:tr>
        <w:trPr>
          <w:trHeight w:val="176"/>
        </w:trPr>
        <w:tc>
          <w:tcPr>
            <w:tcW w:w="20" w:type="dxa"/>
            <w:vAlign w:val="bottom"/>
          </w:tcPr>
          <w:p>
            <w:pPr>
              <w:spacing w:after="0"/>
              <w:rPr>
                <w:sz w:val="15"/>
                <w:szCs w:val="15"/>
                <w:color w:val="auto"/>
              </w:rPr>
            </w:pPr>
          </w:p>
        </w:tc>
        <w:tc>
          <w:tcPr>
            <w:tcW w:w="292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22</w:t>
            </w:r>
          </w:p>
        </w:tc>
        <w:tc>
          <w:tcPr>
            <w:tcW w:w="1180" w:type="dxa"/>
            <w:vAlign w:val="bottom"/>
          </w:tcPr>
          <w:p>
            <w:pPr>
              <w:jc w:val="right"/>
              <w:ind w:right="659"/>
              <w:spacing w:after="0" w:line="176" w:lineRule="exact"/>
              <w:rPr>
                <w:sz w:val="20"/>
                <w:szCs w:val="20"/>
                <w:color w:val="auto"/>
              </w:rPr>
            </w:pPr>
            <w:r>
              <w:rPr>
                <w:rFonts w:ascii="Arial" w:cs="Arial" w:eastAsia="Arial" w:hAnsi="Arial"/>
                <w:sz w:val="16"/>
                <w:szCs w:val="16"/>
                <w:color w:val="auto"/>
              </w:rPr>
              <w:t>8</w:t>
            </w: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27</w:t>
            </w:r>
          </w:p>
        </w:tc>
        <w:tc>
          <w:tcPr>
            <w:tcW w:w="1160" w:type="dxa"/>
            <w:vAlign w:val="bottom"/>
          </w:tcPr>
          <w:p>
            <w:pPr>
              <w:jc w:val="right"/>
              <w:ind w:right="639"/>
              <w:spacing w:after="0" w:line="176" w:lineRule="exact"/>
              <w:rPr>
                <w:sz w:val="20"/>
                <w:szCs w:val="20"/>
                <w:color w:val="auto"/>
              </w:rPr>
            </w:pPr>
            <w:r>
              <w:rPr>
                <w:rFonts w:ascii="Arial" w:cs="Arial" w:eastAsia="Arial" w:hAnsi="Arial"/>
                <w:sz w:val="16"/>
                <w:szCs w:val="16"/>
                <w:color w:val="auto"/>
              </w:rPr>
              <w:t>11</w:t>
            </w:r>
          </w:p>
        </w:tc>
        <w:tc>
          <w:tcPr>
            <w:tcW w:w="88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45</w:t>
            </w:r>
          </w:p>
        </w:tc>
        <w:tc>
          <w:tcPr>
            <w:tcW w:w="1200" w:type="dxa"/>
            <w:vAlign w:val="bottom"/>
          </w:tcPr>
          <w:p>
            <w:pPr>
              <w:jc w:val="right"/>
              <w:ind w:right="679"/>
              <w:spacing w:after="0" w:line="176" w:lineRule="exact"/>
              <w:rPr>
                <w:sz w:val="20"/>
                <w:szCs w:val="20"/>
                <w:color w:val="auto"/>
              </w:rPr>
            </w:pPr>
            <w:r>
              <w:rPr>
                <w:rFonts w:ascii="Arial" w:cs="Arial" w:eastAsia="Arial" w:hAnsi="Arial"/>
                <w:sz w:val="16"/>
                <w:szCs w:val="16"/>
                <w:color w:val="auto"/>
              </w:rPr>
              <w:t>9</w:t>
            </w:r>
          </w:p>
        </w:tc>
        <w:tc>
          <w:tcPr>
            <w:tcW w:w="88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53</w:t>
            </w:r>
          </w:p>
        </w:tc>
        <w:tc>
          <w:tcPr>
            <w:tcW w:w="74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11</w:t>
            </w:r>
          </w:p>
        </w:tc>
      </w:tr>
      <w:tr>
        <w:trPr>
          <w:trHeight w:val="194"/>
        </w:trPr>
        <w:tc>
          <w:tcPr>
            <w:tcW w:w="20" w:type="dxa"/>
            <w:vAlign w:val="bottom"/>
          </w:tcPr>
          <w:p>
            <w:pPr>
              <w:spacing w:after="0"/>
              <w:rPr>
                <w:sz w:val="16"/>
                <w:szCs w:val="16"/>
                <w:color w:val="auto"/>
              </w:rPr>
            </w:pPr>
          </w:p>
        </w:tc>
        <w:tc>
          <w:tcPr>
            <w:tcW w:w="2920" w:type="dxa"/>
            <w:vAlign w:val="bottom"/>
          </w:tcPr>
          <w:p>
            <w:pPr>
              <w:ind w:left="60"/>
              <w:spacing w:after="0"/>
              <w:rPr>
                <w:sz w:val="20"/>
                <w:szCs w:val="20"/>
                <w:color w:val="auto"/>
              </w:rPr>
            </w:pPr>
            <w:r>
              <w:rPr>
                <w:rFonts w:ascii="Arial" w:cs="Arial" w:eastAsia="Arial" w:hAnsi="Arial"/>
                <w:sz w:val="16"/>
                <w:szCs w:val="16"/>
                <w:color w:val="auto"/>
              </w:rPr>
              <w:t>All other</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c>
          <w:tcPr>
            <w:tcW w:w="11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12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w:t>
            </w: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w:t>
            </w:r>
          </w:p>
        </w:tc>
      </w:tr>
      <w:tr>
        <w:trPr>
          <w:trHeight w:val="183"/>
        </w:trPr>
        <w:tc>
          <w:tcPr>
            <w:tcW w:w="20" w:type="dxa"/>
            <w:vAlign w:val="bottom"/>
          </w:tcPr>
          <w:p>
            <w:pPr>
              <w:spacing w:after="0"/>
              <w:rPr>
                <w:sz w:val="15"/>
                <w:szCs w:val="15"/>
                <w:color w:val="auto"/>
              </w:rPr>
            </w:pPr>
          </w:p>
        </w:tc>
        <w:tc>
          <w:tcPr>
            <w:tcW w:w="292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266</w:t>
            </w:r>
          </w:p>
        </w:tc>
        <w:tc>
          <w:tcPr>
            <w:tcW w:w="1180" w:type="dxa"/>
            <w:vAlign w:val="bottom"/>
            <w:tcBorders>
              <w:bottom w:val="single" w:sz="8" w:color="auto"/>
            </w:tcBorders>
          </w:tcPr>
          <w:p>
            <w:pPr>
              <w:jc w:val="right"/>
              <w:ind w:right="279"/>
              <w:spacing w:after="0" w:line="176" w:lineRule="exact"/>
              <w:rPr>
                <w:sz w:val="20"/>
                <w:szCs w:val="20"/>
                <w:color w:val="auto"/>
              </w:rPr>
            </w:pPr>
            <w:r>
              <w:rPr>
                <w:rFonts w:ascii="Arial" w:cs="Arial" w:eastAsia="Arial" w:hAnsi="Arial"/>
                <w:sz w:val="16"/>
                <w:szCs w:val="16"/>
                <w:color w:val="auto"/>
              </w:rPr>
              <w:t>100 % $</w:t>
            </w:r>
          </w:p>
        </w:tc>
        <w:tc>
          <w:tcPr>
            <w:tcW w:w="86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248</w:t>
            </w:r>
          </w:p>
        </w:tc>
        <w:tc>
          <w:tcPr>
            <w:tcW w:w="116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523</w:t>
            </w:r>
          </w:p>
        </w:tc>
        <w:tc>
          <w:tcPr>
            <w:tcW w:w="1200" w:type="dxa"/>
            <w:vAlign w:val="bottom"/>
            <w:tcBorders>
              <w:bottom w:val="single" w:sz="8" w:color="auto"/>
            </w:tcBorders>
          </w:tcPr>
          <w:p>
            <w:pPr>
              <w:jc w:val="right"/>
              <w:ind w:right="299"/>
              <w:spacing w:after="0" w:line="176" w:lineRule="exact"/>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478</w:t>
            </w:r>
          </w:p>
        </w:tc>
        <w:tc>
          <w:tcPr>
            <w:tcW w:w="7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100 %</w:t>
            </w:r>
          </w:p>
        </w:tc>
      </w:tr>
      <w:tr>
        <w:trPr>
          <w:trHeight w:val="191"/>
        </w:trPr>
        <w:tc>
          <w:tcPr>
            <w:tcW w:w="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292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720" w:type="dxa"/>
            <w:vAlign w:val="bottom"/>
            <w:gridSpan w:val="2"/>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53</w:t>
            </w:r>
          </w:p>
        </w:tc>
        <w:tc>
          <w:tcPr>
            <w:tcW w:w="1180" w:type="dxa"/>
            <w:vAlign w:val="bottom"/>
          </w:tcPr>
          <w:p>
            <w:pPr>
              <w:jc w:val="right"/>
              <w:ind w:right="27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42</w:t>
            </w:r>
          </w:p>
        </w:tc>
        <w:tc>
          <w:tcPr>
            <w:tcW w:w="116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113</w:t>
            </w:r>
          </w:p>
        </w:tc>
        <w:tc>
          <w:tcPr>
            <w:tcW w:w="120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91</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920" w:type="dxa"/>
            <w:vAlign w:val="bottom"/>
          </w:tcPr>
          <w:p>
            <w:pPr>
              <w:ind w:left="80"/>
              <w:spacing w:after="0" w:line="176" w:lineRule="exact"/>
              <w:rPr>
                <w:sz w:val="20"/>
                <w:szCs w:val="20"/>
                <w:color w:val="auto"/>
              </w:rPr>
            </w:pPr>
            <w:r>
              <w:rPr>
                <w:rFonts w:ascii="Arial" w:cs="Arial" w:eastAsia="Arial" w:hAnsi="Arial"/>
                <w:sz w:val="16"/>
                <w:szCs w:val="16"/>
                <w:color w:val="auto"/>
              </w:rPr>
              <w:t>SoCalGas</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28</w:t>
            </w:r>
          </w:p>
        </w:tc>
        <w:tc>
          <w:tcPr>
            <w:tcW w:w="1180" w:type="dxa"/>
            <w:vAlign w:val="bottom"/>
          </w:tcPr>
          <w:p>
            <w:pPr>
              <w:spacing w:after="0"/>
              <w:rPr>
                <w:sz w:val="15"/>
                <w:szCs w:val="15"/>
                <w:color w:val="auto"/>
              </w:rPr>
            </w:pP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28</w:t>
            </w:r>
          </w:p>
        </w:tc>
        <w:tc>
          <w:tcPr>
            <w:tcW w:w="1160" w:type="dxa"/>
            <w:vAlign w:val="bottom"/>
          </w:tcPr>
          <w:p>
            <w:pPr>
              <w:spacing w:after="0"/>
              <w:rPr>
                <w:sz w:val="15"/>
                <w:szCs w:val="15"/>
                <w:color w:val="auto"/>
              </w:rPr>
            </w:pPr>
          </w:p>
        </w:tc>
        <w:tc>
          <w:tcPr>
            <w:tcW w:w="88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68</w:t>
            </w:r>
          </w:p>
        </w:tc>
        <w:tc>
          <w:tcPr>
            <w:tcW w:w="1200" w:type="dxa"/>
            <w:vAlign w:val="bottom"/>
          </w:tcPr>
          <w:p>
            <w:pPr>
              <w:spacing w:after="0"/>
              <w:rPr>
                <w:sz w:val="15"/>
                <w:szCs w:val="15"/>
                <w:color w:val="auto"/>
              </w:rPr>
            </w:pPr>
          </w:p>
        </w:tc>
        <w:tc>
          <w:tcPr>
            <w:tcW w:w="88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65</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92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17</w:t>
            </w:r>
          </w:p>
        </w:tc>
        <w:tc>
          <w:tcPr>
            <w:tcW w:w="1180" w:type="dxa"/>
            <w:vAlign w:val="bottom"/>
          </w:tcPr>
          <w:p>
            <w:pPr>
              <w:spacing w:after="0"/>
              <w:rPr>
                <w:sz w:val="15"/>
                <w:szCs w:val="15"/>
                <w:color w:val="auto"/>
              </w:rPr>
            </w:pP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12</w:t>
            </w:r>
          </w:p>
        </w:tc>
        <w:tc>
          <w:tcPr>
            <w:tcW w:w="1160" w:type="dxa"/>
            <w:vAlign w:val="bottom"/>
          </w:tcPr>
          <w:p>
            <w:pPr>
              <w:spacing w:after="0"/>
              <w:rPr>
                <w:sz w:val="15"/>
                <w:szCs w:val="15"/>
                <w:color w:val="auto"/>
              </w:rPr>
            </w:pPr>
          </w:p>
        </w:tc>
        <w:tc>
          <w:tcPr>
            <w:tcW w:w="88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30</w:t>
            </w:r>
          </w:p>
        </w:tc>
        <w:tc>
          <w:tcPr>
            <w:tcW w:w="1200" w:type="dxa"/>
            <w:vAlign w:val="bottom"/>
          </w:tcPr>
          <w:p>
            <w:pPr>
              <w:spacing w:after="0"/>
              <w:rPr>
                <w:sz w:val="15"/>
                <w:szCs w:val="15"/>
                <w:color w:val="auto"/>
              </w:rPr>
            </w:pPr>
          </w:p>
        </w:tc>
        <w:tc>
          <w:tcPr>
            <w:tcW w:w="88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12</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92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3</w:t>
            </w:r>
          </w:p>
        </w:tc>
        <w:tc>
          <w:tcPr>
            <w:tcW w:w="1180" w:type="dxa"/>
            <w:vAlign w:val="bottom"/>
          </w:tcPr>
          <w:p>
            <w:pPr>
              <w:spacing w:after="0"/>
              <w:rPr>
                <w:sz w:val="15"/>
                <w:szCs w:val="15"/>
                <w:color w:val="auto"/>
              </w:rPr>
            </w:pP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13</w:t>
            </w:r>
          </w:p>
        </w:tc>
        <w:tc>
          <w:tcPr>
            <w:tcW w:w="1160" w:type="dxa"/>
            <w:vAlign w:val="bottom"/>
          </w:tcPr>
          <w:p>
            <w:pPr>
              <w:spacing w:after="0"/>
              <w:rPr>
                <w:sz w:val="15"/>
                <w:szCs w:val="15"/>
                <w:color w:val="auto"/>
              </w:rPr>
            </w:pPr>
          </w:p>
        </w:tc>
        <w:tc>
          <w:tcPr>
            <w:tcW w:w="88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23</w:t>
            </w:r>
          </w:p>
        </w:tc>
        <w:tc>
          <w:tcPr>
            <w:tcW w:w="1200" w:type="dxa"/>
            <w:vAlign w:val="bottom"/>
          </w:tcPr>
          <w:p>
            <w:pPr>
              <w:spacing w:after="0"/>
              <w:rPr>
                <w:sz w:val="15"/>
                <w:szCs w:val="15"/>
                <w:color w:val="auto"/>
              </w:rPr>
            </w:pPr>
          </w:p>
        </w:tc>
        <w:tc>
          <w:tcPr>
            <w:tcW w:w="88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31</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92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(18)</w:t>
            </w:r>
          </w:p>
        </w:tc>
        <w:tc>
          <w:tcPr>
            <w:tcW w:w="1180" w:type="dxa"/>
            <w:vAlign w:val="bottom"/>
          </w:tcPr>
          <w:p>
            <w:pPr>
              <w:spacing w:after="0"/>
              <w:rPr>
                <w:sz w:val="15"/>
                <w:szCs w:val="15"/>
                <w:color w:val="auto"/>
              </w:rPr>
            </w:pPr>
          </w:p>
        </w:tc>
        <w:tc>
          <w:tcPr>
            <w:tcW w:w="860" w:type="dxa"/>
            <w:vAlign w:val="bottom"/>
          </w:tcPr>
          <w:p>
            <w:pPr>
              <w:jc w:val="right"/>
              <w:ind w:right="79"/>
              <w:spacing w:after="0" w:line="176" w:lineRule="exact"/>
              <w:rPr>
                <w:sz w:val="20"/>
                <w:szCs w:val="20"/>
                <w:color w:val="auto"/>
              </w:rPr>
            </w:pPr>
            <w:r>
              <w:rPr>
                <w:rFonts w:ascii="Arial" w:cs="Arial" w:eastAsia="Arial" w:hAnsi="Arial"/>
                <w:sz w:val="16"/>
                <w:szCs w:val="16"/>
                <w:color w:val="auto"/>
              </w:rPr>
              <w:t>(6)</w:t>
            </w:r>
          </w:p>
        </w:tc>
        <w:tc>
          <w:tcPr>
            <w:tcW w:w="1160" w:type="dxa"/>
            <w:vAlign w:val="bottom"/>
          </w:tcPr>
          <w:p>
            <w:pPr>
              <w:spacing w:after="0"/>
              <w:rPr>
                <w:sz w:val="15"/>
                <w:szCs w:val="15"/>
                <w:color w:val="auto"/>
              </w:rPr>
            </w:pPr>
          </w:p>
        </w:tc>
        <w:tc>
          <w:tcPr>
            <w:tcW w:w="8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(35)</w:t>
            </w:r>
          </w:p>
        </w:tc>
        <w:tc>
          <w:tcPr>
            <w:tcW w:w="1200" w:type="dxa"/>
            <w:vAlign w:val="bottom"/>
          </w:tcPr>
          <w:p>
            <w:pPr>
              <w:spacing w:after="0"/>
              <w:rPr>
                <w:sz w:val="15"/>
                <w:szCs w:val="15"/>
                <w:color w:val="auto"/>
              </w:rPr>
            </w:pPr>
          </w:p>
        </w:tc>
        <w:tc>
          <w:tcPr>
            <w:tcW w:w="8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(13)</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92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(128)</w:t>
            </w:r>
          </w:p>
        </w:tc>
        <w:tc>
          <w:tcPr>
            <w:tcW w:w="1180" w:type="dxa"/>
            <w:vAlign w:val="bottom"/>
          </w:tcPr>
          <w:p>
            <w:pPr>
              <w:spacing w:after="0"/>
              <w:rPr>
                <w:sz w:val="15"/>
                <w:szCs w:val="15"/>
                <w:color w:val="auto"/>
              </w:rPr>
            </w:pPr>
          </w:p>
        </w:tc>
        <w:tc>
          <w:tcPr>
            <w:tcW w:w="86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38</w:t>
            </w:r>
          </w:p>
        </w:tc>
        <w:tc>
          <w:tcPr>
            <w:tcW w:w="1160" w:type="dxa"/>
            <w:vAlign w:val="bottom"/>
          </w:tcPr>
          <w:p>
            <w:pPr>
              <w:spacing w:after="0"/>
              <w:rPr>
                <w:sz w:val="15"/>
                <w:szCs w:val="15"/>
                <w:color w:val="auto"/>
              </w:rPr>
            </w:pPr>
          </w:p>
        </w:tc>
        <w:tc>
          <w:tcPr>
            <w:tcW w:w="8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(126)</w:t>
            </w:r>
          </w:p>
        </w:tc>
        <w:tc>
          <w:tcPr>
            <w:tcW w:w="1200" w:type="dxa"/>
            <w:vAlign w:val="bottom"/>
          </w:tcPr>
          <w:p>
            <w:pPr>
              <w:spacing w:after="0"/>
              <w:rPr>
                <w:sz w:val="15"/>
                <w:szCs w:val="15"/>
                <w:color w:val="auto"/>
              </w:rPr>
            </w:pPr>
          </w:p>
        </w:tc>
        <w:tc>
          <w:tcPr>
            <w:tcW w:w="88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70</w:t>
            </w:r>
          </w:p>
        </w:tc>
        <w:tc>
          <w:tcPr>
            <w:tcW w:w="74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920" w:type="dxa"/>
            <w:vAlign w:val="bottom"/>
          </w:tcPr>
          <w:p>
            <w:pPr>
              <w:ind w:left="60"/>
              <w:spacing w:after="0"/>
              <w:rPr>
                <w:sz w:val="20"/>
                <w:szCs w:val="20"/>
                <w:color w:val="auto"/>
              </w:rPr>
            </w:pPr>
            <w:r>
              <w:rPr>
                <w:rFonts w:ascii="Arial" w:cs="Arial" w:eastAsia="Arial" w:hAnsi="Arial"/>
                <w:sz w:val="16"/>
                <w:szCs w:val="16"/>
                <w:color w:val="auto"/>
              </w:rPr>
              <w:t>All other</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w:t>
            </w:r>
          </w:p>
        </w:tc>
        <w:tc>
          <w:tcPr>
            <w:tcW w:w="1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w:t>
            </w:r>
          </w:p>
        </w:tc>
        <w:tc>
          <w:tcPr>
            <w:tcW w:w="1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w:t>
            </w:r>
          </w:p>
        </w:tc>
        <w:tc>
          <w:tcPr>
            <w:tcW w:w="1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w:t>
            </w:r>
          </w:p>
        </w:tc>
        <w:tc>
          <w:tcPr>
            <w:tcW w:w="74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92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(118)</w:t>
            </w:r>
          </w:p>
        </w:tc>
        <w:tc>
          <w:tcPr>
            <w:tcW w:w="1180" w:type="dxa"/>
            <w:vAlign w:val="bottom"/>
            <w:tcBorders>
              <w:bottom w:val="single" w:sz="8" w:color="auto"/>
            </w:tcBorders>
          </w:tcPr>
          <w:p>
            <w:pPr>
              <w:jc w:val="right"/>
              <w:ind w:right="27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100</w:t>
            </w:r>
          </w:p>
        </w:tc>
        <w:tc>
          <w:tcPr>
            <w:tcW w:w="116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(1)</w:t>
            </w:r>
          </w:p>
        </w:tc>
        <w:tc>
          <w:tcPr>
            <w:tcW w:w="1200" w:type="dxa"/>
            <w:vAlign w:val="bottom"/>
            <w:tcBorders>
              <w:bottom w:val="single" w:sz="8" w:color="auto"/>
            </w:tcBorders>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214</w:t>
            </w:r>
          </w:p>
        </w:tc>
        <w:tc>
          <w:tcPr>
            <w:tcW w:w="7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80" w:type="dxa"/>
            <w:vAlign w:val="bottom"/>
            <w:gridSpan w:val="3"/>
            <w:vMerge w:val="restart"/>
          </w:tcPr>
          <w:p>
            <w:pPr>
              <w:jc w:val="right"/>
              <w:ind w:right="320"/>
              <w:spacing w:after="0"/>
              <w:rPr>
                <w:sz w:val="20"/>
                <w:szCs w:val="20"/>
                <w:color w:val="auto"/>
              </w:rPr>
            </w:pPr>
            <w:r>
              <w:rPr>
                <w:rFonts w:ascii="Arial" w:cs="Arial" w:eastAsia="Arial" w:hAnsi="Arial"/>
                <w:sz w:val="14"/>
                <w:szCs w:val="14"/>
                <w:color w:val="auto"/>
              </w:rPr>
              <w:t>Three months ended June 30,</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180" w:type="dxa"/>
            <w:vAlign w:val="bottom"/>
            <w:gridSpan w:val="3"/>
            <w:vMerge w:val="restart"/>
          </w:tcPr>
          <w:p>
            <w:pPr>
              <w:jc w:val="right"/>
              <w:ind w:right="340"/>
              <w:spacing w:after="0"/>
              <w:rPr>
                <w:sz w:val="20"/>
                <w:szCs w:val="20"/>
                <w:color w:val="auto"/>
              </w:rPr>
            </w:pPr>
            <w:r>
              <w:rPr>
                <w:rFonts w:ascii="Arial" w:cs="Arial" w:eastAsia="Arial" w:hAnsi="Arial"/>
                <w:sz w:val="14"/>
                <w:szCs w:val="14"/>
                <w:color w:val="auto"/>
              </w:rPr>
              <w:t>Six months ended June 30,</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3"/>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3"/>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2012</w:t>
            </w:r>
          </w:p>
        </w:tc>
        <w:tc>
          <w:tcPr>
            <w:tcW w:w="1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2011</w:t>
            </w: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80" w:type="dxa"/>
            <w:vAlign w:val="bottom"/>
          </w:tcPr>
          <w:p>
            <w:pPr>
              <w:spacing w:after="0" w:line="164" w:lineRule="exact"/>
              <w:rPr>
                <w:sz w:val="20"/>
                <w:szCs w:val="20"/>
                <w:color w:val="auto"/>
              </w:rPr>
            </w:pPr>
            <w:r>
              <w:rPr>
                <w:rFonts w:ascii="Arial" w:cs="Arial" w:eastAsia="Arial" w:hAnsi="Arial"/>
                <w:sz w:val="16"/>
                <w:szCs w:val="16"/>
                <w:color w:val="auto"/>
              </w:rPr>
              <w:t>EQUITY EARNINGS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40"/>
              <w:spacing w:after="0" w:line="176" w:lineRule="exact"/>
              <w:rPr>
                <w:sz w:val="20"/>
                <w:szCs w:val="20"/>
                <w:color w:val="auto"/>
              </w:rPr>
            </w:pPr>
            <w:r>
              <w:rPr>
                <w:rFonts w:ascii="Arial" w:cs="Arial" w:eastAsia="Arial" w:hAnsi="Arial"/>
                <w:sz w:val="16"/>
                <w:szCs w:val="16"/>
                <w:color w:val="auto"/>
              </w:rPr>
              <w:t>Earnings (losses) recorded before tax:</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Renewables</w:t>
            </w:r>
          </w:p>
        </w:tc>
        <w:tc>
          <w:tcPr>
            <w:tcW w:w="840" w:type="dxa"/>
            <w:vAlign w:val="bottom"/>
            <w:gridSpan w:val="2"/>
          </w:tcPr>
          <w:p>
            <w:pPr>
              <w:jc w:val="right"/>
              <w:ind w:right="484"/>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160"/>
              <w:spacing w:after="0" w:line="176" w:lineRule="exact"/>
              <w:rPr>
                <w:sz w:val="20"/>
                <w:szCs w:val="20"/>
                <w:color w:val="auto"/>
              </w:rPr>
            </w:pPr>
            <w:r>
              <w:rPr>
                <w:rFonts w:ascii="Arial" w:cs="Arial" w:eastAsia="Arial" w:hAnsi="Arial"/>
                <w:sz w:val="16"/>
                <w:szCs w:val="16"/>
                <w:color w:val="auto"/>
              </w:rPr>
              <w:t>(2)</w:t>
            </w:r>
          </w:p>
        </w:tc>
        <w:tc>
          <w:tcPr>
            <w:tcW w:w="1220" w:type="dxa"/>
            <w:vAlign w:val="bottom"/>
          </w:tcPr>
          <w:p>
            <w:pPr>
              <w:jc w:val="right"/>
              <w:ind w:right="27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w:t>
            </w:r>
          </w:p>
        </w:tc>
        <w:tc>
          <w:tcPr>
            <w:tcW w:w="1040" w:type="dxa"/>
            <w:vAlign w:val="bottom"/>
            <w:gridSpan w:val="2"/>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640" w:type="dxa"/>
            <w:vAlign w:val="bottom"/>
          </w:tcPr>
          <w:p>
            <w:pPr>
              <w:spacing w:after="0"/>
              <w:rPr>
                <w:sz w:val="15"/>
                <w:szCs w:val="15"/>
                <w:color w:val="auto"/>
              </w:rPr>
            </w:pPr>
          </w:p>
        </w:tc>
        <w:tc>
          <w:tcPr>
            <w:tcW w:w="46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Natural Gas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jc w:val="right"/>
              <w:ind w:right="160"/>
              <w:spacing w:after="0" w:line="176" w:lineRule="exact"/>
              <w:rPr>
                <w:sz w:val="20"/>
                <w:szCs w:val="20"/>
                <w:color w:val="auto"/>
              </w:rPr>
            </w:pPr>
            <w:r>
              <w:rPr>
                <w:rFonts w:ascii="Arial" w:cs="Arial" w:eastAsia="Arial" w:hAnsi="Arial"/>
                <w:sz w:val="16"/>
                <w:szCs w:val="16"/>
                <w:color w:val="auto"/>
              </w:rPr>
              <w:t>(290)</w:t>
            </w:r>
          </w:p>
        </w:tc>
        <w:tc>
          <w:tcPr>
            <w:tcW w:w="1220" w:type="dxa"/>
            <w:vAlign w:val="bottom"/>
          </w:tcPr>
          <w:p>
            <w:pPr>
              <w:spacing w:after="0"/>
              <w:rPr>
                <w:sz w:val="15"/>
                <w:szCs w:val="15"/>
                <w:color w:val="auto"/>
              </w:rPr>
            </w:pPr>
          </w:p>
        </w:tc>
        <w:tc>
          <w:tcPr>
            <w:tcW w:w="8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10</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(279)</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19</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2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w:t>
            </w:r>
          </w:p>
        </w:tc>
        <w:tc>
          <w:tcPr>
            <w:tcW w:w="1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w:t>
            </w: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Pr>
          <w:p>
            <w:pPr>
              <w:ind w:left="300"/>
              <w:spacing w:after="0" w:line="176" w:lineRule="exact"/>
              <w:rPr>
                <w:sz w:val="20"/>
                <w:szCs w:val="20"/>
                <w:color w:val="auto"/>
              </w:rPr>
            </w:pPr>
            <w:r>
              <w:rPr>
                <w:rFonts w:ascii="Arial" w:cs="Arial" w:eastAsia="Arial" w:hAnsi="Arial"/>
                <w:sz w:val="16"/>
                <w:szCs w:val="16"/>
                <w:color w:val="auto"/>
              </w:rPr>
              <w:t>Total</w:t>
            </w:r>
          </w:p>
        </w:tc>
        <w:tc>
          <w:tcPr>
            <w:tcW w:w="200" w:type="dxa"/>
            <w:vAlign w:val="bottom"/>
          </w:tcPr>
          <w:p>
            <w:pPr>
              <w:spacing w:after="0"/>
              <w:rPr>
                <w:sz w:val="15"/>
                <w:szCs w:val="15"/>
                <w:color w:val="auto"/>
              </w:rPr>
            </w:pP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60"/>
              <w:spacing w:after="0" w:line="176" w:lineRule="exact"/>
              <w:rPr>
                <w:sz w:val="20"/>
                <w:szCs w:val="20"/>
                <w:color w:val="auto"/>
              </w:rPr>
            </w:pPr>
            <w:r>
              <w:rPr>
                <w:rFonts w:ascii="Arial" w:cs="Arial" w:eastAsia="Arial" w:hAnsi="Arial"/>
                <w:sz w:val="16"/>
                <w:szCs w:val="16"/>
                <w:color w:val="auto"/>
              </w:rPr>
              <w:t>(293)</w:t>
            </w:r>
          </w:p>
        </w:tc>
        <w:tc>
          <w:tcPr>
            <w:tcW w:w="1220" w:type="dxa"/>
            <w:vAlign w:val="bottom"/>
            <w:tcBorders>
              <w:bottom w:val="single" w:sz="8" w:color="auto"/>
            </w:tcBorders>
          </w:tcPr>
          <w:p>
            <w:pPr>
              <w:jc w:val="right"/>
              <w:ind w:right="27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7</w:t>
            </w:r>
          </w:p>
        </w:tc>
        <w:tc>
          <w:tcPr>
            <w:tcW w:w="1040" w:type="dxa"/>
            <w:vAlign w:val="bottom"/>
            <w:tcBorders>
              <w:bottom w:val="single" w:sz="8" w:color="auto"/>
            </w:tcBorders>
            <w:gridSpan w:val="2"/>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(281)</w:t>
            </w:r>
          </w:p>
        </w:tc>
        <w:tc>
          <w:tcPr>
            <w:tcW w:w="6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8</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80" w:type="dxa"/>
            <w:vAlign w:val="bottom"/>
          </w:tcPr>
          <w:p>
            <w:pPr>
              <w:ind w:left="40"/>
              <w:spacing w:after="0" w:line="164" w:lineRule="exact"/>
              <w:rPr>
                <w:sz w:val="20"/>
                <w:szCs w:val="20"/>
                <w:color w:val="auto"/>
              </w:rPr>
            </w:pPr>
            <w:r>
              <w:rPr>
                <w:rFonts w:ascii="Arial" w:cs="Arial" w:eastAsia="Arial" w:hAnsi="Arial"/>
                <w:sz w:val="16"/>
                <w:szCs w:val="16"/>
                <w:color w:val="auto"/>
              </w:rPr>
              <w:t>Earnings (losses) recorded net of tax:</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South American Utilities</w:t>
            </w:r>
          </w:p>
        </w:tc>
        <w:tc>
          <w:tcPr>
            <w:tcW w:w="840" w:type="dxa"/>
            <w:vAlign w:val="bottom"/>
            <w:gridSpan w:val="2"/>
          </w:tcPr>
          <w:p>
            <w:pPr>
              <w:jc w:val="right"/>
              <w:ind w:right="484"/>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160"/>
              <w:spacing w:after="0" w:line="176"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27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w:t>
            </w:r>
          </w:p>
        </w:tc>
        <w:tc>
          <w:tcPr>
            <w:tcW w:w="1040" w:type="dxa"/>
            <w:vAlign w:val="bottom"/>
            <w:gridSpan w:val="2"/>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640" w:type="dxa"/>
            <w:vAlign w:val="bottom"/>
          </w:tcPr>
          <w:p>
            <w:pPr>
              <w:spacing w:after="0"/>
              <w:rPr>
                <w:sz w:val="15"/>
                <w:szCs w:val="15"/>
                <w:color w:val="auto"/>
              </w:rPr>
            </w:pPr>
          </w:p>
        </w:tc>
        <w:tc>
          <w:tcPr>
            <w:tcW w:w="46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23</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auto"/>
              </w:rPr>
              <w:t>Sempra Mexico</w:t>
            </w:r>
          </w:p>
        </w:tc>
        <w:tc>
          <w:tcPr>
            <w:tcW w:w="2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8</w:t>
            </w:r>
          </w:p>
        </w:tc>
        <w:tc>
          <w:tcPr>
            <w:tcW w:w="1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w:t>
            </w: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w:t>
            </w: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200"/>
              <w:spacing w:after="0" w:line="176" w:lineRule="exact"/>
              <w:rPr>
                <w:sz w:val="20"/>
                <w:szCs w:val="20"/>
                <w:color w:val="auto"/>
              </w:rPr>
            </w:pPr>
            <w:r>
              <w:rPr>
                <w:rFonts w:ascii="Arial" w:cs="Arial" w:eastAsia="Arial" w:hAnsi="Arial"/>
                <w:sz w:val="16"/>
                <w:szCs w:val="16"/>
                <w:color w:val="auto"/>
              </w:rPr>
              <w:t>8</w:t>
            </w:r>
          </w:p>
        </w:tc>
        <w:tc>
          <w:tcPr>
            <w:tcW w:w="1220" w:type="dxa"/>
            <w:vAlign w:val="bottom"/>
            <w:tcBorders>
              <w:bottom w:val="single" w:sz="8" w:color="auto"/>
            </w:tcBorders>
          </w:tcPr>
          <w:p>
            <w:pPr>
              <w:jc w:val="right"/>
              <w:ind w:right="27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8</w:t>
            </w:r>
          </w:p>
        </w:tc>
        <w:tc>
          <w:tcPr>
            <w:tcW w:w="1040" w:type="dxa"/>
            <w:vAlign w:val="bottom"/>
            <w:tcBorders>
              <w:bottom w:val="single" w:sz="8" w:color="auto"/>
            </w:tcBorders>
            <w:gridSpan w:val="2"/>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w:t>
            </w:r>
          </w:p>
        </w:tc>
        <w:tc>
          <w:tcPr>
            <w:tcW w:w="6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39</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80" w:type="dxa"/>
            <w:vAlign w:val="bottom"/>
          </w:tcPr>
          <w:p>
            <w:pPr>
              <w:spacing w:after="0" w:line="164" w:lineRule="exact"/>
              <w:rPr>
                <w:sz w:val="20"/>
                <w:szCs w:val="20"/>
                <w:color w:val="auto"/>
              </w:rPr>
            </w:pPr>
            <w:r>
              <w:rPr>
                <w:rFonts w:ascii="Arial" w:cs="Arial" w:eastAsia="Arial" w:hAnsi="Arial"/>
                <w:sz w:val="16"/>
                <w:szCs w:val="16"/>
                <w:color w:val="auto"/>
              </w:rPr>
              <w:t>EARNINGS (LOSSES)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SDG&amp;E(2)</w:t>
            </w:r>
          </w:p>
        </w:tc>
        <w:tc>
          <w:tcPr>
            <w:tcW w:w="840" w:type="dxa"/>
            <w:vAlign w:val="bottom"/>
            <w:gridSpan w:val="2"/>
          </w:tcPr>
          <w:p>
            <w:pPr>
              <w:jc w:val="right"/>
              <w:ind w:right="484"/>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95</w:t>
            </w:r>
          </w:p>
        </w:tc>
        <w:tc>
          <w:tcPr>
            <w:tcW w:w="1220" w:type="dxa"/>
            <w:vAlign w:val="bottom"/>
          </w:tcPr>
          <w:p>
            <w:pPr>
              <w:jc w:val="right"/>
              <w:ind w:right="279"/>
              <w:spacing w:after="0" w:line="176" w:lineRule="exact"/>
              <w:rPr>
                <w:sz w:val="20"/>
                <w:szCs w:val="20"/>
                <w:color w:val="auto"/>
              </w:rPr>
            </w:pPr>
            <w:r>
              <w:rPr>
                <w:rFonts w:ascii="Arial" w:cs="Arial" w:eastAsia="Arial" w:hAnsi="Arial"/>
                <w:sz w:val="16"/>
                <w:szCs w:val="16"/>
                <w:color w:val="auto"/>
              </w:rPr>
              <w:t>153 % $</w:t>
            </w:r>
          </w:p>
        </w:tc>
        <w:tc>
          <w:tcPr>
            <w:tcW w:w="8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71</w:t>
            </w:r>
          </w:p>
        </w:tc>
        <w:tc>
          <w:tcPr>
            <w:tcW w:w="1040" w:type="dxa"/>
            <w:vAlign w:val="bottom"/>
            <w:gridSpan w:val="2"/>
          </w:tcPr>
          <w:p>
            <w:pPr>
              <w:jc w:val="right"/>
              <w:ind w:right="139"/>
              <w:spacing w:after="0" w:line="176" w:lineRule="exact"/>
              <w:rPr>
                <w:sz w:val="20"/>
                <w:szCs w:val="20"/>
                <w:color w:val="auto"/>
              </w:rPr>
            </w:pPr>
            <w:r>
              <w:rPr>
                <w:rFonts w:ascii="Arial" w:cs="Arial" w:eastAsia="Arial" w:hAnsi="Arial"/>
                <w:sz w:val="16"/>
                <w:szCs w:val="16"/>
                <w:color w:val="auto"/>
              </w:rPr>
              <w:t>14 % $</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200</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460" w:type="dxa"/>
            <w:vAlign w:val="bottom"/>
          </w:tcPr>
          <w:p>
            <w:pPr>
              <w:jc w:val="right"/>
              <w:ind w:right="79"/>
              <w:spacing w:after="0" w:line="176" w:lineRule="exact"/>
              <w:rPr>
                <w:sz w:val="20"/>
                <w:szCs w:val="20"/>
                <w:color w:val="auto"/>
              </w:rPr>
            </w:pPr>
            <w:r>
              <w:rPr>
                <w:rFonts w:ascii="Arial" w:cs="Arial" w:eastAsia="Arial" w:hAnsi="Arial"/>
                <w:sz w:val="16"/>
                <w:szCs w:val="16"/>
                <w:color w:val="auto"/>
              </w:rPr>
              <w:t>% $</w:t>
            </w: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160</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220" w:type="dxa"/>
            <w:vAlign w:val="bottom"/>
          </w:tcPr>
          <w:p>
            <w:pPr>
              <w:jc w:val="right"/>
              <w:spacing w:after="0" w:line="176"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SoCalGas(2)</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53</w:t>
            </w:r>
          </w:p>
        </w:tc>
        <w:tc>
          <w:tcPr>
            <w:tcW w:w="1220" w:type="dxa"/>
            <w:vAlign w:val="bottom"/>
          </w:tcPr>
          <w:p>
            <w:pPr>
              <w:jc w:val="right"/>
              <w:ind w:right="659"/>
              <w:spacing w:after="0" w:line="176" w:lineRule="exact"/>
              <w:rPr>
                <w:sz w:val="20"/>
                <w:szCs w:val="20"/>
                <w:color w:val="auto"/>
              </w:rPr>
            </w:pPr>
            <w:r>
              <w:rPr>
                <w:rFonts w:ascii="Arial" w:cs="Arial" w:eastAsia="Arial" w:hAnsi="Arial"/>
                <w:sz w:val="16"/>
                <w:szCs w:val="16"/>
                <w:color w:val="auto"/>
              </w:rPr>
              <w:t>86</w:t>
            </w:r>
          </w:p>
        </w:tc>
        <w:tc>
          <w:tcPr>
            <w:tcW w:w="8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59</w:t>
            </w:r>
          </w:p>
        </w:tc>
        <w:tc>
          <w:tcPr>
            <w:tcW w:w="72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12</w:t>
            </w: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119</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127</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South American Utilities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38</w:t>
            </w:r>
          </w:p>
        </w:tc>
        <w:tc>
          <w:tcPr>
            <w:tcW w:w="1220" w:type="dxa"/>
            <w:vAlign w:val="bottom"/>
          </w:tcPr>
          <w:p>
            <w:pPr>
              <w:jc w:val="right"/>
              <w:ind w:right="659"/>
              <w:spacing w:after="0" w:line="176" w:lineRule="exact"/>
              <w:rPr>
                <w:sz w:val="20"/>
                <w:szCs w:val="20"/>
                <w:color w:val="auto"/>
              </w:rPr>
            </w:pPr>
            <w:r>
              <w:rPr>
                <w:rFonts w:ascii="Arial" w:cs="Arial" w:eastAsia="Arial" w:hAnsi="Arial"/>
                <w:sz w:val="16"/>
                <w:szCs w:val="16"/>
                <w:color w:val="auto"/>
              </w:rPr>
              <w:t>61</w:t>
            </w:r>
          </w:p>
        </w:tc>
        <w:tc>
          <w:tcPr>
            <w:tcW w:w="8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314</w:t>
            </w:r>
          </w:p>
        </w:tc>
        <w:tc>
          <w:tcPr>
            <w:tcW w:w="72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62</w:t>
            </w: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78</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336</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Mexico</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43</w:t>
            </w:r>
          </w:p>
        </w:tc>
        <w:tc>
          <w:tcPr>
            <w:tcW w:w="1220" w:type="dxa"/>
            <w:vAlign w:val="bottom"/>
          </w:tcPr>
          <w:p>
            <w:pPr>
              <w:jc w:val="right"/>
              <w:ind w:right="659"/>
              <w:spacing w:after="0" w:line="176" w:lineRule="exact"/>
              <w:rPr>
                <w:sz w:val="20"/>
                <w:szCs w:val="20"/>
                <w:color w:val="auto"/>
              </w:rPr>
            </w:pPr>
            <w:r>
              <w:rPr>
                <w:rFonts w:ascii="Arial" w:cs="Arial" w:eastAsia="Arial" w:hAnsi="Arial"/>
                <w:sz w:val="16"/>
                <w:szCs w:val="16"/>
                <w:color w:val="auto"/>
              </w:rPr>
              <w:t>69</w:t>
            </w:r>
          </w:p>
        </w:tc>
        <w:tc>
          <w:tcPr>
            <w:tcW w:w="8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35</w:t>
            </w:r>
          </w:p>
        </w:tc>
        <w:tc>
          <w:tcPr>
            <w:tcW w:w="72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7</w:t>
            </w: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80</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74</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Renewables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24</w:t>
            </w:r>
          </w:p>
        </w:tc>
        <w:tc>
          <w:tcPr>
            <w:tcW w:w="1220" w:type="dxa"/>
            <w:vAlign w:val="bottom"/>
          </w:tcPr>
          <w:p>
            <w:pPr>
              <w:jc w:val="right"/>
              <w:ind w:right="659"/>
              <w:spacing w:after="0" w:line="176" w:lineRule="exact"/>
              <w:rPr>
                <w:sz w:val="20"/>
                <w:szCs w:val="20"/>
                <w:color w:val="auto"/>
              </w:rPr>
            </w:pPr>
            <w:r>
              <w:rPr>
                <w:rFonts w:ascii="Arial" w:cs="Arial" w:eastAsia="Arial" w:hAnsi="Arial"/>
                <w:sz w:val="16"/>
                <w:szCs w:val="16"/>
                <w:color w:val="auto"/>
              </w:rPr>
              <w:t>39</w:t>
            </w:r>
          </w:p>
        </w:tc>
        <w:tc>
          <w:tcPr>
            <w:tcW w:w="8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4</w:t>
            </w:r>
          </w:p>
        </w:tc>
        <w:tc>
          <w:tcPr>
            <w:tcW w:w="72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8</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Natural Gas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jc w:val="right"/>
              <w:ind w:right="160"/>
              <w:spacing w:after="0" w:line="176" w:lineRule="exact"/>
              <w:rPr>
                <w:sz w:val="20"/>
                <w:szCs w:val="20"/>
                <w:color w:val="auto"/>
              </w:rPr>
            </w:pPr>
            <w:r>
              <w:rPr>
                <w:rFonts w:ascii="Arial" w:cs="Arial" w:eastAsia="Arial" w:hAnsi="Arial"/>
                <w:sz w:val="16"/>
                <w:szCs w:val="16"/>
                <w:color w:val="auto"/>
              </w:rPr>
              <w:t>(193)</w:t>
            </w:r>
          </w:p>
        </w:tc>
        <w:tc>
          <w:tcPr>
            <w:tcW w:w="1220" w:type="dxa"/>
            <w:vAlign w:val="bottom"/>
          </w:tcPr>
          <w:p>
            <w:pPr>
              <w:jc w:val="right"/>
              <w:ind w:right="619"/>
              <w:spacing w:after="0" w:line="176" w:lineRule="exact"/>
              <w:rPr>
                <w:sz w:val="20"/>
                <w:szCs w:val="20"/>
                <w:color w:val="auto"/>
              </w:rPr>
            </w:pPr>
            <w:r>
              <w:rPr>
                <w:rFonts w:ascii="Arial" w:cs="Arial" w:eastAsia="Arial" w:hAnsi="Arial"/>
                <w:sz w:val="16"/>
                <w:szCs w:val="16"/>
                <w:color w:val="auto"/>
              </w:rPr>
              <w:t>(311)</w:t>
            </w:r>
          </w:p>
        </w:tc>
        <w:tc>
          <w:tcPr>
            <w:tcW w:w="8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47</w:t>
            </w:r>
          </w:p>
        </w:tc>
        <w:tc>
          <w:tcPr>
            <w:tcW w:w="72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9</w:t>
            </w: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(192)</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(64)</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110</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2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3</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w:t>
            </w: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200"/>
              <w:spacing w:after="0" w:line="176" w:lineRule="exact"/>
              <w:rPr>
                <w:sz w:val="20"/>
                <w:szCs w:val="20"/>
                <w:color w:val="auto"/>
              </w:rPr>
            </w:pPr>
            <w:r>
              <w:rPr>
                <w:rFonts w:ascii="Arial" w:cs="Arial" w:eastAsia="Arial" w:hAnsi="Arial"/>
                <w:sz w:val="16"/>
                <w:szCs w:val="16"/>
                <w:color w:val="auto"/>
              </w:rPr>
              <w:t>62</w:t>
            </w:r>
          </w:p>
        </w:tc>
        <w:tc>
          <w:tcPr>
            <w:tcW w:w="1220" w:type="dxa"/>
            <w:vAlign w:val="bottom"/>
            <w:tcBorders>
              <w:bottom w:val="single" w:sz="8" w:color="auto"/>
            </w:tcBorders>
          </w:tcPr>
          <w:p>
            <w:pPr>
              <w:jc w:val="right"/>
              <w:ind w:right="279"/>
              <w:spacing w:after="0" w:line="176" w:lineRule="exact"/>
              <w:rPr>
                <w:sz w:val="20"/>
                <w:szCs w:val="20"/>
                <w:color w:val="auto"/>
              </w:rPr>
            </w:pPr>
            <w:r>
              <w:rPr>
                <w:rFonts w:ascii="Arial" w:cs="Arial" w:eastAsia="Arial" w:hAnsi="Arial"/>
                <w:sz w:val="16"/>
                <w:szCs w:val="16"/>
                <w:color w:val="auto"/>
              </w:rPr>
              <w:t>100 % $</w:t>
            </w:r>
          </w:p>
        </w:tc>
        <w:tc>
          <w:tcPr>
            <w:tcW w:w="84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503</w:t>
            </w:r>
          </w:p>
        </w:tc>
        <w:tc>
          <w:tcPr>
            <w:tcW w:w="1040" w:type="dxa"/>
            <w:vAlign w:val="bottom"/>
            <w:tcBorders>
              <w:bottom w:val="single" w:sz="8" w:color="auto"/>
            </w:tcBorders>
            <w:gridSpan w:val="2"/>
          </w:tcPr>
          <w:p>
            <w:pPr>
              <w:jc w:val="right"/>
              <w:ind w:right="139"/>
              <w:spacing w:after="0" w:line="176" w:lineRule="exact"/>
              <w:rPr>
                <w:sz w:val="20"/>
                <w:szCs w:val="20"/>
                <w:color w:val="auto"/>
              </w:rPr>
            </w:pPr>
            <w:r>
              <w:rPr>
                <w:rFonts w:ascii="Arial" w:cs="Arial" w:eastAsia="Arial" w:hAnsi="Arial"/>
                <w:sz w:val="16"/>
                <w:szCs w:val="16"/>
                <w:color w:val="auto"/>
              </w:rPr>
              <w:t>100 % $</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298</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w:t>
            </w:r>
          </w:p>
        </w:tc>
        <w:tc>
          <w:tcPr>
            <w:tcW w:w="46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757</w:t>
            </w: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Six months ended June 30,</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40" w:type="dxa"/>
            <w:vAlign w:val="bottom"/>
            <w:gridSpan w:val="4"/>
          </w:tcPr>
          <w:p>
            <w:pPr>
              <w:spacing w:after="0" w:line="164" w:lineRule="exact"/>
              <w:rPr>
                <w:sz w:val="20"/>
                <w:szCs w:val="20"/>
                <w:color w:val="auto"/>
              </w:rPr>
            </w:pPr>
            <w:r>
              <w:rPr>
                <w:rFonts w:ascii="Arial" w:cs="Arial" w:eastAsia="Arial" w:hAnsi="Arial"/>
                <w:sz w:val="16"/>
                <w:szCs w:val="16"/>
                <w:color w:val="auto"/>
              </w:rPr>
              <w:t>EXPENDITURES FOR PROPERTY PLANT &amp; EQUIPMENT</w:t>
            </w: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SDG&amp;E</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gridSpan w:val="2"/>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729</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48</w:t>
            </w:r>
          </w:p>
        </w:tc>
        <w:tc>
          <w:tcPr>
            <w:tcW w:w="460" w:type="dxa"/>
            <w:vAlign w:val="bottom"/>
          </w:tcPr>
          <w:p>
            <w:pPr>
              <w:jc w:val="right"/>
              <w:ind w:right="79"/>
              <w:spacing w:after="0" w:line="176" w:lineRule="exact"/>
              <w:rPr>
                <w:sz w:val="20"/>
                <w:szCs w:val="20"/>
                <w:color w:val="auto"/>
              </w:rPr>
            </w:pPr>
            <w:r>
              <w:rPr>
                <w:rFonts w:ascii="Arial" w:cs="Arial" w:eastAsia="Arial" w:hAnsi="Arial"/>
                <w:sz w:val="16"/>
                <w:szCs w:val="16"/>
                <w:color w:val="auto"/>
              </w:rPr>
              <w:t>% $</w:t>
            </w: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714</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58</w:t>
            </w:r>
          </w:p>
        </w:tc>
        <w:tc>
          <w:tcPr>
            <w:tcW w:w="220" w:type="dxa"/>
            <w:vAlign w:val="bottom"/>
          </w:tcPr>
          <w:p>
            <w:pPr>
              <w:jc w:val="right"/>
              <w:spacing w:after="0" w:line="176"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SoCalGas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316</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325</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South American Utilities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58</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27</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Mexico</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7</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Renewables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351</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55</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Natural Gas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51</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96</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1,517</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w:t>
            </w:r>
          </w:p>
        </w:tc>
        <w:tc>
          <w:tcPr>
            <w:tcW w:w="46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1,225</w:t>
            </w: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June 30, 2012</w:t>
            </w: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December 31, 2011</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80" w:type="dxa"/>
            <w:vAlign w:val="bottom"/>
          </w:tcPr>
          <w:p>
            <w:pPr>
              <w:spacing w:after="0" w:line="164" w:lineRule="exact"/>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SDG&amp;E</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gridSpan w:val="2"/>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14,296</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42</w:t>
            </w:r>
          </w:p>
        </w:tc>
        <w:tc>
          <w:tcPr>
            <w:tcW w:w="460" w:type="dxa"/>
            <w:vAlign w:val="bottom"/>
          </w:tcPr>
          <w:p>
            <w:pPr>
              <w:jc w:val="right"/>
              <w:ind w:right="79"/>
              <w:spacing w:after="0" w:line="176" w:lineRule="exact"/>
              <w:rPr>
                <w:sz w:val="20"/>
                <w:szCs w:val="20"/>
                <w:color w:val="auto"/>
              </w:rPr>
            </w:pPr>
            <w:r>
              <w:rPr>
                <w:rFonts w:ascii="Arial" w:cs="Arial" w:eastAsia="Arial" w:hAnsi="Arial"/>
                <w:sz w:val="16"/>
                <w:szCs w:val="16"/>
                <w:color w:val="auto"/>
              </w:rPr>
              <w:t>% $</w:t>
            </w: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13,555</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220" w:type="dxa"/>
            <w:vAlign w:val="bottom"/>
          </w:tcPr>
          <w:p>
            <w:pPr>
              <w:jc w:val="right"/>
              <w:spacing w:after="0" w:line="176"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SoCalGas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8,438</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8,475</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South American Utilities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3,068</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2,981</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Mexico</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2,964</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2,914</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Renewables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2,060</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1,210</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Natural Gas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5,633</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5,738</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All other</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376</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538</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auto"/>
              </w:rPr>
              <w:t>Intersegment receivables</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(2,162)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34,202</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w:t>
            </w:r>
          </w:p>
        </w:tc>
        <w:tc>
          <w:tcPr>
            <w:tcW w:w="46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33,249</w:t>
            </w: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20" w:type="dxa"/>
            <w:vAlign w:val="bottom"/>
            <w:gridSpan w:val="3"/>
          </w:tcPr>
          <w:p>
            <w:pPr>
              <w:spacing w:after="0"/>
              <w:rPr>
                <w:sz w:val="20"/>
                <w:szCs w:val="20"/>
                <w:color w:val="auto"/>
              </w:rPr>
            </w:pPr>
            <w:r>
              <w:rPr>
                <w:rFonts w:ascii="Arial" w:cs="Arial" w:eastAsia="Arial" w:hAnsi="Arial"/>
                <w:sz w:val="16"/>
                <w:szCs w:val="16"/>
                <w:color w:val="auto"/>
              </w:rPr>
              <w:t>INVESTMENTS IN EQUITY METHOD INVESTEES</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Mexico</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gridSpan w:val="2"/>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323</w:t>
            </w:r>
          </w:p>
        </w:tc>
        <w:tc>
          <w:tcPr>
            <w:tcW w:w="640" w:type="dxa"/>
            <w:vAlign w:val="bottom"/>
          </w:tcPr>
          <w:p>
            <w:pPr>
              <w:spacing w:after="0"/>
              <w:rPr>
                <w:sz w:val="15"/>
                <w:szCs w:val="15"/>
                <w:color w:val="auto"/>
              </w:rPr>
            </w:pPr>
          </w:p>
        </w:tc>
        <w:tc>
          <w:tcPr>
            <w:tcW w:w="46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302</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Renewables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622</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390</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20"/>
              <w:spacing w:after="0" w:line="176" w:lineRule="exact"/>
              <w:rPr>
                <w:sz w:val="20"/>
                <w:szCs w:val="20"/>
                <w:color w:val="auto"/>
              </w:rPr>
            </w:pPr>
            <w:r>
              <w:rPr>
                <w:rFonts w:ascii="Arial" w:cs="Arial" w:eastAsia="Arial" w:hAnsi="Arial"/>
                <w:sz w:val="16"/>
                <w:szCs w:val="16"/>
                <w:color w:val="auto"/>
              </w:rPr>
              <w:t>Sempra Natural Gas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477</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800</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137</w:t>
            </w: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tcPr>
          <w:p>
            <w:pPr>
              <w:ind w:left="30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1,557</w:t>
            </w:r>
          </w:p>
        </w:tc>
        <w:tc>
          <w:tcPr>
            <w:tcW w:w="640" w:type="dxa"/>
            <w:vAlign w:val="bottom"/>
          </w:tcPr>
          <w:p>
            <w:pPr>
              <w:spacing w:after="0"/>
              <w:rPr>
                <w:sz w:val="16"/>
                <w:szCs w:val="16"/>
                <w:color w:val="auto"/>
              </w:rPr>
            </w:pP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1,629</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Revenues for reportable segments include intersegment revenues of:</w:t>
      </w:r>
    </w:p>
    <w:p>
      <w:pPr>
        <w:spacing w:after="0" w:line="13" w:lineRule="exact"/>
        <w:rPr>
          <w:rFonts w:ascii="Arial" w:cs="Arial" w:eastAsia="Arial" w:hAnsi="Arial"/>
          <w:sz w:val="14"/>
          <w:szCs w:val="14"/>
          <w:i w:val="1"/>
          <w:iCs w:val="1"/>
          <w:color w:val="auto"/>
        </w:rPr>
      </w:pPr>
    </w:p>
    <w:p>
      <w:pPr>
        <w:jc w:val="both"/>
        <w:ind w:left="500" w:right="160"/>
        <w:spacing w:after="0" w:line="241" w:lineRule="auto"/>
        <w:rPr>
          <w:rFonts w:ascii="Arial" w:cs="Arial" w:eastAsia="Arial" w:hAnsi="Arial"/>
          <w:sz w:val="14"/>
          <w:szCs w:val="14"/>
          <w:i w:val="1"/>
          <w:iCs w:val="1"/>
          <w:color w:val="auto"/>
        </w:rPr>
      </w:pPr>
      <w:r>
        <w:rPr>
          <w:rFonts w:ascii="Arial" w:cs="Arial" w:eastAsia="Arial" w:hAnsi="Arial"/>
          <w:sz w:val="14"/>
          <w:szCs w:val="14"/>
          <w:i w:val="1"/>
          <w:iCs w:val="1"/>
          <w:color w:val="auto"/>
        </w:rPr>
        <w:t>$1 million, $16 million, $37 million and $34 million for the three months ended June 30, 2012; $3 million, $31 million, $83 million and $71 million for the six months ended June 30, 2012; $1 million, $12 million, $51 million and $61 million for the three months ended June 30, 2011; and $3 million, $25 million, $109 million and $110 million for the six months ended June 30, 2011 for SDG&amp;E, SoCalGas, Sempra Mexico and Sempra Natural Gas, respectively.</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ectPr>
          <w:pgSz w:w="11900" w:h="16838" w:orient="portrait"/>
          <w:cols w:equalWidth="0" w:num="1">
            <w:col w:w="11420"/>
          </w:cols>
          <w:pgMar w:left="240" w:top="119" w:right="239" w:bottom="1440" w:gutter="0" w:footer="0" w:header="0"/>
        </w:sectPr>
      </w:pPr>
    </w:p>
    <w:bookmarkStart w:id="46" w:name="page47"/>
    <w:bookmarkEnd w:id="46"/>
    <w:p>
      <w:pPr>
        <w:ind w:right="240"/>
        <w:spacing w:after="0" w:line="260"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21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You should read the following discussion in conjunction with the financial statements contained in this Form 10-Q; “Management’s Discussion and Analysis of Financial Condition and Results of Operations” contained in Exhibit 99.4 to Sempra Energy’s Current Report on Form 8-K dated May 11, 2012 (Form 8-K); the Notes to Consolidated Financial Statements contained in Exhibit 99.5 to the Form 8-K; and “Risk Factors” contained in our 2011 Annual Report on Form 10-K (Form 10-K). We refer to the Form 8-K throughout this Form 10-Q as the Updated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6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2012 Business Segment Realignment</w:t>
      </w:r>
    </w:p>
    <w:p>
      <w:pPr>
        <w:spacing w:after="0" w:line="2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Effective January 1, 2012, management realigned some of the company’s major subsidiaries to better fit its strategic direction and to enhance the management and integration of our assets. This realignment resulted in a change in reportable segments in 2012. In accordance with accounting principles generally accepted in the United States (GAAP), we have restated historical information in this Form 10-Q to reflect the effect of this change. All discussions of our operating units and reportable segments in this report reflect the new segments and operating structure.</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Sempra Energy is a Fortune 500 energy-services holding company whose operating units develop energy infrastructure, operate utilities and provide related services to their customers. Our operations are divided principally between our California Utilities, which are San Diego Gas &amp; Electric Company (SDG&amp;E) and Southern California Gas Company (SoCalGas), Sempra International and Sempra U.S. Gas &amp; Power. SDG&amp;E and SoCalGas are separate, reportable segments. Sempra International includes two reportable segments – Sempra South American Utilities and Sempra Mexico. Sempra U.S. Gas &amp; Power also includes two reportable segments – Sempra Renewables and Sempra Natural Gas.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pacing w:after="0" w:line="225" w:lineRule="exact"/>
        <w:rPr>
          <w:sz w:val="20"/>
          <w:szCs w:val="20"/>
          <w:color w:val="auto"/>
        </w:rPr>
      </w:pPr>
    </w:p>
    <w:p>
      <w:pPr>
        <w:ind w:left="340" w:hanging="188"/>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Sempra Energy and its consolidated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References in this report to “we,” “our” and “Sempra Energy Consolidated” are to Sempra Energy and its consolidated entities, collectively, unless otherwise indicated by the context. All references in this report to “Sempra International” and “Sempra U.S. Gas &amp; Power,” and to their respective principal segments, are not intended to refer to any legal entity with the same or similar name.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summary descriptions of our operating units and their reportable segments.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OPERATING UNITS AND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CALIFORNIA UTILITIES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380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SERVICE TERRITORY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b w:val="1"/>
                <w:bCs w:val="1"/>
                <w:color w:val="auto"/>
              </w:rPr>
              <w:t>SAN DIEGO GAS &amp; ELECTRIC COMPANY</w:t>
            </w:r>
          </w:p>
        </w:tc>
        <w:tc>
          <w:tcPr>
            <w:tcW w:w="520" w:type="dxa"/>
            <w:vAlign w:val="bottom"/>
          </w:tcPr>
          <w:p>
            <w:pPr>
              <w:ind w:left="320"/>
              <w:spacing w:after="0" w:line="162" w:lineRule="exact"/>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Provides electricity to 3.4 million consumers</w:t>
            </w:r>
          </w:p>
        </w:tc>
        <w:tc>
          <w:tcPr>
            <w:tcW w:w="3800" w:type="dxa"/>
            <w:vAlign w:val="bottom"/>
          </w:tcPr>
          <w:p>
            <w:pPr>
              <w:spacing w:after="0" w:line="162" w:lineRule="exact"/>
              <w:rPr>
                <w:sz w:val="20"/>
                <w:szCs w:val="20"/>
                <w:color w:val="auto"/>
              </w:rPr>
            </w:pPr>
            <w:r>
              <w:rPr>
                <w:rFonts w:ascii="Arial" w:cs="Arial" w:eastAsia="Arial" w:hAnsi="Arial"/>
                <w:sz w:val="16"/>
                <w:szCs w:val="16"/>
                <w:color w:val="auto"/>
              </w:rPr>
              <w:t>Serves the county of San Diego, California and an</w:t>
            </w:r>
          </w:p>
        </w:tc>
        <w:tc>
          <w:tcPr>
            <w:tcW w:w="0" w:type="dxa"/>
            <w:vAlign w:val="bottom"/>
          </w:tcPr>
          <w:p>
            <w:pPr>
              <w:spacing w:after="0"/>
              <w:rPr>
                <w:sz w:val="1"/>
                <w:szCs w:val="1"/>
                <w:color w:val="auto"/>
              </w:rPr>
            </w:pPr>
          </w:p>
        </w:tc>
      </w:tr>
      <w:tr>
        <w:trPr>
          <w:trHeight w:val="177"/>
        </w:trPr>
        <w:tc>
          <w:tcPr>
            <w:tcW w:w="380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b w:val="1"/>
                <w:bCs w:val="1"/>
                <w:color w:val="auto"/>
              </w:rPr>
              <w:t>(SDG&amp;E)</w:t>
            </w:r>
          </w:p>
        </w:tc>
        <w:tc>
          <w:tcPr>
            <w:tcW w:w="38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(1.4 million meters)</w:t>
            </w:r>
          </w:p>
        </w:tc>
        <w:tc>
          <w:tcPr>
            <w:tcW w:w="3800" w:type="dxa"/>
            <w:vAlign w:val="bottom"/>
          </w:tcPr>
          <w:p>
            <w:pPr>
              <w:spacing w:after="0" w:line="178" w:lineRule="exact"/>
              <w:rPr>
                <w:sz w:val="20"/>
                <w:szCs w:val="20"/>
                <w:color w:val="auto"/>
              </w:rPr>
            </w:pPr>
            <w:r>
              <w:rPr>
                <w:rFonts w:ascii="Arial" w:cs="Arial" w:eastAsia="Arial" w:hAnsi="Arial"/>
                <w:sz w:val="16"/>
                <w:szCs w:val="16"/>
                <w:color w:val="auto"/>
              </w:rPr>
              <w:t>adjacent portion of southern Orange County</w:t>
            </w:r>
          </w:p>
        </w:tc>
        <w:tc>
          <w:tcPr>
            <w:tcW w:w="0" w:type="dxa"/>
            <w:vAlign w:val="bottom"/>
          </w:tcPr>
          <w:p>
            <w:pPr>
              <w:spacing w:after="0"/>
              <w:rPr>
                <w:sz w:val="1"/>
                <w:szCs w:val="1"/>
                <w:color w:val="auto"/>
              </w:rPr>
            </w:pPr>
          </w:p>
        </w:tc>
      </w:tr>
      <w:tr>
        <w:trPr>
          <w:trHeight w:val="73"/>
        </w:trPr>
        <w:tc>
          <w:tcPr>
            <w:tcW w:w="3800" w:type="dxa"/>
            <w:vAlign w:val="bottom"/>
            <w:tcBorders>
              <w:right w:val="single" w:sz="8" w:color="auto"/>
            </w:tcBorders>
            <w:gridSpan w:val="2"/>
            <w:vMerge w:val="restart"/>
          </w:tcPr>
          <w:p>
            <w:pPr>
              <w:spacing w:after="0" w:line="176" w:lineRule="exact"/>
              <w:rPr>
                <w:sz w:val="20"/>
                <w:szCs w:val="20"/>
                <w:color w:val="auto"/>
              </w:rPr>
            </w:pPr>
            <w:r>
              <w:rPr>
                <w:rFonts w:ascii="Arial" w:cs="Arial" w:eastAsia="Arial" w:hAnsi="Arial"/>
                <w:sz w:val="16"/>
                <w:szCs w:val="16"/>
                <w:color w:val="auto"/>
              </w:rPr>
              <w:t>A regulated public utility; infrastructure supports</w:t>
            </w:r>
          </w:p>
        </w:tc>
        <w:tc>
          <w:tcPr>
            <w:tcW w:w="3820" w:type="dxa"/>
            <w:vAlign w:val="bottom"/>
            <w:tcBorders>
              <w:right w:val="single" w:sz="8" w:color="auto"/>
            </w:tcBorders>
            <w:gridSpan w:val="2"/>
            <w:vMerge w:val="continue"/>
          </w:tcPr>
          <w:p>
            <w:pPr>
              <w:spacing w:after="0"/>
              <w:rPr>
                <w:sz w:val="6"/>
                <w:szCs w:val="6"/>
                <w:color w:val="auto"/>
              </w:rPr>
            </w:pPr>
          </w:p>
        </w:tc>
        <w:tc>
          <w:tcPr>
            <w:tcW w:w="3800" w:type="dxa"/>
            <w:vAlign w:val="bottom"/>
            <w:vMerge w:val="restart"/>
          </w:tcPr>
          <w:p>
            <w:pPr>
              <w:spacing w:after="0" w:line="176" w:lineRule="exact"/>
              <w:rPr>
                <w:sz w:val="20"/>
                <w:szCs w:val="20"/>
                <w:color w:val="auto"/>
              </w:rPr>
            </w:pPr>
            <w:r>
              <w:rPr>
                <w:rFonts w:ascii="Arial" w:cs="Arial" w:eastAsia="Arial" w:hAnsi="Arial"/>
                <w:sz w:val="16"/>
                <w:szCs w:val="16"/>
                <w:color w:val="auto"/>
              </w:rPr>
              <w:t>covering 4,100 square miles</w:t>
            </w:r>
          </w:p>
        </w:tc>
        <w:tc>
          <w:tcPr>
            <w:tcW w:w="0" w:type="dxa"/>
            <w:vAlign w:val="bottom"/>
          </w:tcPr>
          <w:p>
            <w:pPr>
              <w:spacing w:after="0"/>
              <w:rPr>
                <w:sz w:val="1"/>
                <w:szCs w:val="1"/>
                <w:color w:val="auto"/>
              </w:rPr>
            </w:pPr>
          </w:p>
        </w:tc>
      </w:tr>
      <w:tr>
        <w:trPr>
          <w:trHeight w:val="102"/>
        </w:trPr>
        <w:tc>
          <w:tcPr>
            <w:tcW w:w="3800" w:type="dxa"/>
            <w:vAlign w:val="bottom"/>
            <w:tcBorders>
              <w:right w:val="single" w:sz="8" w:color="auto"/>
            </w:tcBorders>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80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6"/>
                <w:szCs w:val="16"/>
                <w:color w:val="auto"/>
              </w:rPr>
              <w:t>electric generation, transmission and distribution,</w:t>
            </w:r>
          </w:p>
        </w:tc>
        <w:tc>
          <w:tcPr>
            <w:tcW w:w="52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Provides natural gas to 3.1 million</w:t>
            </w: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and natural gas distribution</w:t>
            </w:r>
          </w:p>
        </w:tc>
        <w:tc>
          <w:tcPr>
            <w:tcW w:w="520" w:type="dxa"/>
            <w:vAlign w:val="bottom"/>
            <w:vMerge w:val="continue"/>
          </w:tcPr>
          <w:p>
            <w:pPr>
              <w:spacing w:after="0"/>
              <w:rPr>
                <w:sz w:val="12"/>
                <w:szCs w:val="12"/>
                <w:color w:val="auto"/>
              </w:rPr>
            </w:pPr>
          </w:p>
        </w:tc>
        <w:tc>
          <w:tcPr>
            <w:tcW w:w="3300" w:type="dxa"/>
            <w:vAlign w:val="bottom"/>
            <w:tcBorders>
              <w:right w:val="single" w:sz="8" w:color="auto"/>
            </w:tcBorders>
            <w:vMerge w:val="continue"/>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800" w:type="dxa"/>
            <w:vAlign w:val="bottom"/>
            <w:tcBorders>
              <w:right w:val="single" w:sz="8" w:color="auto"/>
            </w:tcBorders>
            <w:gridSpan w:val="2"/>
            <w:vMerge w:val="continue"/>
          </w:tcPr>
          <w:p>
            <w:pPr>
              <w:spacing w:after="0"/>
              <w:rPr>
                <w:sz w:val="4"/>
                <w:szCs w:val="4"/>
                <w:color w:val="auto"/>
              </w:rPr>
            </w:pPr>
          </w:p>
        </w:tc>
        <w:tc>
          <w:tcPr>
            <w:tcW w:w="38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consumers (855,000 meters)</w:t>
            </w:r>
          </w:p>
        </w:tc>
        <w:tc>
          <w:tcPr>
            <w:tcW w:w="3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Borders>
              <w:right w:val="single" w:sz="8" w:color="auto"/>
            </w:tcBorders>
          </w:tcPr>
          <w:p>
            <w:pPr>
              <w:spacing w:after="0"/>
              <w:rPr>
                <w:sz w:val="12"/>
                <w:szCs w:val="12"/>
                <w:color w:val="auto"/>
              </w:rPr>
            </w:pPr>
          </w:p>
        </w:tc>
        <w:tc>
          <w:tcPr>
            <w:tcW w:w="3820" w:type="dxa"/>
            <w:vAlign w:val="bottom"/>
            <w:tcBorders>
              <w:right w:val="single" w:sz="8" w:color="auto"/>
            </w:tcBorders>
            <w:gridSpan w:val="2"/>
            <w:vMerge w:val="continue"/>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b w:val="1"/>
                <w:bCs w:val="1"/>
                <w:color w:val="auto"/>
              </w:rPr>
              <w:t>SOUTHERN CALIFORNIA GAS COMPANY</w:t>
            </w:r>
          </w:p>
        </w:tc>
        <w:tc>
          <w:tcPr>
            <w:tcW w:w="520" w:type="dxa"/>
            <w:vAlign w:val="bottom"/>
          </w:tcPr>
          <w:p>
            <w:pPr>
              <w:ind w:left="320"/>
              <w:spacing w:after="0" w:line="162" w:lineRule="exact"/>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Residential, commercial, industrial, utility</w:t>
            </w:r>
          </w:p>
        </w:tc>
        <w:tc>
          <w:tcPr>
            <w:tcW w:w="3800" w:type="dxa"/>
            <w:vAlign w:val="bottom"/>
          </w:tcPr>
          <w:p>
            <w:pPr>
              <w:spacing w:after="0" w:line="162" w:lineRule="exact"/>
              <w:rPr>
                <w:sz w:val="20"/>
                <w:szCs w:val="20"/>
                <w:color w:val="auto"/>
              </w:rPr>
            </w:pPr>
            <w:r>
              <w:rPr>
                <w:rFonts w:ascii="Arial" w:cs="Arial" w:eastAsia="Arial" w:hAnsi="Arial"/>
                <w:sz w:val="16"/>
                <w:szCs w:val="16"/>
                <w:color w:val="auto"/>
              </w:rPr>
              <w:t>Southern California and portions of central California</w:t>
            </w:r>
          </w:p>
        </w:tc>
        <w:tc>
          <w:tcPr>
            <w:tcW w:w="0" w:type="dxa"/>
            <w:vAlign w:val="bottom"/>
          </w:tcPr>
          <w:p>
            <w:pPr>
              <w:spacing w:after="0"/>
              <w:rPr>
                <w:sz w:val="1"/>
                <w:szCs w:val="1"/>
                <w:color w:val="auto"/>
              </w:rPr>
            </w:pPr>
          </w:p>
        </w:tc>
      </w:tr>
      <w:tr>
        <w:trPr>
          <w:trHeight w:val="177"/>
        </w:trPr>
        <w:tc>
          <w:tcPr>
            <w:tcW w:w="380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b w:val="1"/>
                <w:bCs w:val="1"/>
                <w:color w:val="auto"/>
              </w:rPr>
              <w:t>(SOCALGAS)</w:t>
            </w:r>
          </w:p>
        </w:tc>
        <w:tc>
          <w:tcPr>
            <w:tcW w:w="38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electric generation and wholesale customers</w:t>
            </w:r>
          </w:p>
        </w:tc>
        <w:tc>
          <w:tcPr>
            <w:tcW w:w="3800" w:type="dxa"/>
            <w:vAlign w:val="bottom"/>
          </w:tcPr>
          <w:p>
            <w:pPr>
              <w:spacing w:after="0" w:line="178" w:lineRule="exact"/>
              <w:rPr>
                <w:sz w:val="20"/>
                <w:szCs w:val="20"/>
                <w:color w:val="auto"/>
              </w:rPr>
            </w:pPr>
            <w:r>
              <w:rPr>
                <w:rFonts w:ascii="Arial" w:cs="Arial" w:eastAsia="Arial" w:hAnsi="Arial"/>
                <w:sz w:val="16"/>
                <w:szCs w:val="16"/>
                <w:color w:val="auto"/>
              </w:rPr>
              <w:t>(excluding San Diego County, the city of Long Beach</w:t>
            </w:r>
          </w:p>
        </w:tc>
        <w:tc>
          <w:tcPr>
            <w:tcW w:w="0" w:type="dxa"/>
            <w:vAlign w:val="bottom"/>
          </w:tcPr>
          <w:p>
            <w:pPr>
              <w:spacing w:after="0"/>
              <w:rPr>
                <w:sz w:val="1"/>
                <w:szCs w:val="1"/>
                <w:color w:val="auto"/>
              </w:rPr>
            </w:pPr>
          </w:p>
        </w:tc>
      </w:tr>
      <w:tr>
        <w:trPr>
          <w:trHeight w:val="73"/>
        </w:trPr>
        <w:tc>
          <w:tcPr>
            <w:tcW w:w="3800" w:type="dxa"/>
            <w:vAlign w:val="bottom"/>
            <w:tcBorders>
              <w:right w:val="single" w:sz="8" w:color="auto"/>
            </w:tcBorders>
            <w:gridSpan w:val="2"/>
            <w:vMerge w:val="restart"/>
          </w:tcPr>
          <w:p>
            <w:pPr>
              <w:spacing w:after="0" w:line="176" w:lineRule="exact"/>
              <w:rPr>
                <w:sz w:val="20"/>
                <w:szCs w:val="20"/>
                <w:color w:val="auto"/>
              </w:rPr>
            </w:pPr>
            <w:r>
              <w:rPr>
                <w:rFonts w:ascii="Arial" w:cs="Arial" w:eastAsia="Arial" w:hAnsi="Arial"/>
                <w:sz w:val="16"/>
                <w:szCs w:val="16"/>
                <w:color w:val="auto"/>
              </w:rPr>
              <w:t>A regulated public utility; infrastructure supports</w:t>
            </w:r>
          </w:p>
        </w:tc>
        <w:tc>
          <w:tcPr>
            <w:tcW w:w="3820" w:type="dxa"/>
            <w:vAlign w:val="bottom"/>
            <w:tcBorders>
              <w:right w:val="single" w:sz="8" w:color="auto"/>
            </w:tcBorders>
            <w:gridSpan w:val="2"/>
            <w:vMerge w:val="continue"/>
          </w:tcPr>
          <w:p>
            <w:pPr>
              <w:spacing w:after="0"/>
              <w:rPr>
                <w:sz w:val="6"/>
                <w:szCs w:val="6"/>
                <w:color w:val="auto"/>
              </w:rPr>
            </w:pPr>
          </w:p>
        </w:tc>
        <w:tc>
          <w:tcPr>
            <w:tcW w:w="3800" w:type="dxa"/>
            <w:vAlign w:val="bottom"/>
            <w:vMerge w:val="restart"/>
          </w:tcPr>
          <w:p>
            <w:pPr>
              <w:spacing w:after="0" w:line="176" w:lineRule="exact"/>
              <w:rPr>
                <w:sz w:val="20"/>
                <w:szCs w:val="20"/>
                <w:color w:val="auto"/>
              </w:rPr>
            </w:pPr>
            <w:r>
              <w:rPr>
                <w:rFonts w:ascii="Arial" w:cs="Arial" w:eastAsia="Arial" w:hAnsi="Arial"/>
                <w:sz w:val="16"/>
                <w:szCs w:val="16"/>
                <w:color w:val="auto"/>
              </w:rPr>
              <w:t>and the desert area of San Bernardino County)</w:t>
            </w:r>
          </w:p>
        </w:tc>
        <w:tc>
          <w:tcPr>
            <w:tcW w:w="0" w:type="dxa"/>
            <w:vAlign w:val="bottom"/>
          </w:tcPr>
          <w:p>
            <w:pPr>
              <w:spacing w:after="0"/>
              <w:rPr>
                <w:sz w:val="1"/>
                <w:szCs w:val="1"/>
                <w:color w:val="auto"/>
              </w:rPr>
            </w:pPr>
          </w:p>
        </w:tc>
      </w:tr>
      <w:tr>
        <w:trPr>
          <w:trHeight w:val="102"/>
        </w:trPr>
        <w:tc>
          <w:tcPr>
            <w:tcW w:w="3800" w:type="dxa"/>
            <w:vAlign w:val="bottom"/>
            <w:tcBorders>
              <w:right w:val="single" w:sz="8" w:color="auto"/>
            </w:tcBorders>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natural gas distribution, transmission and storage</w:t>
            </w:r>
          </w:p>
        </w:tc>
        <w:tc>
          <w:tcPr>
            <w:tcW w:w="52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Covers a population of 21 million (5.8</w:t>
            </w:r>
          </w:p>
        </w:tc>
        <w:tc>
          <w:tcPr>
            <w:tcW w:w="3800" w:type="dxa"/>
            <w:vAlign w:val="bottom"/>
          </w:tcPr>
          <w:p>
            <w:pPr>
              <w:spacing w:after="0"/>
              <w:rPr>
                <w:sz w:val="20"/>
                <w:szCs w:val="20"/>
                <w:color w:val="auto"/>
              </w:rPr>
            </w:pPr>
            <w:r>
              <w:rPr>
                <w:rFonts w:ascii="Arial" w:cs="Arial" w:eastAsia="Arial" w:hAnsi="Arial"/>
                <w:sz w:val="16"/>
                <w:szCs w:val="16"/>
                <w:color w:val="auto"/>
              </w:rPr>
              <w:t>covering 20,000 square miles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Borders>
              <w:right w:val="single" w:sz="8" w:color="auto"/>
            </w:tcBorders>
          </w:tcPr>
          <w:p>
            <w:pPr>
              <w:spacing w:after="0"/>
              <w:rPr>
                <w:sz w:val="10"/>
                <w:szCs w:val="10"/>
                <w:color w:val="auto"/>
              </w:rPr>
            </w:pPr>
          </w:p>
        </w:tc>
        <w:tc>
          <w:tcPr>
            <w:tcW w:w="520" w:type="dxa"/>
            <w:vAlign w:val="bottom"/>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color w:val="auto"/>
              </w:rPr>
              <w:t>million meters)</w:t>
            </w: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refer to SDG&amp;E and SoCalGas collectively as the California Utilities, which do not include the utilities in our Sempra International and Sempra U.S. Gas &amp; Power operating units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provide descriptions of our reorganized businesses, Sempra International and Sempra U.S. Gas &amp; Power,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INTERNATIONAL</w:t>
      </w:r>
    </w:p>
    <w:p>
      <w:pPr>
        <w:spacing w:after="0" w:line="37" w:lineRule="exact"/>
        <w:rPr>
          <w:sz w:val="20"/>
          <w:szCs w:val="20"/>
          <w:color w:val="auto"/>
        </w:rPr>
      </w:pPr>
    </w:p>
    <w:p>
      <w:pPr>
        <w:ind w:left="5400"/>
        <w:spacing w:after="0"/>
        <w:tabs>
          <w:tab w:leader="none" w:pos="8700" w:val="left"/>
        </w:tabs>
        <w:rPr>
          <w:sz w:val="20"/>
          <w:szCs w:val="20"/>
          <w:color w:val="auto"/>
        </w:rPr>
      </w:pPr>
      <w:r>
        <w:rPr>
          <w:rFonts w:ascii="Arial" w:cs="Arial" w:eastAsia="Arial" w:hAnsi="Arial"/>
          <w:sz w:val="14"/>
          <w:szCs w:val="14"/>
          <w:b w:val="1"/>
          <w:bCs w:val="1"/>
          <w:color w:val="auto"/>
        </w:rPr>
        <w:t>MARKET</w:t>
      </w:r>
      <w:r>
        <w:rPr>
          <w:sz w:val="20"/>
          <w:szCs w:val="20"/>
          <w:color w:val="auto"/>
        </w:rPr>
        <w:tab/>
      </w:r>
      <w:r>
        <w:rPr>
          <w:rFonts w:ascii="Arial" w:cs="Arial" w:eastAsia="Arial" w:hAnsi="Arial"/>
          <w:sz w:val="14"/>
          <w:szCs w:val="14"/>
          <w:b w:val="1"/>
          <w:bCs w:val="1"/>
          <w:color w:val="auto"/>
        </w:rPr>
        <w:t>GEOGRAPHIC REGION</w:t>
      </w:r>
    </w:p>
    <w:p>
      <w:pPr>
        <w:sectPr>
          <w:pgSz w:w="11900" w:h="16838" w:orient="portrait"/>
          <w:cols w:equalWidth="0" w:num="1">
            <w:col w:w="11420"/>
          </w:cols>
          <w:pgMar w:left="240" w:top="535" w:right="239" w:bottom="0" w:gutter="0" w:footer="0" w:header="0"/>
        </w:sectPr>
      </w:pPr>
    </w:p>
    <w:p>
      <w:pPr>
        <w:spacing w:after="0" w:line="37"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color w:val="auto"/>
        </w:rPr>
        <w:t xml:space="preserve">SEMPRA SOUTH AMERICAN UTILITIES </w:t>
      </w:r>
      <w:r>
        <w:rPr>
          <w:rFonts w:ascii="Arial" w:cs="Arial" w:eastAsia="Arial" w:hAnsi="Arial"/>
          <w:sz w:val="16"/>
          <w:szCs w:val="16"/>
          <w:color w:val="auto"/>
        </w:rPr>
        <w:t>Infrastructure supports electric transmission and distribution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7" w:firstLine="7"/>
        <w:spacing w:after="0" w:line="262" w:lineRule="auto"/>
        <w:tabs>
          <w:tab w:leader="none" w:pos="281"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Provides electricity to more than 600,000 customers in Chile and more than 900,000 customers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-2614930</wp:posOffset>
            </wp:positionH>
            <wp:positionV relativeFrom="paragraph">
              <wp:posOffset>-408940</wp:posOffset>
            </wp:positionV>
            <wp:extent cx="7246620" cy="619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619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4" w:right="80" w:hanging="4"/>
        <w:spacing w:after="0" w:line="278" w:lineRule="auto"/>
        <w:tabs>
          <w:tab w:leader="none" w:pos="292" w:val="left"/>
        </w:tabs>
        <w:numPr>
          <w:ilvl w:val="0"/>
          <w:numId w:val="47"/>
        </w:numPr>
        <w:rPr>
          <w:rFonts w:ascii="Arial" w:cs="Arial" w:eastAsia="Arial" w:hAnsi="Arial"/>
          <w:sz w:val="16"/>
          <w:szCs w:val="16"/>
          <w:color w:val="auto"/>
        </w:rPr>
      </w:pPr>
      <w:r>
        <w:rPr>
          <w:rFonts w:ascii="Arial" w:cs="Arial" w:eastAsia="Arial" w:hAnsi="Arial"/>
          <w:sz w:val="16"/>
          <w:szCs w:val="16"/>
          <w:color w:val="auto"/>
        </w:rPr>
        <w:t>Serves the cities of Valparaiso and Viña del Mar in central Chile</w:t>
      </w:r>
    </w:p>
    <w:p>
      <w:pPr>
        <w:sectPr>
          <w:pgSz w:w="11900" w:h="16838" w:orient="portrait"/>
          <w:cols w:equalWidth="0" w:num="3">
            <w:col w:w="3460" w:space="667"/>
            <w:col w:w="3233" w:space="576"/>
            <w:col w:w="3484"/>
          </w:cols>
          <w:pgMar w:left="240" w:top="535" w:right="239" w:bottom="0" w:gutter="0" w:footer="0" w:header="0"/>
          <w:type w:val="continuous"/>
        </w:sectPr>
      </w:pPr>
    </w:p>
    <w:bookmarkStart w:id="47" w:name="page48"/>
    <w:bookmarkEnd w:id="4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3800" w:type="dxa"/>
            <w:vAlign w:val="bottom"/>
          </w:tcPr>
          <w:p>
            <w:pPr>
              <w:ind w:left="320"/>
              <w:spacing w:after="0"/>
              <w:rPr>
                <w:sz w:val="20"/>
                <w:szCs w:val="20"/>
                <w:color w:val="auto"/>
              </w:rPr>
            </w:pPr>
            <w:r>
              <w:rPr>
                <w:rFonts w:ascii="Arial" w:cs="Arial" w:eastAsia="Arial" w:hAnsi="Arial"/>
                <w:sz w:val="16"/>
                <w:szCs w:val="16"/>
                <w:color w:val="auto"/>
              </w:rPr>
              <w:t>§   Serves the southern zone of metropolitan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8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800" w:type="dxa"/>
            <w:vAlign w:val="bottom"/>
          </w:tcPr>
          <w:p>
            <w:pPr>
              <w:ind w:left="320"/>
              <w:spacing w:after="0"/>
              <w:rPr>
                <w:sz w:val="20"/>
                <w:szCs w:val="20"/>
                <w:color w:val="auto"/>
              </w:rPr>
            </w:pPr>
            <w:r>
              <w:rPr>
                <w:rFonts w:ascii="Arial" w:cs="Arial" w:eastAsia="Arial" w:hAnsi="Arial"/>
                <w:sz w:val="16"/>
                <w:szCs w:val="16"/>
                <w:color w:val="auto"/>
              </w:rPr>
              <w:t>Lima, Peru</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78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SEMPRA MEXICO</w:t>
            </w:r>
          </w:p>
        </w:tc>
        <w:tc>
          <w:tcPr>
            <w:tcW w:w="520" w:type="dxa"/>
            <w:vAlign w:val="bottom"/>
          </w:tcPr>
          <w:p>
            <w:pPr>
              <w:jc w:val="right"/>
              <w:ind w:right="39"/>
              <w:spacing w:after="0" w:line="164" w:lineRule="exact"/>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tcPr>
          <w:p>
            <w:pPr>
              <w:ind w:left="100"/>
              <w:spacing w:after="0" w:line="164" w:lineRule="exact"/>
              <w:rPr>
                <w:sz w:val="20"/>
                <w:szCs w:val="20"/>
                <w:color w:val="auto"/>
              </w:rPr>
            </w:pPr>
            <w:r>
              <w:rPr>
                <w:rFonts w:ascii="Arial" w:cs="Arial" w:eastAsia="Arial" w:hAnsi="Arial"/>
                <w:sz w:val="16"/>
                <w:szCs w:val="16"/>
                <w:color w:val="auto"/>
              </w:rPr>
              <w:t>Natural gas</w:t>
            </w:r>
          </w:p>
        </w:tc>
        <w:tc>
          <w:tcPr>
            <w:tcW w:w="3800" w:type="dxa"/>
            <w:vAlign w:val="bottom"/>
          </w:tcPr>
          <w:p>
            <w:pPr>
              <w:ind w:left="320"/>
              <w:spacing w:after="0" w:line="164" w:lineRule="exact"/>
              <w:rPr>
                <w:sz w:val="20"/>
                <w:szCs w:val="20"/>
                <w:color w:val="auto"/>
              </w:rPr>
            </w:pPr>
            <w:r>
              <w:rPr>
                <w:rFonts w:ascii="Arial" w:cs="Arial" w:eastAsia="Arial" w:hAnsi="Arial"/>
                <w:sz w:val="16"/>
                <w:szCs w:val="16"/>
                <w:color w:val="auto"/>
              </w:rPr>
              <w:t>§   Mexico</w:t>
            </w:r>
          </w:p>
        </w:tc>
        <w:tc>
          <w:tcPr>
            <w:tcW w:w="0" w:type="dxa"/>
            <w:vAlign w:val="bottom"/>
          </w:tcPr>
          <w:p>
            <w:pPr>
              <w:spacing w:after="0"/>
              <w:rPr>
                <w:sz w:val="1"/>
                <w:szCs w:val="1"/>
                <w:color w:val="auto"/>
              </w:rPr>
            </w:pPr>
          </w:p>
        </w:tc>
      </w:tr>
      <w:tr>
        <w:trPr>
          <w:trHeight w:val="191"/>
        </w:trPr>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Develops, owns and operates, or holds interests in:</w:t>
            </w:r>
          </w:p>
        </w:tc>
        <w:tc>
          <w:tcPr>
            <w:tcW w:w="520" w:type="dxa"/>
            <w:vAlign w:val="bottom"/>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transmission pipelines and</w:t>
            </w:r>
          </w:p>
        </w:tc>
        <w:tc>
          <w:tcPr>
            <w:tcW w:w="5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Wholesale electricity</w:t>
            </w: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7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propane systems</w:t>
            </w:r>
          </w:p>
        </w:tc>
        <w:tc>
          <w:tcPr>
            <w:tcW w:w="520" w:type="dxa"/>
            <w:vAlign w:val="bottom"/>
            <w:vMerge w:val="continue"/>
          </w:tcPr>
          <w:p>
            <w:pPr>
              <w:spacing w:after="0"/>
              <w:rPr>
                <w:sz w:val="7"/>
                <w:szCs w:val="7"/>
                <w:color w:val="auto"/>
              </w:rPr>
            </w:pPr>
          </w:p>
        </w:tc>
        <w:tc>
          <w:tcPr>
            <w:tcW w:w="3300" w:type="dxa"/>
            <w:vAlign w:val="bottom"/>
            <w:tcBorders>
              <w:right w:val="single" w:sz="8" w:color="auto"/>
            </w:tcBorders>
            <w:vMerge w:val="continue"/>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Borders>
              <w:right w:val="single" w:sz="8" w:color="auto"/>
            </w:tcBorders>
            <w:vMerge w:val="continue"/>
          </w:tcPr>
          <w:p>
            <w:pPr>
              <w:spacing w:after="0"/>
              <w:rPr>
                <w:sz w:val="10"/>
                <w:szCs w:val="10"/>
                <w:color w:val="auto"/>
              </w:rPr>
            </w:pPr>
          </w:p>
        </w:tc>
        <w:tc>
          <w:tcPr>
            <w:tcW w:w="520" w:type="dxa"/>
            <w:vAlign w:val="bottom"/>
          </w:tcPr>
          <w:p>
            <w:pPr>
              <w:spacing w:after="0"/>
              <w:rPr>
                <w:sz w:val="10"/>
                <w:szCs w:val="10"/>
                <w:color w:val="auto"/>
              </w:rPr>
            </w:pPr>
          </w:p>
        </w:tc>
        <w:tc>
          <w:tcPr>
            <w:tcW w:w="3300" w:type="dxa"/>
            <w:vAlign w:val="bottom"/>
            <w:tcBorders>
              <w:right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7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   a natural gas distribution utility</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Liquefied natural gas</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80" w:type="dxa"/>
            <w:vAlign w:val="bottom"/>
            <w:tcBorders>
              <w:right w:val="single" w:sz="8" w:color="auto"/>
            </w:tcBorders>
            <w:vMerge w:val="continue"/>
          </w:tcPr>
          <w:p>
            <w:pPr>
              <w:spacing w:after="0"/>
              <w:rPr>
                <w:sz w:val="9"/>
                <w:szCs w:val="9"/>
                <w:color w:val="auto"/>
              </w:rPr>
            </w:pPr>
          </w:p>
        </w:tc>
        <w:tc>
          <w:tcPr>
            <w:tcW w:w="520" w:type="dxa"/>
            <w:vAlign w:val="bottom"/>
          </w:tcPr>
          <w:p>
            <w:pPr>
              <w:spacing w:after="0"/>
              <w:rPr>
                <w:sz w:val="9"/>
                <w:szCs w:val="9"/>
                <w:color w:val="auto"/>
              </w:rPr>
            </w:pPr>
          </w:p>
        </w:tc>
        <w:tc>
          <w:tcPr>
            <w:tcW w:w="3300" w:type="dxa"/>
            <w:vAlign w:val="bottom"/>
            <w:tcBorders>
              <w:right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electric generation facilities, including wind</w:t>
            </w:r>
          </w:p>
        </w:tc>
        <w:tc>
          <w:tcPr>
            <w:tcW w:w="520" w:type="dxa"/>
            <w:vAlign w:val="bottom"/>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terminal in Mexico for the importation of</w:t>
            </w:r>
          </w:p>
        </w:tc>
        <w:tc>
          <w:tcPr>
            <w:tcW w:w="520" w:type="dxa"/>
            <w:vAlign w:val="bottom"/>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liquefied natural gas (LNG) and purchase and</w:t>
            </w:r>
          </w:p>
        </w:tc>
        <w:tc>
          <w:tcPr>
            <w:tcW w:w="520" w:type="dxa"/>
            <w:vAlign w:val="bottom"/>
          </w:tcPr>
          <w:p>
            <w:pPr>
              <w:spacing w:after="0"/>
              <w:rPr>
                <w:sz w:val="17"/>
                <w:szCs w:val="17"/>
                <w:color w:val="auto"/>
              </w:rPr>
            </w:pPr>
          </w:p>
        </w:tc>
        <w:tc>
          <w:tcPr>
            <w:tcW w:w="330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sale of natural gas</w:t>
            </w:r>
          </w:p>
        </w:tc>
        <w:tc>
          <w:tcPr>
            <w:tcW w:w="520" w:type="dxa"/>
            <w:vAlign w:val="bottom"/>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International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South American Utilities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Sempra South American Utilities operates electric transmission and distribution utilities in Chile and Peru, and owns interests in utilities in Argentina.</w:t>
      </w:r>
    </w:p>
    <w:p>
      <w:pPr>
        <w:spacing w:after="0" w:line="23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April 6, 2011, Sempra South American Utilities completed the acquisition of AEI’s interests in Chilquinta Energía S.A. (Chilquinta Energía) in Chile and Luz del Sur S.A.A. (Luz del Sur) in Peru. Upon completion of the transaction, Sempra South American Utilities owned 100 percent of Chilquinta Energía and approximately 76 percent of Luz del Sur, and the companies are now consolidated. Pursuant to a tender offer that was completed in September 2011, Sempra South American Utilities now owns 79.82 percent of Luz del Sur, as we discuss in Note 3 of the Notes to Consolidated Financial Statements in the Updated Annual Report. The remaining shares of Luz del Sur are held by institutional investors and the general public.</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provide additional information about the acquisition and Sempra South American Utilities’ investments in Chilquinta Energía and Luz del Sur in Note 3 of the Notes to Condensed Consolidated Financial Statements herein.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Sempra South American Utilities also is currently pursuing the sale of its interests in the Argentine utilities, which we discuss further in Note 4 of the Notes to Consolidated Financial Statements in the Updated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Mexico</w:t>
      </w:r>
    </w:p>
    <w:p>
      <w:pPr>
        <w:spacing w:after="0" w:line="201"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Transportation</w:t>
      </w:r>
      <w:r>
        <w:rPr>
          <w:rFonts w:ascii="Arial" w:cs="Arial" w:eastAsia="Arial" w:hAnsi="Arial"/>
          <w:sz w:val="16"/>
          <w:szCs w:val="16"/>
          <w:color w:val="auto"/>
        </w:rPr>
        <w:t>. Sempra Mexico owns and operates natural gas transmission pipelines and propane systems in Mexico. These facilities are contracted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long-term, U.S. dollar-based agreements with PEMEX (the Mexican state-owned oil company), the Federal Electricity Commission (Comisión Federal de Electricidad, or CFE), Shell México Gas Natural (Shell), Gazprom Marketing &amp; Trading Mexico (Gazprom) and other similar counterparties.</w:t>
      </w:r>
    </w:p>
    <w:p>
      <w:pPr>
        <w:spacing w:after="0" w:line="14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 Sempra Mexico’s natural gas distribution utility, Ecogas Mexico, S de RL de CV (Ecogas), operates in three separate areas in Mexico, and had</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90,000 customers and sales volume of 60 million cubic feet per day in 2011.</w:t>
      </w:r>
    </w:p>
    <w:p>
      <w:pPr>
        <w:spacing w:after="0" w:line="162"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b w:val="1"/>
          <w:bCs w:val="1"/>
          <w:color w:val="auto"/>
        </w:rPr>
        <w:t>Generation</w:t>
      </w:r>
      <w:r>
        <w:rPr>
          <w:rFonts w:ascii="Arial" w:cs="Arial" w:eastAsia="Arial" w:hAnsi="Arial"/>
          <w:sz w:val="16"/>
          <w:szCs w:val="16"/>
          <w:color w:val="auto"/>
        </w:rPr>
        <w:t>. Sempra Mexico’s Termoeléctrica de Mexicali, a 625-megawatt (MW) natural gas-fired power plant, is located in Mexicali, Baja California,</w:t>
      </w:r>
      <w:r>
        <w:rPr>
          <w:rFonts w:ascii="Arial" w:cs="Arial" w:eastAsia="Arial" w:hAnsi="Arial"/>
          <w:sz w:val="16"/>
          <w:szCs w:val="16"/>
          <w:b w:val="1"/>
          <w:bCs w:val="1"/>
          <w:color w:val="auto"/>
        </w:rPr>
        <w:t xml:space="preserve"> </w:t>
      </w:r>
      <w:r>
        <w:rPr>
          <w:rFonts w:ascii="Arial" w:cs="Arial" w:eastAsia="Arial" w:hAnsi="Arial"/>
          <w:sz w:val="16"/>
          <w:szCs w:val="16"/>
          <w:color w:val="auto"/>
        </w:rPr>
        <w:t>Mexico. Under an agreement with Sempra Natural Gas, Sempra Mexico records revenue for the sale of power generated by Termoeléctrica de Mexicali to Sempra Natural Gas, and records cost of sales for purchases from Sempra Natural Gas of natural gas to fuel the facility. J.P. Morgan Ventures Energy Corporation (J.P. Morgan Ventures) facilitates the transactions between the segments. Sempra Mexico also develops renewable energy generation facilities.</w:t>
      </w:r>
    </w:p>
    <w:p>
      <w:pPr>
        <w:spacing w:after="0" w:line="15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LNG</w:t>
      </w:r>
      <w:r>
        <w:rPr>
          <w:rFonts w:ascii="Arial" w:cs="Arial" w:eastAsia="Arial" w:hAnsi="Arial"/>
          <w:sz w:val="18"/>
          <w:szCs w:val="18"/>
          <w:color w:val="auto"/>
        </w:rPr>
        <w:t>. Sempra Mexico’s Energía Costa Azul LNG terminal in Baja California, Mexico is capable of processing 1 billion cubic feet (Bcf) of natural gas per</w:t>
      </w:r>
      <w:r>
        <w:rPr>
          <w:rFonts w:ascii="Arial" w:cs="Arial" w:eastAsia="Arial" w:hAnsi="Arial"/>
          <w:sz w:val="18"/>
          <w:szCs w:val="18"/>
          <w:b w:val="1"/>
          <w:bCs w:val="1"/>
          <w:color w:val="auto"/>
        </w:rPr>
        <w:t xml:space="preserve"> </w:t>
      </w:r>
      <w:r>
        <w:rPr>
          <w:rFonts w:ascii="Arial" w:cs="Arial" w:eastAsia="Arial" w:hAnsi="Arial"/>
          <w:sz w:val="18"/>
          <w:szCs w:val="18"/>
          <w:color w:val="auto"/>
        </w:rPr>
        <w:t>day. The Energía Costa Azul facility generates revenue under a capacity services agreement with Shell, expiring in 2028, that originally permitted Shell to use one-half of the terminal’s capacity. In April 2009, Shell assigned a portion of its terminal capacity at Energía Costa Azul to Gazprom, transferring all further rights and obligations with respect to the assigned capacity, and a separate capacity services agreement between Energía Costa Azul and Gazprom was put into place.</w:t>
      </w:r>
    </w:p>
    <w:p>
      <w:pPr>
        <w:spacing w:after="0" w:line="18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 nitrogen-injection facility at Energía Costa Azul allows the terminal to process LNG cargoes from a wider variety of sources and provides additional revenue from payments for capacity reservation and usage fees for nitrogen injection services for Shell and Gazprom.</w:t>
      </w:r>
    </w:p>
    <w:p>
      <w:pPr>
        <w:spacing w:after="0" w:line="14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connection with Sempra Natural Gas’ LNG purchase agreement with Tangguh PSC Contractors (Tangguh PSC), which we discuss below, Sempra Mexico purchases from Sempra Natural Gas the LNG delivered to Energía Costa Azul by Tangguh PSC. Sempra Mexico uses the natural gas produced from this LNG to supply a contract through 2022 for the sale of an average of approximately 150 million cubic feet per day of natural gas to Mexico’s national electric company, the CFE, at prices that are based on the Southern California border index. If LNG volumes received from Tangguh PSC are not sufficient to satisfy the commitment to the CFE, Sempra Mexico may purchase natural gas from Sempra Natural Gas’ natural gas marketing operations. Under an agreement among Sempra Natural Gas, Sempra Mexico, J.P. Morgan Mexico and J.P. Morgan Ventures, Sempra Natural Gas and Sempra Mexico sell to J.P. Morgan Ventures and J.P. Morgan Mexico any volumes received from Tangguh PSC that are not sold to the CFE. The agreement was previously with RBS Sempra Commodities LLP (RBS Sempra Commodities). In connection with the 2010 sale of businesses within RBS Sempra Commodities, substantially all contracts with RBS Sempra Commodities were assigned to J.P. Morgan Ventures by May 1, 2011, as we discuss under “Transactions with RBS Sempra Commodities” in Note 5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U.S. GAS &amp; POWER</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MARKET</w:t>
            </w:r>
          </w:p>
        </w:tc>
        <w:tc>
          <w:tcPr>
            <w:tcW w:w="38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GEOGRAPHIC REGION</w:t>
            </w:r>
          </w:p>
        </w:tc>
      </w:tr>
      <w:tr>
        <w:trPr>
          <w:trHeight w:val="215"/>
        </w:trPr>
        <w:tc>
          <w:tcPr>
            <w:tcW w:w="20" w:type="dxa"/>
            <w:vAlign w:val="bottom"/>
          </w:tcPr>
          <w:p>
            <w:pPr>
              <w:spacing w:after="0"/>
              <w:rPr>
                <w:sz w:val="18"/>
                <w:szCs w:val="18"/>
                <w:color w:val="auto"/>
              </w:rPr>
            </w:pPr>
          </w:p>
        </w:tc>
        <w:tc>
          <w:tcPr>
            <w:tcW w:w="37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SEMPRA RENEWABLES</w:t>
            </w: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Wholesale electricity</w:t>
            </w:r>
          </w:p>
        </w:tc>
        <w:tc>
          <w:tcPr>
            <w:tcW w:w="3800" w:type="dxa"/>
            <w:vAlign w:val="bottom"/>
          </w:tcPr>
          <w:p>
            <w:pPr>
              <w:ind w:left="320"/>
              <w:spacing w:after="0"/>
              <w:rPr>
                <w:sz w:val="20"/>
                <w:szCs w:val="20"/>
                <w:color w:val="auto"/>
              </w:rPr>
            </w:pPr>
            <w:r>
              <w:rPr>
                <w:rFonts w:ascii="Arial" w:cs="Arial" w:eastAsia="Arial" w:hAnsi="Arial"/>
                <w:sz w:val="16"/>
                <w:szCs w:val="16"/>
                <w:color w:val="auto"/>
              </w:rPr>
              <w:t>§   U.S.A.</w:t>
            </w:r>
          </w:p>
        </w:tc>
      </w:tr>
      <w:tr>
        <w:trPr>
          <w:trHeight w:val="234"/>
        </w:trPr>
        <w:tc>
          <w:tcPr>
            <w:tcW w:w="20" w:type="dxa"/>
            <w:vAlign w:val="bottom"/>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3800" w:type="dxa"/>
            <w:vAlign w:val="bottom"/>
          </w:tcPr>
          <w:p>
            <w:pPr>
              <w:spacing w:after="0"/>
              <w:rPr>
                <w:sz w:val="20"/>
                <w:szCs w:val="20"/>
                <w:color w:val="auto"/>
              </w:rPr>
            </w:pPr>
          </w:p>
        </w:tc>
      </w:tr>
    </w:tbl>
    <w:p>
      <w:pPr>
        <w:sectPr>
          <w:pgSz w:w="11900" w:h="16900" w:orient="portrait"/>
          <w:cols w:equalWidth="0" w:num="1">
            <w:col w:w="11420"/>
          </w:cols>
          <w:pgMar w:left="240" w:top="140" w:right="239" w:bottom="0" w:gutter="0" w:footer="0" w:header="0"/>
        </w:sectPr>
      </w:pPr>
    </w:p>
    <w:bookmarkStart w:id="48" w:name="page49"/>
    <w:bookmarkEnd w:id="48"/>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Develops, owns, operates, or holds interests in</w:t>
            </w:r>
          </w:p>
        </w:tc>
        <w:tc>
          <w:tcPr>
            <w:tcW w:w="520" w:type="dxa"/>
            <w:vAlign w:val="bottom"/>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renewable energy generation projects</w:t>
            </w:r>
          </w:p>
        </w:tc>
        <w:tc>
          <w:tcPr>
            <w:tcW w:w="520" w:type="dxa"/>
            <w:vAlign w:val="bottom"/>
            <w:tcBorders>
              <w:bottom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80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SEMPRA NATURAL GAS</w:t>
            </w:r>
          </w:p>
        </w:tc>
        <w:tc>
          <w:tcPr>
            <w:tcW w:w="520" w:type="dxa"/>
            <w:vAlign w:val="bottom"/>
          </w:tcPr>
          <w:p>
            <w:pPr>
              <w:jc w:val="right"/>
              <w:ind w:right="39"/>
              <w:spacing w:after="0" w:line="164" w:lineRule="exact"/>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tcPr>
          <w:p>
            <w:pPr>
              <w:ind w:left="100"/>
              <w:spacing w:after="0" w:line="164" w:lineRule="exact"/>
              <w:rPr>
                <w:sz w:val="20"/>
                <w:szCs w:val="20"/>
                <w:color w:val="auto"/>
              </w:rPr>
            </w:pPr>
            <w:r>
              <w:rPr>
                <w:rFonts w:ascii="Arial" w:cs="Arial" w:eastAsia="Arial" w:hAnsi="Arial"/>
                <w:sz w:val="16"/>
                <w:szCs w:val="16"/>
                <w:color w:val="auto"/>
              </w:rPr>
              <w:t>Wholesale electricity</w:t>
            </w:r>
          </w:p>
        </w:tc>
        <w:tc>
          <w:tcPr>
            <w:tcW w:w="3800" w:type="dxa"/>
            <w:vAlign w:val="bottom"/>
          </w:tcPr>
          <w:p>
            <w:pPr>
              <w:ind w:left="320"/>
              <w:spacing w:after="0" w:line="164" w:lineRule="exact"/>
              <w:rPr>
                <w:sz w:val="20"/>
                <w:szCs w:val="20"/>
                <w:color w:val="auto"/>
              </w:rPr>
            </w:pPr>
            <w:r>
              <w:rPr>
                <w:rFonts w:ascii="Arial" w:cs="Arial" w:eastAsia="Arial" w:hAnsi="Arial"/>
                <w:sz w:val="16"/>
                <w:szCs w:val="16"/>
                <w:color w:val="auto"/>
              </w:rPr>
              <w:t>§   U.S.A.</w:t>
            </w:r>
          </w:p>
        </w:tc>
        <w:tc>
          <w:tcPr>
            <w:tcW w:w="0" w:type="dxa"/>
            <w:vAlign w:val="bottom"/>
          </w:tcPr>
          <w:p>
            <w:pPr>
              <w:spacing w:after="0"/>
              <w:rPr>
                <w:sz w:val="1"/>
                <w:szCs w:val="1"/>
                <w:color w:val="auto"/>
              </w:rPr>
            </w:pPr>
          </w:p>
        </w:tc>
      </w:tr>
      <w:tr>
        <w:trPr>
          <w:trHeight w:val="191"/>
        </w:trPr>
        <w:tc>
          <w:tcPr>
            <w:tcW w:w="3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Develops, owns and operates, or holds interests in:</w:t>
            </w:r>
          </w:p>
        </w:tc>
        <w:tc>
          <w:tcPr>
            <w:tcW w:w="520" w:type="dxa"/>
            <w:vAlign w:val="bottom"/>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   a natural gas-fired electric generation plant</w:t>
            </w:r>
          </w:p>
        </w:tc>
        <w:tc>
          <w:tcPr>
            <w:tcW w:w="5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Natural gas</w:t>
            </w: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3800" w:type="dxa"/>
            <w:vAlign w:val="bottom"/>
            <w:tcBorders>
              <w:right w:val="single" w:sz="8" w:color="auto"/>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3300" w:type="dxa"/>
            <w:vAlign w:val="bottom"/>
            <w:tcBorders>
              <w:right w:val="single" w:sz="8" w:color="auto"/>
            </w:tcBorders>
            <w:vMerge w:val="continue"/>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38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   natural gas pipelines and storage facilities</w:t>
            </w:r>
          </w:p>
        </w:tc>
        <w:tc>
          <w:tcPr>
            <w:tcW w:w="5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Liquefied natural gas</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800" w:type="dxa"/>
            <w:vAlign w:val="bottom"/>
            <w:tcBorders>
              <w:right w:val="single" w:sz="8" w:color="auto"/>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3300" w:type="dxa"/>
            <w:vAlign w:val="bottom"/>
            <w:tcBorders>
              <w:right w:val="single" w:sz="8" w:color="auto"/>
            </w:tcBorders>
            <w:vMerge w:val="continue"/>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38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   natural gas distribution utilities</w:t>
            </w:r>
          </w:p>
        </w:tc>
        <w:tc>
          <w:tcPr>
            <w:tcW w:w="520" w:type="dxa"/>
            <w:vAlign w:val="bottom"/>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   terminal in the U.S. for the importation and</w:t>
            </w:r>
          </w:p>
        </w:tc>
        <w:tc>
          <w:tcPr>
            <w:tcW w:w="520" w:type="dxa"/>
            <w:vAlign w:val="bottom"/>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export of LNG and sale of natural gas</w:t>
            </w:r>
          </w:p>
        </w:tc>
        <w:tc>
          <w:tcPr>
            <w:tcW w:w="520" w:type="dxa"/>
            <w:vAlign w:val="bottom"/>
          </w:tcPr>
          <w:p>
            <w:pPr>
              <w:spacing w:after="0"/>
              <w:rPr>
                <w:sz w:val="17"/>
                <w:szCs w:val="17"/>
                <w:color w:val="auto"/>
              </w:rPr>
            </w:pPr>
          </w:p>
        </w:tc>
        <w:tc>
          <w:tcPr>
            <w:tcW w:w="330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38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   marketing operations</w:t>
            </w:r>
          </w:p>
        </w:tc>
        <w:tc>
          <w:tcPr>
            <w:tcW w:w="520" w:type="dxa"/>
            <w:vAlign w:val="bottom"/>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U.S. Gas &amp; Power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Renewables</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provides information about the Sempra Renewables facilities that were operational as of June 30, 2012. The generating capacity of these facilities is fully contracted under long-term contracts, as we discuss below.</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RENEWABLES OPERATING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20"/>
                <w:szCs w:val="20"/>
                <w:color w:val="auto"/>
              </w:rPr>
            </w:pPr>
            <w:r>
              <w:rPr>
                <w:rFonts w:ascii="Arial" w:cs="Arial" w:eastAsia="Arial" w:hAnsi="Arial"/>
                <w:sz w:val="14"/>
                <w:szCs w:val="14"/>
                <w:i w:val="1"/>
                <w:iCs w:val="1"/>
                <w:color w:val="auto"/>
              </w:rPr>
              <w:t>Capacity in Megawatts (MW) at December 31, 2011</w:t>
            </w: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vMerge w:val="restart"/>
          </w:tcPr>
          <w:p>
            <w:pPr>
              <w:jc w:val="right"/>
              <w:ind w:right="182"/>
              <w:spacing w:after="0"/>
              <w:rPr>
                <w:sz w:val="20"/>
                <w:szCs w:val="20"/>
                <w:color w:val="auto"/>
              </w:rPr>
            </w:pPr>
            <w:r>
              <w:rPr>
                <w:rFonts w:ascii="Arial" w:cs="Arial" w:eastAsia="Arial" w:hAnsi="Arial"/>
                <w:sz w:val="14"/>
                <w:szCs w:val="14"/>
                <w:color w:val="auto"/>
              </w:rPr>
              <w:t>First</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9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w:t>
            </w:r>
          </w:p>
        </w:tc>
        <w:tc>
          <w:tcPr>
            <w:tcW w:w="2180" w:type="dxa"/>
            <w:vAlign w:val="bottom"/>
            <w:tcBorders>
              <w:bottom w:val="single" w:sz="8" w:color="auto"/>
            </w:tcBorders>
            <w:gridSpan w:val="2"/>
          </w:tcPr>
          <w:p>
            <w:pPr>
              <w:ind w:left="220"/>
              <w:spacing w:after="0" w:line="157" w:lineRule="exact"/>
              <w:rPr>
                <w:sz w:val="20"/>
                <w:szCs w:val="20"/>
                <w:color w:val="auto"/>
              </w:rPr>
            </w:pPr>
            <w:r>
              <w:rPr>
                <w:rFonts w:ascii="Arial" w:cs="Arial" w:eastAsia="Arial" w:hAnsi="Arial"/>
                <w:sz w:val="14"/>
                <w:szCs w:val="14"/>
                <w:color w:val="auto"/>
              </w:rPr>
              <w:t>Installed Generating Capacity</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2"/>
              <w:spacing w:after="0" w:line="157" w:lineRule="exact"/>
              <w:rPr>
                <w:sz w:val="20"/>
                <w:szCs w:val="20"/>
                <w:color w:val="auto"/>
              </w:rPr>
            </w:pPr>
            <w:r>
              <w:rPr>
                <w:rFonts w:ascii="Arial" w:cs="Arial" w:eastAsia="Arial" w:hAnsi="Arial"/>
                <w:sz w:val="14"/>
                <w:szCs w:val="14"/>
                <w:color w:val="auto"/>
              </w:rPr>
              <w:t>In Service</w:t>
            </w:r>
          </w:p>
        </w:tc>
        <w:tc>
          <w:tcPr>
            <w:tcW w:w="380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Location</w:t>
            </w:r>
          </w:p>
        </w:tc>
        <w:tc>
          <w:tcPr>
            <w:tcW w:w="0" w:type="dxa"/>
            <w:vAlign w:val="bottom"/>
          </w:tcPr>
          <w:p>
            <w:pPr>
              <w:spacing w:after="0"/>
              <w:rPr>
                <w:sz w:val="1"/>
                <w:szCs w:val="1"/>
                <w:color w:val="auto"/>
              </w:rPr>
            </w:pPr>
          </w:p>
        </w:tc>
      </w:tr>
      <w:tr>
        <w:trPr>
          <w:trHeight w:val="224"/>
        </w:trPr>
        <w:tc>
          <w:tcPr>
            <w:tcW w:w="3980" w:type="dxa"/>
            <w:vAlign w:val="bottom"/>
          </w:tcPr>
          <w:p>
            <w:pPr>
              <w:spacing w:after="0"/>
              <w:rPr>
                <w:sz w:val="20"/>
                <w:szCs w:val="20"/>
                <w:color w:val="auto"/>
              </w:rPr>
            </w:pPr>
            <w:r>
              <w:rPr>
                <w:rFonts w:ascii="Arial" w:cs="Arial" w:eastAsia="Arial" w:hAnsi="Arial"/>
                <w:sz w:val="16"/>
                <w:szCs w:val="16"/>
                <w:color w:val="auto"/>
              </w:rPr>
              <w:t>Cedar Creek 2 Wind Farm (50% owned)</w:t>
            </w:r>
          </w:p>
        </w:tc>
        <w:tc>
          <w:tcPr>
            <w:tcW w:w="210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9"/>
                <w:szCs w:val="19"/>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2011</w:t>
            </w:r>
          </w:p>
        </w:tc>
        <w:tc>
          <w:tcPr>
            <w:tcW w:w="3800" w:type="dxa"/>
            <w:vAlign w:val="bottom"/>
          </w:tcPr>
          <w:p>
            <w:pPr>
              <w:ind w:left="40"/>
              <w:spacing w:after="0"/>
              <w:rPr>
                <w:sz w:val="20"/>
                <w:szCs w:val="20"/>
                <w:color w:val="auto"/>
              </w:rPr>
            </w:pPr>
            <w:r>
              <w:rPr>
                <w:rFonts w:ascii="Arial" w:cs="Arial" w:eastAsia="Arial" w:hAnsi="Arial"/>
                <w:sz w:val="16"/>
                <w:szCs w:val="16"/>
                <w:color w:val="auto"/>
              </w:rPr>
              <w:t>New Raymer, Colorado</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Fowler Ridge 2 Wind Farm (50% owned)</w:t>
            </w:r>
          </w:p>
        </w:tc>
        <w:tc>
          <w:tcPr>
            <w:tcW w:w="210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2009</w:t>
            </w:r>
          </w:p>
        </w:tc>
        <w:tc>
          <w:tcPr>
            <w:tcW w:w="3800" w:type="dxa"/>
            <w:vAlign w:val="bottom"/>
          </w:tcPr>
          <w:p>
            <w:pPr>
              <w:ind w:left="40"/>
              <w:spacing w:after="0"/>
              <w:rPr>
                <w:sz w:val="20"/>
                <w:szCs w:val="20"/>
                <w:color w:val="auto"/>
              </w:rPr>
            </w:pPr>
            <w:r>
              <w:rPr>
                <w:rFonts w:ascii="Arial" w:cs="Arial" w:eastAsia="Arial" w:hAnsi="Arial"/>
                <w:sz w:val="16"/>
                <w:szCs w:val="16"/>
                <w:color w:val="auto"/>
              </w:rPr>
              <w:t>Benton County, Indiana</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6"/>
                <w:szCs w:val="16"/>
                <w:color w:val="auto"/>
              </w:rPr>
              <w:t>Copper Mountain Solar 1</w:t>
            </w:r>
          </w:p>
        </w:tc>
        <w:tc>
          <w:tcPr>
            <w:tcW w:w="210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40" w:type="dxa"/>
            <w:vAlign w:val="bottom"/>
          </w:tcPr>
          <w:p>
            <w:pPr>
              <w:jc w:val="right"/>
              <w:spacing w:after="0"/>
              <w:rPr>
                <w:sz w:val="20"/>
                <w:szCs w:val="20"/>
                <w:color w:val="auto"/>
              </w:rPr>
            </w:pPr>
            <w:r>
              <w:rPr>
                <w:rFonts w:ascii="Arial" w:cs="Arial" w:eastAsia="Arial" w:hAnsi="Arial"/>
                <w:sz w:val="16"/>
                <w:szCs w:val="16"/>
                <w:color w:val="auto"/>
              </w:rPr>
              <w:t>2010</w:t>
            </w:r>
          </w:p>
        </w:tc>
        <w:tc>
          <w:tcPr>
            <w:tcW w:w="3800" w:type="dxa"/>
            <w:vAlign w:val="bottom"/>
          </w:tcPr>
          <w:p>
            <w:pPr>
              <w:ind w:left="40"/>
              <w:spacing w:after="0"/>
              <w:rPr>
                <w:sz w:val="20"/>
                <w:szCs w:val="20"/>
                <w:color w:val="auto"/>
              </w:rPr>
            </w:pPr>
            <w:r>
              <w:rPr>
                <w:rFonts w:ascii="Arial" w:cs="Arial" w:eastAsia="Arial" w:hAnsi="Arial"/>
                <w:sz w:val="16"/>
                <w:szCs w:val="16"/>
                <w:color w:val="auto"/>
              </w:rPr>
              <w:t>Boulder City, Nevada</w:t>
            </w:r>
          </w:p>
        </w:tc>
        <w:tc>
          <w:tcPr>
            <w:tcW w:w="0" w:type="dxa"/>
            <w:vAlign w:val="bottom"/>
          </w:tcPr>
          <w:p>
            <w:pPr>
              <w:spacing w:after="0"/>
              <w:rPr>
                <w:sz w:val="1"/>
                <w:szCs w:val="1"/>
                <w:color w:val="auto"/>
              </w:rPr>
            </w:pPr>
          </w:p>
        </w:tc>
      </w:tr>
      <w:tr>
        <w:trPr>
          <w:trHeight w:val="194"/>
        </w:trPr>
        <w:tc>
          <w:tcPr>
            <w:tcW w:w="3980" w:type="dxa"/>
            <w:vAlign w:val="bottom"/>
          </w:tcPr>
          <w:p>
            <w:pPr>
              <w:spacing w:after="0"/>
              <w:rPr>
                <w:sz w:val="20"/>
                <w:szCs w:val="20"/>
                <w:color w:val="auto"/>
              </w:rPr>
            </w:pPr>
            <w:r>
              <w:rPr>
                <w:rFonts w:ascii="Arial" w:cs="Arial" w:eastAsia="Arial" w:hAnsi="Arial"/>
                <w:sz w:val="16"/>
                <w:szCs w:val="16"/>
                <w:color w:val="auto"/>
              </w:rPr>
              <w:t>Mesquite Solar 1</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6"/>
                <w:szCs w:val="16"/>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40" w:type="dxa"/>
            <w:vAlign w:val="bottom"/>
          </w:tcPr>
          <w:p>
            <w:pPr>
              <w:jc w:val="right"/>
              <w:spacing w:after="0"/>
              <w:rPr>
                <w:sz w:val="20"/>
                <w:szCs w:val="20"/>
                <w:color w:val="auto"/>
              </w:rPr>
            </w:pPr>
            <w:r>
              <w:rPr>
                <w:rFonts w:ascii="Arial" w:cs="Arial" w:eastAsia="Arial" w:hAnsi="Arial"/>
                <w:sz w:val="16"/>
                <w:szCs w:val="16"/>
                <w:color w:val="auto"/>
              </w:rPr>
              <w:t>2011</w:t>
            </w:r>
          </w:p>
        </w:tc>
        <w:tc>
          <w:tcPr>
            <w:tcW w:w="3800" w:type="dxa"/>
            <w:vAlign w:val="bottom"/>
          </w:tcPr>
          <w:p>
            <w:pPr>
              <w:ind w:left="40"/>
              <w:spacing w:after="0"/>
              <w:rPr>
                <w:sz w:val="20"/>
                <w:szCs w:val="20"/>
                <w:color w:val="auto"/>
              </w:rPr>
            </w:pPr>
            <w:r>
              <w:rPr>
                <w:rFonts w:ascii="Arial" w:cs="Arial" w:eastAsia="Arial" w:hAnsi="Arial"/>
                <w:sz w:val="16"/>
                <w:szCs w:val="16"/>
                <w:color w:val="auto"/>
              </w:rPr>
              <w:t>Arlington, Arizona</w:t>
            </w:r>
          </w:p>
        </w:tc>
        <w:tc>
          <w:tcPr>
            <w:tcW w:w="0" w:type="dxa"/>
            <w:vAlign w:val="bottom"/>
          </w:tcPr>
          <w:p>
            <w:pPr>
              <w:spacing w:after="0"/>
              <w:rPr>
                <w:sz w:val="1"/>
                <w:szCs w:val="1"/>
                <w:color w:val="auto"/>
              </w:rPr>
            </w:pPr>
          </w:p>
        </w:tc>
      </w:tr>
      <w:tr>
        <w:trPr>
          <w:trHeight w:val="224"/>
        </w:trPr>
        <w:tc>
          <w:tcPr>
            <w:tcW w:w="3980" w:type="dxa"/>
            <w:vAlign w:val="bottom"/>
          </w:tcPr>
          <w:p>
            <w:pPr>
              <w:ind w:left="380"/>
              <w:spacing w:after="0"/>
              <w:rPr>
                <w:sz w:val="20"/>
                <w:szCs w:val="20"/>
                <w:color w:val="auto"/>
              </w:rPr>
            </w:pPr>
            <w:r>
              <w:rPr>
                <w:rFonts w:ascii="Arial" w:cs="Arial" w:eastAsia="Arial" w:hAnsi="Arial"/>
                <w:sz w:val="16"/>
                <w:szCs w:val="16"/>
                <w:color w:val="auto"/>
              </w:rPr>
              <w:t>Total MW in operation</w:t>
            </w:r>
          </w:p>
        </w:tc>
        <w:tc>
          <w:tcPr>
            <w:tcW w:w="2100" w:type="dxa"/>
            <w:vAlign w:val="bottom"/>
          </w:tcPr>
          <w:p>
            <w:pPr>
              <w:jc w:val="right"/>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80" w:hanging="372"/>
        <w:spacing w:after="0"/>
        <w:tabs>
          <w:tab w:leader="none" w:pos="38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Sempra Renewables’ share.</w:t>
      </w:r>
    </w:p>
    <w:p>
      <w:pPr>
        <w:spacing w:after="0" w:line="25" w:lineRule="exact"/>
        <w:rPr>
          <w:rFonts w:ascii="Arial" w:cs="Arial" w:eastAsia="Arial" w:hAnsi="Arial"/>
          <w:sz w:val="14"/>
          <w:szCs w:val="14"/>
          <w:i w:val="1"/>
          <w:iCs w:val="1"/>
          <w:color w:val="auto"/>
        </w:rPr>
      </w:pPr>
    </w:p>
    <w:p>
      <w:pPr>
        <w:ind w:left="380" w:hanging="372"/>
        <w:spacing w:after="0"/>
        <w:tabs>
          <w:tab w:leader="none" w:pos="38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10-MW facility previously referred to as El Dorado Solar, which was first placed in service in 2008.</w:t>
      </w:r>
    </w:p>
    <w:p>
      <w:pPr>
        <w:spacing w:after="0" w:line="14" w:lineRule="exact"/>
        <w:rPr>
          <w:rFonts w:ascii="Arial" w:cs="Arial" w:eastAsia="Arial" w:hAnsi="Arial"/>
          <w:sz w:val="14"/>
          <w:szCs w:val="14"/>
          <w:i w:val="1"/>
          <w:iCs w:val="1"/>
          <w:color w:val="auto"/>
        </w:rPr>
      </w:pPr>
    </w:p>
    <w:p>
      <w:pPr>
        <w:ind w:left="380" w:hanging="372"/>
        <w:spacing w:after="0"/>
        <w:tabs>
          <w:tab w:leader="none" w:pos="38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only the portion of the project that was completed in 2011. The entire 150-MW project is expected to be completed in early 2013.</w:t>
      </w:r>
    </w:p>
    <w:p>
      <w:pPr>
        <w:spacing w:after="0" w:line="200" w:lineRule="exact"/>
        <w:rPr>
          <w:sz w:val="20"/>
          <w:szCs w:val="20"/>
          <w:color w:val="auto"/>
        </w:rPr>
      </w:pPr>
    </w:p>
    <w:p>
      <w:pPr>
        <w:spacing w:after="0" w:line="23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discuss these facilities in more detail in “Management’s Discussion and Analysis of Financial Condition and Results of Operations” in our Updated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Natural Gas</w:t>
      </w:r>
    </w:p>
    <w:p>
      <w:pPr>
        <w:spacing w:after="0" w:line="20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Generation</w:t>
      </w:r>
      <w:r>
        <w:rPr>
          <w:rFonts w:ascii="Arial" w:cs="Arial" w:eastAsia="Arial" w:hAnsi="Arial"/>
          <w:sz w:val="18"/>
          <w:szCs w:val="18"/>
          <w:color w:val="auto"/>
        </w:rPr>
        <w:t>. Sempra Natural Gas sells electricity under short-term and long-term contracts and into the spot market and other competitive markets. While it</w:t>
      </w:r>
      <w:r>
        <w:rPr>
          <w:rFonts w:ascii="Arial" w:cs="Arial" w:eastAsia="Arial" w:hAnsi="Arial"/>
          <w:sz w:val="18"/>
          <w:szCs w:val="18"/>
          <w:b w:val="1"/>
          <w:bCs w:val="1"/>
          <w:color w:val="auto"/>
        </w:rPr>
        <w:t xml:space="preserve"> </w:t>
      </w:r>
      <w:r>
        <w:rPr>
          <w:rFonts w:ascii="Arial" w:cs="Arial" w:eastAsia="Arial" w:hAnsi="Arial"/>
          <w:sz w:val="18"/>
          <w:szCs w:val="18"/>
          <w:color w:val="auto"/>
        </w:rPr>
        <w:t>may also purchase electricity in the open market to satisfy its contractual obligations, Sempra Natural Gas generally purchases natural gas to fuel its Mesquite Power natural gas-fired power plant, and, as we discuss above, Sempra Mexico’s Termoeléctrica de Mexicali plant. The Mesquite Power plant is a 1,250-MW facility located in Arlington, Arizona.</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Sempra Natural Gas’ El Dorado natural gas-fired generation plant (excluding the solar facility) was sold to SDG&amp;E on October 1, 2011 and was renamed Desert Star. This sale, pursuant to an option to acquire the plant that was exercised by SDG&amp;E in 2007, coincided with the end of a contract with the California Department of Water Resources (DWR). During the first three quarters of 2011, the Mesquite Power plant and the El Dorado generation plant, along with Sempra Mexico’s Termoeléctrica de Mexicali power plant, sold the majority of their output under this long-term purchased-power contract with the DWR, which provided for 1,200 MW to be supplied during all hours and an additional 400 MW during on-peak hours and ended on September 30, 2011.</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Sempra Natural Gas also has other power sale transactions, primarily with J.P. Morgan Ventures, to sell varying amounts of power through 2012. These contracts were initially with RBS Sempra Commodities. In connection with the 2010 sale of businesses within RBS Sempra Commodities, substantially all of these transactions with RBS Sempra Commodities were assigned to J.P. Morgan Ventures by May 1, 2011. The remaining output of our natural gas facilities, including that of Sempra Mexico’s Termoeléctrica de Mexicali power plant, is available to be sold into energy markets on a day-to-day basis. Sempra Natural Gas has sold certain quantities of expected future generation output under long-term contracts.</w:t>
      </w:r>
    </w:p>
    <w:p>
      <w:pPr>
        <w:spacing w:after="0" w:line="157"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Transportation and Storage</w:t>
      </w:r>
      <w:r>
        <w:rPr>
          <w:rFonts w:ascii="Arial" w:cs="Arial" w:eastAsia="Arial" w:hAnsi="Arial"/>
          <w:sz w:val="16"/>
          <w:szCs w:val="16"/>
          <w:color w:val="auto"/>
        </w:rPr>
        <w:t>. Sempra Natural Gas owns and operates, or holds interests in, natural gas underground storage and related pipeline facilities in</w:t>
      </w:r>
      <w:r>
        <w:rPr>
          <w:rFonts w:ascii="Arial" w:cs="Arial" w:eastAsia="Arial" w:hAnsi="Arial"/>
          <w:sz w:val="16"/>
          <w:szCs w:val="16"/>
          <w:b w:val="1"/>
          <w:bCs w:val="1"/>
          <w:color w:val="auto"/>
        </w:rPr>
        <w:t xml:space="preserve"> </w:t>
      </w:r>
      <w:r>
        <w:rPr>
          <w:rFonts w:ascii="Arial" w:cs="Arial" w:eastAsia="Arial" w:hAnsi="Arial"/>
          <w:sz w:val="16"/>
          <w:szCs w:val="16"/>
          <w:color w:val="auto"/>
        </w:rPr>
        <w:t>Alabama and Mississippi. Sempra Natural Gas provides natural gas marketing, trading and risk management activities through the utilization and optimization of contracted natural gas supply, transportation and storage capacity, as well as optimizing its assets in the short-term services market.</w:t>
      </w:r>
    </w:p>
    <w:p>
      <w:pPr>
        <w:spacing w:after="0" w:line="14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Sempra Natural Gas, Kinder Morgan Energy Partners, L.P. (KMP) and Phillips 66 jointly own, through Rockies Express Pipeline LLC (Rockies Express), the Rockies Express Pipeline (REX) that links producing areas in the Rocky Mountain region to the upper Midwest and the eastern United States. Our ownership interest in the pipeline is 25 percent. Sempra Rockies Marketing has an agreement with Rockies Express for 200 million cubic feet per day of capacity on REX, which has a total capacity of 1.8 Bcf per day. Sempra Rockies Marketing released a portion of its capacity to RBS Sempra Commodities, which capacity was assigned to J.P. Morgan Ventures effective January 1, 2011 in connection with the sale of businesses within RBS Sempra Commodities.</w:t>
      </w:r>
    </w:p>
    <w:p>
      <w:pPr>
        <w:spacing w:after="0" w:line="15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the second quarter of 2012, we recorded a noncash impairment charge of $179 million after-tax to write down our investment in the partnership that operates REX. We discuss our investment in Rockies Express and the impairment in Note 4 of the Notes to Condensed Consolidated Financial Statements herein.</w:t>
      </w:r>
    </w:p>
    <w:p>
      <w:pPr>
        <w:spacing w:after="0" w:line="17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 Sempra Natural Gas owns and operates Mobile Gas Service Corporation (Mobile Gas) and Willmut Gas Company (Willmut Gas),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gas distribution utilities in southwest Alabama and in Mississippi, respectively. Sempra Natural Gas acquired Willmut Gas in May 2012, as we discuss in Note 3 of the Notes to Condensed Consolidated Financial Statements herein.</w:t>
      </w:r>
    </w:p>
    <w:p>
      <w:pPr>
        <w:sectPr>
          <w:pgSz w:w="11900" w:h="16865" w:orient="portrait"/>
          <w:cols w:equalWidth="0" w:num="1">
            <w:col w:w="11420"/>
          </w:cols>
          <w:pgMar w:left="240" w:top="120" w:right="239" w:bottom="0" w:gutter="0" w:footer="0" w:header="0"/>
        </w:sectPr>
      </w:pPr>
    </w:p>
    <w:bookmarkStart w:id="49" w:name="page50"/>
    <w:bookmarkEnd w:id="49"/>
    <w:p>
      <w:pPr>
        <w:spacing w:after="0" w:line="3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LNG</w:t>
      </w:r>
      <w:r>
        <w:rPr>
          <w:rFonts w:ascii="Arial" w:cs="Arial" w:eastAsia="Arial" w:hAnsi="Arial"/>
          <w:sz w:val="18"/>
          <w:szCs w:val="18"/>
          <w:color w:val="auto"/>
        </w:rPr>
        <w:t>. Sempra Natural Gas’ Cameron LNG terminal in Hackberry, Louisiana is capable of processing 1.5 Bcf of natural gas per day. Cameron LNG generates</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under a capacity services agreement for approximately 600 million cubic feet of natural gas per day through 2029. The agreement allows customers to pay Sempra Natural Gas capacity reservation and usage fees to use its facilities to receive, store and regasify the customer’s LNG. Sempra Natural Gas also may enter into short-term and/or long-term supply agreements to purchase LNG to be received, stored and regasified at its terminals for sale to other parties. Sempra Natural Gas is currently taking steps towards the development of a liquefaction facility at the Cameron LNG terminal. We discuss these activities below in “Factors Influencing Future Performance.”</w:t>
      </w:r>
    </w:p>
    <w:p>
      <w:pPr>
        <w:spacing w:after="0" w:line="19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Sempra Natural Gas has an LNG purchase agreement with Tangguh PSC for the supply of the equivalent of 500 million cubic feet of natural gas per day from Tangguh PSC’s Indonesian liquefaction facility with delivery to Sempra Mexico’s Energía Costa Azul receipt terminal at a price based on the Southern California border index for natural gas. As discussed above, Sempra Natural Gas has an agreement to sell to J.P. Morgan Ventures any volumes purchased from Tangguh PSC that are not sold to the CFE or J.P. Morgan Mexico. This agreement was previously with RBS Sempra Commodities. In connection with the 2010 sale of businesses within RBS Sempra Commodities, substantially all contracts with RBS Sempra Commodities were assigned to J.P. Morgan Ventures by May 1, 2011. Sempra Natural Gas may also record revenues from non-delivery of cargoes related to this contract.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also owns property in Port Arthur, Texas, that it is evaluating for potential development.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 LLP</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2011, our Sempra Commodities segment contained our investment in RBS Sempra Commodities LLP (RBS Sempra Commodities), which held commodities-marketing businesses previously owned by us. Our investment in the partnership is reported on the equity method. We and The Royal Bank of Scotland plc (RBS), our partner in the joint venture, sold substantially all of the partnership’s businesses and assets in four separate transactions completed in July, November and December of 2010 and February of 2011. We discuss these transactions and other matters concerning the partnership in Notes 4 and 10 of the Notes to Condensed Consolidated Financial Statements herein and in Note 4 of the Notes to Consolidated Financial Statements in the Updated Annual Report.</w:t>
      </w:r>
    </w:p>
    <w:p>
      <w:pPr>
        <w:spacing w:after="0" w:line="19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activity in the partnership no longer meets the quantitative thresholds that require Sempra Commodities to be reported as a reportable segment under applicable accounting rules, and we do not consider the remaining wind-down activities of the partnership to be of continuing significance. As a result, effective January 1, 2011, we are reporting the former Sempra Commodities segment in Parent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following in Results of Operations:</w:t>
      </w:r>
    </w:p>
    <w:p>
      <w:pPr>
        <w:spacing w:after="0" w:line="225" w:lineRule="exact"/>
        <w:rPr>
          <w:sz w:val="20"/>
          <w:szCs w:val="20"/>
          <w:color w:val="auto"/>
        </w:rPr>
      </w:pPr>
    </w:p>
    <w:p>
      <w:pPr>
        <w:ind w:left="340" w:hanging="188"/>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Overall results of our operations and factors affecting those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segment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changes in revenues, costs and earnings between periods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earnings decreased by $441 million (88%) to $62 million in the three months ended June 30, 2012, and by $459 million (61%) to $298 million in the six months ended June 30, 2012. The decreases in our earnings were primarily due to:</w:t>
      </w:r>
    </w:p>
    <w:p>
      <w:pPr>
        <w:spacing w:after="0" w:line="170" w:lineRule="exact"/>
        <w:rPr>
          <w:sz w:val="20"/>
          <w:szCs w:val="20"/>
          <w:color w:val="auto"/>
        </w:rPr>
      </w:pPr>
    </w:p>
    <w:p>
      <w:pPr>
        <w:ind w:left="340" w:hanging="188"/>
        <w:spacing w:after="0" w:line="277" w:lineRule="auto"/>
        <w:tabs>
          <w:tab w:leader="none" w:pos="4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$277 million gain resulting from the remeasurement of our equity method investments at our South American Utilities segment related to its acquisition of additional interests in Chilquinta Energía and Luz del Sur in April 2011;</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$179 million noncash impairment charge in 2012 to write down our investment in Rockies Express;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 xml:space="preserve">lower earnings at Sempra Natural Gas primarily due to the end of the DWR contract in September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improved results at SDG&amp;E, Sempra Renewables and Parent and Other.</w:t>
      </w:r>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Diluted earnings per share for the three-month period decreased by $1.84 per share to $0.25 per share, while diluted earnings per share for the six-month period decreased by $1.93 per share to $1.21 per share. The decreases were primarily due to the remeasurement gain in 2011 and investment write-down in 2012.</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34"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As we discuss in Note 1 of the Notes to Condensed Consolidated Financial Statements herein, effective January 1, 2012, we changed our method of accounting for investment tax credits (ITC) from the flow-through method to the deferral method. We applied this change in accounting principle by retrospectively adjusting the historical financial statement amounts for all periods presented. The change in accounting principle has no impact on the financial results of SDG&amp;E or SoCalGas for prior or future periods.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earnings (losses) by segment, which we discuss below in “Segment Results.”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p>
      <w:pPr>
        <w:jc w:val="center"/>
        <w:ind w:left="5060"/>
        <w:spacing w:after="0"/>
        <w:rPr>
          <w:sz w:val="20"/>
          <w:szCs w:val="20"/>
          <w:color w:val="auto"/>
        </w:rPr>
      </w:pPr>
      <w:r>
        <w:rPr>
          <w:rFonts w:ascii="Arial" w:cs="Arial" w:eastAsia="Arial" w:hAnsi="Arial"/>
          <w:sz w:val="14"/>
          <w:szCs w:val="14"/>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-1905</wp:posOffset>
            </wp:positionV>
            <wp:extent cx="403923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39235" cy="17145"/>
                    </a:xfrm>
                    <a:prstGeom prst="rect">
                      <a:avLst/>
                    </a:prstGeom>
                    <a:noFill/>
                  </pic:spPr>
                </pic:pic>
              </a:graphicData>
            </a:graphic>
          </wp:anchor>
        </w:drawing>
      </w:r>
    </w:p>
    <w:p>
      <w:pPr>
        <w:spacing w:after="0" w:line="22" w:lineRule="exact"/>
        <w:rPr>
          <w:sz w:val="20"/>
          <w:szCs w:val="20"/>
          <w:color w:val="auto"/>
        </w:rPr>
      </w:pPr>
    </w:p>
    <w:p>
      <w:pPr>
        <w:ind w:left="6460"/>
        <w:spacing w:after="0"/>
        <w:tabs>
          <w:tab w:leader="none" w:pos="9620" w:val="left"/>
        </w:tabs>
        <w:rPr>
          <w:sz w:val="20"/>
          <w:szCs w:val="20"/>
          <w:color w:val="auto"/>
        </w:rPr>
      </w:pPr>
      <w:r>
        <w:rPr>
          <w:rFonts w:ascii="Arial" w:cs="Arial" w:eastAsia="Arial" w:hAnsi="Arial"/>
          <w:sz w:val="14"/>
          <w:szCs w:val="14"/>
          <w:color w:val="auto"/>
        </w:rPr>
        <w:t>2012</w:t>
      </w:r>
      <w:r>
        <w:rPr>
          <w:sz w:val="20"/>
          <w:szCs w:val="20"/>
          <w:color w:val="auto"/>
        </w:rPr>
        <w:tab/>
      </w:r>
      <w:r>
        <w:rPr>
          <w:rFonts w:ascii="Arial" w:cs="Arial" w:eastAsia="Arial" w:hAnsi="Arial"/>
          <w:sz w:val="14"/>
          <w:szCs w:val="14"/>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74" w:orient="portrait"/>
          <w:cols w:equalWidth="0" w:num="1">
            <w:col w:w="11400"/>
          </w:cols>
          <w:pgMar w:left="240" w:top="337" w:right="25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4"/>
        </w:trPr>
        <w:tc>
          <w:tcPr>
            <w:tcW w:w="5060" w:type="dxa"/>
            <w:vAlign w:val="bottom"/>
            <w:gridSpan w:val="2"/>
          </w:tcPr>
          <w:p>
            <w:pPr>
              <w:spacing w:after="0"/>
              <w:rPr>
                <w:sz w:val="20"/>
                <w:szCs w:val="20"/>
                <w:color w:val="auto"/>
              </w:rPr>
            </w:pPr>
            <w:r>
              <w:rPr>
                <w:rFonts w:ascii="Arial" w:cs="Arial" w:eastAsia="Arial" w:hAnsi="Arial"/>
                <w:sz w:val="16"/>
                <w:szCs w:val="16"/>
                <w:color w:val="auto"/>
              </w:rPr>
              <w:t>California Utilities:</w:t>
            </w:r>
          </w:p>
        </w:tc>
        <w:tc>
          <w:tcPr>
            <w:tcW w:w="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SDG&amp;E(1)</w:t>
            </w: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95</w:t>
            </w:r>
          </w:p>
        </w:tc>
        <w:tc>
          <w:tcPr>
            <w:tcW w:w="10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153 %</w:t>
            </w:r>
          </w:p>
        </w:tc>
        <w:tc>
          <w:tcPr>
            <w:tcW w:w="1220" w:type="dxa"/>
            <w:vAlign w:val="bottom"/>
          </w:tcPr>
          <w:p>
            <w:pPr>
              <w:jc w:val="right"/>
              <w:ind w:right="91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71</w:t>
            </w:r>
          </w:p>
        </w:tc>
        <w:tc>
          <w:tcPr>
            <w:tcW w:w="11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14 %</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SoCalGas(1)</w:t>
            </w:r>
          </w:p>
        </w:tc>
        <w:tc>
          <w:tcPr>
            <w:tcW w:w="640" w:type="dxa"/>
            <w:vAlign w:val="bottom"/>
          </w:tcPr>
          <w:p>
            <w:pPr>
              <w:spacing w:after="0"/>
              <w:rPr>
                <w:sz w:val="15"/>
                <w:szCs w:val="15"/>
                <w:color w:val="auto"/>
              </w:rPr>
            </w:pPr>
          </w:p>
        </w:tc>
        <w:tc>
          <w:tcPr>
            <w:tcW w:w="13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53</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86</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59</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12</w:t>
            </w:r>
          </w:p>
        </w:tc>
      </w:tr>
      <w:tr>
        <w:trPr>
          <w:trHeight w:val="176"/>
        </w:trPr>
        <w:tc>
          <w:tcPr>
            <w:tcW w:w="5060" w:type="dxa"/>
            <w:vAlign w:val="bottom"/>
            <w:gridSpan w:val="2"/>
          </w:tcPr>
          <w:p>
            <w:pPr>
              <w:spacing w:after="0" w:line="176" w:lineRule="exact"/>
              <w:rPr>
                <w:sz w:val="20"/>
                <w:szCs w:val="20"/>
                <w:color w:val="auto"/>
              </w:rPr>
            </w:pPr>
            <w:r>
              <w:rPr>
                <w:rFonts w:ascii="Arial" w:cs="Arial" w:eastAsia="Arial" w:hAnsi="Arial"/>
                <w:sz w:val="16"/>
                <w:szCs w:val="16"/>
                <w:color w:val="auto"/>
              </w:rPr>
              <w:t>Sempra International:</w:t>
            </w: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South American Utilities</w:t>
            </w:r>
          </w:p>
        </w:tc>
        <w:tc>
          <w:tcPr>
            <w:tcW w:w="640" w:type="dxa"/>
            <w:vAlign w:val="bottom"/>
          </w:tcPr>
          <w:p>
            <w:pPr>
              <w:spacing w:after="0"/>
              <w:rPr>
                <w:sz w:val="15"/>
                <w:szCs w:val="15"/>
                <w:color w:val="auto"/>
              </w:rPr>
            </w:pPr>
          </w:p>
        </w:tc>
        <w:tc>
          <w:tcPr>
            <w:tcW w:w="13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38</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61</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314</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62</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Mexico</w:t>
            </w:r>
          </w:p>
        </w:tc>
        <w:tc>
          <w:tcPr>
            <w:tcW w:w="640" w:type="dxa"/>
            <w:vAlign w:val="bottom"/>
          </w:tcPr>
          <w:p>
            <w:pPr>
              <w:spacing w:after="0"/>
              <w:rPr>
                <w:sz w:val="15"/>
                <w:szCs w:val="15"/>
                <w:color w:val="auto"/>
              </w:rPr>
            </w:pPr>
          </w:p>
        </w:tc>
        <w:tc>
          <w:tcPr>
            <w:tcW w:w="13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43</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69</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35</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7</w:t>
            </w:r>
          </w:p>
        </w:tc>
      </w:tr>
      <w:tr>
        <w:trPr>
          <w:trHeight w:val="176"/>
        </w:trPr>
        <w:tc>
          <w:tcPr>
            <w:tcW w:w="5060" w:type="dxa"/>
            <w:vAlign w:val="bottom"/>
            <w:gridSpan w:val="2"/>
          </w:tcPr>
          <w:p>
            <w:pPr>
              <w:spacing w:after="0" w:line="176" w:lineRule="exact"/>
              <w:rPr>
                <w:sz w:val="20"/>
                <w:szCs w:val="20"/>
                <w:color w:val="auto"/>
              </w:rPr>
            </w:pPr>
            <w:r>
              <w:rPr>
                <w:rFonts w:ascii="Arial" w:cs="Arial" w:eastAsia="Arial" w:hAnsi="Arial"/>
                <w:sz w:val="16"/>
                <w:szCs w:val="16"/>
                <w:color w:val="auto"/>
              </w:rPr>
              <w:t>Sempra U.S. Gas &amp; Power:</w:t>
            </w: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Renewables</w:t>
            </w:r>
          </w:p>
        </w:tc>
        <w:tc>
          <w:tcPr>
            <w:tcW w:w="640" w:type="dxa"/>
            <w:vAlign w:val="bottom"/>
          </w:tcPr>
          <w:p>
            <w:pPr>
              <w:spacing w:after="0"/>
              <w:rPr>
                <w:sz w:val="15"/>
                <w:szCs w:val="15"/>
                <w:color w:val="auto"/>
              </w:rPr>
            </w:pPr>
          </w:p>
        </w:tc>
        <w:tc>
          <w:tcPr>
            <w:tcW w:w="13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24</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39</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4</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1</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Natural Gas</w:t>
            </w:r>
          </w:p>
        </w:tc>
        <w:tc>
          <w:tcPr>
            <w:tcW w:w="640" w:type="dxa"/>
            <w:vAlign w:val="bottom"/>
          </w:tcPr>
          <w:p>
            <w:pPr>
              <w:spacing w:after="0"/>
              <w:rPr>
                <w:sz w:val="15"/>
                <w:szCs w:val="15"/>
                <w:color w:val="auto"/>
              </w:rPr>
            </w:pPr>
          </w:p>
        </w:tc>
        <w:tc>
          <w:tcPr>
            <w:tcW w:w="138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(193)</w:t>
            </w:r>
          </w:p>
        </w:tc>
        <w:tc>
          <w:tcPr>
            <w:tcW w:w="1000" w:type="dxa"/>
            <w:vAlign w:val="bottom"/>
          </w:tcPr>
          <w:p>
            <w:pPr>
              <w:jc w:val="right"/>
              <w:ind w:right="220"/>
              <w:spacing w:after="0" w:line="176" w:lineRule="exact"/>
              <w:rPr>
                <w:sz w:val="20"/>
                <w:szCs w:val="20"/>
                <w:color w:val="auto"/>
              </w:rPr>
            </w:pPr>
            <w:r>
              <w:rPr>
                <w:rFonts w:ascii="Arial" w:cs="Arial" w:eastAsia="Arial" w:hAnsi="Arial"/>
                <w:sz w:val="16"/>
                <w:szCs w:val="16"/>
                <w:color w:val="auto"/>
              </w:rPr>
              <w:t>(311)</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47</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9</w:t>
            </w:r>
          </w:p>
        </w:tc>
      </w:tr>
      <w:tr>
        <w:trPr>
          <w:trHeight w:val="194"/>
        </w:trPr>
        <w:tc>
          <w:tcPr>
            <w:tcW w:w="5060" w:type="dxa"/>
            <w:vAlign w:val="bottom"/>
            <w:gridSpan w:val="2"/>
          </w:tcPr>
          <w:p>
            <w:pPr>
              <w:spacing w:after="0"/>
              <w:rPr>
                <w:sz w:val="20"/>
                <w:szCs w:val="20"/>
                <w:color w:val="auto"/>
              </w:rPr>
            </w:pPr>
            <w:r>
              <w:rPr>
                <w:rFonts w:ascii="Arial" w:cs="Arial" w:eastAsia="Arial" w:hAnsi="Arial"/>
                <w:sz w:val="16"/>
                <w:szCs w:val="16"/>
                <w:color w:val="auto"/>
              </w:rPr>
              <w:t>Parent and other(2)</w:t>
            </w:r>
          </w:p>
        </w:tc>
        <w:tc>
          <w:tcPr>
            <w:tcW w:w="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w:t>
            </w: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3</w:t>
            </w:r>
          </w:p>
        </w:tc>
        <w:tc>
          <w:tcPr>
            <w:tcW w:w="1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(27)</w:t>
            </w: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w:t>
            </w:r>
          </w:p>
        </w:tc>
      </w:tr>
      <w:tr>
        <w:trPr>
          <w:trHeight w:val="183"/>
        </w:trPr>
        <w:tc>
          <w:tcPr>
            <w:tcW w:w="5060" w:type="dxa"/>
            <w:vAlign w:val="bottom"/>
            <w:gridSpan w:val="2"/>
          </w:tcPr>
          <w:p>
            <w:pPr>
              <w:spacing w:after="0" w:line="176" w:lineRule="exact"/>
              <w:rPr>
                <w:sz w:val="20"/>
                <w:szCs w:val="20"/>
                <w:color w:val="auto"/>
              </w:rPr>
            </w:pPr>
            <w:r>
              <w:rPr>
                <w:rFonts w:ascii="Arial" w:cs="Arial" w:eastAsia="Arial" w:hAnsi="Arial"/>
                <w:sz w:val="16"/>
                <w:szCs w:val="16"/>
                <w:color w:val="auto"/>
              </w:rPr>
              <w:t>Earnings</w:t>
            </w: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400"/>
              <w:spacing w:after="0" w:line="176" w:lineRule="exact"/>
              <w:rPr>
                <w:sz w:val="20"/>
                <w:szCs w:val="20"/>
                <w:color w:val="auto"/>
              </w:rPr>
            </w:pPr>
            <w:r>
              <w:rPr>
                <w:rFonts w:ascii="Arial" w:cs="Arial" w:eastAsia="Arial" w:hAnsi="Arial"/>
                <w:sz w:val="16"/>
                <w:szCs w:val="16"/>
                <w:color w:val="auto"/>
              </w:rPr>
              <w:t>62</w:t>
            </w:r>
          </w:p>
        </w:tc>
        <w:tc>
          <w:tcPr>
            <w:tcW w:w="100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100 %</w:t>
            </w:r>
          </w:p>
        </w:tc>
        <w:tc>
          <w:tcPr>
            <w:tcW w:w="1220" w:type="dxa"/>
            <w:vAlign w:val="bottom"/>
            <w:tcBorders>
              <w:bottom w:val="single" w:sz="8" w:color="auto"/>
            </w:tcBorders>
          </w:tcPr>
          <w:p>
            <w:pPr>
              <w:jc w:val="right"/>
              <w:ind w:right="919"/>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60"/>
              <w:spacing w:after="0" w:line="176" w:lineRule="exact"/>
              <w:rPr>
                <w:sz w:val="20"/>
                <w:szCs w:val="20"/>
                <w:color w:val="auto"/>
              </w:rPr>
            </w:pPr>
            <w:r>
              <w:rPr>
                <w:rFonts w:ascii="Arial" w:cs="Arial" w:eastAsia="Arial" w:hAnsi="Arial"/>
                <w:sz w:val="16"/>
                <w:szCs w:val="16"/>
                <w:color w:val="auto"/>
              </w:rPr>
              <w:t>503</w:t>
            </w:r>
          </w:p>
        </w:tc>
        <w:tc>
          <w:tcPr>
            <w:tcW w:w="112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100 %</w:t>
            </w:r>
          </w:p>
        </w:tc>
      </w:tr>
      <w:tr>
        <w:trPr>
          <w:trHeight w:val="169"/>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Six months ended June 30,</w:t>
            </w:r>
          </w:p>
        </w:tc>
        <w:tc>
          <w:tcPr>
            <w:tcW w:w="10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2012</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2011</w:t>
            </w:r>
          </w:p>
        </w:tc>
        <w:tc>
          <w:tcPr>
            <w:tcW w:w="112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040" w:type="dxa"/>
            <w:vAlign w:val="bottom"/>
          </w:tcPr>
          <w:p>
            <w:pPr>
              <w:spacing w:after="0" w:line="164" w:lineRule="exact"/>
              <w:rPr>
                <w:sz w:val="20"/>
                <w:szCs w:val="20"/>
                <w:color w:val="auto"/>
              </w:rPr>
            </w:pPr>
            <w:r>
              <w:rPr>
                <w:rFonts w:ascii="Arial" w:cs="Arial" w:eastAsia="Arial" w:hAnsi="Arial"/>
                <w:sz w:val="16"/>
                <w:szCs w:val="16"/>
                <w:color w:val="auto"/>
              </w:rPr>
              <w:t>California Utilities:</w:t>
            </w: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SDG&amp;E(1)</w:t>
            </w: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200</w:t>
            </w:r>
          </w:p>
        </w:tc>
        <w:tc>
          <w:tcPr>
            <w:tcW w:w="10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67 %</w:t>
            </w:r>
          </w:p>
        </w:tc>
        <w:tc>
          <w:tcPr>
            <w:tcW w:w="1220" w:type="dxa"/>
            <w:vAlign w:val="bottom"/>
          </w:tcPr>
          <w:p>
            <w:pPr>
              <w:jc w:val="right"/>
              <w:ind w:right="91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160</w:t>
            </w:r>
          </w:p>
        </w:tc>
        <w:tc>
          <w:tcPr>
            <w:tcW w:w="11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21 %</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SoCalGas(1)</w:t>
            </w:r>
          </w:p>
        </w:tc>
        <w:tc>
          <w:tcPr>
            <w:tcW w:w="640" w:type="dxa"/>
            <w:vAlign w:val="bottom"/>
          </w:tcPr>
          <w:p>
            <w:pPr>
              <w:spacing w:after="0"/>
              <w:rPr>
                <w:sz w:val="15"/>
                <w:szCs w:val="15"/>
                <w:color w:val="auto"/>
              </w:rPr>
            </w:pPr>
          </w:p>
        </w:tc>
        <w:tc>
          <w:tcPr>
            <w:tcW w:w="13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119</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40</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127</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17</w:t>
            </w:r>
          </w:p>
        </w:tc>
      </w:tr>
      <w:tr>
        <w:trPr>
          <w:trHeight w:val="176"/>
        </w:trPr>
        <w:tc>
          <w:tcPr>
            <w:tcW w:w="5060" w:type="dxa"/>
            <w:vAlign w:val="bottom"/>
            <w:gridSpan w:val="2"/>
          </w:tcPr>
          <w:p>
            <w:pPr>
              <w:spacing w:after="0" w:line="176" w:lineRule="exact"/>
              <w:rPr>
                <w:sz w:val="20"/>
                <w:szCs w:val="20"/>
                <w:color w:val="auto"/>
              </w:rPr>
            </w:pPr>
            <w:r>
              <w:rPr>
                <w:rFonts w:ascii="Arial" w:cs="Arial" w:eastAsia="Arial" w:hAnsi="Arial"/>
                <w:sz w:val="16"/>
                <w:szCs w:val="16"/>
                <w:color w:val="auto"/>
              </w:rPr>
              <w:t>Sempra International:</w:t>
            </w: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South American Utilities</w:t>
            </w:r>
          </w:p>
        </w:tc>
        <w:tc>
          <w:tcPr>
            <w:tcW w:w="640" w:type="dxa"/>
            <w:vAlign w:val="bottom"/>
          </w:tcPr>
          <w:p>
            <w:pPr>
              <w:spacing w:after="0"/>
              <w:rPr>
                <w:sz w:val="15"/>
                <w:szCs w:val="15"/>
                <w:color w:val="auto"/>
              </w:rPr>
            </w:pPr>
          </w:p>
        </w:tc>
        <w:tc>
          <w:tcPr>
            <w:tcW w:w="13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78</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26</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336</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44</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Mexico</w:t>
            </w:r>
          </w:p>
        </w:tc>
        <w:tc>
          <w:tcPr>
            <w:tcW w:w="640" w:type="dxa"/>
            <w:vAlign w:val="bottom"/>
          </w:tcPr>
          <w:p>
            <w:pPr>
              <w:spacing w:after="0"/>
              <w:rPr>
                <w:sz w:val="15"/>
                <w:szCs w:val="15"/>
                <w:color w:val="auto"/>
              </w:rPr>
            </w:pPr>
          </w:p>
        </w:tc>
        <w:tc>
          <w:tcPr>
            <w:tcW w:w="13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80</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27</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74</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10</w:t>
            </w:r>
          </w:p>
        </w:tc>
      </w:tr>
      <w:tr>
        <w:trPr>
          <w:trHeight w:val="176"/>
        </w:trPr>
        <w:tc>
          <w:tcPr>
            <w:tcW w:w="5060" w:type="dxa"/>
            <w:vAlign w:val="bottom"/>
            <w:gridSpan w:val="2"/>
          </w:tcPr>
          <w:p>
            <w:pPr>
              <w:spacing w:after="0" w:line="176" w:lineRule="exact"/>
              <w:rPr>
                <w:sz w:val="20"/>
                <w:szCs w:val="20"/>
                <w:color w:val="auto"/>
              </w:rPr>
            </w:pPr>
            <w:r>
              <w:rPr>
                <w:rFonts w:ascii="Arial" w:cs="Arial" w:eastAsia="Arial" w:hAnsi="Arial"/>
                <w:sz w:val="16"/>
                <w:szCs w:val="16"/>
                <w:color w:val="auto"/>
              </w:rPr>
              <w:t>Sempra U.S. Gas &amp; Power:</w:t>
            </w: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Renewables</w:t>
            </w:r>
          </w:p>
        </w:tc>
        <w:tc>
          <w:tcPr>
            <w:tcW w:w="640" w:type="dxa"/>
            <w:vAlign w:val="bottom"/>
          </w:tcPr>
          <w:p>
            <w:pPr>
              <w:spacing w:after="0"/>
              <w:rPr>
                <w:sz w:val="15"/>
                <w:szCs w:val="15"/>
                <w:color w:val="auto"/>
              </w:rPr>
            </w:pPr>
          </w:p>
        </w:tc>
        <w:tc>
          <w:tcPr>
            <w:tcW w:w="138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34</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11</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8</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1</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Natural Gas</w:t>
            </w:r>
          </w:p>
        </w:tc>
        <w:tc>
          <w:tcPr>
            <w:tcW w:w="640" w:type="dxa"/>
            <w:vAlign w:val="bottom"/>
          </w:tcPr>
          <w:p>
            <w:pPr>
              <w:spacing w:after="0"/>
              <w:rPr>
                <w:sz w:val="15"/>
                <w:szCs w:val="15"/>
                <w:color w:val="auto"/>
              </w:rPr>
            </w:pPr>
          </w:p>
        </w:tc>
        <w:tc>
          <w:tcPr>
            <w:tcW w:w="1380" w:type="dxa"/>
            <w:vAlign w:val="bottom"/>
          </w:tcPr>
          <w:p>
            <w:pPr>
              <w:jc w:val="right"/>
              <w:ind w:right="360"/>
              <w:spacing w:after="0" w:line="176" w:lineRule="exact"/>
              <w:rPr>
                <w:sz w:val="20"/>
                <w:szCs w:val="20"/>
                <w:color w:val="auto"/>
              </w:rPr>
            </w:pPr>
            <w:r>
              <w:rPr>
                <w:rFonts w:ascii="Arial" w:cs="Arial" w:eastAsia="Arial" w:hAnsi="Arial"/>
                <w:sz w:val="16"/>
                <w:szCs w:val="16"/>
                <w:color w:val="auto"/>
              </w:rPr>
              <w:t>(192)</w:t>
            </w:r>
          </w:p>
        </w:tc>
        <w:tc>
          <w:tcPr>
            <w:tcW w:w="1000" w:type="dxa"/>
            <w:vAlign w:val="bottom"/>
          </w:tcPr>
          <w:p>
            <w:pPr>
              <w:jc w:val="right"/>
              <w:ind w:right="220"/>
              <w:spacing w:after="0" w:line="176" w:lineRule="exact"/>
              <w:rPr>
                <w:sz w:val="20"/>
                <w:szCs w:val="20"/>
                <w:color w:val="auto"/>
              </w:rPr>
            </w:pPr>
            <w:r>
              <w:rPr>
                <w:rFonts w:ascii="Arial" w:cs="Arial" w:eastAsia="Arial" w:hAnsi="Arial"/>
                <w:sz w:val="16"/>
                <w:szCs w:val="16"/>
                <w:color w:val="auto"/>
              </w:rPr>
              <w:t>(64)</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110</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15</w:t>
            </w:r>
          </w:p>
        </w:tc>
      </w:tr>
      <w:tr>
        <w:trPr>
          <w:trHeight w:val="194"/>
        </w:trPr>
        <w:tc>
          <w:tcPr>
            <w:tcW w:w="5060" w:type="dxa"/>
            <w:vAlign w:val="bottom"/>
            <w:gridSpan w:val="2"/>
          </w:tcPr>
          <w:p>
            <w:pPr>
              <w:spacing w:after="0"/>
              <w:rPr>
                <w:sz w:val="20"/>
                <w:szCs w:val="20"/>
                <w:color w:val="auto"/>
              </w:rPr>
            </w:pPr>
            <w:r>
              <w:rPr>
                <w:rFonts w:ascii="Arial" w:cs="Arial" w:eastAsia="Arial" w:hAnsi="Arial"/>
                <w:sz w:val="16"/>
                <w:szCs w:val="16"/>
                <w:color w:val="auto"/>
              </w:rPr>
              <w:t>Parent and other(2)</w:t>
            </w:r>
          </w:p>
        </w:tc>
        <w:tc>
          <w:tcPr>
            <w:tcW w:w="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(21)</w:t>
            </w: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(58)</w:t>
            </w: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w:t>
            </w:r>
          </w:p>
        </w:tc>
      </w:tr>
      <w:tr>
        <w:trPr>
          <w:trHeight w:val="195"/>
        </w:trPr>
        <w:tc>
          <w:tcPr>
            <w:tcW w:w="5060" w:type="dxa"/>
            <w:vAlign w:val="bottom"/>
            <w:gridSpan w:val="2"/>
          </w:tcPr>
          <w:p>
            <w:pPr>
              <w:spacing w:after="0"/>
              <w:rPr>
                <w:sz w:val="20"/>
                <w:szCs w:val="20"/>
                <w:color w:val="auto"/>
              </w:rPr>
            </w:pPr>
            <w:r>
              <w:rPr>
                <w:rFonts w:ascii="Arial" w:cs="Arial" w:eastAsia="Arial" w:hAnsi="Arial"/>
                <w:sz w:val="16"/>
                <w:szCs w:val="16"/>
                <w:color w:val="auto"/>
              </w:rPr>
              <w:t>Earnings</w:t>
            </w: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400"/>
              <w:spacing w:after="0"/>
              <w:rPr>
                <w:sz w:val="20"/>
                <w:szCs w:val="20"/>
                <w:color w:val="auto"/>
              </w:rPr>
            </w:pPr>
            <w:r>
              <w:rPr>
                <w:rFonts w:ascii="Arial" w:cs="Arial" w:eastAsia="Arial" w:hAnsi="Arial"/>
                <w:sz w:val="16"/>
                <w:szCs w:val="16"/>
                <w:color w:val="auto"/>
              </w:rPr>
              <w:t>298</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100 %</w:t>
            </w:r>
          </w:p>
        </w:tc>
        <w:tc>
          <w:tcPr>
            <w:tcW w:w="12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60"/>
              <w:spacing w:after="0"/>
              <w:rPr>
                <w:sz w:val="20"/>
                <w:szCs w:val="20"/>
                <w:color w:val="auto"/>
              </w:rPr>
            </w:pPr>
            <w:r>
              <w:rPr>
                <w:rFonts w:ascii="Arial" w:cs="Arial" w:eastAsia="Arial" w:hAnsi="Arial"/>
                <w:sz w:val="16"/>
                <w:szCs w:val="16"/>
                <w:color w:val="auto"/>
              </w:rPr>
              <w:t>757</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hanging="572"/>
        <w:spacing w:after="0"/>
        <w:tabs>
          <w:tab w:leader="none" w:pos="58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13" w:lineRule="exact"/>
        <w:rPr>
          <w:rFonts w:ascii="Arial" w:cs="Arial" w:eastAsia="Arial" w:hAnsi="Arial"/>
          <w:sz w:val="14"/>
          <w:szCs w:val="14"/>
          <w:i w:val="1"/>
          <w:iCs w:val="1"/>
          <w:color w:val="auto"/>
        </w:rPr>
      </w:pPr>
    </w:p>
    <w:p>
      <w:pPr>
        <w:ind w:left="580" w:right="160" w:hanging="572"/>
        <w:spacing w:after="0" w:line="258" w:lineRule="auto"/>
        <w:tabs>
          <w:tab w:leader="none" w:pos="58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interest expense ($39 million and $36 million for the three months ended June 30, 2012 and 2011, respectively, and $73 million and $69 million for the six months ended June 30, 2012 and 2011, respectively), intercompany eliminations recorded in consolidation and certain corporate costs.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section is a discussion of earnings (losses) by Sempra Energy segment, as presented in the table above. Variance amounts are the after-tax earnings impact,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2489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CALIFORNIA UTILITIES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6003290" cy="30016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032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SDG&amp;E segment recorded earnings of:</w:t>
      </w:r>
    </w:p>
    <w:p>
      <w:pPr>
        <w:spacing w:after="0" w:line="225" w:lineRule="exact"/>
        <w:rPr>
          <w:sz w:val="20"/>
          <w:szCs w:val="20"/>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$95 million in the three months ended June 30, 2012 ($96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$71 million in the three months ended June 30, 2011 ($72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$200 million for the first six months of 2012 ($202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$160 million for the first six months of 2011 ($162 million before preferred 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$24 million (34%) in the three months ended June 30, 2012 was primarily due to:</w:t>
      </w:r>
    </w:p>
    <w:p>
      <w:pPr>
        <w:sectPr>
          <w:pgSz w:w="11900" w:h="16838" w:orient="portrait"/>
          <w:cols w:equalWidth="0" w:num="1">
            <w:col w:w="11420"/>
          </w:cols>
          <w:pgMar w:left="240" w:top="120" w:right="239" w:bottom="0" w:gutter="0" w:footer="0" w:header="0"/>
        </w:sectPr>
      </w:pPr>
    </w:p>
    <w:bookmarkStart w:id="51" w:name="page52"/>
    <w:bookmarkEnd w:id="51"/>
    <w:p>
      <w:pPr>
        <w:ind w:left="340" w:hanging="188"/>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$11 million higher earnings related to Sunrise Powerlink, primarily from an increase in allowance for funds used during construction (AFUDC) related to equity;</w:t>
      </w:r>
    </w:p>
    <w:p>
      <w:pPr>
        <w:spacing w:after="0" w:line="197"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 million favorable earnings impact due to the incremental wildfire insurance premiums in 2011 not recovered in revenues until the fourth quarter of 2011;</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$6 million for the recovery in 2012 of incremental costs incurred in prior years for the long-term storage of spent nuclear fuel;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$4 million in earnings for Desert Star in 2012, which was acquired in October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 million higher expense associated with the settlement of 2007 wildfire claims;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 million higher interest expense.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$40 million (25%) in the first six months of 2012 was primarily due to:</w:t>
      </w:r>
    </w:p>
    <w:p>
      <w:pPr>
        <w:spacing w:after="0" w:line="225" w:lineRule="exact"/>
        <w:rPr>
          <w:sz w:val="20"/>
          <w:szCs w:val="20"/>
          <w:color w:val="auto"/>
        </w:rPr>
      </w:pPr>
    </w:p>
    <w:p>
      <w:pPr>
        <w:ind w:left="340" w:hanging="188"/>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$24 million higher earnings related to Sunrise Powerlink, primarily from an increase in AFUDC related to equity;</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$18 million favorable earnings impact due to the incremental wildfire insurance premiums in 2011 not recovered in revenues until the fourth quarter of 2011;</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$9 million in earnings for Desert Star in 2012, which was acquired in October 2011;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$6 million for the recovery in 2012 of incremental costs incurred in prior years for the long-term storage of spent nuclear fuel;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$6 million higher income tax expense primarily due to lower deductions for self-developed software costs and lower exclusions from taxable income of the equity portion of AFUDC;</w:t>
      </w:r>
    </w:p>
    <w:p>
      <w:pPr>
        <w:spacing w:after="0" w:line="197"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 million higher depreciation and operation and maintenance expenses related to CPUC-regulated operations (excluding insurance premiums for wildfire coverage, litigation and Desert Star);</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 million higher expense associated with the settlement of 2007 wildfire claims;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 million higher interest expense.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SoCalGas segment recorded earnings of:</w:t>
      </w:r>
    </w:p>
    <w:p>
      <w:pPr>
        <w:spacing w:after="0" w:line="225" w:lineRule="exact"/>
        <w:rPr>
          <w:sz w:val="20"/>
          <w:szCs w:val="20"/>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$53 million in the three months ended June 30, 2012 ($54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$59 million in the three months ended June 30, 2011 ($60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$119 million for the first six months of 2012 ($120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$127 million for the first six months of 2011 ($128 million before preferred 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$6 million (10%) in the three months ended June 30, 2012 was primarily due to:</w:t>
      </w:r>
    </w:p>
    <w:p>
      <w:pPr>
        <w:spacing w:after="0" w:line="225" w:lineRule="exact"/>
        <w:rPr>
          <w:sz w:val="20"/>
          <w:szCs w:val="20"/>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$6 million increase in non-refundable operating expenses and depreciation;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$3 million from a higher effective tax rate;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 million from an increase in AFUDC related to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$8 million (6%) in the first six months of 2012 was primarily due to:</w:t>
      </w:r>
    </w:p>
    <w:p>
      <w:pPr>
        <w:spacing w:after="0" w:line="225" w:lineRule="exact"/>
        <w:rPr>
          <w:sz w:val="20"/>
          <w:szCs w:val="20"/>
          <w:color w:val="auto"/>
        </w:rPr>
      </w:pPr>
    </w:p>
    <w:p>
      <w:pPr>
        <w:ind w:left="340" w:hanging="188"/>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$8 million increase in non-refundable operating expenses and depreciation;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$5 million higher income tax expense from a higher effective tax rate;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 million from an increase in AFUDC related 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2489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INTERNATIONAL</w:t>
      </w:r>
    </w:p>
    <w:p>
      <w:pPr>
        <w:sectPr>
          <w:pgSz w:w="11900" w:h="16838" w:orient="portrait"/>
          <w:cols w:equalWidth="0" w:num="1">
            <w:col w:w="11420"/>
          </w:cols>
          <w:pgMar w:left="240" w:top="125" w:right="239" w:bottom="11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125" w:right="239" w:bottom="110"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03290" cy="30016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60032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South American Utilities segment recorded earnings of:</w:t>
      </w:r>
    </w:p>
    <w:p>
      <w:pPr>
        <w:spacing w:after="0" w:line="225" w:lineRule="exact"/>
        <w:rPr>
          <w:sz w:val="20"/>
          <w:szCs w:val="20"/>
          <w:color w:val="auto"/>
        </w:rPr>
      </w:pPr>
    </w:p>
    <w:p>
      <w:pPr>
        <w:ind w:left="340" w:hanging="188"/>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$38 million in the three months ended June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$314 million in the three months ended June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$78 million for the first six months of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$336 million for the first six months of 2011</w:t>
      </w:r>
    </w:p>
    <w:p>
      <w:pPr>
        <w:spacing w:after="0" w:line="25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decrease of $276 million in the three months ended June 30, 2012 was primarily due to a $277 million gain related to the remeasurement of the Chilquinta Energía and Luz del Sur equity method investments in April 2011. Earnings from operations for the three months ended June 30, 2012 were consistent with the corresponding period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$258 million in the first six months of 2012 was primarily due to:</w:t>
      </w:r>
    </w:p>
    <w:p>
      <w:pPr>
        <w:spacing w:after="0" w:line="221" w:lineRule="exact"/>
        <w:rPr>
          <w:sz w:val="20"/>
          <w:szCs w:val="20"/>
          <w:color w:val="auto"/>
        </w:rPr>
      </w:pPr>
    </w:p>
    <w:p>
      <w:pPr>
        <w:ind w:left="340" w:hanging="188"/>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 xml:space="preserve">the $277 million remeasurement gain;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$19 million higher earnings in 2012 primarily due to the acquisition of additional interests in Chilquinta Energía and Luz del Sur.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Mexico segment recorded earnings of:</w:t>
      </w:r>
    </w:p>
    <w:p>
      <w:pPr>
        <w:spacing w:after="0" w:line="225" w:lineRule="exact"/>
        <w:rPr>
          <w:sz w:val="20"/>
          <w:szCs w:val="20"/>
          <w:color w:val="auto"/>
        </w:rPr>
      </w:pPr>
    </w:p>
    <w:p>
      <w:pPr>
        <w:ind w:left="340" w:hanging="188"/>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$43 million in the three months ended June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$35 million in the three months ended June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$80 million for the first six months of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$74 million for the first six months of 2011</w:t>
      </w:r>
    </w:p>
    <w:p>
      <w:pPr>
        <w:spacing w:after="0" w:line="200" w:lineRule="exact"/>
        <w:rPr>
          <w:sz w:val="20"/>
          <w:szCs w:val="20"/>
          <w:color w:val="auto"/>
        </w:rPr>
      </w:pPr>
    </w:p>
    <w:p>
      <w:pPr>
        <w:spacing w:after="0" w:line="29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increase in the three months ended June 30, 2012 was primarily due to an income tax benefit in 2012 related to Mexican currency and inflation adjustments.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six months ended June 30, 2012, the increase in earnings was primarily due to $1 million income tax benefit related to Mexican currency and inflation adjustments compared to $7 million income tax expense in 2011.</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Earnings from operations for the three months and six months ended June 30, 2012 were consistent with the corresponding periods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489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(LOSSES) BY SEGMENT – SEMPRA U.S. GAS &amp; POWER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300"/>
          </w:cols>
          <w:pgMar w:left="240" w:top="1440" w:right="359" w:bottom="569"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03290" cy="30016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60032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Renewables segment recorded earnings of:</w:t>
      </w:r>
    </w:p>
    <w:p>
      <w:pPr>
        <w:spacing w:after="0" w:line="225" w:lineRule="exact"/>
        <w:rPr>
          <w:sz w:val="20"/>
          <w:szCs w:val="20"/>
          <w:color w:val="auto"/>
        </w:rPr>
      </w:pPr>
    </w:p>
    <w:p>
      <w:pPr>
        <w:ind w:left="340" w:hanging="188"/>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$24 million in the three months ended June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$4 million in the three months ended June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$34 million for the first six months of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$8 million for the first six months of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$13 million higher deferred income tax benefits as a result of increased investments in solar and wind generating assets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$3 million higher earnings attributable to our solar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 million higher production tax credits from our wind assets.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$19 million higher deferred income tax benefits as a result of increased investments in solar and wind generating assets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 million higher earnings attributable to our solar assets;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$5 million higher production tax credits from our wind assets;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 million increased general and administrative costs.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Natural Gas segment recorded (losses) earnings of:</w:t>
      </w:r>
    </w:p>
    <w:p>
      <w:pPr>
        <w:spacing w:after="0" w:line="225" w:lineRule="exact"/>
        <w:rPr>
          <w:sz w:val="20"/>
          <w:szCs w:val="20"/>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$(193) million in the three months ended June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$47 million in the three months ended June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$(192) million for the first six months of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$110 million for the first six months of 2011</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Losses of $193 million in the three months ended June 30, 2012 compared to earnings of $47 million for the corresponding period in 2011 were primarily due to:</w:t>
      </w:r>
    </w:p>
    <w:p>
      <w:pPr>
        <w:spacing w:after="0" w:line="170" w:lineRule="exact"/>
        <w:rPr>
          <w:sz w:val="20"/>
          <w:szCs w:val="20"/>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$179 million write-down of our investment in Rockies Express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$60 million lower earnings from natural gas power plant operations primarily from lower natural gas and power prices, including the impact from the end</w:t>
      </w:r>
    </w:p>
    <w:p>
      <w:pPr>
        <w:sectPr>
          <w:pgSz w:w="11900" w:h="16838" w:orient="portrait"/>
          <w:cols w:equalWidth="0" w:num="1">
            <w:col w:w="11420"/>
          </w:cols>
          <w:pgMar w:left="240" w:top="1440" w:right="239" w:bottom="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color w:val="auto"/>
        </w:rPr>
        <w:t>of the DWR contract as of September 30, 2011;</w:t>
      </w:r>
    </w:p>
    <w:p>
      <w:pPr>
        <w:spacing w:after="0" w:line="252" w:lineRule="exact"/>
        <w:rPr>
          <w:sz w:val="20"/>
          <w:szCs w:val="20"/>
          <w:color w:val="auto"/>
        </w:rPr>
      </w:pPr>
    </w:p>
    <w:p>
      <w:pPr>
        <w:ind w:left="340" w:hanging="188"/>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$8 million lower earnings primarily from the timing of natural gas inventory withdrawals and an increase in pipeline and storage demand charges related to an increase in natural gas inventory levels;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$8 million lower earnings from LNG primarily due to lower natural gas prices compared to the same period in the prior year;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$11 million operating losses in 2011 from the El Dorado power plant sold to SDG&amp;E as of October 1, 2011;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$7 million higher earnings from the recovery of natural gas inventory valuation adjustments due to higher natural gas prices.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Losses of $192 million in the first six months of 2012 compared to earnings of $110 million for the corresponding period in 2011 were primarily due to:</w:t>
      </w:r>
    </w:p>
    <w:p>
      <w:pPr>
        <w:spacing w:after="0" w:line="237" w:lineRule="exact"/>
        <w:rPr>
          <w:sz w:val="20"/>
          <w:szCs w:val="20"/>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$179 million write-down of our investment in Rockies Express in 2012;</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$122 million lower earnings from natural gas power plant operations primarily from lower natural gas and power prices, including the impact from the end of the DWR contract as of September 30, 2011;</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$7 million lower earnings primarily from the timing of natural gas inventory withdrawals and an increase in pipeline and storage demand charges related to an increase in natural gas inventory levels;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$6 million lower earnings from LNG primarily due to lower natural gas prices;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$17 million operating losses in 2011 from the El Dorado power plant sold to SDG&amp;E as of October 1, 2011.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Earnings (losses) for Parent and Other were</w:t>
      </w:r>
    </w:p>
    <w:p>
      <w:pPr>
        <w:spacing w:after="0" w:line="225" w:lineRule="exact"/>
        <w:rPr>
          <w:sz w:val="20"/>
          <w:szCs w:val="20"/>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 million in the three months ended June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$(27) million in the three months ended June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$(21) million for the first six months of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$(58) million for the first six months of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right="20" w:hanging="188"/>
        <w:spacing w:after="0" w:line="277" w:lineRule="auto"/>
        <w:tabs>
          <w:tab w:leader="none" w:pos="34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 xml:space="preserve">$54 million income tax benefit primarily associated with our decision to hold life insurance contracts kept in support of certain benefit plans to term, as we discuss below in “Income Taxes;”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b w:val="1"/>
          <w:bCs w:val="1"/>
          <w:color w:val="auto"/>
        </w:rPr>
      </w:pPr>
    </w:p>
    <w:p>
      <w:pPr>
        <w:ind w:left="340" w:right="20" w:hanging="188"/>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$17 million lower investment gains on dedicated assets in support of our executive retirement and deferred compensation plans, net of the increase in deferred compensation liability associated with the investments;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$11 million lower income tax benefits, excluding the $54 million income tax benefit discussed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$54 million income tax benefit primarily associated with the decision to hold life insurance contracts to term, as discussed above;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$5 million equity losses in 2011 from our former commodities-marketing businesses;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$18 million lower income tax benefits, excluding the $54 million income tax benefit discussed above.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REVENUES, COSTS AND EARNINGS</w:t>
      </w:r>
    </w:p>
    <w:p>
      <w:pPr>
        <w:spacing w:after="0" w:line="2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section contains a discussion of the differences between periods in specific line items of the Condensed Consolidated Statements of Operations for Sempra Energy, SDG&amp;E and SoCalGas.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Utilities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utilities revenues include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 at:</w:t>
      </w:r>
    </w:p>
    <w:p>
      <w:pPr>
        <w:spacing w:after="0" w:line="205" w:lineRule="exact"/>
        <w:rPr>
          <w:sz w:val="20"/>
          <w:szCs w:val="20"/>
          <w:color w:val="auto"/>
        </w:rPr>
      </w:pPr>
    </w:p>
    <w:p>
      <w:pPr>
        <w:ind w:left="340" w:hanging="188"/>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SoCalGas</w:t>
      </w:r>
    </w:p>
    <w:p>
      <w:pPr>
        <w:sectPr>
          <w:pgSz w:w="11900" w:h="16838" w:orient="portrait"/>
          <w:cols w:equalWidth="0" w:num="1">
            <w:col w:w="11420"/>
          </w:cols>
          <w:pgMar w:left="240" w:top="125" w:right="239" w:bottom="32" w:gutter="0" w:footer="0" w:header="0"/>
        </w:sectPr>
      </w:pPr>
    </w:p>
    <w:bookmarkStart w:id="55" w:name="page56"/>
    <w:bookmarkEnd w:id="55"/>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Sempra Natural Gas’ Mobile Gas and Willmut Gas, regulated natural gas distribution utilities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i w:val="1"/>
          <w:iCs w:val="1"/>
          <w:color w:val="auto"/>
        </w:rPr>
      </w:pPr>
      <w:r>
        <w:rPr>
          <w:rFonts w:ascii="Arial" w:cs="Arial" w:eastAsia="Arial" w:hAnsi="Arial"/>
          <w:sz w:val="18"/>
          <w:szCs w:val="18"/>
          <w:color w:val="auto"/>
        </w:rPr>
        <w:t>Sempra Mexico’s Ecogas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 at:</w:t>
      </w:r>
    </w:p>
    <w:p>
      <w:pPr>
        <w:spacing w:after="0" w:line="205" w:lineRule="exact"/>
        <w:rPr>
          <w:sz w:val="20"/>
          <w:szCs w:val="20"/>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Sempra South American Utilities’ Chilquinta Energía and Luz del Sur</w:t>
      </w:r>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Intercompany revenues included in the separate revenues of each utility are eliminated in the Sempra Energy Condensed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California Utilities</w:t>
      </w:r>
    </w:p>
    <w:p>
      <w:pPr>
        <w:spacing w:after="0" w:line="205"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The current regulatory framework for SoCalGas and SDG&amp;E permits the cost of natural gas purchased for core customers (primarily residential and small commercial and industrial customers) to be passed on to customers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 9 of the Notes to Condensed Consolidated Financial Statements herein.</w:t>
      </w:r>
    </w:p>
    <w:p>
      <w:pPr>
        <w:spacing w:after="0" w:line="178"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revenues and cost of sales for our utilities, net of intercompany activity: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UTILITIES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620" w:type="dxa"/>
            <w:vAlign w:val="bottom"/>
            <w:gridSpan w:val="3"/>
            <w:vMerge w:val="restart"/>
          </w:tcPr>
          <w:p>
            <w:pPr>
              <w:jc w:val="right"/>
              <w:ind w:right="5"/>
              <w:spacing w:after="0"/>
              <w:rPr>
                <w:sz w:val="20"/>
                <w:szCs w:val="20"/>
                <w:color w:val="auto"/>
              </w:rPr>
            </w:pPr>
            <w:r>
              <w:rPr>
                <w:rFonts w:ascii="Arial" w:cs="Arial" w:eastAsia="Arial" w:hAnsi="Arial"/>
                <w:sz w:val="14"/>
                <w:szCs w:val="14"/>
                <w:color w:val="auto"/>
              </w:rPr>
              <w:t>Three months ended June 30,</w:t>
            </w:r>
          </w:p>
        </w:tc>
        <w:tc>
          <w:tcPr>
            <w:tcW w:w="540" w:type="dxa"/>
            <w:vAlign w:val="bottom"/>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24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126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620" w:type="dxa"/>
            <w:vAlign w:val="bottom"/>
            <w:tcBorders>
              <w:bottom w:val="single" w:sz="8" w:color="auto"/>
            </w:tcBorders>
            <w:gridSpan w:val="3"/>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2012</w:t>
            </w: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2011</w:t>
            </w:r>
          </w:p>
        </w:tc>
        <w:tc>
          <w:tcPr>
            <w:tcW w:w="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40" w:type="dxa"/>
            <w:vAlign w:val="bottom"/>
          </w:tcPr>
          <w:p>
            <w:pPr>
              <w:spacing w:after="0" w:line="164" w:lineRule="exact"/>
              <w:rPr>
                <w:sz w:val="20"/>
                <w:szCs w:val="20"/>
                <w:color w:val="auto"/>
              </w:rPr>
            </w:pPr>
            <w:r>
              <w:rPr>
                <w:rFonts w:ascii="Arial" w:cs="Arial" w:eastAsia="Arial" w:hAnsi="Arial"/>
                <w:sz w:val="16"/>
                <w:szCs w:val="16"/>
                <w:b w:val="1"/>
                <w:bCs w:val="1"/>
                <w:color w:val="auto"/>
              </w:rPr>
              <w:t>Electric revenues:</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680</w:t>
            </w: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583</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1,351</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10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324</w:t>
            </w:r>
          </w:p>
        </w:tc>
        <w:tc>
          <w:tcPr>
            <w:tcW w:w="10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324</w:t>
            </w:r>
          </w:p>
        </w:tc>
        <w:tc>
          <w:tcPr>
            <w:tcW w:w="3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662</w:t>
            </w:r>
          </w:p>
        </w:tc>
        <w:tc>
          <w:tcPr>
            <w:tcW w:w="34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tcPr>
          <w:p>
            <w:pPr>
              <w:ind w:left="80"/>
              <w:spacing w:after="0"/>
              <w:rPr>
                <w:sz w:val="20"/>
                <w:szCs w:val="20"/>
                <w:color w:val="auto"/>
              </w:rPr>
            </w:pPr>
            <w:r>
              <w:rPr>
                <w:rFonts w:ascii="Arial" w:cs="Arial" w:eastAsia="Arial" w:hAnsi="Arial"/>
                <w:sz w:val="16"/>
                <w:szCs w:val="16"/>
                <w:color w:val="auto"/>
              </w:rPr>
              <w:t>Eliminations and adjustments</w:t>
            </w: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Pr>
          <w:p>
            <w:pPr>
              <w:ind w:left="260"/>
              <w:spacing w:after="0" w:line="176" w:lineRule="exact"/>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1,001</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906</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2,009</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188"/>
        </w:trPr>
        <w:tc>
          <w:tcPr>
            <w:tcW w:w="5060" w:type="dxa"/>
            <w:vAlign w:val="bottom"/>
            <w:gridSpan w:val="2"/>
          </w:tcPr>
          <w:p>
            <w:pPr>
              <w:spacing w:after="0"/>
              <w:rPr>
                <w:sz w:val="20"/>
                <w:szCs w:val="20"/>
                <w:color w:val="auto"/>
              </w:rPr>
            </w:pPr>
            <w:r>
              <w:rPr>
                <w:rFonts w:ascii="Arial" w:cs="Arial" w:eastAsia="Arial" w:hAnsi="Arial"/>
                <w:sz w:val="16"/>
                <w:szCs w:val="16"/>
                <w:b w:val="1"/>
                <w:bCs w:val="1"/>
                <w:color w:val="auto"/>
              </w:rPr>
              <w:t>Natural gas revenues:</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40" w:type="dxa"/>
            <w:vAlign w:val="bottom"/>
          </w:tcPr>
          <w:p>
            <w:pPr>
              <w:ind w:left="80"/>
              <w:spacing w:after="0" w:line="179" w:lineRule="exact"/>
              <w:rPr>
                <w:sz w:val="20"/>
                <w:szCs w:val="20"/>
                <w:color w:val="auto"/>
              </w:rPr>
            </w:pPr>
            <w:r>
              <w:rPr>
                <w:rFonts w:ascii="Arial" w:cs="Arial" w:eastAsia="Arial" w:hAnsi="Arial"/>
                <w:sz w:val="16"/>
                <w:szCs w:val="16"/>
                <w:color w:val="auto"/>
              </w:rPr>
              <w:t>SoCalGas</w:t>
            </w:r>
          </w:p>
        </w:tc>
        <w:tc>
          <w:tcPr>
            <w:tcW w:w="10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Arial" w:cs="Arial" w:eastAsia="Arial" w:hAnsi="Arial"/>
                <w:sz w:val="16"/>
                <w:szCs w:val="16"/>
                <w:color w:val="auto"/>
              </w:rPr>
              <w:t>720</w:t>
            </w:r>
          </w:p>
        </w:tc>
        <w:tc>
          <w:tcPr>
            <w:tcW w:w="1040" w:type="dxa"/>
            <w:vAlign w:val="bottom"/>
          </w:tcPr>
          <w:p>
            <w:pPr>
              <w:spacing w:after="0"/>
              <w:rPr>
                <w:sz w:val="15"/>
                <w:szCs w:val="15"/>
                <w:color w:val="auto"/>
              </w:rPr>
            </w:pPr>
          </w:p>
        </w:tc>
        <w:tc>
          <w:tcPr>
            <w:tcW w:w="540" w:type="dxa"/>
            <w:vAlign w:val="bottom"/>
          </w:tcPr>
          <w:p>
            <w:pPr>
              <w:jc w:val="right"/>
              <w:spacing w:after="0" w:line="179" w:lineRule="exact"/>
              <w:rPr>
                <w:sz w:val="20"/>
                <w:szCs w:val="20"/>
                <w:color w:val="auto"/>
              </w:rPr>
            </w:pPr>
            <w:r>
              <w:rPr>
                <w:rFonts w:ascii="Arial" w:cs="Arial" w:eastAsia="Arial" w:hAnsi="Arial"/>
                <w:sz w:val="16"/>
                <w:szCs w:val="16"/>
                <w:color w:val="auto"/>
              </w:rPr>
              <w:t>876</w:t>
            </w:r>
          </w:p>
        </w:tc>
        <w:tc>
          <w:tcPr>
            <w:tcW w:w="36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Arial" w:cs="Arial" w:eastAsia="Arial" w:hAnsi="Arial"/>
                <w:sz w:val="16"/>
                <w:szCs w:val="16"/>
                <w:color w:val="auto"/>
              </w:rPr>
              <w:t>1,600</w:t>
            </w:r>
          </w:p>
        </w:tc>
        <w:tc>
          <w:tcPr>
            <w:tcW w:w="340" w:type="dxa"/>
            <w:vAlign w:val="bottom"/>
          </w:tcPr>
          <w:p>
            <w:pPr>
              <w:spacing w:after="0"/>
              <w:rPr>
                <w:sz w:val="15"/>
                <w:szCs w:val="15"/>
                <w:color w:val="auto"/>
              </w:rPr>
            </w:pPr>
          </w:p>
        </w:tc>
        <w:tc>
          <w:tcPr>
            <w:tcW w:w="1260" w:type="dxa"/>
            <w:vAlign w:val="bottom"/>
          </w:tcPr>
          <w:p>
            <w:pPr>
              <w:jc w:val="right"/>
              <w:spacing w:after="0" w:line="179" w:lineRule="exact"/>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10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100</w:t>
            </w:r>
          </w:p>
        </w:tc>
        <w:tc>
          <w:tcPr>
            <w:tcW w:w="10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114</w:t>
            </w:r>
          </w:p>
        </w:tc>
        <w:tc>
          <w:tcPr>
            <w:tcW w:w="3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263</w:t>
            </w:r>
          </w:p>
        </w:tc>
        <w:tc>
          <w:tcPr>
            <w:tcW w:w="34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10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10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3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c>
          <w:tcPr>
            <w:tcW w:w="34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10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10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3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34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tcPr>
          <w:p>
            <w:pPr>
              <w:ind w:left="80"/>
              <w:spacing w:after="0"/>
              <w:rPr>
                <w:sz w:val="20"/>
                <w:szCs w:val="20"/>
                <w:color w:val="auto"/>
              </w:rPr>
            </w:pPr>
            <w:r>
              <w:rPr>
                <w:rFonts w:ascii="Arial" w:cs="Arial" w:eastAsia="Arial" w:hAnsi="Arial"/>
                <w:sz w:val="16"/>
                <w:szCs w:val="16"/>
                <w:color w:val="auto"/>
              </w:rPr>
              <w:t>Eliminations and adjustments</w:t>
            </w: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Pr>
          <w:p>
            <w:pPr>
              <w:ind w:left="260"/>
              <w:spacing w:after="0" w:line="176" w:lineRule="exact"/>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837</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1,016</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1,920</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2,299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Total utilities revenues</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1,838</w:t>
            </w: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1,922</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3,929</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3,868</w:t>
            </w:r>
          </w:p>
        </w:tc>
        <w:tc>
          <w:tcPr>
            <w:tcW w:w="0" w:type="dxa"/>
            <w:vAlign w:val="bottom"/>
          </w:tcPr>
          <w:p>
            <w:pPr>
              <w:spacing w:after="0"/>
              <w:rPr>
                <w:sz w:val="1"/>
                <w:szCs w:val="1"/>
                <w:color w:val="auto"/>
              </w:rPr>
            </w:pPr>
          </w:p>
        </w:tc>
      </w:tr>
      <w:tr>
        <w:trPr>
          <w:trHeight w:val="164"/>
        </w:trPr>
        <w:tc>
          <w:tcPr>
            <w:tcW w:w="506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Cost of electric fuel and purchased power:</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140</w:t>
            </w: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156</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303</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10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210</w:t>
            </w:r>
          </w:p>
        </w:tc>
        <w:tc>
          <w:tcPr>
            <w:tcW w:w="10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241</w:t>
            </w:r>
          </w:p>
        </w:tc>
        <w:tc>
          <w:tcPr>
            <w:tcW w:w="3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435</w:t>
            </w:r>
          </w:p>
        </w:tc>
        <w:tc>
          <w:tcPr>
            <w:tcW w:w="34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tcPr>
          <w:p>
            <w:pPr>
              <w:ind w:left="80"/>
              <w:spacing w:after="0"/>
              <w:rPr>
                <w:sz w:val="20"/>
                <w:szCs w:val="20"/>
                <w:color w:val="auto"/>
              </w:rPr>
            </w:pPr>
            <w:r>
              <w:rPr>
                <w:rFonts w:ascii="Arial" w:cs="Arial" w:eastAsia="Arial" w:hAnsi="Arial"/>
                <w:sz w:val="16"/>
                <w:szCs w:val="16"/>
                <w:color w:val="auto"/>
              </w:rPr>
              <w:t>Eliminations and adjustments</w:t>
            </w: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Pr>
          <w:p>
            <w:pPr>
              <w:ind w:left="260"/>
              <w:spacing w:after="0" w:line="176" w:lineRule="exact"/>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349</w:t>
            </w: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397</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737</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164"/>
        </w:trPr>
        <w:tc>
          <w:tcPr>
            <w:tcW w:w="506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Cost of natural gas:</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80"/>
              <w:spacing w:after="0" w:line="176" w:lineRule="exact"/>
              <w:rPr>
                <w:sz w:val="20"/>
                <w:szCs w:val="20"/>
                <w:color w:val="auto"/>
              </w:rPr>
            </w:pPr>
            <w:r>
              <w:rPr>
                <w:rFonts w:ascii="Arial" w:cs="Arial" w:eastAsia="Arial" w:hAnsi="Arial"/>
                <w:sz w:val="16"/>
                <w:szCs w:val="16"/>
                <w:color w:val="auto"/>
              </w:rPr>
              <w:t>SoCalGas</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179</w:t>
            </w: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335</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528</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10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10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3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101</w:t>
            </w:r>
          </w:p>
        </w:tc>
        <w:tc>
          <w:tcPr>
            <w:tcW w:w="34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10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10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3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34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10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10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3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34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tcPr>
          <w:p>
            <w:pPr>
              <w:ind w:left="80"/>
              <w:spacing w:after="0"/>
              <w:rPr>
                <w:sz w:val="20"/>
                <w:szCs w:val="20"/>
                <w:color w:val="auto"/>
              </w:rPr>
            </w:pPr>
            <w:r>
              <w:rPr>
                <w:rFonts w:ascii="Arial" w:cs="Arial" w:eastAsia="Arial" w:hAnsi="Arial"/>
                <w:sz w:val="16"/>
                <w:szCs w:val="16"/>
                <w:color w:val="auto"/>
              </w:rPr>
              <w:t>Eliminations and adjustments</w:t>
            </w: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221</w:t>
            </w: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403</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652</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2012, our electric revenues increased by $95 million (10%) to $1.0 billion primarily due to:</w:t>
      </w:r>
    </w:p>
    <w:p>
      <w:pPr>
        <w:spacing w:after="0" w:line="225" w:lineRule="exact"/>
        <w:rPr>
          <w:sz w:val="20"/>
          <w:szCs w:val="20"/>
          <w:color w:val="auto"/>
        </w:rPr>
      </w:pPr>
    </w:p>
    <w:p>
      <w:pPr>
        <w:ind w:left="340" w:hanging="188"/>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$97 million increase at SDG&amp;E, which we discuss below;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 xml:space="preserve">$28 million increase at Luz del Sur primarily due to higher authorized transmission and distribution margins and higher volume;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$28 million decrease at Chilquinta Energía mainly due to lower commodity prices.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utilities’ cost of electric fuel and purchased power decreased by $48 million (12%) to $349 million in the three months ended June 30, 2012 primarily due to:</w:t>
      </w:r>
    </w:p>
    <w:p>
      <w:pPr>
        <w:spacing w:after="0" w:line="170" w:lineRule="exact"/>
        <w:rPr>
          <w:sz w:val="20"/>
          <w:szCs w:val="20"/>
          <w:color w:val="auto"/>
        </w:rPr>
      </w:pPr>
    </w:p>
    <w:p>
      <w:pPr>
        <w:ind w:left="340" w:hanging="188"/>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$31 million decrease at our South American utilities due to lower commodity prices at Chilquinta Energía, offset by higher volume at Luz del Sur; and</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$16 million decrease at SDG&amp;E, which we discuss below.</w:t>
      </w:r>
    </w:p>
    <w:p>
      <w:pPr>
        <w:sectPr>
          <w:pgSz w:w="11900" w:h="16838" w:orient="portrait"/>
          <w:cols w:equalWidth="0" w:num="1">
            <w:col w:w="11420"/>
          </w:cols>
          <w:pgMar w:left="240" w:top="125" w:right="239" w:bottom="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During the six months ended June 30, 2012, our electric revenues increased by $440 million (28%) to $2.0 billion primarily due to:</w:t>
      </w:r>
    </w:p>
    <w:p>
      <w:pPr>
        <w:spacing w:after="0" w:line="225" w:lineRule="exact"/>
        <w:rPr>
          <w:sz w:val="20"/>
          <w:szCs w:val="20"/>
          <w:color w:val="auto"/>
        </w:rPr>
      </w:pPr>
    </w:p>
    <w:p>
      <w:pPr>
        <w:jc w:val="both"/>
        <w:ind w:left="340" w:hanging="188"/>
        <w:spacing w:after="0" w:line="264"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$338 million at our South American utilities, primarily from the consolidation of Chilquinta Energía and Luz del Sur acquired in April 2011. In addition, during the second quarter of 2012, electric revenues increased due to higher authorized transmission and distribution margins and volume at Luz del Sur, offset by lower commodity prices at Chilquinta Energía; and</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$103 million increase at SDG&amp;E, which we discuss below.</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utilities’ cost of electric fuel and purchased power increased by $169 million (30%) to $737 million in the six months ended June 30, 2012 primarily due to:</w:t>
      </w:r>
    </w:p>
    <w:p>
      <w:pPr>
        <w:spacing w:after="0" w:line="170" w:lineRule="exact"/>
        <w:rPr>
          <w:sz w:val="20"/>
          <w:szCs w:val="20"/>
          <w:color w:val="auto"/>
        </w:rPr>
      </w:pPr>
    </w:p>
    <w:p>
      <w:pPr>
        <w:ind w:left="340" w:hanging="188"/>
        <w:spacing w:after="0" w:line="277" w:lineRule="auto"/>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 xml:space="preserve">$194 million mainly from the consolidation of cost of electric fuel and purchased power of Chilquinta Energía and Luz del Sur. The increase was also due to higher volume at Luz del Sur, net of lower commodity prices at Chilquinta Energía in the second quarter of 2012;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$24 million decrease at SDG&amp;E.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w:t>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three months ended June 30, 2012, Sempra Energy’s natural gas revenues decreased by $179 million (18%) to $837 million, and the cost of natural gas decreased by $182 million (45%) to $221 million. The decrease in natural gas revenues included $156 million at SoCalGas and $14 million at SDG&amp;E, primarily due to decreases in commodity costs in 2012.</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the six months ended June 30, 2012, Sempra Energy’s natural gas revenues decreased by $379 million (16%) to $1.9 billion, and the cost of natural gas decreased by $393 million (38%) to $652 million. The decrease in natural gas revenues was primarily attributable to $332 million at SoCalGas and $26 million at SDG&amp;E.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natural gas revenues and the cost of natural gas individually for SDG&amp;E and SoCalGas below.</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Electric Revenues and Cost of Electric Fuel and Purchased Power</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shows electric revenues for SDG&amp;E for the six-month periods ended June 30, 2012 and 2011. Because the cost of electricity is substantially recovered in rates, changes in the cost are reflected in the changes in revenues.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ELECTRIC DISTRIBUTION AND TRANSMISSION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2160" w:type="dxa"/>
            <w:vAlign w:val="bottom"/>
            <w:gridSpan w:val="2"/>
            <w:vMerge w:val="restart"/>
          </w:tcPr>
          <w:p>
            <w:pPr>
              <w:jc w:val="center"/>
              <w:ind w:left="582"/>
              <w:spacing w:after="0"/>
              <w:rPr>
                <w:sz w:val="20"/>
                <w:szCs w:val="20"/>
                <w:color w:val="auto"/>
              </w:rPr>
            </w:pPr>
            <w:r>
              <w:rPr>
                <w:rFonts w:ascii="Arial" w:cs="Arial" w:eastAsia="Arial" w:hAnsi="Arial"/>
                <w:sz w:val="14"/>
                <w:szCs w:val="14"/>
                <w:color w:val="auto"/>
              </w:rPr>
              <w:t>Six months ended</w:t>
            </w:r>
          </w:p>
        </w:tc>
        <w:tc>
          <w:tcPr>
            <w:tcW w:w="820" w:type="dxa"/>
            <w:vAlign w:val="bottom"/>
          </w:tcPr>
          <w:p>
            <w:pPr>
              <w:spacing w:after="0"/>
              <w:rPr>
                <w:sz w:val="16"/>
                <w:szCs w:val="16"/>
                <w:color w:val="auto"/>
              </w:rPr>
            </w:pPr>
          </w:p>
        </w:tc>
        <w:tc>
          <w:tcPr>
            <w:tcW w:w="26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38"/>
        </w:trPr>
        <w:tc>
          <w:tcPr>
            <w:tcW w:w="578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780" w:type="dxa"/>
            <w:vAlign w:val="bottom"/>
          </w:tcPr>
          <w:p>
            <w:pPr>
              <w:spacing w:after="0"/>
              <w:rPr>
                <w:sz w:val="14"/>
                <w:szCs w:val="14"/>
                <w:color w:val="auto"/>
              </w:rPr>
            </w:pPr>
          </w:p>
        </w:tc>
        <w:tc>
          <w:tcPr>
            <w:tcW w:w="2160" w:type="dxa"/>
            <w:vAlign w:val="bottom"/>
            <w:tcBorders>
              <w:bottom w:val="single" w:sz="8" w:color="auto"/>
            </w:tcBorders>
            <w:gridSpan w:val="2"/>
          </w:tcPr>
          <w:p>
            <w:pPr>
              <w:jc w:val="center"/>
              <w:ind w:left="562"/>
              <w:spacing w:after="0" w:line="157" w:lineRule="exact"/>
              <w:rPr>
                <w:sz w:val="20"/>
                <w:szCs w:val="20"/>
                <w:color w:val="auto"/>
              </w:rPr>
            </w:pPr>
            <w:r>
              <w:rPr>
                <w:rFonts w:ascii="Arial" w:cs="Arial" w:eastAsia="Arial" w:hAnsi="Arial"/>
                <w:sz w:val="14"/>
                <w:szCs w:val="14"/>
                <w:color w:val="auto"/>
              </w:rPr>
              <w:t>June 30, 2012</w:t>
            </w:r>
          </w:p>
        </w:tc>
        <w:tc>
          <w:tcPr>
            <w:tcW w:w="8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center"/>
              <w:ind w:right="100"/>
              <w:spacing w:after="0" w:line="157" w:lineRule="exact"/>
              <w:rPr>
                <w:sz w:val="20"/>
                <w:szCs w:val="20"/>
                <w:color w:val="auto"/>
              </w:rPr>
            </w:pPr>
            <w:r>
              <w:rPr>
                <w:rFonts w:ascii="Arial" w:cs="Arial" w:eastAsia="Arial" w:hAnsi="Arial"/>
                <w:sz w:val="14"/>
                <w:szCs w:val="14"/>
                <w:color w:val="auto"/>
              </w:rPr>
              <w:t>June 30, 2011</w:t>
            </w:r>
          </w:p>
        </w:tc>
        <w:tc>
          <w:tcPr>
            <w:tcW w:w="0" w:type="dxa"/>
            <w:vAlign w:val="bottom"/>
          </w:tcPr>
          <w:p>
            <w:pPr>
              <w:spacing w:after="0"/>
              <w:rPr>
                <w:sz w:val="1"/>
                <w:szCs w:val="1"/>
                <w:color w:val="auto"/>
              </w:rPr>
            </w:pPr>
          </w:p>
        </w:tc>
      </w:tr>
      <w:tr>
        <w:trPr>
          <w:trHeight w:val="169"/>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Volumes</w:t>
            </w:r>
          </w:p>
        </w:tc>
        <w:tc>
          <w:tcPr>
            <w:tcW w:w="166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4"/>
                <w:szCs w:val="14"/>
                <w:color w:val="auto"/>
              </w:rPr>
              <w:t>Revenue</w:t>
            </w:r>
          </w:p>
        </w:tc>
        <w:tc>
          <w:tcPr>
            <w:tcW w:w="11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4"/>
        </w:trPr>
        <w:tc>
          <w:tcPr>
            <w:tcW w:w="5780" w:type="dxa"/>
            <w:vAlign w:val="bottom"/>
          </w:tcPr>
          <w:p>
            <w:pPr>
              <w:spacing w:after="0" w:line="164" w:lineRule="exact"/>
              <w:rPr>
                <w:sz w:val="20"/>
                <w:szCs w:val="20"/>
                <w:color w:val="auto"/>
              </w:rPr>
            </w:pPr>
            <w:r>
              <w:rPr>
                <w:rFonts w:ascii="Arial" w:cs="Arial" w:eastAsia="Arial" w:hAnsi="Arial"/>
                <w:sz w:val="16"/>
                <w:szCs w:val="16"/>
                <w:color w:val="auto"/>
              </w:rPr>
              <w:t>Residential</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3,578</w:t>
            </w:r>
          </w:p>
        </w:tc>
        <w:tc>
          <w:tcPr>
            <w:tcW w:w="840" w:type="dxa"/>
            <w:vAlign w:val="bottom"/>
          </w:tcPr>
          <w:p>
            <w:pPr>
              <w:jc w:val="center"/>
              <w:ind w:right="622"/>
              <w:spacing w:after="0" w:line="164"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552</w:t>
            </w: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3,624</w:t>
            </w:r>
          </w:p>
        </w:tc>
        <w:tc>
          <w:tcPr>
            <w:tcW w:w="280" w:type="dxa"/>
            <w:vAlign w:val="bottom"/>
          </w:tcPr>
          <w:p>
            <w:pPr>
              <w:jc w:val="center"/>
              <w:ind w:right="79"/>
              <w:spacing w:after="0" w:line="164"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64" w:lineRule="exact"/>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176"/>
        </w:trPr>
        <w:tc>
          <w:tcPr>
            <w:tcW w:w="5780" w:type="dxa"/>
            <w:vAlign w:val="bottom"/>
          </w:tcPr>
          <w:p>
            <w:pPr>
              <w:spacing w:after="0" w:line="176" w:lineRule="exact"/>
              <w:rPr>
                <w:sz w:val="20"/>
                <w:szCs w:val="20"/>
                <w:color w:val="auto"/>
              </w:rPr>
            </w:pPr>
            <w:r>
              <w:rPr>
                <w:rFonts w:ascii="Arial" w:cs="Arial" w:eastAsia="Arial" w:hAnsi="Arial"/>
                <w:sz w:val="16"/>
                <w:szCs w:val="16"/>
                <w:color w:val="auto"/>
              </w:rPr>
              <w:t>Commercial</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3,302</w:t>
            </w:r>
          </w:p>
        </w:tc>
        <w:tc>
          <w:tcPr>
            <w:tcW w:w="840" w:type="dxa"/>
            <w:vAlign w:val="bottom"/>
          </w:tcPr>
          <w:p>
            <w:pPr>
              <w:spacing w:after="0"/>
              <w:rPr>
                <w:sz w:val="15"/>
                <w:szCs w:val="15"/>
                <w:color w:val="auto"/>
              </w:rPr>
            </w:pPr>
          </w:p>
        </w:tc>
        <w:tc>
          <w:tcPr>
            <w:tcW w:w="82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455</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3,302</w:t>
            </w:r>
          </w:p>
        </w:tc>
        <w:tc>
          <w:tcPr>
            <w:tcW w:w="2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176"/>
        </w:trPr>
        <w:tc>
          <w:tcPr>
            <w:tcW w:w="5780" w:type="dxa"/>
            <w:vAlign w:val="bottom"/>
          </w:tcPr>
          <w:p>
            <w:pPr>
              <w:spacing w:after="0" w:line="176" w:lineRule="exact"/>
              <w:rPr>
                <w:sz w:val="20"/>
                <w:szCs w:val="20"/>
                <w:color w:val="auto"/>
              </w:rPr>
            </w:pPr>
            <w:r>
              <w:rPr>
                <w:rFonts w:ascii="Arial" w:cs="Arial" w:eastAsia="Arial" w:hAnsi="Arial"/>
                <w:sz w:val="16"/>
                <w:szCs w:val="16"/>
                <w:color w:val="auto"/>
              </w:rPr>
              <w:t>Industrial</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986</w:t>
            </w:r>
          </w:p>
        </w:tc>
        <w:tc>
          <w:tcPr>
            <w:tcW w:w="840" w:type="dxa"/>
            <w:vAlign w:val="bottom"/>
          </w:tcPr>
          <w:p>
            <w:pPr>
              <w:spacing w:after="0"/>
              <w:rPr>
                <w:sz w:val="15"/>
                <w:szCs w:val="15"/>
                <w:color w:val="auto"/>
              </w:rPr>
            </w:pPr>
          </w:p>
        </w:tc>
        <w:tc>
          <w:tcPr>
            <w:tcW w:w="82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112</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996</w:t>
            </w:r>
          </w:p>
        </w:tc>
        <w:tc>
          <w:tcPr>
            <w:tcW w:w="2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76"/>
        </w:trPr>
        <w:tc>
          <w:tcPr>
            <w:tcW w:w="5780" w:type="dxa"/>
            <w:vAlign w:val="bottom"/>
          </w:tcPr>
          <w:p>
            <w:pPr>
              <w:spacing w:after="0" w:line="176" w:lineRule="exact"/>
              <w:rPr>
                <w:sz w:val="20"/>
                <w:szCs w:val="20"/>
                <w:color w:val="auto"/>
              </w:rPr>
            </w:pPr>
            <w:r>
              <w:rPr>
                <w:rFonts w:ascii="Arial" w:cs="Arial" w:eastAsia="Arial" w:hAnsi="Arial"/>
                <w:sz w:val="16"/>
                <w:szCs w:val="16"/>
                <w:color w:val="auto"/>
              </w:rPr>
              <w:t>Direct access</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1,572</w:t>
            </w:r>
          </w:p>
        </w:tc>
        <w:tc>
          <w:tcPr>
            <w:tcW w:w="840" w:type="dxa"/>
            <w:vAlign w:val="bottom"/>
          </w:tcPr>
          <w:p>
            <w:pPr>
              <w:spacing w:after="0"/>
              <w:rPr>
                <w:sz w:val="15"/>
                <w:szCs w:val="15"/>
                <w:color w:val="auto"/>
              </w:rPr>
            </w:pPr>
          </w:p>
        </w:tc>
        <w:tc>
          <w:tcPr>
            <w:tcW w:w="82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68</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1,568</w:t>
            </w:r>
          </w:p>
        </w:tc>
        <w:tc>
          <w:tcPr>
            <w:tcW w:w="2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4"/>
        </w:trPr>
        <w:tc>
          <w:tcPr>
            <w:tcW w:w="5780" w:type="dxa"/>
            <w:vAlign w:val="bottom"/>
          </w:tcPr>
          <w:p>
            <w:pPr>
              <w:spacing w:after="0"/>
              <w:rPr>
                <w:sz w:val="20"/>
                <w:szCs w:val="20"/>
                <w:color w:val="auto"/>
              </w:rPr>
            </w:pPr>
            <w:r>
              <w:rPr>
                <w:rFonts w:ascii="Arial" w:cs="Arial" w:eastAsia="Arial" w:hAnsi="Arial"/>
                <w:sz w:val="16"/>
                <w:szCs w:val="16"/>
                <w:color w:val="auto"/>
              </w:rPr>
              <w:t>Street and highway lighting</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4"/>
        </w:trPr>
        <w:tc>
          <w:tcPr>
            <w:tcW w:w="578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9,488</w:t>
            </w:r>
          </w:p>
        </w:tc>
        <w:tc>
          <w:tcPr>
            <w:tcW w:w="840" w:type="dxa"/>
            <w:vAlign w:val="bottom"/>
          </w:tcPr>
          <w:p>
            <w:pPr>
              <w:spacing w:after="0"/>
              <w:rPr>
                <w:sz w:val="14"/>
                <w:szCs w:val="14"/>
                <w:color w:val="auto"/>
              </w:rPr>
            </w:pPr>
          </w:p>
        </w:tc>
        <w:tc>
          <w:tcPr>
            <w:tcW w:w="82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1,193</w:t>
            </w: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9,543</w:t>
            </w:r>
          </w:p>
        </w:tc>
        <w:tc>
          <w:tcPr>
            <w:tcW w:w="280" w:type="dxa"/>
            <w:vAlign w:val="bottom"/>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176"/>
        </w:trPr>
        <w:tc>
          <w:tcPr>
            <w:tcW w:w="5780" w:type="dxa"/>
            <w:vAlign w:val="bottom"/>
          </w:tcPr>
          <w:p>
            <w:pPr>
              <w:spacing w:after="0" w:line="176" w:lineRule="exact"/>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81</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4"/>
        </w:trPr>
        <w:tc>
          <w:tcPr>
            <w:tcW w:w="5780" w:type="dxa"/>
            <w:vAlign w:val="bottom"/>
          </w:tcPr>
          <w:p>
            <w:pPr>
              <w:spacing w:after="0"/>
              <w:rPr>
                <w:sz w:val="20"/>
                <w:szCs w:val="20"/>
                <w:color w:val="auto"/>
              </w:rPr>
            </w:pPr>
            <w:r>
              <w:rPr>
                <w:rFonts w:ascii="Arial" w:cs="Arial" w:eastAsia="Arial" w:hAnsi="Arial"/>
                <w:sz w:val="16"/>
                <w:szCs w:val="16"/>
                <w:color w:val="auto"/>
              </w:rPr>
              <w:t>Balancing accounts</w:t>
            </w:r>
          </w:p>
        </w:tc>
        <w:tc>
          <w:tcPr>
            <w:tcW w:w="1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77</w:t>
            </w: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5"/>
        </w:trPr>
        <w:tc>
          <w:tcPr>
            <w:tcW w:w="5780" w:type="dxa"/>
            <w:vAlign w:val="bottom"/>
          </w:tcPr>
          <w:p>
            <w:pPr>
              <w:ind w:left="180"/>
              <w:spacing w:after="0"/>
              <w:rPr>
                <w:sz w:val="20"/>
                <w:szCs w:val="20"/>
                <w:color w:val="auto"/>
              </w:rPr>
            </w:pPr>
            <w:r>
              <w:rPr>
                <w:rFonts w:ascii="Arial" w:cs="Arial" w:eastAsia="Arial" w:hAnsi="Arial"/>
                <w:sz w:val="16"/>
                <w:szCs w:val="16"/>
                <w:color w:val="auto"/>
              </w:rPr>
              <w:t>Total(1)</w:t>
            </w:r>
          </w:p>
        </w:tc>
        <w:tc>
          <w:tcPr>
            <w:tcW w:w="1320" w:type="dxa"/>
            <w:vAlign w:val="bottom"/>
          </w:tcPr>
          <w:p>
            <w:pPr>
              <w:spacing w:after="0"/>
              <w:rPr>
                <w:sz w:val="16"/>
                <w:szCs w:val="16"/>
                <w:color w:val="auto"/>
              </w:rPr>
            </w:pPr>
          </w:p>
        </w:tc>
        <w:tc>
          <w:tcPr>
            <w:tcW w:w="840" w:type="dxa"/>
            <w:vAlign w:val="bottom"/>
          </w:tcPr>
          <w:p>
            <w:pPr>
              <w:jc w:val="center"/>
              <w:ind w:right="62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1,351</w:t>
            </w:r>
          </w:p>
        </w:tc>
        <w:tc>
          <w:tcPr>
            <w:tcW w:w="1160" w:type="dxa"/>
            <w:vAlign w:val="bottom"/>
          </w:tcPr>
          <w:p>
            <w:pPr>
              <w:spacing w:after="0"/>
              <w:rPr>
                <w:sz w:val="16"/>
                <w:szCs w:val="16"/>
                <w:color w:val="auto"/>
              </w:rPr>
            </w:pPr>
          </w:p>
        </w:tc>
        <w:tc>
          <w:tcPr>
            <w:tcW w:w="28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40" w:hanging="532"/>
        <w:spacing w:after="0"/>
        <w:tabs>
          <w:tab w:leader="none" w:pos="54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$3 million in 2012 and 2011.</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2012, electric revenues increased by $97 million (17%) to $680 million at SDG&amp;E, primarily due to:</w:t>
      </w:r>
    </w:p>
    <w:p>
      <w:pPr>
        <w:spacing w:after="0" w:line="225" w:lineRule="exact"/>
        <w:rPr>
          <w:sz w:val="20"/>
          <w:szCs w:val="20"/>
          <w:color w:val="auto"/>
        </w:rPr>
      </w:pPr>
    </w:p>
    <w:p>
      <w:pPr>
        <w:ind w:left="340" w:hanging="188"/>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$55 million higher recoverable expenses that are fully offset in operation and maintenance expenses;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$28 million higher authorized revenues from electric generation, primarily due to the acquisition of the Desert Star generation facility in October 2011;</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$15 million revenues associated with incremental wildfire insurance premiums;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 xml:space="preserve">$10 million higher authorized revenues from electric transmission;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a decrease in cost of electric fuel and purchased power in 2012.</w:t>
      </w:r>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SDG&amp;E’s cost of electric fuel and purchased power decreased by $16 million (10%) to $140 million in the three months ended June 30, 2012 primarily due to a decrease in electric fuel and purchased-power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2012, electric revenues increased by $103 million (8%) to $1.4 billion at SDG&amp;E, primarily due to:</w:t>
      </w:r>
    </w:p>
    <w:p>
      <w:pPr>
        <w:spacing w:after="0" w:line="225" w:lineRule="exact"/>
        <w:rPr>
          <w:sz w:val="20"/>
          <w:szCs w:val="20"/>
          <w:color w:val="auto"/>
        </w:rPr>
      </w:pPr>
    </w:p>
    <w:p>
      <w:pPr>
        <w:ind w:left="340" w:hanging="188"/>
        <w:spacing w:after="0"/>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$59 million higher authorized revenues from electric generation, primarily due to the acquisition of the Desert Star generation facility in October 2011;</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$32 million revenues associated with incremental wildfire insurance premiums;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$23 million higher recoverable expenses that are fully offset in operation and maintenance expenses; and</w:t>
      </w:r>
    </w:p>
    <w:p>
      <w:pPr>
        <w:sectPr>
          <w:pgSz w:w="11900" w:h="16838" w:orient="portrait"/>
          <w:cols w:equalWidth="0" w:num="1">
            <w:col w:w="11420"/>
          </w:cols>
          <w:pgMar w:left="240" w:top="125" w:right="239" w:bottom="0" w:gutter="0" w:footer="0" w:header="0"/>
        </w:sectPr>
      </w:pPr>
    </w:p>
    <w:bookmarkStart w:id="57" w:name="page58"/>
    <w:bookmarkEnd w:id="57"/>
    <w:p>
      <w:pPr>
        <w:ind w:left="340" w:hanging="188"/>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 xml:space="preserve">$7 million higher authorized revenues from electric transmission;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a decrease in cost of electric fuel and purchased power in 2012.</w:t>
      </w:r>
    </w:p>
    <w:p>
      <w:pPr>
        <w:spacing w:after="0" w:line="200" w:lineRule="exact"/>
        <w:rPr>
          <w:sz w:val="20"/>
          <w:szCs w:val="20"/>
          <w:color w:val="auto"/>
        </w:rPr>
      </w:pPr>
    </w:p>
    <w:p>
      <w:pPr>
        <w:spacing w:after="0" w:line="2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SDG&amp;E’s cost of electric fuel and purchased power decreased by $24 million (7%) to $303 million in the six months ended June 30, 2012 primarily due to a decrease in electric fuel and purchased-power prices.</w:t>
      </w:r>
    </w:p>
    <w:p>
      <w:pPr>
        <w:spacing w:after="0" w:line="170"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We do not include in the Condensed Consolidated Statements of Operations the commodity costs (and the revenues to recover those costs) associated with long-term contracts that are allocated to SDG&amp;E by the California DWR. However, we do include the associated volumes and distribution revenues in the table above. We provide further discussion of these contracts in Note 1 of the Notes to Consolidated Financial Statements in the Updated Annual Report.</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and SoCalGas: Natural Gas Revenues and Cost of Natural Gas</w:t>
      </w:r>
    </w:p>
    <w:p>
      <w:pPr>
        <w:spacing w:after="0" w:line="2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tables below show natural gas revenues for SDG&amp;E and SoCalGas for the six-month periods ended June 30, 2012 and 2011. Because the cost of natural gas is recovered in rates, changes in the cost are reflected in the changes in revenues. In addition to the change in market prices, natural gas revenues recorded during a period are impacted by the difference between customer billings and recorded or California Public Utilities Commission (CPUC)-authorized</w:t>
      </w:r>
    </w:p>
    <w:p>
      <w:pPr>
        <w:ind w:right="360"/>
        <w:spacing w:after="0" w:line="290" w:lineRule="auto"/>
        <w:rPr>
          <w:sz w:val="20"/>
          <w:szCs w:val="20"/>
          <w:color w:val="auto"/>
        </w:rPr>
      </w:pPr>
      <w:r>
        <w:rPr>
          <w:rFonts w:ascii="Arial" w:cs="Arial" w:eastAsia="Arial" w:hAnsi="Arial"/>
          <w:sz w:val="17"/>
          <w:szCs w:val="17"/>
          <w:color w:val="auto"/>
        </w:rPr>
        <w:t>costs. These differences are required to be balanced over time, resulting in over- and undercollected regulatory balancing accounts. We discuss balancing accounts and their effects further in Note 1 of the Notes to Consolidated Financial Statements in the Updated Annual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gridSpan w:val="2"/>
          </w:tcPr>
          <w:p>
            <w:pPr>
              <w:spacing w:after="0"/>
              <w:rPr>
                <w:sz w:val="20"/>
                <w:szCs w:val="20"/>
                <w:color w:val="auto"/>
              </w:rPr>
            </w:pPr>
            <w:r>
              <w:rPr>
                <w:rFonts w:ascii="Arial" w:cs="Arial" w:eastAsia="Arial" w:hAnsi="Arial"/>
                <w:sz w:val="14"/>
                <w:szCs w:val="14"/>
                <w:i w:val="1"/>
                <w:iCs w:val="1"/>
                <w:color w:val="auto"/>
              </w:rPr>
              <w:t>(Volumes in billion cubic feet, dollars in millions)</w:t>
            </w:r>
          </w:p>
        </w:tc>
        <w:tc>
          <w:tcPr>
            <w:tcW w:w="2260" w:type="dxa"/>
            <w:vAlign w:val="bottom"/>
            <w:gridSpan w:val="2"/>
            <w:vMerge w:val="restart"/>
          </w:tcPr>
          <w:p>
            <w:pPr>
              <w:jc w:val="center"/>
              <w:ind w:left="301"/>
              <w:spacing w:after="0"/>
              <w:rPr>
                <w:sz w:val="20"/>
                <w:szCs w:val="20"/>
                <w:color w:val="auto"/>
              </w:rPr>
            </w:pPr>
            <w:r>
              <w:rPr>
                <w:rFonts w:ascii="Arial" w:cs="Arial" w:eastAsia="Arial" w:hAnsi="Arial"/>
                <w:sz w:val="14"/>
                <w:szCs w:val="14"/>
                <w:color w:val="auto"/>
              </w:rPr>
              <w:t>Natural Gas Sales</w:t>
            </w:r>
          </w:p>
        </w:tc>
        <w:tc>
          <w:tcPr>
            <w:tcW w:w="1260" w:type="dxa"/>
            <w:vAlign w:val="bottom"/>
          </w:tcPr>
          <w:p>
            <w:pPr>
              <w:spacing w:after="0"/>
              <w:rPr>
                <w:sz w:val="16"/>
                <w:szCs w:val="16"/>
                <w:color w:val="auto"/>
              </w:rPr>
            </w:pPr>
          </w:p>
        </w:tc>
        <w:tc>
          <w:tcPr>
            <w:tcW w:w="1460" w:type="dxa"/>
            <w:vAlign w:val="bottom"/>
            <w:gridSpan w:val="2"/>
            <w:vMerge w:val="restart"/>
          </w:tcPr>
          <w:p>
            <w:pPr>
              <w:jc w:val="center"/>
              <w:ind w:right="441"/>
              <w:spacing w:after="0"/>
              <w:rPr>
                <w:sz w:val="20"/>
                <w:szCs w:val="20"/>
                <w:color w:val="auto"/>
              </w:rPr>
            </w:pPr>
            <w:r>
              <w:rPr>
                <w:rFonts w:ascii="Arial" w:cs="Arial" w:eastAsia="Arial" w:hAnsi="Arial"/>
                <w:sz w:val="14"/>
                <w:szCs w:val="14"/>
                <w:color w:val="auto"/>
              </w:rPr>
              <w:t>Transportation</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color w:val="auto"/>
                <w:w w:val="96"/>
              </w:rPr>
              <w:t>Total</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60" w:type="dxa"/>
            <w:vAlign w:val="bottom"/>
            <w:tcBorders>
              <w:bottom w:val="single" w:sz="8" w:color="auto"/>
            </w:tcBorders>
            <w:gridSpan w:val="2"/>
            <w:vMerge w:val="continue"/>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Customer class</w:t>
            </w:r>
          </w:p>
        </w:tc>
        <w:tc>
          <w:tcPr>
            <w:tcW w:w="12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Volumes</w:t>
            </w: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Revenue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Volumes</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Revenue</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Volumes</w:t>
            </w: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line="164" w:lineRule="exact"/>
              <w:rPr>
                <w:sz w:val="20"/>
                <w:szCs w:val="20"/>
                <w:color w:val="auto"/>
              </w:rPr>
            </w:pPr>
            <w:r>
              <w:rPr>
                <w:rFonts w:ascii="Arial" w:cs="Arial" w:eastAsia="Arial" w:hAnsi="Arial"/>
                <w:sz w:val="16"/>
                <w:szCs w:val="16"/>
                <w:color w:val="auto"/>
              </w:rPr>
              <w:t>Six months ended June 30, 2012:</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200" w:type="dxa"/>
            <w:vAlign w:val="bottom"/>
          </w:tcPr>
          <w:p>
            <w:pPr>
              <w:jc w:val="right"/>
              <w:ind w:right="41"/>
              <w:spacing w:after="0" w:line="176" w:lineRule="exact"/>
              <w:rPr>
                <w:sz w:val="20"/>
                <w:szCs w:val="20"/>
                <w:color w:val="auto"/>
              </w:rPr>
            </w:pPr>
            <w:r>
              <w:rPr>
                <w:rFonts w:ascii="Arial" w:cs="Arial" w:eastAsia="Arial" w:hAnsi="Arial"/>
                <w:sz w:val="16"/>
                <w:szCs w:val="16"/>
                <w:color w:val="auto"/>
              </w:rPr>
              <w:t>20</w:t>
            </w:r>
          </w:p>
        </w:tc>
        <w:tc>
          <w:tcPr>
            <w:tcW w:w="1060" w:type="dxa"/>
            <w:vAlign w:val="bottom"/>
          </w:tcPr>
          <w:p>
            <w:pPr>
              <w:jc w:val="center"/>
              <w:ind w:right="761"/>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840"/>
              <w:spacing w:after="0" w:line="176" w:lineRule="exact"/>
              <w:rPr>
                <w:sz w:val="20"/>
                <w:szCs w:val="20"/>
                <w:color w:val="auto"/>
              </w:rPr>
            </w:pPr>
            <w:r>
              <w:rPr>
                <w:rFonts w:ascii="Arial" w:cs="Arial" w:eastAsia="Arial" w:hAnsi="Arial"/>
                <w:sz w:val="16"/>
                <w:szCs w:val="16"/>
                <w:color w:val="auto"/>
              </w:rPr>
              <w:t>171</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center"/>
              <w:ind w:right="801"/>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400" w:type="dxa"/>
            <w:vAlign w:val="bottom"/>
          </w:tcPr>
          <w:p>
            <w:pPr>
              <w:jc w:val="center"/>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200" w:type="dxa"/>
            <w:vAlign w:val="bottom"/>
          </w:tcPr>
          <w:p>
            <w:pPr>
              <w:jc w:val="right"/>
              <w:ind w:right="41"/>
              <w:spacing w:after="0" w:line="176" w:lineRule="exact"/>
              <w:rPr>
                <w:sz w:val="20"/>
                <w:szCs w:val="20"/>
                <w:color w:val="auto"/>
              </w:rPr>
            </w:pPr>
            <w:r>
              <w:rPr>
                <w:rFonts w:ascii="Arial" w:cs="Arial" w:eastAsia="Arial" w:hAnsi="Arial"/>
                <w:sz w:val="16"/>
                <w:szCs w:val="16"/>
                <w:color w:val="auto"/>
              </w:rPr>
              <w:t>9</w:t>
            </w:r>
          </w:p>
        </w:tc>
        <w:tc>
          <w:tcPr>
            <w:tcW w:w="1060" w:type="dxa"/>
            <w:vAlign w:val="bottom"/>
          </w:tcPr>
          <w:p>
            <w:pPr>
              <w:spacing w:after="0"/>
              <w:rPr>
                <w:sz w:val="15"/>
                <w:szCs w:val="15"/>
                <w:color w:val="auto"/>
              </w:rPr>
            </w:pPr>
          </w:p>
        </w:tc>
        <w:tc>
          <w:tcPr>
            <w:tcW w:w="1260" w:type="dxa"/>
            <w:vAlign w:val="bottom"/>
          </w:tcPr>
          <w:p>
            <w:pPr>
              <w:jc w:val="right"/>
              <w:ind w:right="840"/>
              <w:spacing w:after="0" w:line="176" w:lineRule="exact"/>
              <w:rPr>
                <w:sz w:val="20"/>
                <w:szCs w:val="20"/>
                <w:color w:val="auto"/>
              </w:rPr>
            </w:pPr>
            <w:r>
              <w:rPr>
                <w:rFonts w:ascii="Arial" w:cs="Arial" w:eastAsia="Arial" w:hAnsi="Arial"/>
                <w:sz w:val="16"/>
                <w:szCs w:val="16"/>
                <w:color w:val="auto"/>
              </w:rPr>
              <w:t>43</w:t>
            </w:r>
          </w:p>
        </w:tc>
        <w:tc>
          <w:tcPr>
            <w:tcW w:w="360" w:type="dxa"/>
            <w:vAlign w:val="bottom"/>
          </w:tcPr>
          <w:p>
            <w:pPr>
              <w:jc w:val="right"/>
              <w:ind w:right="40"/>
              <w:spacing w:after="0" w:line="176" w:lineRule="exact"/>
              <w:rPr>
                <w:sz w:val="20"/>
                <w:szCs w:val="20"/>
                <w:color w:val="auto"/>
              </w:rPr>
            </w:pPr>
            <w:r>
              <w:rPr>
                <w:rFonts w:ascii="Arial" w:cs="Arial" w:eastAsia="Arial" w:hAnsi="Arial"/>
                <w:sz w:val="16"/>
                <w:szCs w:val="16"/>
                <w:color w:val="auto"/>
              </w:rPr>
              <w:t>4</w:t>
            </w:r>
          </w:p>
        </w:tc>
        <w:tc>
          <w:tcPr>
            <w:tcW w:w="1100" w:type="dxa"/>
            <w:vAlign w:val="bottom"/>
          </w:tcPr>
          <w:p>
            <w:pPr>
              <w:spacing w:after="0"/>
              <w:rPr>
                <w:sz w:val="15"/>
                <w:szCs w:val="15"/>
                <w:color w:val="auto"/>
              </w:rPr>
            </w:pPr>
          </w:p>
        </w:tc>
        <w:tc>
          <w:tcPr>
            <w:tcW w:w="5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5</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Electric generation plants</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w:t>
            </w: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0" w:type="dxa"/>
            <w:vAlign w:val="bottom"/>
          </w:tcPr>
          <w:p>
            <w:pPr>
              <w:jc w:val="right"/>
              <w:ind w:right="41"/>
              <w:spacing w:after="0" w:line="164" w:lineRule="exact"/>
              <w:rPr>
                <w:sz w:val="20"/>
                <w:szCs w:val="20"/>
                <w:color w:val="auto"/>
              </w:rPr>
            </w:pPr>
            <w:r>
              <w:rPr>
                <w:rFonts w:ascii="Arial" w:cs="Arial" w:eastAsia="Arial" w:hAnsi="Arial"/>
                <w:sz w:val="16"/>
                <w:szCs w:val="16"/>
                <w:color w:val="auto"/>
              </w:rPr>
              <w:t>29</w:t>
            </w:r>
          </w:p>
        </w:tc>
        <w:tc>
          <w:tcPr>
            <w:tcW w:w="1060" w:type="dxa"/>
            <w:vAlign w:val="bottom"/>
          </w:tcPr>
          <w:p>
            <w:pPr>
              <w:jc w:val="center"/>
              <w:ind w:right="761"/>
              <w:spacing w:after="0" w:line="164"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840"/>
              <w:spacing w:after="0" w:line="164" w:lineRule="exact"/>
              <w:rPr>
                <w:sz w:val="20"/>
                <w:szCs w:val="20"/>
                <w:color w:val="auto"/>
              </w:rPr>
            </w:pPr>
            <w:r>
              <w:rPr>
                <w:rFonts w:ascii="Arial" w:cs="Arial" w:eastAsia="Arial" w:hAnsi="Arial"/>
                <w:sz w:val="16"/>
                <w:szCs w:val="16"/>
                <w:color w:val="auto"/>
              </w:rPr>
              <w:t>214</w:t>
            </w:r>
          </w:p>
        </w:tc>
        <w:tc>
          <w:tcPr>
            <w:tcW w:w="360" w:type="dxa"/>
            <w:vAlign w:val="bottom"/>
          </w:tcPr>
          <w:p>
            <w:pPr>
              <w:jc w:val="right"/>
              <w:ind w:right="40"/>
              <w:spacing w:after="0" w:line="164" w:lineRule="exact"/>
              <w:rPr>
                <w:sz w:val="20"/>
                <w:szCs w:val="20"/>
                <w:color w:val="auto"/>
              </w:rPr>
            </w:pPr>
            <w:r>
              <w:rPr>
                <w:rFonts w:ascii="Arial" w:cs="Arial" w:eastAsia="Arial" w:hAnsi="Arial"/>
                <w:sz w:val="16"/>
                <w:szCs w:val="16"/>
                <w:color w:val="auto"/>
              </w:rPr>
              <w:t>21</w:t>
            </w:r>
          </w:p>
        </w:tc>
        <w:tc>
          <w:tcPr>
            <w:tcW w:w="1100" w:type="dxa"/>
            <w:vAlign w:val="bottom"/>
          </w:tcPr>
          <w:p>
            <w:pPr>
              <w:jc w:val="center"/>
              <w:ind w:right="801"/>
              <w:spacing w:after="0" w:line="164"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119"/>
              <w:spacing w:after="0" w:line="164" w:lineRule="exact"/>
              <w:rPr>
                <w:sz w:val="20"/>
                <w:szCs w:val="20"/>
                <w:color w:val="auto"/>
              </w:rPr>
            </w:pPr>
            <w:r>
              <w:rPr>
                <w:rFonts w:ascii="Arial" w:cs="Arial" w:eastAsia="Arial" w:hAnsi="Arial"/>
                <w:sz w:val="16"/>
                <w:szCs w:val="16"/>
                <w:color w:val="auto"/>
              </w:rPr>
              <w:t>10</w:t>
            </w: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50</w:t>
            </w:r>
          </w:p>
        </w:tc>
        <w:tc>
          <w:tcPr>
            <w:tcW w:w="40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Total(1)</w:t>
            </w:r>
          </w:p>
        </w:tc>
        <w:tc>
          <w:tcPr>
            <w:tcW w:w="1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line="164" w:lineRule="exact"/>
              <w:rPr>
                <w:sz w:val="20"/>
                <w:szCs w:val="20"/>
                <w:color w:val="auto"/>
              </w:rPr>
            </w:pPr>
            <w:r>
              <w:rPr>
                <w:rFonts w:ascii="Arial" w:cs="Arial" w:eastAsia="Arial" w:hAnsi="Arial"/>
                <w:sz w:val="16"/>
                <w:szCs w:val="16"/>
                <w:color w:val="auto"/>
              </w:rPr>
              <w:t>Six months ended June 30, 2011:</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200" w:type="dxa"/>
            <w:vAlign w:val="bottom"/>
          </w:tcPr>
          <w:p>
            <w:pPr>
              <w:jc w:val="right"/>
              <w:ind w:right="41"/>
              <w:spacing w:after="0" w:line="176" w:lineRule="exact"/>
              <w:rPr>
                <w:sz w:val="20"/>
                <w:szCs w:val="20"/>
                <w:color w:val="auto"/>
              </w:rPr>
            </w:pPr>
            <w:r>
              <w:rPr>
                <w:rFonts w:ascii="Arial" w:cs="Arial" w:eastAsia="Arial" w:hAnsi="Arial"/>
                <w:sz w:val="16"/>
                <w:szCs w:val="16"/>
                <w:color w:val="auto"/>
              </w:rPr>
              <w:t>20</w:t>
            </w:r>
          </w:p>
        </w:tc>
        <w:tc>
          <w:tcPr>
            <w:tcW w:w="1060" w:type="dxa"/>
            <w:vAlign w:val="bottom"/>
          </w:tcPr>
          <w:p>
            <w:pPr>
              <w:jc w:val="center"/>
              <w:ind w:right="761"/>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840"/>
              <w:spacing w:after="0" w:line="176" w:lineRule="exact"/>
              <w:rPr>
                <w:sz w:val="20"/>
                <w:szCs w:val="20"/>
                <w:color w:val="auto"/>
              </w:rPr>
            </w:pPr>
            <w:r>
              <w:rPr>
                <w:rFonts w:ascii="Arial" w:cs="Arial" w:eastAsia="Arial" w:hAnsi="Arial"/>
                <w:sz w:val="16"/>
                <w:szCs w:val="16"/>
                <w:color w:val="auto"/>
              </w:rPr>
              <w:t>210</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jc w:val="center"/>
              <w:ind w:right="801"/>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400" w:type="dxa"/>
            <w:vAlign w:val="bottom"/>
          </w:tcPr>
          <w:p>
            <w:pPr>
              <w:jc w:val="center"/>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200" w:type="dxa"/>
            <w:vAlign w:val="bottom"/>
          </w:tcPr>
          <w:p>
            <w:pPr>
              <w:jc w:val="right"/>
              <w:ind w:right="41"/>
              <w:spacing w:after="0" w:line="176" w:lineRule="exact"/>
              <w:rPr>
                <w:sz w:val="20"/>
                <w:szCs w:val="20"/>
                <w:color w:val="auto"/>
              </w:rPr>
            </w:pPr>
            <w:r>
              <w:rPr>
                <w:rFonts w:ascii="Arial" w:cs="Arial" w:eastAsia="Arial" w:hAnsi="Arial"/>
                <w:sz w:val="16"/>
                <w:szCs w:val="16"/>
                <w:color w:val="auto"/>
              </w:rPr>
              <w:t>8</w:t>
            </w:r>
          </w:p>
        </w:tc>
        <w:tc>
          <w:tcPr>
            <w:tcW w:w="1060" w:type="dxa"/>
            <w:vAlign w:val="bottom"/>
          </w:tcPr>
          <w:p>
            <w:pPr>
              <w:spacing w:after="0"/>
              <w:rPr>
                <w:sz w:val="15"/>
                <w:szCs w:val="15"/>
                <w:color w:val="auto"/>
              </w:rPr>
            </w:pPr>
          </w:p>
        </w:tc>
        <w:tc>
          <w:tcPr>
            <w:tcW w:w="1260" w:type="dxa"/>
            <w:vAlign w:val="bottom"/>
          </w:tcPr>
          <w:p>
            <w:pPr>
              <w:jc w:val="right"/>
              <w:ind w:right="840"/>
              <w:spacing w:after="0" w:line="176" w:lineRule="exact"/>
              <w:rPr>
                <w:sz w:val="20"/>
                <w:szCs w:val="20"/>
                <w:color w:val="auto"/>
              </w:rPr>
            </w:pPr>
            <w:r>
              <w:rPr>
                <w:rFonts w:ascii="Arial" w:cs="Arial" w:eastAsia="Arial" w:hAnsi="Arial"/>
                <w:sz w:val="16"/>
                <w:szCs w:val="16"/>
                <w:color w:val="auto"/>
              </w:rPr>
              <w:t>59</w:t>
            </w:r>
          </w:p>
        </w:tc>
        <w:tc>
          <w:tcPr>
            <w:tcW w:w="360" w:type="dxa"/>
            <w:vAlign w:val="bottom"/>
          </w:tcPr>
          <w:p>
            <w:pPr>
              <w:jc w:val="right"/>
              <w:ind w:right="40"/>
              <w:spacing w:after="0" w:line="176" w:lineRule="exact"/>
              <w:rPr>
                <w:sz w:val="20"/>
                <w:szCs w:val="20"/>
                <w:color w:val="auto"/>
              </w:rPr>
            </w:pPr>
            <w:r>
              <w:rPr>
                <w:rFonts w:ascii="Arial" w:cs="Arial" w:eastAsia="Arial" w:hAnsi="Arial"/>
                <w:sz w:val="16"/>
                <w:szCs w:val="16"/>
                <w:color w:val="auto"/>
              </w:rPr>
              <w:t>4</w:t>
            </w:r>
          </w:p>
        </w:tc>
        <w:tc>
          <w:tcPr>
            <w:tcW w:w="1100" w:type="dxa"/>
            <w:vAlign w:val="bottom"/>
          </w:tcPr>
          <w:p>
            <w:pPr>
              <w:spacing w:after="0"/>
              <w:rPr>
                <w:sz w:val="15"/>
                <w:szCs w:val="15"/>
                <w:color w:val="auto"/>
              </w:rPr>
            </w:pPr>
          </w:p>
        </w:tc>
        <w:tc>
          <w:tcPr>
            <w:tcW w:w="5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5</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Electric generation plants</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0" w:type="dxa"/>
            <w:vAlign w:val="bottom"/>
          </w:tcPr>
          <w:p>
            <w:pPr>
              <w:jc w:val="right"/>
              <w:ind w:right="41"/>
              <w:spacing w:after="0" w:line="164" w:lineRule="exact"/>
              <w:rPr>
                <w:sz w:val="20"/>
                <w:szCs w:val="20"/>
                <w:color w:val="auto"/>
              </w:rPr>
            </w:pPr>
            <w:r>
              <w:rPr>
                <w:rFonts w:ascii="Arial" w:cs="Arial" w:eastAsia="Arial" w:hAnsi="Arial"/>
                <w:sz w:val="16"/>
                <w:szCs w:val="16"/>
                <w:color w:val="auto"/>
              </w:rPr>
              <w:t>28</w:t>
            </w:r>
          </w:p>
        </w:tc>
        <w:tc>
          <w:tcPr>
            <w:tcW w:w="1060" w:type="dxa"/>
            <w:vAlign w:val="bottom"/>
          </w:tcPr>
          <w:p>
            <w:pPr>
              <w:jc w:val="center"/>
              <w:ind w:right="761"/>
              <w:spacing w:after="0" w:line="164"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840"/>
              <w:spacing w:after="0" w:line="164" w:lineRule="exact"/>
              <w:rPr>
                <w:sz w:val="20"/>
                <w:szCs w:val="20"/>
                <w:color w:val="auto"/>
              </w:rPr>
            </w:pPr>
            <w:r>
              <w:rPr>
                <w:rFonts w:ascii="Arial" w:cs="Arial" w:eastAsia="Arial" w:hAnsi="Arial"/>
                <w:sz w:val="16"/>
                <w:szCs w:val="16"/>
                <w:color w:val="auto"/>
              </w:rPr>
              <w:t>269</w:t>
            </w:r>
          </w:p>
        </w:tc>
        <w:tc>
          <w:tcPr>
            <w:tcW w:w="360" w:type="dxa"/>
            <w:vAlign w:val="bottom"/>
          </w:tcPr>
          <w:p>
            <w:pPr>
              <w:jc w:val="right"/>
              <w:ind w:right="40"/>
              <w:spacing w:after="0" w:line="164" w:lineRule="exact"/>
              <w:rPr>
                <w:sz w:val="20"/>
                <w:szCs w:val="20"/>
                <w:color w:val="auto"/>
              </w:rPr>
            </w:pPr>
            <w:r>
              <w:rPr>
                <w:rFonts w:ascii="Arial" w:cs="Arial" w:eastAsia="Arial" w:hAnsi="Arial"/>
                <w:sz w:val="16"/>
                <w:szCs w:val="16"/>
                <w:color w:val="auto"/>
              </w:rPr>
              <w:t>17</w:t>
            </w:r>
          </w:p>
        </w:tc>
        <w:tc>
          <w:tcPr>
            <w:tcW w:w="1100" w:type="dxa"/>
            <w:vAlign w:val="bottom"/>
          </w:tcPr>
          <w:p>
            <w:pPr>
              <w:jc w:val="center"/>
              <w:ind w:right="801"/>
              <w:spacing w:after="0" w:line="164"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119"/>
              <w:spacing w:after="0" w:line="164" w:lineRule="exact"/>
              <w:rPr>
                <w:sz w:val="20"/>
                <w:szCs w:val="20"/>
                <w:color w:val="auto"/>
              </w:rPr>
            </w:pPr>
            <w:r>
              <w:rPr>
                <w:rFonts w:ascii="Arial" w:cs="Arial" w:eastAsia="Arial" w:hAnsi="Arial"/>
                <w:sz w:val="16"/>
                <w:szCs w:val="16"/>
                <w:color w:val="auto"/>
              </w:rPr>
              <w:t>9</w:t>
            </w: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45</w:t>
            </w:r>
          </w:p>
        </w:tc>
        <w:tc>
          <w:tcPr>
            <w:tcW w:w="40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0" w:type="dxa"/>
            <w:vAlign w:val="bottom"/>
          </w:tcPr>
          <w:p>
            <w:pPr>
              <w:ind w:left="340"/>
              <w:spacing w:after="0"/>
              <w:rPr>
                <w:sz w:val="20"/>
                <w:szCs w:val="20"/>
                <w:color w:val="auto"/>
              </w:rPr>
            </w:pPr>
            <w:r>
              <w:rPr>
                <w:rFonts w:ascii="Arial" w:cs="Arial" w:eastAsia="Arial" w:hAnsi="Arial"/>
                <w:sz w:val="16"/>
                <w:szCs w:val="16"/>
                <w:color w:val="auto"/>
              </w:rPr>
              <w:t>Total</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$1 million in 2012.</w:t>
      </w:r>
    </w:p>
    <w:p>
      <w:pPr>
        <w:spacing w:after="0" w:line="200" w:lineRule="exact"/>
        <w:rPr>
          <w:sz w:val="20"/>
          <w:szCs w:val="20"/>
          <w:color w:val="auto"/>
        </w:rPr>
      </w:pPr>
    </w:p>
    <w:p>
      <w:pPr>
        <w:spacing w:after="0" w:line="2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During the three months ended June 30, 2012, SDG&amp;E’s natural gas revenues decreased by $14 million (12%) to $100 million, and the cost of natural gas sold decreased by $18 million (35%) to $34 million. During the six months ended June 30, 2012, SDG&amp;E’s natural gas revenues decreased by $26 million (9%) to $263 million, and the cost of natural gas decreased by $34 million (25%) to $101 million.</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SDG&amp;E’s average cost of natural gas for the three months ended June 30, 2012 was $3.11 per thousand cubic feet (Mcf) compared to $4.90 per Mcf for the corresponding period in 2011, a 37-percent decrease of $1.79 per Mcf, resulting in lower revenues and cost of $20 million. For the first six months of 2012, SDG&amp;E’s average cost of natural gas was $3.60 per Mcf compared to $4.86 per Mcf for the corresponding period in 2011, a 26-percent decrease of $1.26 per Mcf, resulting in lower revenues and cost of $35 million.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gridSpan w:val="2"/>
          </w:tcPr>
          <w:p>
            <w:pPr>
              <w:spacing w:after="0"/>
              <w:rPr>
                <w:sz w:val="20"/>
                <w:szCs w:val="20"/>
                <w:color w:val="auto"/>
              </w:rPr>
            </w:pPr>
            <w:r>
              <w:rPr>
                <w:rFonts w:ascii="Arial" w:cs="Arial" w:eastAsia="Arial" w:hAnsi="Arial"/>
                <w:sz w:val="14"/>
                <w:szCs w:val="14"/>
                <w:i w:val="1"/>
                <w:iCs w:val="1"/>
                <w:color w:val="auto"/>
              </w:rPr>
              <w:t>(Volumes in billion cubic feet, dollars in millions)</w:t>
            </w:r>
          </w:p>
        </w:tc>
        <w:tc>
          <w:tcPr>
            <w:tcW w:w="2180" w:type="dxa"/>
            <w:vAlign w:val="bottom"/>
            <w:gridSpan w:val="2"/>
            <w:vMerge w:val="restart"/>
          </w:tcPr>
          <w:p>
            <w:pPr>
              <w:jc w:val="right"/>
              <w:ind w:right="201"/>
              <w:spacing w:after="0"/>
              <w:rPr>
                <w:sz w:val="20"/>
                <w:szCs w:val="20"/>
                <w:color w:val="auto"/>
              </w:rPr>
            </w:pPr>
            <w:r>
              <w:rPr>
                <w:rFonts w:ascii="Arial" w:cs="Arial" w:eastAsia="Arial" w:hAnsi="Arial"/>
                <w:sz w:val="14"/>
                <w:szCs w:val="14"/>
                <w:color w:val="auto"/>
              </w:rPr>
              <w:t>Natural Gas Sales</w:t>
            </w:r>
          </w:p>
        </w:tc>
        <w:tc>
          <w:tcPr>
            <w:tcW w:w="620" w:type="dxa"/>
            <w:vAlign w:val="bottom"/>
          </w:tcPr>
          <w:p>
            <w:pPr>
              <w:spacing w:after="0"/>
              <w:rPr>
                <w:sz w:val="16"/>
                <w:szCs w:val="16"/>
                <w:color w:val="auto"/>
              </w:rPr>
            </w:pPr>
          </w:p>
        </w:tc>
        <w:tc>
          <w:tcPr>
            <w:tcW w:w="2140" w:type="dxa"/>
            <w:vAlign w:val="bottom"/>
            <w:gridSpan w:val="2"/>
            <w:vMerge w:val="restart"/>
          </w:tcPr>
          <w:p>
            <w:pPr>
              <w:jc w:val="right"/>
              <w:ind w:right="401"/>
              <w:spacing w:after="0"/>
              <w:rPr>
                <w:sz w:val="20"/>
                <w:szCs w:val="20"/>
                <w:color w:val="auto"/>
              </w:rPr>
            </w:pPr>
            <w:r>
              <w:rPr>
                <w:rFonts w:ascii="Arial" w:cs="Arial" w:eastAsia="Arial" w:hAnsi="Arial"/>
                <w:sz w:val="14"/>
                <w:szCs w:val="14"/>
                <w:color w:val="auto"/>
              </w:rPr>
              <w:t>Transportation</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80" w:type="dxa"/>
            <w:vAlign w:val="bottom"/>
            <w:tcBorders>
              <w:bottom w:val="single" w:sz="8" w:color="auto"/>
            </w:tcBorders>
            <w:gridSpan w:val="2"/>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2"/>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Customer class</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Volumes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Volumes</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Revenue</w:t>
            </w: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Volumes</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line="164" w:lineRule="exact"/>
              <w:rPr>
                <w:sz w:val="20"/>
                <w:szCs w:val="20"/>
                <w:color w:val="auto"/>
              </w:rPr>
            </w:pPr>
            <w:r>
              <w:rPr>
                <w:rFonts w:ascii="Arial" w:cs="Arial" w:eastAsia="Arial" w:hAnsi="Arial"/>
                <w:sz w:val="16"/>
                <w:szCs w:val="16"/>
                <w:color w:val="auto"/>
              </w:rPr>
              <w:t>Six months ended June 30, 2012:</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134</w:t>
            </w:r>
          </w:p>
        </w:tc>
        <w:tc>
          <w:tcPr>
            <w:tcW w:w="1060" w:type="dxa"/>
            <w:vAlign w:val="bottom"/>
          </w:tcPr>
          <w:p>
            <w:pPr>
              <w:jc w:val="right"/>
              <w:ind w:right="881"/>
              <w:spacing w:after="0" w:line="176"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ind w:right="119"/>
              <w:spacing w:after="0" w:line="176" w:lineRule="exact"/>
              <w:rPr>
                <w:sz w:val="20"/>
                <w:szCs w:val="20"/>
                <w:color w:val="auto"/>
              </w:rPr>
            </w:pPr>
            <w:r>
              <w:rPr>
                <w:rFonts w:ascii="Arial" w:cs="Arial" w:eastAsia="Arial" w:hAnsi="Arial"/>
                <w:sz w:val="16"/>
                <w:szCs w:val="16"/>
                <w:color w:val="auto"/>
                <w:w w:val="99"/>
              </w:rPr>
              <w:t>1,071</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60" w:type="dxa"/>
            <w:vAlign w:val="bottom"/>
          </w:tcPr>
          <w:p>
            <w:pPr>
              <w:jc w:val="right"/>
              <w:ind w:right="961"/>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4</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135</w:t>
            </w:r>
          </w:p>
        </w:tc>
        <w:tc>
          <w:tcPr>
            <w:tcW w:w="420" w:type="dxa"/>
            <w:vAlign w:val="bottom"/>
            <w:gridSpan w:val="2"/>
          </w:tcPr>
          <w:p>
            <w:pPr>
              <w:jc w:val="right"/>
              <w:ind w:right="245"/>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1060" w:type="dxa"/>
            <w:vAlign w:val="bottom"/>
          </w:tcPr>
          <w:p>
            <w:pPr>
              <w:spacing w:after="0"/>
              <w:rPr>
                <w:sz w:val="15"/>
                <w:szCs w:val="15"/>
                <w:color w:val="auto"/>
              </w:rPr>
            </w:pPr>
          </w:p>
        </w:tc>
        <w:tc>
          <w:tcPr>
            <w:tcW w:w="6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316</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139</w:t>
            </w:r>
          </w:p>
        </w:tc>
        <w:tc>
          <w:tcPr>
            <w:tcW w:w="1160" w:type="dxa"/>
            <w:vAlign w:val="bottom"/>
          </w:tcPr>
          <w:p>
            <w:pPr>
              <w:spacing w:after="0"/>
              <w:rPr>
                <w:sz w:val="15"/>
                <w:szCs w:val="15"/>
                <w:color w:val="auto"/>
              </w:rPr>
            </w:pPr>
          </w:p>
        </w:tc>
        <w:tc>
          <w:tcPr>
            <w:tcW w:w="5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123</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193</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Electric generation plants</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60" w:type="dxa"/>
            <w:vAlign w:val="bottom"/>
          </w:tcPr>
          <w:p>
            <w:pPr>
              <w:spacing w:after="0"/>
              <w:rPr>
                <w:sz w:val="15"/>
                <w:szCs w:val="15"/>
                <w:color w:val="auto"/>
              </w:rPr>
            </w:pPr>
          </w:p>
        </w:tc>
        <w:tc>
          <w:tcPr>
            <w:tcW w:w="6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97</w:t>
            </w:r>
          </w:p>
        </w:tc>
        <w:tc>
          <w:tcPr>
            <w:tcW w:w="1160" w:type="dxa"/>
            <w:vAlign w:val="bottom"/>
          </w:tcPr>
          <w:p>
            <w:pPr>
              <w:spacing w:after="0"/>
              <w:rPr>
                <w:sz w:val="15"/>
                <w:szCs w:val="15"/>
                <w:color w:val="auto"/>
              </w:rPr>
            </w:pPr>
          </w:p>
        </w:tc>
        <w:tc>
          <w:tcPr>
            <w:tcW w:w="5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19</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97</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Wholesale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188</w:t>
            </w:r>
          </w:p>
        </w:tc>
        <w:tc>
          <w:tcPr>
            <w:tcW w:w="1060" w:type="dxa"/>
            <w:vAlign w:val="bottom"/>
          </w:tcPr>
          <w:p>
            <w:pPr>
              <w:jc w:val="right"/>
              <w:ind w:right="881"/>
              <w:spacing w:after="0" w:line="164"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ind w:right="119"/>
              <w:spacing w:after="0" w:line="164" w:lineRule="exact"/>
              <w:rPr>
                <w:sz w:val="20"/>
                <w:szCs w:val="20"/>
                <w:color w:val="auto"/>
              </w:rPr>
            </w:pPr>
            <w:r>
              <w:rPr>
                <w:rFonts w:ascii="Arial" w:cs="Arial" w:eastAsia="Arial" w:hAnsi="Arial"/>
                <w:sz w:val="16"/>
                <w:szCs w:val="16"/>
                <w:color w:val="auto"/>
                <w:w w:val="99"/>
              </w:rPr>
              <w:t>1,387</w:t>
            </w: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324</w:t>
            </w:r>
          </w:p>
        </w:tc>
        <w:tc>
          <w:tcPr>
            <w:tcW w:w="1160" w:type="dxa"/>
            <w:vAlign w:val="bottom"/>
          </w:tcPr>
          <w:p>
            <w:pPr>
              <w:jc w:val="right"/>
              <w:ind w:right="961"/>
              <w:spacing w:after="0" w:line="164"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99"/>
              <w:spacing w:after="0" w:line="164" w:lineRule="exact"/>
              <w:rPr>
                <w:sz w:val="20"/>
                <w:szCs w:val="20"/>
                <w:color w:val="auto"/>
              </w:rPr>
            </w:pPr>
            <w:r>
              <w:rPr>
                <w:rFonts w:ascii="Arial" w:cs="Arial" w:eastAsia="Arial" w:hAnsi="Arial"/>
                <w:sz w:val="16"/>
                <w:szCs w:val="16"/>
                <w:color w:val="auto"/>
              </w:rPr>
              <w:t>158</w:t>
            </w: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512</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Total(1)</w:t>
            </w:r>
          </w:p>
        </w:tc>
        <w:tc>
          <w:tcPr>
            <w:tcW w:w="1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line="164" w:lineRule="exact"/>
              <w:rPr>
                <w:sz w:val="20"/>
                <w:szCs w:val="20"/>
                <w:color w:val="auto"/>
              </w:rPr>
            </w:pPr>
            <w:r>
              <w:rPr>
                <w:rFonts w:ascii="Arial" w:cs="Arial" w:eastAsia="Arial" w:hAnsi="Arial"/>
                <w:sz w:val="16"/>
                <w:szCs w:val="16"/>
                <w:color w:val="auto"/>
              </w:rPr>
              <w:t>Six months ended June 30, 2011:</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140</w:t>
            </w:r>
          </w:p>
        </w:tc>
        <w:tc>
          <w:tcPr>
            <w:tcW w:w="1060" w:type="dxa"/>
            <w:vAlign w:val="bottom"/>
          </w:tcPr>
          <w:p>
            <w:pPr>
              <w:jc w:val="right"/>
              <w:ind w:right="881"/>
              <w:spacing w:after="0" w:line="176"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ind w:right="119"/>
              <w:spacing w:after="0" w:line="176" w:lineRule="exact"/>
              <w:rPr>
                <w:sz w:val="20"/>
                <w:szCs w:val="20"/>
                <w:color w:val="auto"/>
              </w:rPr>
            </w:pPr>
            <w:r>
              <w:rPr>
                <w:rFonts w:ascii="Arial" w:cs="Arial" w:eastAsia="Arial" w:hAnsi="Arial"/>
                <w:sz w:val="16"/>
                <w:szCs w:val="16"/>
                <w:color w:val="auto"/>
                <w:w w:val="99"/>
              </w:rPr>
              <w:t>1,307</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60" w:type="dxa"/>
            <w:vAlign w:val="bottom"/>
          </w:tcPr>
          <w:p>
            <w:pPr>
              <w:jc w:val="right"/>
              <w:ind w:right="961"/>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141</w:t>
            </w:r>
          </w:p>
        </w:tc>
        <w:tc>
          <w:tcPr>
            <w:tcW w:w="420" w:type="dxa"/>
            <w:vAlign w:val="bottom"/>
            <w:gridSpan w:val="2"/>
          </w:tcPr>
          <w:p>
            <w:pPr>
              <w:jc w:val="right"/>
              <w:ind w:right="245"/>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1060" w:type="dxa"/>
            <w:vAlign w:val="bottom"/>
          </w:tcPr>
          <w:p>
            <w:pPr>
              <w:spacing w:after="0"/>
              <w:rPr>
                <w:sz w:val="15"/>
                <w:szCs w:val="15"/>
                <w:color w:val="auto"/>
              </w:rPr>
            </w:pPr>
          </w:p>
        </w:tc>
        <w:tc>
          <w:tcPr>
            <w:tcW w:w="6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411</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134</w:t>
            </w:r>
          </w:p>
        </w:tc>
        <w:tc>
          <w:tcPr>
            <w:tcW w:w="1160" w:type="dxa"/>
            <w:vAlign w:val="bottom"/>
          </w:tcPr>
          <w:p>
            <w:pPr>
              <w:spacing w:after="0"/>
              <w:rPr>
                <w:sz w:val="15"/>
                <w:szCs w:val="15"/>
                <w:color w:val="auto"/>
              </w:rPr>
            </w:pPr>
          </w:p>
        </w:tc>
        <w:tc>
          <w:tcPr>
            <w:tcW w:w="5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111</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189</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Electric generation plants</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60" w:type="dxa"/>
            <w:vAlign w:val="bottom"/>
          </w:tcPr>
          <w:p>
            <w:pPr>
              <w:spacing w:after="0"/>
              <w:rPr>
                <w:sz w:val="15"/>
                <w:szCs w:val="15"/>
                <w:color w:val="auto"/>
              </w:rPr>
            </w:pPr>
          </w:p>
        </w:tc>
        <w:tc>
          <w:tcPr>
            <w:tcW w:w="6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69</w:t>
            </w:r>
          </w:p>
        </w:tc>
        <w:tc>
          <w:tcPr>
            <w:tcW w:w="1160" w:type="dxa"/>
            <w:vAlign w:val="bottom"/>
          </w:tcPr>
          <w:p>
            <w:pPr>
              <w:spacing w:after="0"/>
              <w:rPr>
                <w:sz w:val="15"/>
                <w:szCs w:val="15"/>
                <w:color w:val="auto"/>
              </w:rPr>
            </w:pPr>
          </w:p>
        </w:tc>
        <w:tc>
          <w:tcPr>
            <w:tcW w:w="52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20</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69</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Wholesale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195</w:t>
            </w:r>
          </w:p>
        </w:tc>
        <w:tc>
          <w:tcPr>
            <w:tcW w:w="1060" w:type="dxa"/>
            <w:vAlign w:val="bottom"/>
          </w:tcPr>
          <w:p>
            <w:pPr>
              <w:jc w:val="right"/>
              <w:ind w:right="881"/>
              <w:spacing w:after="0" w:line="164"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ind w:right="119"/>
              <w:spacing w:after="0" w:line="164" w:lineRule="exact"/>
              <w:rPr>
                <w:sz w:val="20"/>
                <w:szCs w:val="20"/>
                <w:color w:val="auto"/>
              </w:rPr>
            </w:pPr>
            <w:r>
              <w:rPr>
                <w:rFonts w:ascii="Arial" w:cs="Arial" w:eastAsia="Arial" w:hAnsi="Arial"/>
                <w:sz w:val="16"/>
                <w:szCs w:val="16"/>
                <w:color w:val="auto"/>
                <w:w w:val="99"/>
              </w:rPr>
              <w:t>1,718</w:t>
            </w: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277</w:t>
            </w:r>
          </w:p>
        </w:tc>
        <w:tc>
          <w:tcPr>
            <w:tcW w:w="1160" w:type="dxa"/>
            <w:vAlign w:val="bottom"/>
          </w:tcPr>
          <w:p>
            <w:pPr>
              <w:jc w:val="right"/>
              <w:ind w:right="961"/>
              <w:spacing w:after="0" w:line="164"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99"/>
              <w:spacing w:after="0" w:line="164" w:lineRule="exact"/>
              <w:rPr>
                <w:sz w:val="20"/>
                <w:szCs w:val="20"/>
                <w:color w:val="auto"/>
              </w:rPr>
            </w:pPr>
            <w:r>
              <w:rPr>
                <w:rFonts w:ascii="Arial" w:cs="Arial" w:eastAsia="Arial" w:hAnsi="Arial"/>
                <w:sz w:val="16"/>
                <w:szCs w:val="16"/>
                <w:color w:val="auto"/>
              </w:rPr>
              <w:t>143</w:t>
            </w: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472</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0" w:type="dxa"/>
            <w:vAlign w:val="bottom"/>
          </w:tcPr>
          <w:p>
            <w:pPr>
              <w:ind w:left="340"/>
              <w:spacing w:after="0"/>
              <w:rPr>
                <w:sz w:val="20"/>
                <w:szCs w:val="20"/>
                <w:color w:val="auto"/>
              </w:rPr>
            </w:pPr>
            <w:r>
              <w:rPr>
                <w:rFonts w:ascii="Arial" w:cs="Arial" w:eastAsia="Arial" w:hAnsi="Arial"/>
                <w:sz w:val="16"/>
                <w:szCs w:val="16"/>
                <w:color w:val="auto"/>
              </w:rPr>
              <w:t>Total(1)</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$31 million in 2012 and $25 million in 2011.</w:t>
      </w:r>
    </w:p>
    <w:p>
      <w:pPr>
        <w:sectPr>
          <w:pgSz w:w="11900" w:h="16838" w:orient="portrait"/>
          <w:cols w:equalWidth="0" w:num="1">
            <w:col w:w="11420"/>
          </w:cols>
          <w:pgMar w:left="240" w:top="364" w:right="239" w:bottom="0" w:gutter="0" w:footer="0" w:header="0"/>
        </w:sectPr>
      </w:pPr>
    </w:p>
    <w:bookmarkStart w:id="58" w:name="page59"/>
    <w:bookmarkEnd w:id="58"/>
    <w:p>
      <w:pPr>
        <w:ind w:right="180"/>
        <w:spacing w:after="0" w:line="264" w:lineRule="auto"/>
        <w:rPr>
          <w:sz w:val="20"/>
          <w:szCs w:val="20"/>
          <w:color w:val="auto"/>
        </w:rPr>
      </w:pPr>
      <w:r>
        <w:rPr>
          <w:rFonts w:ascii="Arial" w:cs="Arial" w:eastAsia="Arial" w:hAnsi="Arial"/>
          <w:sz w:val="18"/>
          <w:szCs w:val="18"/>
          <w:color w:val="auto"/>
        </w:rPr>
        <w:t>During the three months ended June 30, 2012, SoCalGas’ natural gas revenues decreased by $156 million (18%) to $720 million, and the cost of natural gas sold decreased by $156 million (47%) to $179 million. During the six months ended June 30, 2012, SoCalGas’ natural gas revenues decreased by $332 million (17%) to $1.6 billion, and the cost of natural gas sold decreased by $338 million (39%) to $528 million.</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SoCalGas’ average cost of natural gas for the three months ended June 30, 2012 was $2.52 per Mcf compared to $4.60 per Mcf for the corresponding period in 2011, a 45-percent decrease of $2.08 per Mcf, resulting in lower revenues and cost of $147 million. The decrease was also attributable to lower demand for natural gas, which resulted in lower revenues and cost of $9 million in 2012.</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first six months of 2012, SoCalGas’ average cost of natural gas was $2.80 per Mcf compared to $4.45 per Mcf for the corresponding period in 2011, a 37-percent decrease of $1.65 per Mcf, resulting in lower revenues and cost of $310 million. The decrease was also attributable to lower demand for natural gas, which resulted in lower revenues and cost of $28 million in 2012.</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Utilities: Revenues and Cost of Sales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generated by Chilquinta Energía and Luz del Sur are based on tariffs that are set by government agencies in their respective countries based on an efficient model distribution company defined by those agencies. The basis for the tariffs do not meet the requirement necessary for treatment under GAAP for regulatory accounting. We discuss revenue recognition further for Chilquinta Energía and Luz del Sur in Note 1 of the Notes to Consolidated Financial Statements in the Updated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Operations of Mobile Gas, Willmut Gas and Ecogas qualify for regulatory accounting treatment under applicable GAAP, similar to the California Utilities.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natural gas and electric revenues for our other utilities for the six months ended June 30, 2012 and 2011: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AND ELECTRIC REVENUES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500" w:type="dxa"/>
            <w:vAlign w:val="bottom"/>
            <w:gridSpan w:val="2"/>
            <w:vMerge w:val="restart"/>
          </w:tcPr>
          <w:p>
            <w:pPr>
              <w:jc w:val="center"/>
              <w:ind w:left="302"/>
              <w:spacing w:after="0"/>
              <w:rPr>
                <w:sz w:val="20"/>
                <w:szCs w:val="20"/>
                <w:color w:val="auto"/>
              </w:rPr>
            </w:pPr>
            <w:r>
              <w:rPr>
                <w:rFonts w:ascii="Arial" w:cs="Arial" w:eastAsia="Arial" w:hAnsi="Arial"/>
                <w:sz w:val="14"/>
                <w:szCs w:val="14"/>
                <w:color w:val="auto"/>
              </w:rPr>
              <w:t>Six months ended</w:t>
            </w:r>
          </w:p>
        </w:tc>
        <w:tc>
          <w:tcPr>
            <w:tcW w:w="580" w:type="dxa"/>
            <w:vAlign w:val="bottom"/>
          </w:tcPr>
          <w:p>
            <w:pPr>
              <w:spacing w:after="0"/>
              <w:rPr>
                <w:sz w:val="16"/>
                <w:szCs w:val="16"/>
                <w:color w:val="auto"/>
              </w:rPr>
            </w:pPr>
          </w:p>
        </w:tc>
        <w:tc>
          <w:tcPr>
            <w:tcW w:w="27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500" w:type="dxa"/>
            <w:vAlign w:val="bottom"/>
            <w:tcBorders>
              <w:bottom w:val="single" w:sz="8" w:color="auto"/>
            </w:tcBorders>
            <w:gridSpan w:val="2"/>
          </w:tcPr>
          <w:p>
            <w:pPr>
              <w:jc w:val="center"/>
              <w:ind w:left="302"/>
              <w:spacing w:after="0" w:line="157" w:lineRule="exact"/>
              <w:rPr>
                <w:sz w:val="20"/>
                <w:szCs w:val="20"/>
                <w:color w:val="auto"/>
              </w:rPr>
            </w:pPr>
            <w:r>
              <w:rPr>
                <w:rFonts w:ascii="Arial" w:cs="Arial" w:eastAsia="Arial" w:hAnsi="Arial"/>
                <w:sz w:val="14"/>
                <w:szCs w:val="14"/>
                <w:color w:val="auto"/>
              </w:rPr>
              <w:t>June 30, 2012</w:t>
            </w:r>
          </w:p>
        </w:tc>
        <w:tc>
          <w:tcPr>
            <w:tcW w:w="5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center"/>
              <w:ind w:right="100"/>
              <w:spacing w:after="0" w:line="157" w:lineRule="exact"/>
              <w:rPr>
                <w:sz w:val="20"/>
                <w:szCs w:val="20"/>
                <w:color w:val="auto"/>
              </w:rPr>
            </w:pPr>
            <w:r>
              <w:rPr>
                <w:rFonts w:ascii="Arial" w:cs="Arial" w:eastAsia="Arial" w:hAnsi="Arial"/>
                <w:sz w:val="14"/>
                <w:szCs w:val="14"/>
                <w:color w:val="auto"/>
              </w:rPr>
              <w:t>June 30, 2011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Volumes</w:t>
            </w:r>
          </w:p>
        </w:tc>
        <w:tc>
          <w:tcPr>
            <w:tcW w:w="11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Revenue</w:t>
            </w: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60" w:type="dxa"/>
            <w:vAlign w:val="bottom"/>
          </w:tcPr>
          <w:p>
            <w:pPr>
              <w:spacing w:after="0"/>
              <w:rPr>
                <w:sz w:val="20"/>
                <w:szCs w:val="20"/>
                <w:color w:val="auto"/>
              </w:rPr>
            </w:pPr>
            <w:r>
              <w:rPr>
                <w:rFonts w:ascii="Arial" w:cs="Arial" w:eastAsia="Arial" w:hAnsi="Arial"/>
                <w:sz w:val="16"/>
                <w:szCs w:val="16"/>
                <w:b w:val="1"/>
                <w:bCs w:val="1"/>
                <w:color w:val="auto"/>
              </w:rPr>
              <w:t>Natural Gas Sales (billion cubic feet):</w:t>
            </w: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gridSpan w:val="2"/>
          </w:tcPr>
          <w:p>
            <w:pPr>
              <w:spacing w:after="0"/>
              <w:rPr>
                <w:sz w:val="20"/>
                <w:szCs w:val="20"/>
                <w:color w:val="auto"/>
              </w:rPr>
            </w:pPr>
            <w:r>
              <w:rPr>
                <w:rFonts w:ascii="Arial" w:cs="Arial" w:eastAsia="Arial" w:hAnsi="Arial"/>
                <w:sz w:val="16"/>
                <w:szCs w:val="16"/>
                <w:color w:val="auto"/>
              </w:rPr>
              <w:t>Sempra Natural Gas:</w:t>
            </w: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520"/>
              <w:spacing w:after="0"/>
              <w:rPr>
                <w:sz w:val="20"/>
                <w:szCs w:val="20"/>
                <w:color w:val="auto"/>
              </w:rPr>
            </w:pPr>
            <w:r>
              <w:rPr>
                <w:rFonts w:ascii="Arial" w:cs="Arial" w:eastAsia="Arial" w:hAnsi="Arial"/>
                <w:sz w:val="16"/>
                <w:szCs w:val="16"/>
                <w:color w:val="auto"/>
              </w:rPr>
              <w:t>Mobile Gas</w:t>
            </w: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c>
          <w:tcPr>
            <w:tcW w:w="1140" w:type="dxa"/>
            <w:vAlign w:val="bottom"/>
          </w:tcPr>
          <w:p>
            <w:pPr>
              <w:jc w:val="center"/>
              <w:ind w:right="9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48</w:t>
            </w: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jc w:val="center"/>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Pr>
          <w:p>
            <w:pPr>
              <w:ind w:left="520"/>
              <w:spacing w:after="0"/>
              <w:rPr>
                <w:sz w:val="20"/>
                <w:szCs w:val="20"/>
                <w:color w:val="auto"/>
              </w:rPr>
            </w:pPr>
            <w:r>
              <w:rPr>
                <w:rFonts w:ascii="Arial" w:cs="Arial" w:eastAsia="Arial" w:hAnsi="Arial"/>
                <w:sz w:val="16"/>
                <w:szCs w:val="16"/>
                <w:color w:val="auto"/>
              </w:rPr>
              <w:t>Willmut Gas(1)</w:t>
            </w: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c>
          <w:tcPr>
            <w:tcW w:w="1140" w:type="dxa"/>
            <w:vAlign w:val="bottom"/>
          </w:tcPr>
          <w:p>
            <w:pPr>
              <w:spacing w:after="0"/>
              <w:rPr>
                <w:sz w:val="15"/>
                <w:szCs w:val="15"/>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580" w:type="dxa"/>
            <w:vAlign w:val="bottom"/>
            <w:gridSpan w:val="2"/>
          </w:tcPr>
          <w:p>
            <w:pPr>
              <w:spacing w:after="0"/>
              <w:rPr>
                <w:sz w:val="20"/>
                <w:szCs w:val="20"/>
                <w:color w:val="auto"/>
              </w:rPr>
            </w:pPr>
            <w:r>
              <w:rPr>
                <w:rFonts w:ascii="Arial" w:cs="Arial" w:eastAsia="Arial" w:hAnsi="Arial"/>
                <w:sz w:val="16"/>
                <w:szCs w:val="16"/>
                <w:color w:val="auto"/>
              </w:rPr>
              <w:t>Sempra Mexico - Ecogas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Pr>
          <w:p>
            <w:pPr>
              <w:ind w:left="520"/>
              <w:spacing w:after="0" w:line="176" w:lineRule="exact"/>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w:t>
            </w:r>
          </w:p>
        </w:tc>
        <w:tc>
          <w:tcPr>
            <w:tcW w:w="1140" w:type="dxa"/>
            <w:vAlign w:val="bottom"/>
            <w:tcBorders>
              <w:bottom w:val="single" w:sz="8" w:color="auto"/>
            </w:tcBorders>
          </w:tcPr>
          <w:p>
            <w:pPr>
              <w:jc w:val="center"/>
              <w:ind w:right="921"/>
              <w:spacing w:after="0" w:line="176"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88</w:t>
            </w: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w:t>
            </w:r>
          </w:p>
        </w:tc>
        <w:tc>
          <w:tcPr>
            <w:tcW w:w="280" w:type="dxa"/>
            <w:vAlign w:val="bottom"/>
            <w:tcBorders>
              <w:bottom w:val="single" w:sz="8" w:color="auto"/>
            </w:tcBorders>
          </w:tcPr>
          <w:p>
            <w:pPr>
              <w:jc w:val="center"/>
              <w:ind w:right="9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40"/>
        </w:trPr>
        <w:tc>
          <w:tcPr>
            <w:tcW w:w="5580" w:type="dxa"/>
            <w:vAlign w:val="bottom"/>
            <w:gridSpan w:val="2"/>
          </w:tcPr>
          <w:p>
            <w:pPr>
              <w:spacing w:after="0"/>
              <w:rPr>
                <w:sz w:val="20"/>
                <w:szCs w:val="20"/>
                <w:color w:val="auto"/>
              </w:rPr>
            </w:pPr>
            <w:r>
              <w:rPr>
                <w:rFonts w:ascii="Arial" w:cs="Arial" w:eastAsia="Arial" w:hAnsi="Arial"/>
                <w:sz w:val="16"/>
                <w:szCs w:val="16"/>
                <w:b w:val="1"/>
                <w:bCs w:val="1"/>
                <w:color w:val="auto"/>
              </w:rPr>
              <w:t>Electric Sales (million kilowatt hours)(2):</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580" w:type="dxa"/>
            <w:vAlign w:val="bottom"/>
            <w:gridSpan w:val="2"/>
          </w:tcPr>
          <w:p>
            <w:pPr>
              <w:spacing w:after="0"/>
              <w:rPr>
                <w:sz w:val="20"/>
                <w:szCs w:val="20"/>
                <w:color w:val="auto"/>
              </w:rPr>
            </w:pPr>
            <w:r>
              <w:rPr>
                <w:rFonts w:ascii="Arial" w:cs="Arial" w:eastAsia="Arial" w:hAnsi="Arial"/>
                <w:sz w:val="16"/>
                <w:szCs w:val="16"/>
                <w:color w:val="auto"/>
              </w:rPr>
              <w:t>Sempra South American Utilities:</w:t>
            </w: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Pr>
          <w:p>
            <w:pPr>
              <w:ind w:left="520"/>
              <w:spacing w:after="0"/>
              <w:rPr>
                <w:sz w:val="20"/>
                <w:szCs w:val="20"/>
                <w:color w:val="auto"/>
              </w:rPr>
            </w:pPr>
            <w:r>
              <w:rPr>
                <w:rFonts w:ascii="Arial" w:cs="Arial" w:eastAsia="Arial" w:hAnsi="Arial"/>
                <w:sz w:val="16"/>
                <w:szCs w:val="16"/>
                <w:color w:val="auto"/>
              </w:rPr>
              <w:t>Luz del Sur</w:t>
            </w:r>
          </w:p>
        </w:tc>
        <w:tc>
          <w:tcPr>
            <w:tcW w:w="1360" w:type="dxa"/>
            <w:vAlign w:val="bottom"/>
          </w:tcPr>
          <w:p>
            <w:pPr>
              <w:jc w:val="right"/>
              <w:spacing w:after="0"/>
              <w:rPr>
                <w:sz w:val="20"/>
                <w:szCs w:val="20"/>
                <w:color w:val="auto"/>
              </w:rPr>
            </w:pPr>
            <w:r>
              <w:rPr>
                <w:rFonts w:ascii="Arial" w:cs="Arial" w:eastAsia="Arial" w:hAnsi="Arial"/>
                <w:sz w:val="16"/>
                <w:szCs w:val="16"/>
                <w:color w:val="auto"/>
              </w:rPr>
              <w:t>3,359</w:t>
            </w:r>
          </w:p>
        </w:tc>
        <w:tc>
          <w:tcPr>
            <w:tcW w:w="1140" w:type="dxa"/>
            <w:vAlign w:val="bottom"/>
          </w:tcPr>
          <w:p>
            <w:pPr>
              <w:jc w:val="center"/>
              <w:ind w:right="9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373</w:t>
            </w:r>
          </w:p>
        </w:tc>
        <w:tc>
          <w:tcPr>
            <w:tcW w:w="1220" w:type="dxa"/>
            <w:vAlign w:val="bottom"/>
          </w:tcPr>
          <w:p>
            <w:pPr>
              <w:jc w:val="right"/>
              <w:spacing w:after="0"/>
              <w:rPr>
                <w:sz w:val="20"/>
                <w:szCs w:val="20"/>
                <w:color w:val="auto"/>
              </w:rPr>
            </w:pPr>
            <w:r>
              <w:rPr>
                <w:rFonts w:ascii="Arial" w:cs="Arial" w:eastAsia="Arial" w:hAnsi="Arial"/>
                <w:sz w:val="16"/>
                <w:szCs w:val="16"/>
                <w:color w:val="auto"/>
              </w:rPr>
              <w:t>1,570</w:t>
            </w:r>
          </w:p>
        </w:tc>
        <w:tc>
          <w:tcPr>
            <w:tcW w:w="280" w:type="dxa"/>
            <w:vAlign w:val="bottom"/>
          </w:tcPr>
          <w:p>
            <w:pPr>
              <w:jc w:val="center"/>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tcPr>
          <w:p>
            <w:pPr>
              <w:ind w:left="520"/>
              <w:spacing w:after="0"/>
              <w:rPr>
                <w:sz w:val="20"/>
                <w:szCs w:val="20"/>
                <w:color w:val="auto"/>
              </w:rPr>
            </w:pPr>
            <w:r>
              <w:rPr>
                <w:rFonts w:ascii="Arial" w:cs="Arial" w:eastAsia="Arial" w:hAnsi="Arial"/>
                <w:sz w:val="16"/>
                <w:szCs w:val="16"/>
                <w:color w:val="auto"/>
              </w:rPr>
              <w:t>Chilquinta Energía</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1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60" w:type="dxa"/>
            <w:vAlign w:val="bottom"/>
          </w:tcPr>
          <w:p>
            <w:pPr>
              <w:jc w:val="right"/>
              <w:spacing w:after="0" w:line="164" w:lineRule="exact"/>
              <w:rPr>
                <w:sz w:val="20"/>
                <w:szCs w:val="20"/>
                <w:color w:val="auto"/>
              </w:rPr>
            </w:pPr>
            <w:r>
              <w:rPr>
                <w:rFonts w:ascii="Arial" w:cs="Arial" w:eastAsia="Arial" w:hAnsi="Arial"/>
                <w:sz w:val="16"/>
                <w:szCs w:val="16"/>
                <w:color w:val="auto"/>
              </w:rPr>
              <w:t>4,742</w:t>
            </w:r>
          </w:p>
        </w:tc>
        <w:tc>
          <w:tcPr>
            <w:tcW w:w="1140" w:type="dxa"/>
            <w:vAlign w:val="bottom"/>
          </w:tcPr>
          <w:p>
            <w:pPr>
              <w:spacing w:after="0"/>
              <w:rPr>
                <w:sz w:val="14"/>
                <w:szCs w:val="14"/>
                <w:color w:val="auto"/>
              </w:rPr>
            </w:pPr>
          </w:p>
        </w:tc>
        <w:tc>
          <w:tcPr>
            <w:tcW w:w="58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636</w:t>
            </w:r>
          </w:p>
        </w:tc>
        <w:tc>
          <w:tcPr>
            <w:tcW w:w="1220" w:type="dxa"/>
            <w:vAlign w:val="bottom"/>
          </w:tcPr>
          <w:p>
            <w:pPr>
              <w:jc w:val="right"/>
              <w:spacing w:after="0" w:line="164" w:lineRule="exact"/>
              <w:rPr>
                <w:sz w:val="20"/>
                <w:szCs w:val="20"/>
                <w:color w:val="auto"/>
              </w:rPr>
            </w:pPr>
            <w:r>
              <w:rPr>
                <w:rFonts w:ascii="Arial" w:cs="Arial" w:eastAsia="Arial" w:hAnsi="Arial"/>
                <w:sz w:val="16"/>
                <w:szCs w:val="16"/>
                <w:color w:val="auto"/>
              </w:rPr>
              <w:t>2,174</w:t>
            </w:r>
          </w:p>
        </w:tc>
        <w:tc>
          <w:tcPr>
            <w:tcW w:w="280" w:type="dxa"/>
            <w:vAlign w:val="bottom"/>
          </w:tcPr>
          <w:p>
            <w:pPr>
              <w:spacing w:after="0"/>
              <w:rPr>
                <w:sz w:val="14"/>
                <w:szCs w:val="14"/>
                <w:color w:val="auto"/>
              </w:rPr>
            </w:pP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194"/>
        </w:trPr>
        <w:tc>
          <w:tcPr>
            <w:tcW w:w="5580" w:type="dxa"/>
            <w:vAlign w:val="bottom"/>
            <w:gridSpan w:val="2"/>
          </w:tcPr>
          <w:p>
            <w:pPr>
              <w:spacing w:after="0"/>
              <w:rPr>
                <w:sz w:val="20"/>
                <w:szCs w:val="20"/>
                <w:color w:val="auto"/>
              </w:rPr>
            </w:pPr>
            <w:r>
              <w:rPr>
                <w:rFonts w:ascii="Arial" w:cs="Arial" w:eastAsia="Arial" w:hAnsi="Arial"/>
                <w:sz w:val="16"/>
                <w:szCs w:val="16"/>
                <w:color w:val="auto"/>
              </w:rPr>
              <w:t>Other service revenues</w:t>
            </w:r>
          </w:p>
        </w:tc>
        <w:tc>
          <w:tcPr>
            <w:tcW w:w="1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w:t>
            </w:r>
          </w:p>
        </w:tc>
        <w:tc>
          <w:tcPr>
            <w:tcW w:w="1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60" w:type="dxa"/>
            <w:vAlign w:val="bottom"/>
          </w:tcPr>
          <w:p>
            <w:pPr>
              <w:ind w:left="520"/>
              <w:spacing w:after="0"/>
              <w:rPr>
                <w:sz w:val="20"/>
                <w:szCs w:val="20"/>
                <w:color w:val="auto"/>
              </w:rPr>
            </w:pPr>
            <w:r>
              <w:rPr>
                <w:rFonts w:ascii="Arial" w:cs="Arial" w:eastAsia="Arial" w:hAnsi="Arial"/>
                <w:sz w:val="16"/>
                <w:szCs w:val="16"/>
                <w:color w:val="auto"/>
              </w:rPr>
              <w:t>Total</w:t>
            </w:r>
          </w:p>
        </w:tc>
        <w:tc>
          <w:tcPr>
            <w:tcW w:w="1360" w:type="dxa"/>
            <w:vAlign w:val="bottom"/>
          </w:tcPr>
          <w:p>
            <w:pPr>
              <w:spacing w:after="0"/>
              <w:rPr>
                <w:sz w:val="16"/>
                <w:szCs w:val="16"/>
                <w:color w:val="auto"/>
              </w:rPr>
            </w:pPr>
          </w:p>
        </w:tc>
        <w:tc>
          <w:tcPr>
            <w:tcW w:w="1140" w:type="dxa"/>
            <w:vAlign w:val="bottom"/>
          </w:tcPr>
          <w:p>
            <w:pPr>
              <w:jc w:val="center"/>
              <w:ind w:right="9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662</w:t>
            </w:r>
          </w:p>
        </w:tc>
        <w:tc>
          <w:tcPr>
            <w:tcW w:w="1220" w:type="dxa"/>
            <w:vAlign w:val="bottom"/>
          </w:tcPr>
          <w:p>
            <w:pPr>
              <w:spacing w:after="0"/>
              <w:rPr>
                <w:sz w:val="16"/>
                <w:szCs w:val="16"/>
                <w:color w:val="auto"/>
              </w:rPr>
            </w:pPr>
          </w:p>
        </w:tc>
        <w:tc>
          <w:tcPr>
            <w:tcW w:w="280" w:type="dxa"/>
            <w:vAlign w:val="bottom"/>
          </w:tcPr>
          <w:p>
            <w:pPr>
              <w:jc w:val="center"/>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40" w:hanging="532"/>
        <w:spacing w:after="0"/>
        <w:tabs>
          <w:tab w:leader="none" w:pos="540"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We acquired Willmut Gas in May 2012.</w:t>
      </w:r>
    </w:p>
    <w:p>
      <w:pPr>
        <w:spacing w:after="0" w:line="13" w:lineRule="exact"/>
        <w:rPr>
          <w:rFonts w:ascii="Arial" w:cs="Arial" w:eastAsia="Arial" w:hAnsi="Arial"/>
          <w:sz w:val="14"/>
          <w:szCs w:val="14"/>
          <w:i w:val="1"/>
          <w:iCs w:val="1"/>
          <w:color w:val="auto"/>
        </w:rPr>
      </w:pPr>
    </w:p>
    <w:p>
      <w:pPr>
        <w:ind w:left="540" w:right="600" w:hanging="532"/>
        <w:spacing w:after="0" w:line="258" w:lineRule="auto"/>
        <w:tabs>
          <w:tab w:leader="none" w:pos="540"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We accounted for Luz del Sur and Chilquinta Energía under the equity method until April 6, 2011, when they became consolidated entities upon our acquisition of additional ownership interests.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 Revenues and Cost of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revenues and cost of sales for our energy-related businesses.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ENERGY-RELATED BUSINESSES: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tcPr>
          <w:p>
            <w:pPr>
              <w:spacing w:after="0"/>
              <w:rPr>
                <w:sz w:val="14"/>
                <w:szCs w:val="14"/>
                <w:color w:val="auto"/>
              </w:rPr>
            </w:pPr>
          </w:p>
        </w:tc>
        <w:tc>
          <w:tcPr>
            <w:tcW w:w="2300" w:type="dxa"/>
            <w:vAlign w:val="bottom"/>
            <w:gridSpan w:val="3"/>
            <w:vMerge w:val="restart"/>
          </w:tcPr>
          <w:p>
            <w:pPr>
              <w:jc w:val="right"/>
              <w:spacing w:after="0"/>
              <w:rPr>
                <w:sz w:val="20"/>
                <w:szCs w:val="20"/>
                <w:color w:val="auto"/>
              </w:rPr>
            </w:pPr>
            <w:r>
              <w:rPr>
                <w:rFonts w:ascii="Arial" w:cs="Arial" w:eastAsia="Arial" w:hAnsi="Arial"/>
                <w:sz w:val="14"/>
                <w:szCs w:val="14"/>
                <w:color w:val="auto"/>
              </w:rPr>
              <w:t>Three months ended June 30,</w:t>
            </w:r>
          </w:p>
        </w:tc>
        <w:tc>
          <w:tcPr>
            <w:tcW w:w="380" w:type="dxa"/>
            <w:vAlign w:val="bottom"/>
          </w:tcPr>
          <w:p>
            <w:pPr>
              <w:spacing w:after="0"/>
              <w:rPr>
                <w:sz w:val="14"/>
                <w:szCs w:val="14"/>
                <w:color w:val="auto"/>
              </w:rPr>
            </w:pPr>
          </w:p>
        </w:tc>
        <w:tc>
          <w:tcPr>
            <w:tcW w:w="300" w:type="dxa"/>
            <w:vAlign w:val="bottom"/>
            <w:shd w:val="clear" w:color="auto" w:fill="C0C0C0"/>
          </w:tcPr>
          <w:p>
            <w:pPr>
              <w:spacing w:after="0"/>
              <w:rPr>
                <w:sz w:val="14"/>
                <w:szCs w:val="14"/>
                <w:color w:val="auto"/>
              </w:rPr>
            </w:pPr>
          </w:p>
        </w:tc>
        <w:tc>
          <w:tcPr>
            <w:tcW w:w="1060" w:type="dxa"/>
            <w:vAlign w:val="bottom"/>
            <w:shd w:val="clear" w:color="auto" w:fill="C0C0C0"/>
          </w:tcPr>
          <w:p>
            <w:pPr>
              <w:spacing w:after="0"/>
              <w:rPr>
                <w:sz w:val="14"/>
                <w:szCs w:val="14"/>
                <w:color w:val="auto"/>
              </w:rPr>
            </w:pPr>
          </w:p>
        </w:tc>
        <w:tc>
          <w:tcPr>
            <w:tcW w:w="300" w:type="dxa"/>
            <w:vAlign w:val="bottom"/>
            <w:shd w:val="clear" w:color="auto" w:fill="C0C0C0"/>
          </w:tcPr>
          <w:p>
            <w:pPr>
              <w:spacing w:after="0"/>
              <w:rPr>
                <w:sz w:val="14"/>
                <w:szCs w:val="14"/>
                <w:color w:val="auto"/>
              </w:rPr>
            </w:pPr>
          </w:p>
        </w:tc>
        <w:tc>
          <w:tcPr>
            <w:tcW w:w="106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00" w:type="dxa"/>
            <w:vAlign w:val="bottom"/>
          </w:tcPr>
          <w:p>
            <w:pPr>
              <w:spacing w:after="0" w:line="164" w:lineRule="exact"/>
              <w:rPr>
                <w:sz w:val="20"/>
                <w:szCs w:val="20"/>
                <w:color w:val="auto"/>
              </w:rPr>
            </w:pPr>
            <w:r>
              <w:rPr>
                <w:rFonts w:ascii="Arial" w:cs="Arial" w:eastAsia="Arial" w:hAnsi="Arial"/>
                <w:sz w:val="16"/>
                <w:szCs w:val="16"/>
                <w:b w:val="1"/>
                <w:bCs w:val="1"/>
                <w:color w:val="auto"/>
              </w:rPr>
              <w:t>Energy-related businesses revenues:</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1720" w:type="dxa"/>
            <w:vAlign w:val="bottom"/>
            <w:gridSpan w:val="2"/>
          </w:tcPr>
          <w:p>
            <w:pPr>
              <w:jc w:val="right"/>
              <w:ind w:right="765"/>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c>
          <w:tcPr>
            <w:tcW w:w="300" w:type="dxa"/>
            <w:vAlign w:val="bottom"/>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43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102</w:t>
            </w:r>
          </w:p>
        </w:tc>
        <w:tc>
          <w:tcPr>
            <w:tcW w:w="96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149</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215</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96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180</w:t>
            </w:r>
          </w:p>
        </w:tc>
        <w:tc>
          <w:tcPr>
            <w:tcW w:w="96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420</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417</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00" w:type="dxa"/>
            <w:vAlign w:val="bottom"/>
          </w:tcPr>
          <w:p>
            <w:pPr>
              <w:ind w:left="80"/>
              <w:spacing w:after="0"/>
              <w:rPr>
                <w:sz w:val="20"/>
                <w:szCs w:val="20"/>
                <w:color w:val="auto"/>
              </w:rPr>
            </w:pPr>
            <w:r>
              <w:rPr>
                <w:rFonts w:ascii="Arial" w:cs="Arial" w:eastAsia="Arial" w:hAnsi="Arial"/>
                <w:sz w:val="16"/>
                <w:szCs w:val="16"/>
                <w:color w:val="auto"/>
              </w:rPr>
              <w:t>Intersegment revenues, adjustments and eliminations(1)</w:t>
            </w:r>
          </w:p>
        </w:tc>
        <w:tc>
          <w:tcPr>
            <w:tcW w:w="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(112)</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tcPr>
          <w:p>
            <w:pPr>
              <w:ind w:left="300"/>
              <w:spacing w:after="0" w:line="176" w:lineRule="exact"/>
              <w:rPr>
                <w:sz w:val="20"/>
                <w:szCs w:val="20"/>
                <w:color w:val="auto"/>
              </w:rPr>
            </w:pPr>
            <w:r>
              <w:rPr>
                <w:rFonts w:ascii="Arial" w:cs="Arial" w:eastAsia="Arial" w:hAnsi="Arial"/>
                <w:sz w:val="16"/>
                <w:szCs w:val="16"/>
                <w:color w:val="auto"/>
              </w:rPr>
              <w:t>Total energy-related businesses revenues</w:t>
            </w:r>
          </w:p>
        </w:tc>
        <w:tc>
          <w:tcPr>
            <w:tcW w:w="800" w:type="dxa"/>
            <w:vAlign w:val="bottom"/>
          </w:tcPr>
          <w:p>
            <w:pPr>
              <w:spacing w:after="0"/>
              <w:rPr>
                <w:sz w:val="15"/>
                <w:szCs w:val="15"/>
                <w:color w:val="auto"/>
              </w:rPr>
            </w:pP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251</w:t>
            </w: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500</w:t>
            </w:r>
          </w:p>
        </w:tc>
        <w:tc>
          <w:tcPr>
            <w:tcW w:w="30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543</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164"/>
        </w:trPr>
        <w:tc>
          <w:tcPr>
            <w:tcW w:w="522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Cost of natural gas, electric fuel and purchased power(2):</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1720" w:type="dxa"/>
            <w:vAlign w:val="bottom"/>
            <w:gridSpan w:val="2"/>
          </w:tcPr>
          <w:p>
            <w:pPr>
              <w:jc w:val="right"/>
              <w:ind w:right="765"/>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c>
          <w:tcPr>
            <w:tcW w:w="300" w:type="dxa"/>
            <w:vAlign w:val="bottom"/>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96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118</w:t>
            </w:r>
          </w:p>
        </w:tc>
        <w:tc>
          <w:tcPr>
            <w:tcW w:w="96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249</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289</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00" w:type="dxa"/>
            <w:vAlign w:val="bottom"/>
          </w:tcPr>
          <w:p>
            <w:pPr>
              <w:ind w:left="60"/>
              <w:spacing w:after="0"/>
              <w:rPr>
                <w:sz w:val="20"/>
                <w:szCs w:val="20"/>
                <w:color w:val="auto"/>
              </w:rPr>
            </w:pPr>
            <w:r>
              <w:rPr>
                <w:rFonts w:ascii="Arial" w:cs="Arial" w:eastAsia="Arial" w:hAnsi="Arial"/>
                <w:sz w:val="16"/>
                <w:szCs w:val="16"/>
                <w:color w:val="auto"/>
              </w:rPr>
              <w:t>Adjustments and eliminations(1)</w:t>
            </w:r>
          </w:p>
        </w:tc>
        <w:tc>
          <w:tcPr>
            <w:tcW w:w="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(110)</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tcPr>
          <w:p>
            <w:pPr>
              <w:ind w:left="300"/>
              <w:spacing w:after="0"/>
              <w:rPr>
                <w:sz w:val="20"/>
                <w:szCs w:val="20"/>
                <w:color w:val="auto"/>
              </w:rPr>
            </w:pPr>
            <w:r>
              <w:rPr>
                <w:rFonts w:ascii="Arial" w:cs="Arial" w:eastAsia="Arial" w:hAnsi="Arial"/>
                <w:sz w:val="16"/>
                <w:szCs w:val="16"/>
                <w:color w:val="auto"/>
              </w:rPr>
              <w:t>Total cost of natural gas, electric fuel</w:t>
            </w:r>
          </w:p>
        </w:tc>
        <w:tc>
          <w:tcPr>
            <w:tcW w:w="1720" w:type="dxa"/>
            <w:vAlign w:val="bottom"/>
            <w:gridSpan w:val="2"/>
            <w:vMerge w:val="restart"/>
          </w:tcPr>
          <w:p>
            <w:pPr>
              <w:jc w:val="right"/>
              <w:ind w:right="765"/>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960" w:type="dxa"/>
            <w:vAlign w:val="bottom"/>
            <w:vMerge w:val="restart"/>
          </w:tcPr>
          <w:p>
            <w:pPr>
              <w:jc w:val="right"/>
              <w:ind w:right="805"/>
              <w:spacing w:after="0"/>
              <w:rPr>
                <w:sz w:val="20"/>
                <w:szCs w:val="20"/>
                <w:color w:val="auto"/>
              </w:rPr>
            </w:pPr>
            <w:r>
              <w:rPr>
                <w:rFonts w:ascii="Arial" w:cs="Arial" w:eastAsia="Arial" w:hAnsi="Arial"/>
                <w:sz w:val="15"/>
                <w:szCs w:val="15"/>
                <w:color w:val="auto"/>
                <w:w w:val="71"/>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212</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300" w:type="dxa"/>
            <w:vAlign w:val="bottom"/>
            <w:vMerge w:val="restart"/>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0" w:type="dxa"/>
            <w:vAlign w:val="bottom"/>
          </w:tcPr>
          <w:p>
            <w:pPr>
              <w:ind w:left="400"/>
              <w:spacing w:after="0" w:line="168" w:lineRule="exact"/>
              <w:rPr>
                <w:sz w:val="20"/>
                <w:szCs w:val="20"/>
                <w:color w:val="auto"/>
              </w:rPr>
            </w:pPr>
            <w:r>
              <w:rPr>
                <w:rFonts w:ascii="Arial" w:cs="Arial" w:eastAsia="Arial" w:hAnsi="Arial"/>
                <w:sz w:val="16"/>
                <w:szCs w:val="16"/>
                <w:color w:val="auto"/>
              </w:rPr>
              <w:t>and purchased power</w:t>
            </w:r>
          </w:p>
        </w:tc>
        <w:tc>
          <w:tcPr>
            <w:tcW w:w="17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2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Other cost of sales(2):</w:t>
            </w:r>
          </w:p>
        </w:tc>
        <w:tc>
          <w:tcPr>
            <w:tcW w:w="8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1720" w:type="dxa"/>
            <w:vAlign w:val="bottom"/>
            <w:gridSpan w:val="2"/>
          </w:tcPr>
          <w:p>
            <w:pPr>
              <w:jc w:val="right"/>
              <w:ind w:right="765"/>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300" w:type="dxa"/>
            <w:vAlign w:val="bottom"/>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96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96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00" w:type="dxa"/>
            <w:vAlign w:val="bottom"/>
          </w:tcPr>
          <w:p>
            <w:pPr>
              <w:ind w:left="60"/>
              <w:spacing w:after="0"/>
              <w:rPr>
                <w:sz w:val="20"/>
                <w:szCs w:val="20"/>
                <w:color w:val="auto"/>
              </w:rPr>
            </w:pPr>
            <w:r>
              <w:rPr>
                <w:rFonts w:ascii="Arial" w:cs="Arial" w:eastAsia="Arial" w:hAnsi="Arial"/>
                <w:sz w:val="16"/>
                <w:szCs w:val="16"/>
                <w:color w:val="auto"/>
              </w:rPr>
              <w:t>Adjustments and eliminations(1)</w:t>
            </w:r>
          </w:p>
        </w:tc>
        <w:tc>
          <w:tcPr>
            <w:tcW w:w="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tcPr>
          <w:p>
            <w:pPr>
              <w:ind w:left="300"/>
              <w:spacing w:after="0"/>
              <w:rPr>
                <w:sz w:val="20"/>
                <w:szCs w:val="20"/>
                <w:color w:val="auto"/>
              </w:rPr>
            </w:pPr>
            <w:r>
              <w:rPr>
                <w:rFonts w:ascii="Arial" w:cs="Arial" w:eastAsia="Arial" w:hAnsi="Arial"/>
                <w:sz w:val="16"/>
                <w:szCs w:val="16"/>
                <w:color w:val="auto"/>
              </w:rPr>
              <w:t>Total other cost of sales</w:t>
            </w:r>
          </w:p>
        </w:tc>
        <w:tc>
          <w:tcPr>
            <w:tcW w:w="800" w:type="dxa"/>
            <w:vAlign w:val="bottom"/>
          </w:tcPr>
          <w:p>
            <w:pPr>
              <w:spacing w:after="0"/>
              <w:rPr>
                <w:sz w:val="16"/>
                <w:szCs w:val="16"/>
                <w:color w:val="auto"/>
              </w:rPr>
            </w:pP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41</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74</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80" w:hanging="672"/>
        <w:spacing w:after="0"/>
        <w:tabs>
          <w:tab w:leader="none" w:pos="680"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eliminations of intercompany activity.</w:t>
      </w:r>
    </w:p>
    <w:p>
      <w:pPr>
        <w:spacing w:after="0" w:line="13" w:lineRule="exact"/>
        <w:rPr>
          <w:rFonts w:ascii="Arial" w:cs="Arial" w:eastAsia="Arial" w:hAnsi="Arial"/>
          <w:sz w:val="14"/>
          <w:szCs w:val="14"/>
          <w:i w:val="1"/>
          <w:iCs w:val="1"/>
          <w:color w:val="auto"/>
        </w:rPr>
      </w:pPr>
    </w:p>
    <w:p>
      <w:pPr>
        <w:ind w:left="680" w:hanging="672"/>
        <w:spacing w:after="0"/>
        <w:tabs>
          <w:tab w:leader="none" w:pos="680"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depreciation and amortization, which are shown separately on the Condensed Consolidated Statements of Operations.</w:t>
      </w:r>
    </w:p>
    <w:p>
      <w:pPr>
        <w:sectPr>
          <w:pgSz w:w="11900" w:h="16838" w:orient="portrait"/>
          <w:cols w:equalWidth="0" w:num="1">
            <w:col w:w="11420"/>
          </w:cols>
          <w:pgMar w:left="240" w:top="341" w:right="239" w:bottom="0" w:gutter="0" w:footer="0" w:header="0"/>
        </w:sectPr>
      </w:pPr>
    </w:p>
    <w:bookmarkStart w:id="59" w:name="page60"/>
    <w:bookmarkEnd w:id="59"/>
    <w:p>
      <w:pPr>
        <w:ind w:right="200"/>
        <w:spacing w:after="0" w:line="277" w:lineRule="auto"/>
        <w:rPr>
          <w:sz w:val="20"/>
          <w:szCs w:val="20"/>
          <w:color w:val="auto"/>
        </w:rPr>
      </w:pPr>
      <w:r>
        <w:rPr>
          <w:rFonts w:ascii="Arial" w:cs="Arial" w:eastAsia="Arial" w:hAnsi="Arial"/>
          <w:sz w:val="18"/>
          <w:szCs w:val="18"/>
          <w:color w:val="auto"/>
        </w:rPr>
        <w:t>During the three months ended June 30, 2012, revenues from our energy-related businesses decreased by $249 million (50%) to $251 million. The decrease included</w:t>
      </w:r>
    </w:p>
    <w:p>
      <w:pPr>
        <w:spacing w:after="0" w:line="170" w:lineRule="exact"/>
        <w:rPr>
          <w:sz w:val="20"/>
          <w:szCs w:val="20"/>
          <w:color w:val="auto"/>
        </w:rPr>
      </w:pPr>
    </w:p>
    <w:p>
      <w:pPr>
        <w:ind w:left="340" w:hanging="188"/>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$240 million decrease at Sempra Natural Gas due to decreased power sales primarily from the end of the DWR contract as of September 30, 2011, and lower natural gas revenues from its LNG operations as a result of lower natural gas prices and volumes;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$47 million decrease at Sempra Mexico mainly from lower natural gas prices and volumes sold;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$43 million lower intercompany eliminations primarily associated with sales between Sempra Mexico and Sempra Natural Gas.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June 30, 2012, the cost of natural gas, electric fuel and purchased power for our energy-related businesses decreased by $131 million (62%) to $81 million. The decrease was primarily due to:</w:t>
      </w:r>
    </w:p>
    <w:p>
      <w:pPr>
        <w:spacing w:after="0" w:line="170" w:lineRule="exact"/>
        <w:rPr>
          <w:sz w:val="20"/>
          <w:szCs w:val="20"/>
          <w:color w:val="auto"/>
        </w:rPr>
      </w:pPr>
    </w:p>
    <w:p>
      <w:pPr>
        <w:ind w:left="340" w:hanging="188"/>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$131 million decrease at Sempra Natural Gas primarily associated with the lower revenues;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$41 million decrease at Sempra Mexico associated with the lower revenues;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$42 million lower intercompany eliminations primarily associated with sales between Sempra Mexico and Sempra Natural Gas.</w:t>
      </w:r>
    </w:p>
    <w:p>
      <w:pPr>
        <w:spacing w:after="0" w:line="200" w:lineRule="exact"/>
        <w:rPr>
          <w:sz w:val="20"/>
          <w:szCs w:val="20"/>
          <w:color w:val="auto"/>
        </w:rPr>
      </w:pP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six months ended June 30, 2012, revenues from our energy-related businesses decreased by $445 million (45%) to $543 million. The decrease included</w:t>
      </w:r>
    </w:p>
    <w:p>
      <w:pPr>
        <w:spacing w:after="0" w:line="170" w:lineRule="exact"/>
        <w:rPr>
          <w:sz w:val="20"/>
          <w:szCs w:val="20"/>
          <w:color w:val="auto"/>
        </w:rPr>
      </w:pPr>
    </w:p>
    <w:p>
      <w:pPr>
        <w:ind w:left="340" w:hanging="188"/>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$415 million decrease at Sempra Natural Gas due to decreased power sales primarily from the end of the DWR contract, and lower natural gas revenues from its LNG operations as a result of lower natural gas prices and volumes;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$113 million decrease at Sempra Mexico mainly from lower natural gas prices and lower LNG volumes sold;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$65 million lower intercompany eliminations primarily associated with sales between Sempra Mexico and Sempra Natural Gas.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six months ended June 30, 2012, the cost of natural gas, electric fuel and purchased power for our energy-related businesses decreased by $232 million (52%) to $210 million. The decrease was primarily due to:</w:t>
      </w:r>
    </w:p>
    <w:p>
      <w:pPr>
        <w:spacing w:after="0" w:line="170" w:lineRule="exact"/>
        <w:rPr>
          <w:sz w:val="20"/>
          <w:szCs w:val="20"/>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$202 million decrease at Sempra Natural Gas primarily associated with the lower revenues;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$98 million decrease at Sempra Mexico associated with the lower revenues;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$68 million lower intercompany eliminations primarily associated with sales between Sempra Mexico and Sempra Natural Gas.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and Maintenance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three months ended June 30, 2012, our operation and maintenance expenses increased by $47 million (7%) to $720 million primarily at SDG&amp;E, which we discuss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2012, our operation and maintenance expenses increased by $79 million (6%) to $1.4 billion. The increase included</w:t>
      </w:r>
    </w:p>
    <w:p>
      <w:pPr>
        <w:spacing w:after="0" w:line="237" w:lineRule="exact"/>
        <w:rPr>
          <w:sz w:val="20"/>
          <w:szCs w:val="20"/>
          <w:color w:val="auto"/>
        </w:rPr>
      </w:pPr>
    </w:p>
    <w:p>
      <w:pPr>
        <w:ind w:left="340" w:hanging="188"/>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$48 million at Sempra South American Utilities primarily from the consolidation of expenses in Chile and Peru;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$42 million higher operation and maintenance expenses at SDG&amp;E, which we discuss below.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three months ended June 30, 2012, SDG&amp;E’s operation and maintenance expenses increased by $47 million (21%) to $275 million. The increase was primarily due to:</w:t>
      </w:r>
    </w:p>
    <w:p>
      <w:pPr>
        <w:spacing w:after="0" w:line="170" w:lineRule="exact"/>
        <w:rPr>
          <w:sz w:val="20"/>
          <w:szCs w:val="20"/>
          <w:color w:val="auto"/>
        </w:rPr>
      </w:pPr>
    </w:p>
    <w:p>
      <w:pPr>
        <w:ind w:left="340" w:hanging="188"/>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$58 million higher recoverable expenses;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$5 million higher litigation expenses;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$11 million lower operation and maintenance expenses at Otay Mesa VIE; and</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$5 million lower other operational and maintenance costs, including $10 million recovery in 2012 of incremental costs incurred in prior years for the long-term storage of spent nuclear fuel, offset by $6 million higher costs associated with the acquisition of the Desert Star generation facility in October 2011.</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six months ended June 30, 2012, SDG&amp;E’s operation and maintenance expenses increased by $42 million (8%) to $543 million. The increase was due to:</w:t>
      </w:r>
    </w:p>
    <w:p>
      <w:pPr>
        <w:sectPr>
          <w:pgSz w:w="11900" w:h="16838" w:orient="portrait"/>
          <w:cols w:equalWidth="0" w:num="1">
            <w:col w:w="11420"/>
          </w:cols>
          <w:pgMar w:left="240" w:top="760" w:right="239" w:bottom="0" w:gutter="0" w:footer="0" w:header="0"/>
        </w:sectPr>
      </w:pPr>
    </w:p>
    <w:bookmarkStart w:id="60" w:name="page61"/>
    <w:bookmarkEnd w:id="60"/>
    <w:p>
      <w:pPr>
        <w:spacing w:after="0" w:line="150" w:lineRule="exact"/>
        <w:rPr>
          <w:sz w:val="20"/>
          <w:szCs w:val="20"/>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$26 million higher recoverable expenses;</w:t>
      </w:r>
    </w:p>
    <w:p>
      <w:pPr>
        <w:spacing w:after="0" w:line="252" w:lineRule="exact"/>
        <w:rPr>
          <w:rFonts w:ascii="Arial" w:cs="Arial" w:eastAsia="Arial" w:hAnsi="Arial"/>
          <w:sz w:val="18"/>
          <w:szCs w:val="18"/>
          <w:color w:val="auto"/>
        </w:rPr>
      </w:pPr>
    </w:p>
    <w:p>
      <w:pPr>
        <w:jc w:val="both"/>
        <w:ind w:left="340" w:right="20" w:hanging="188"/>
        <w:spacing w:after="0" w:line="264"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$22 million higher other operation and maintenance costs, including higher costs associated with the acquisition of the Desert Star generation facility in October 2011 and from increased generation costs from other generating facilities, offset by recovery in 2012 of incremental costs incurred in prior years for the long-term storage of spent nuclear fuel; and</w:t>
      </w:r>
    </w:p>
    <w:p>
      <w:pPr>
        <w:spacing w:after="0" w:line="204" w:lineRule="exact"/>
        <w:rPr>
          <w:rFonts w:ascii="Arial" w:cs="Arial" w:eastAsia="Arial" w:hAnsi="Arial"/>
          <w:sz w:val="18"/>
          <w:szCs w:val="18"/>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$5 million higher litigation expenses;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$11 million lower operation and maintenance expenses at Otay Mesa VIE.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(Losses) Earnings, Before Income Tax</w:t>
      </w:r>
    </w:p>
    <w:p>
      <w:pPr>
        <w:spacing w:after="0" w:line="2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Equity losses from our investment in Rockies Express were $290 million and $279 million in three months and six months ended June 30, 2012, respectively, compared to equity earnings of $10 million and $19 million in the three months and six months ended June 30, 2011. Equity losses in 2012 included a $300 million write-down of the investment recorded in the second quarter.</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six months ended June 30, 2012, equity losses before income taxes from our other investments decreased to $2 million from $11 million in 2011, primarily due to equity losses of $8 million from RBS Sempra Commodities in 2011.</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2012, other income, net, decreased by $13 million (42%) to $18 million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 xml:space="preserve">losses of $9 million in 2012 compared to gains of $11 million in 2011 from investment activity related to our executive retirement and deferred compensation plans;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$10 million increase in AFUDC primarily due to construction on the Sunrise Powerlink project at SDG&amp;E.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2012, other income, net, increased by $19 million (26%) to $93 million primarily due to:</w:t>
      </w:r>
    </w:p>
    <w:p>
      <w:pPr>
        <w:spacing w:after="0" w:line="221" w:lineRule="exact"/>
        <w:rPr>
          <w:sz w:val="20"/>
          <w:szCs w:val="20"/>
          <w:color w:val="auto"/>
        </w:rPr>
      </w:pPr>
    </w:p>
    <w:p>
      <w:pPr>
        <w:ind w:left="340" w:hanging="18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$26 million increase in AFUDC primarily due to construction on the Sunrise Powerlink project at SDG&amp;E;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$9 million lower gains from investment activity related to our executive retirement and deferred compensation plans in 2012.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three months ended June 30, 2012, other income, net, increased by $11 million (85%) to $24 million. In the six months ended June 30, 2012, other income, net, increased by $25 million (86%) to $54 million. The increases were mainly due to an increase in AFUDC related to equity from construction on the Sunrise Powerlink project.</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income tax expense (benefit) and effective income tax rates for Sempra Energy, SDG&amp;E and SoCalGas.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3"/>
          </w:tcPr>
          <w:p>
            <w:pPr>
              <w:jc w:val="right"/>
              <w:ind w:right="405"/>
              <w:spacing w:after="0" w:line="159" w:lineRule="exact"/>
              <w:rPr>
                <w:sz w:val="20"/>
                <w:szCs w:val="20"/>
                <w:color w:val="auto"/>
              </w:rPr>
            </w:pPr>
            <w:r>
              <w:rPr>
                <w:rFonts w:ascii="Arial" w:cs="Arial" w:eastAsia="Arial" w:hAnsi="Arial"/>
                <w:sz w:val="14"/>
                <w:szCs w:val="14"/>
                <w:color w:val="auto"/>
              </w:rPr>
              <w:t>Three months ended June 30,</w:t>
            </w: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965"/>
              <w:spacing w:after="0"/>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2011</w:t>
            </w:r>
          </w:p>
        </w:tc>
      </w:tr>
      <w:tr>
        <w:trPr>
          <w:trHeight w:val="191"/>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540" w:type="dxa"/>
            <w:vAlign w:val="bottom"/>
          </w:tcPr>
          <w:p>
            <w:pPr>
              <w:jc w:val="center"/>
              <w:ind w:left="646"/>
              <w:spacing w:after="0"/>
              <w:rPr>
                <w:sz w:val="20"/>
                <w:szCs w:val="20"/>
                <w:color w:val="auto"/>
              </w:rPr>
            </w:pPr>
            <w:r>
              <w:rPr>
                <w:rFonts w:ascii="Arial" w:cs="Arial" w:eastAsia="Arial" w:hAnsi="Arial"/>
                <w:sz w:val="14"/>
                <w:szCs w:val="14"/>
                <w:color w:val="auto"/>
              </w:rPr>
              <w:t>Income Tax</w:t>
            </w:r>
          </w:p>
        </w:tc>
        <w:tc>
          <w:tcPr>
            <w:tcW w:w="1820" w:type="dxa"/>
            <w:vAlign w:val="bottom"/>
          </w:tcPr>
          <w:p>
            <w:pPr>
              <w:jc w:val="center"/>
              <w:ind w:left="1025"/>
              <w:spacing w:after="0"/>
              <w:rPr>
                <w:sz w:val="20"/>
                <w:szCs w:val="20"/>
                <w:color w:val="auto"/>
              </w:rPr>
            </w:pPr>
            <w:r>
              <w:rPr>
                <w:rFonts w:ascii="Arial" w:cs="Arial" w:eastAsia="Arial" w:hAnsi="Arial"/>
                <w:sz w:val="14"/>
                <w:szCs w:val="14"/>
                <w:color w:val="auto"/>
              </w:rPr>
              <w:t>Effective</w:t>
            </w:r>
          </w:p>
        </w:tc>
        <w:tc>
          <w:tcPr>
            <w:tcW w:w="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176"/>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540" w:type="dxa"/>
            <w:vAlign w:val="bottom"/>
          </w:tcPr>
          <w:p>
            <w:pPr>
              <w:jc w:val="center"/>
              <w:ind w:left="626"/>
              <w:spacing w:after="0"/>
              <w:rPr>
                <w:sz w:val="20"/>
                <w:szCs w:val="20"/>
                <w:color w:val="auto"/>
              </w:rPr>
            </w:pPr>
            <w:r>
              <w:rPr>
                <w:rFonts w:ascii="Arial" w:cs="Arial" w:eastAsia="Arial" w:hAnsi="Arial"/>
                <w:sz w:val="14"/>
                <w:szCs w:val="14"/>
                <w:color w:val="auto"/>
              </w:rPr>
              <w:t>Expense</w:t>
            </w:r>
          </w:p>
        </w:tc>
        <w:tc>
          <w:tcPr>
            <w:tcW w:w="1820" w:type="dxa"/>
            <w:vAlign w:val="bottom"/>
          </w:tcPr>
          <w:p>
            <w:pPr>
              <w:jc w:val="center"/>
              <w:ind w:left="1025"/>
              <w:spacing w:after="0"/>
              <w:rPr>
                <w:sz w:val="20"/>
                <w:szCs w:val="20"/>
                <w:color w:val="auto"/>
              </w:rPr>
            </w:pPr>
            <w:r>
              <w:rPr>
                <w:rFonts w:ascii="Arial" w:cs="Arial" w:eastAsia="Arial" w:hAnsi="Arial"/>
                <w:sz w:val="14"/>
                <w:szCs w:val="14"/>
                <w:color w:val="auto"/>
              </w:rPr>
              <w:t>Income</w:t>
            </w:r>
          </w:p>
        </w:tc>
        <w:tc>
          <w:tcPr>
            <w:tcW w:w="720" w:type="dxa"/>
            <w:vAlign w:val="bottom"/>
          </w:tcPr>
          <w:p>
            <w:pPr>
              <w:spacing w:after="0"/>
              <w:rPr>
                <w:sz w:val="15"/>
                <w:szCs w:val="15"/>
                <w:color w:val="auto"/>
              </w:rPr>
            </w:pPr>
          </w:p>
        </w:tc>
        <w:tc>
          <w:tcPr>
            <w:tcW w:w="1420" w:type="dxa"/>
            <w:vAlign w:val="bottom"/>
          </w:tcPr>
          <w:p>
            <w:pPr>
              <w:jc w:val="center"/>
              <w:ind w:left="565"/>
              <w:spacing w:after="0"/>
              <w:rPr>
                <w:sz w:val="20"/>
                <w:szCs w:val="20"/>
                <w:color w:val="auto"/>
              </w:rPr>
            </w:pPr>
            <w:r>
              <w:rPr>
                <w:rFonts w:ascii="Arial" w:cs="Arial" w:eastAsia="Arial" w:hAnsi="Arial"/>
                <w:sz w:val="14"/>
                <w:szCs w:val="14"/>
                <w:color w:val="auto"/>
              </w:rPr>
              <w:t>Income Tax</w:t>
            </w:r>
          </w:p>
        </w:tc>
        <w:tc>
          <w:tcPr>
            <w:tcW w:w="36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168"/>
        </w:trPr>
        <w:tc>
          <w:tcPr>
            <w:tcW w:w="20" w:type="dxa"/>
            <w:vAlign w:val="bottom"/>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left="646"/>
              <w:spacing w:after="0"/>
              <w:rPr>
                <w:sz w:val="20"/>
                <w:szCs w:val="20"/>
                <w:color w:val="auto"/>
              </w:rPr>
            </w:pPr>
            <w:r>
              <w:rPr>
                <w:rFonts w:ascii="Arial" w:cs="Arial" w:eastAsia="Arial" w:hAnsi="Arial"/>
                <w:sz w:val="14"/>
                <w:szCs w:val="14"/>
                <w:color w:val="auto"/>
              </w:rPr>
              <w:t>(Benefit)</w:t>
            </w:r>
          </w:p>
        </w:tc>
        <w:tc>
          <w:tcPr>
            <w:tcW w:w="1820" w:type="dxa"/>
            <w:vAlign w:val="bottom"/>
            <w:tcBorders>
              <w:bottom w:val="single" w:sz="8" w:color="auto"/>
            </w:tcBorders>
          </w:tcPr>
          <w:p>
            <w:pPr>
              <w:jc w:val="center"/>
              <w:ind w:left="1025"/>
              <w:spacing w:after="0"/>
              <w:rPr>
                <w:sz w:val="20"/>
                <w:szCs w:val="20"/>
                <w:color w:val="auto"/>
              </w:rPr>
            </w:pPr>
            <w:r>
              <w:rPr>
                <w:rFonts w:ascii="Arial" w:cs="Arial" w:eastAsia="Arial" w:hAnsi="Arial"/>
                <w:sz w:val="14"/>
                <w:szCs w:val="14"/>
                <w:color w:val="auto"/>
                <w:w w:val="98"/>
              </w:rPr>
              <w:t>Tax Rate</w:t>
            </w: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545"/>
              <w:spacing w:after="0"/>
              <w:rPr>
                <w:sz w:val="20"/>
                <w:szCs w:val="20"/>
                <w:color w:val="auto"/>
              </w:rPr>
            </w:pPr>
            <w:r>
              <w:rPr>
                <w:rFonts w:ascii="Arial" w:cs="Arial" w:eastAsia="Arial" w:hAnsi="Arial"/>
                <w:sz w:val="14"/>
                <w:szCs w:val="14"/>
                <w:color w:val="auto"/>
              </w:rPr>
              <w:t>Expense</w:t>
            </w: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164"/>
        </w:trPr>
        <w:tc>
          <w:tcPr>
            <w:tcW w:w="20" w:type="dxa"/>
            <w:vAlign w:val="bottom"/>
          </w:tcPr>
          <w:p>
            <w:pPr>
              <w:spacing w:after="0"/>
              <w:rPr>
                <w:sz w:val="14"/>
                <w:szCs w:val="14"/>
                <w:color w:val="auto"/>
              </w:rPr>
            </w:pPr>
          </w:p>
        </w:tc>
        <w:tc>
          <w:tcPr>
            <w:tcW w:w="358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540" w:type="dxa"/>
            <w:vAlign w:val="bottom"/>
          </w:tcPr>
          <w:p>
            <w:pPr>
              <w:jc w:val="right"/>
              <w:ind w:right="1146"/>
              <w:spacing w:after="0" w:line="164" w:lineRule="exact"/>
              <w:rPr>
                <w:sz w:val="20"/>
                <w:szCs w:val="20"/>
                <w:color w:val="auto"/>
              </w:rPr>
            </w:pPr>
            <w:r>
              <w:rPr>
                <w:rFonts w:ascii="Arial" w:cs="Arial" w:eastAsia="Arial" w:hAnsi="Arial"/>
                <w:sz w:val="16"/>
                <w:szCs w:val="16"/>
                <w:color w:val="auto"/>
              </w:rPr>
              <w:t>$</w:t>
            </w:r>
          </w:p>
        </w:tc>
        <w:tc>
          <w:tcPr>
            <w:tcW w:w="1820" w:type="dxa"/>
            <w:vAlign w:val="bottom"/>
          </w:tcPr>
          <w:p>
            <w:pPr>
              <w:jc w:val="right"/>
              <w:ind w:right="1345"/>
              <w:spacing w:after="0" w:line="164" w:lineRule="exact"/>
              <w:rPr>
                <w:sz w:val="20"/>
                <w:szCs w:val="20"/>
                <w:color w:val="auto"/>
              </w:rPr>
            </w:pPr>
            <w:r>
              <w:rPr>
                <w:rFonts w:ascii="Arial" w:cs="Arial" w:eastAsia="Arial" w:hAnsi="Arial"/>
                <w:sz w:val="16"/>
                <w:szCs w:val="16"/>
                <w:color w:val="auto"/>
              </w:rPr>
              <w:t>(118)</w:t>
            </w:r>
          </w:p>
        </w:tc>
        <w:tc>
          <w:tcPr>
            <w:tcW w:w="720" w:type="dxa"/>
            <w:vAlign w:val="bottom"/>
          </w:tcPr>
          <w:p>
            <w:pPr>
              <w:jc w:val="right"/>
              <w:ind w:right="119"/>
              <w:spacing w:after="0" w:line="164" w:lineRule="exact"/>
              <w:rPr>
                <w:sz w:val="20"/>
                <w:szCs w:val="20"/>
                <w:color w:val="auto"/>
              </w:rPr>
            </w:pPr>
            <w:r>
              <w:rPr>
                <w:rFonts w:ascii="Arial" w:cs="Arial" w:eastAsia="Arial" w:hAnsi="Arial"/>
                <w:sz w:val="16"/>
                <w:szCs w:val="16"/>
                <w:color w:val="auto"/>
              </w:rPr>
              <w:t>227 %</w:t>
            </w:r>
          </w:p>
        </w:tc>
        <w:tc>
          <w:tcPr>
            <w:tcW w:w="1420" w:type="dxa"/>
            <w:vAlign w:val="bottom"/>
          </w:tcPr>
          <w:p>
            <w:pPr>
              <w:jc w:val="right"/>
              <w:ind w:right="1065"/>
              <w:spacing w:after="0" w:line="164"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64" w:lineRule="exact"/>
              <w:rPr>
                <w:sz w:val="20"/>
                <w:szCs w:val="20"/>
                <w:color w:val="auto"/>
              </w:rPr>
            </w:pPr>
            <w:r>
              <w:rPr>
                <w:rFonts w:ascii="Arial" w:cs="Arial" w:eastAsia="Arial" w:hAnsi="Arial"/>
                <w:sz w:val="16"/>
                <w:szCs w:val="16"/>
                <w:color w:val="auto"/>
              </w:rPr>
              <w:t>100</w:t>
            </w:r>
          </w:p>
        </w:tc>
        <w:tc>
          <w:tcPr>
            <w:tcW w:w="1960" w:type="dxa"/>
            <w:vAlign w:val="bottom"/>
          </w:tcPr>
          <w:p>
            <w:pPr>
              <w:ind w:left="1420"/>
              <w:spacing w:after="0" w:line="164" w:lineRule="exact"/>
              <w:rPr>
                <w:sz w:val="20"/>
                <w:szCs w:val="20"/>
                <w:color w:val="auto"/>
              </w:rPr>
            </w:pPr>
            <w:r>
              <w:rPr>
                <w:rFonts w:ascii="Arial" w:cs="Arial" w:eastAsia="Arial" w:hAnsi="Arial"/>
                <w:sz w:val="16"/>
                <w:szCs w:val="16"/>
                <w:color w:val="auto"/>
              </w:rPr>
              <w:t>17 %</w:t>
            </w:r>
          </w:p>
        </w:tc>
      </w:tr>
      <w:tr>
        <w:trPr>
          <w:trHeight w:val="176"/>
        </w:trPr>
        <w:tc>
          <w:tcPr>
            <w:tcW w:w="36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540" w:type="dxa"/>
            <w:vAlign w:val="bottom"/>
          </w:tcPr>
          <w:p>
            <w:pPr>
              <w:spacing w:after="0"/>
              <w:rPr>
                <w:sz w:val="15"/>
                <w:szCs w:val="15"/>
                <w:color w:val="auto"/>
              </w:rPr>
            </w:pPr>
          </w:p>
        </w:tc>
        <w:tc>
          <w:tcPr>
            <w:tcW w:w="1820" w:type="dxa"/>
            <w:vAlign w:val="bottom"/>
          </w:tcPr>
          <w:p>
            <w:pPr>
              <w:jc w:val="right"/>
              <w:ind w:right="1385"/>
              <w:spacing w:after="0" w:line="176" w:lineRule="exact"/>
              <w:rPr>
                <w:sz w:val="20"/>
                <w:szCs w:val="20"/>
                <w:color w:val="auto"/>
              </w:rPr>
            </w:pPr>
            <w:r>
              <w:rPr>
                <w:rFonts w:ascii="Arial" w:cs="Arial" w:eastAsia="Arial" w:hAnsi="Arial"/>
                <w:sz w:val="16"/>
                <w:szCs w:val="16"/>
                <w:color w:val="auto"/>
              </w:rPr>
              <w:t>53</w:t>
            </w:r>
          </w:p>
        </w:tc>
        <w:tc>
          <w:tcPr>
            <w:tcW w:w="72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34</w:t>
            </w:r>
          </w:p>
        </w:tc>
        <w:tc>
          <w:tcPr>
            <w:tcW w:w="1420" w:type="dxa"/>
            <w:vAlign w:val="bottom"/>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42</w:t>
            </w:r>
          </w:p>
        </w:tc>
        <w:tc>
          <w:tcPr>
            <w:tcW w:w="1960" w:type="dxa"/>
            <w:vAlign w:val="bottom"/>
          </w:tcPr>
          <w:p>
            <w:pPr>
              <w:ind w:left="1420"/>
              <w:spacing w:after="0" w:line="176" w:lineRule="exact"/>
              <w:rPr>
                <w:sz w:val="20"/>
                <w:szCs w:val="20"/>
                <w:color w:val="auto"/>
              </w:rPr>
            </w:pPr>
            <w:r>
              <w:rPr>
                <w:rFonts w:ascii="Arial" w:cs="Arial" w:eastAsia="Arial" w:hAnsi="Arial"/>
                <w:sz w:val="16"/>
                <w:szCs w:val="16"/>
                <w:color w:val="auto"/>
              </w:rPr>
              <w:t>44</w:t>
            </w:r>
          </w:p>
        </w:tc>
      </w:tr>
      <w:tr>
        <w:trPr>
          <w:trHeight w:val="194"/>
        </w:trPr>
        <w:tc>
          <w:tcPr>
            <w:tcW w:w="3600" w:type="dxa"/>
            <w:vAlign w:val="bottom"/>
            <w:gridSpan w:val="2"/>
          </w:tcPr>
          <w:p>
            <w:pPr>
              <w:spacing w:after="0"/>
              <w:rPr>
                <w:sz w:val="20"/>
                <w:szCs w:val="20"/>
                <w:color w:val="auto"/>
              </w:rPr>
            </w:pPr>
            <w:r>
              <w:rPr>
                <w:rFonts w:ascii="Arial" w:cs="Arial" w:eastAsia="Arial" w:hAnsi="Arial"/>
                <w:sz w:val="16"/>
                <w:szCs w:val="16"/>
                <w:color w:val="auto"/>
              </w:rPr>
              <w:t>SoCalGas</w:t>
            </w:r>
          </w:p>
        </w:tc>
        <w:tc>
          <w:tcPr>
            <w:tcW w:w="1540" w:type="dxa"/>
            <w:vAlign w:val="bottom"/>
          </w:tcPr>
          <w:p>
            <w:pPr>
              <w:spacing w:after="0"/>
              <w:rPr>
                <w:sz w:val="16"/>
                <w:szCs w:val="16"/>
                <w:color w:val="auto"/>
              </w:rPr>
            </w:pPr>
          </w:p>
        </w:tc>
        <w:tc>
          <w:tcPr>
            <w:tcW w:w="1820" w:type="dxa"/>
            <w:vAlign w:val="bottom"/>
          </w:tcPr>
          <w:p>
            <w:pPr>
              <w:jc w:val="right"/>
              <w:ind w:right="1385"/>
              <w:spacing w:after="0"/>
              <w:rPr>
                <w:sz w:val="20"/>
                <w:szCs w:val="20"/>
                <w:color w:val="auto"/>
              </w:rPr>
            </w:pPr>
            <w:r>
              <w:rPr>
                <w:rFonts w:ascii="Arial" w:cs="Arial" w:eastAsia="Arial" w:hAnsi="Arial"/>
                <w:sz w:val="16"/>
                <w:szCs w:val="16"/>
                <w:color w:val="auto"/>
              </w:rPr>
              <w:t>28</w:t>
            </w:r>
          </w:p>
        </w:tc>
        <w:tc>
          <w:tcPr>
            <w:tcW w:w="720" w:type="dxa"/>
            <w:vAlign w:val="bottom"/>
          </w:tcPr>
          <w:p>
            <w:pPr>
              <w:jc w:val="right"/>
              <w:ind w:right="299"/>
              <w:spacing w:after="0"/>
              <w:rPr>
                <w:sz w:val="20"/>
                <w:szCs w:val="20"/>
                <w:color w:val="auto"/>
              </w:rPr>
            </w:pPr>
            <w:r>
              <w:rPr>
                <w:rFonts w:ascii="Arial" w:cs="Arial" w:eastAsia="Arial" w:hAnsi="Arial"/>
                <w:sz w:val="16"/>
                <w:szCs w:val="16"/>
                <w:color w:val="auto"/>
              </w:rPr>
              <w:t>34</w:t>
            </w:r>
          </w:p>
        </w:tc>
        <w:tc>
          <w:tcPr>
            <w:tcW w:w="14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28</w:t>
            </w:r>
          </w:p>
        </w:tc>
        <w:tc>
          <w:tcPr>
            <w:tcW w:w="1960" w:type="dxa"/>
            <w:vAlign w:val="bottom"/>
          </w:tcPr>
          <w:p>
            <w:pPr>
              <w:ind w:left="1420"/>
              <w:spacing w:after="0"/>
              <w:rPr>
                <w:sz w:val="20"/>
                <w:szCs w:val="20"/>
                <w:color w:val="auto"/>
              </w:rPr>
            </w:pPr>
            <w:r>
              <w:rPr>
                <w:rFonts w:ascii="Arial" w:cs="Arial" w:eastAsia="Arial" w:hAnsi="Arial"/>
                <w:sz w:val="16"/>
                <w:szCs w:val="16"/>
                <w:color w:val="auto"/>
              </w:rPr>
              <w:t>32</w:t>
            </w:r>
          </w:p>
        </w:tc>
      </w:tr>
      <w:tr>
        <w:trPr>
          <w:trHeight w:val="169"/>
        </w:trPr>
        <w:tc>
          <w:tcPr>
            <w:tcW w:w="20" w:type="dxa"/>
            <w:vAlign w:val="bottom"/>
          </w:tcPr>
          <w:p>
            <w:pPr>
              <w:spacing w:after="0"/>
              <w:rPr>
                <w:sz w:val="14"/>
                <w:szCs w:val="14"/>
                <w:color w:val="auto"/>
              </w:rPr>
            </w:pPr>
          </w:p>
        </w:tc>
        <w:tc>
          <w:tcPr>
            <w:tcW w:w="3580" w:type="dxa"/>
            <w:vAlign w:val="bottom"/>
            <w:tcBorders>
              <w:top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spacing w:after="0"/>
              <w:rPr>
                <w:sz w:val="14"/>
                <w:szCs w:val="14"/>
                <w:color w:val="auto"/>
              </w:rPr>
            </w:pPr>
          </w:p>
        </w:tc>
        <w:tc>
          <w:tcPr>
            <w:tcW w:w="3960" w:type="dxa"/>
            <w:vAlign w:val="bottom"/>
            <w:tcBorders>
              <w:top w:val="single" w:sz="8" w:color="auto"/>
              <w:bottom w:val="single" w:sz="8" w:color="auto"/>
            </w:tcBorders>
            <w:gridSpan w:val="3"/>
          </w:tcPr>
          <w:p>
            <w:pPr>
              <w:jc w:val="right"/>
              <w:ind w:right="485"/>
              <w:spacing w:after="0"/>
              <w:rPr>
                <w:sz w:val="20"/>
                <w:szCs w:val="20"/>
                <w:color w:val="auto"/>
              </w:rPr>
            </w:pPr>
            <w:r>
              <w:rPr>
                <w:rFonts w:ascii="Arial" w:cs="Arial" w:eastAsia="Arial" w:hAnsi="Arial"/>
                <w:sz w:val="14"/>
                <w:szCs w:val="14"/>
                <w:color w:val="auto"/>
              </w:rPr>
              <w:t>Six months ended June 30,</w:t>
            </w:r>
          </w:p>
        </w:tc>
        <w:tc>
          <w:tcPr>
            <w:tcW w:w="360" w:type="dxa"/>
            <w:vAlign w:val="bottom"/>
            <w:tcBorders>
              <w:top w:val="single" w:sz="8" w:color="auto"/>
              <w:bottom w:val="single" w:sz="8" w:color="auto"/>
            </w:tcBorders>
          </w:tcPr>
          <w:p>
            <w:pPr>
              <w:spacing w:after="0"/>
              <w:rPr>
                <w:sz w:val="14"/>
                <w:szCs w:val="14"/>
                <w:color w:val="auto"/>
              </w:rPr>
            </w:pPr>
          </w:p>
        </w:tc>
        <w:tc>
          <w:tcPr>
            <w:tcW w:w="1960" w:type="dxa"/>
            <w:vAlign w:val="bottom"/>
            <w:tcBorders>
              <w:top w:val="single" w:sz="8" w:color="auto"/>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965"/>
              <w:spacing w:after="0"/>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2011</w:t>
            </w:r>
          </w:p>
        </w:tc>
      </w:tr>
      <w:tr>
        <w:trPr>
          <w:trHeight w:val="191"/>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540" w:type="dxa"/>
            <w:vAlign w:val="bottom"/>
          </w:tcPr>
          <w:p>
            <w:pPr>
              <w:jc w:val="center"/>
              <w:ind w:left="646"/>
              <w:spacing w:after="0"/>
              <w:rPr>
                <w:sz w:val="20"/>
                <w:szCs w:val="20"/>
                <w:color w:val="auto"/>
              </w:rPr>
            </w:pPr>
            <w:r>
              <w:rPr>
                <w:rFonts w:ascii="Arial" w:cs="Arial" w:eastAsia="Arial" w:hAnsi="Arial"/>
                <w:sz w:val="14"/>
                <w:szCs w:val="14"/>
                <w:color w:val="auto"/>
              </w:rPr>
              <w:t>Income Tax</w:t>
            </w:r>
          </w:p>
        </w:tc>
        <w:tc>
          <w:tcPr>
            <w:tcW w:w="1820" w:type="dxa"/>
            <w:vAlign w:val="bottom"/>
          </w:tcPr>
          <w:p>
            <w:pPr>
              <w:jc w:val="center"/>
              <w:ind w:left="1025"/>
              <w:spacing w:after="0"/>
              <w:rPr>
                <w:sz w:val="20"/>
                <w:szCs w:val="20"/>
                <w:color w:val="auto"/>
              </w:rPr>
            </w:pPr>
            <w:r>
              <w:rPr>
                <w:rFonts w:ascii="Arial" w:cs="Arial" w:eastAsia="Arial" w:hAnsi="Arial"/>
                <w:sz w:val="14"/>
                <w:szCs w:val="14"/>
                <w:color w:val="auto"/>
              </w:rPr>
              <w:t>Effective</w:t>
            </w:r>
          </w:p>
        </w:tc>
        <w:tc>
          <w:tcPr>
            <w:tcW w:w="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176"/>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540" w:type="dxa"/>
            <w:vAlign w:val="bottom"/>
          </w:tcPr>
          <w:p>
            <w:pPr>
              <w:jc w:val="center"/>
              <w:ind w:left="626"/>
              <w:spacing w:after="0"/>
              <w:rPr>
                <w:sz w:val="20"/>
                <w:szCs w:val="20"/>
                <w:color w:val="auto"/>
              </w:rPr>
            </w:pPr>
            <w:r>
              <w:rPr>
                <w:rFonts w:ascii="Arial" w:cs="Arial" w:eastAsia="Arial" w:hAnsi="Arial"/>
                <w:sz w:val="14"/>
                <w:szCs w:val="14"/>
                <w:color w:val="auto"/>
              </w:rPr>
              <w:t>Expense</w:t>
            </w:r>
          </w:p>
        </w:tc>
        <w:tc>
          <w:tcPr>
            <w:tcW w:w="1820" w:type="dxa"/>
            <w:vAlign w:val="bottom"/>
          </w:tcPr>
          <w:p>
            <w:pPr>
              <w:jc w:val="center"/>
              <w:ind w:left="1025"/>
              <w:spacing w:after="0"/>
              <w:rPr>
                <w:sz w:val="20"/>
                <w:szCs w:val="20"/>
                <w:color w:val="auto"/>
              </w:rPr>
            </w:pPr>
            <w:r>
              <w:rPr>
                <w:rFonts w:ascii="Arial" w:cs="Arial" w:eastAsia="Arial" w:hAnsi="Arial"/>
                <w:sz w:val="14"/>
                <w:szCs w:val="14"/>
                <w:color w:val="auto"/>
              </w:rPr>
              <w:t>Income</w:t>
            </w:r>
          </w:p>
        </w:tc>
        <w:tc>
          <w:tcPr>
            <w:tcW w:w="720" w:type="dxa"/>
            <w:vAlign w:val="bottom"/>
          </w:tcPr>
          <w:p>
            <w:pPr>
              <w:spacing w:after="0"/>
              <w:rPr>
                <w:sz w:val="15"/>
                <w:szCs w:val="15"/>
                <w:color w:val="auto"/>
              </w:rPr>
            </w:pPr>
          </w:p>
        </w:tc>
        <w:tc>
          <w:tcPr>
            <w:tcW w:w="1420" w:type="dxa"/>
            <w:vAlign w:val="bottom"/>
          </w:tcPr>
          <w:p>
            <w:pPr>
              <w:jc w:val="center"/>
              <w:ind w:left="565"/>
              <w:spacing w:after="0"/>
              <w:rPr>
                <w:sz w:val="20"/>
                <w:szCs w:val="20"/>
                <w:color w:val="auto"/>
              </w:rPr>
            </w:pPr>
            <w:r>
              <w:rPr>
                <w:rFonts w:ascii="Arial" w:cs="Arial" w:eastAsia="Arial" w:hAnsi="Arial"/>
                <w:sz w:val="14"/>
                <w:szCs w:val="14"/>
                <w:color w:val="auto"/>
              </w:rPr>
              <w:t>Income Tax</w:t>
            </w:r>
          </w:p>
        </w:tc>
        <w:tc>
          <w:tcPr>
            <w:tcW w:w="36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168"/>
        </w:trPr>
        <w:tc>
          <w:tcPr>
            <w:tcW w:w="20" w:type="dxa"/>
            <w:vAlign w:val="bottom"/>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left="686"/>
              <w:spacing w:after="0"/>
              <w:rPr>
                <w:sz w:val="20"/>
                <w:szCs w:val="20"/>
                <w:color w:val="auto"/>
              </w:rPr>
            </w:pPr>
            <w:r>
              <w:rPr>
                <w:rFonts w:ascii="Arial" w:cs="Arial" w:eastAsia="Arial" w:hAnsi="Arial"/>
                <w:sz w:val="14"/>
                <w:szCs w:val="14"/>
                <w:color w:val="auto"/>
              </w:rPr>
              <w:t>(Benefit)</w:t>
            </w:r>
          </w:p>
        </w:tc>
        <w:tc>
          <w:tcPr>
            <w:tcW w:w="1820" w:type="dxa"/>
            <w:vAlign w:val="bottom"/>
            <w:tcBorders>
              <w:bottom w:val="single" w:sz="8" w:color="auto"/>
            </w:tcBorders>
          </w:tcPr>
          <w:p>
            <w:pPr>
              <w:jc w:val="center"/>
              <w:ind w:left="1025"/>
              <w:spacing w:after="0"/>
              <w:rPr>
                <w:sz w:val="20"/>
                <w:szCs w:val="20"/>
                <w:color w:val="auto"/>
              </w:rPr>
            </w:pPr>
            <w:r>
              <w:rPr>
                <w:rFonts w:ascii="Arial" w:cs="Arial" w:eastAsia="Arial" w:hAnsi="Arial"/>
                <w:sz w:val="14"/>
                <w:szCs w:val="14"/>
                <w:color w:val="auto"/>
                <w:w w:val="98"/>
              </w:rPr>
              <w:t>Tax Rate</w:t>
            </w: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545"/>
              <w:spacing w:after="0"/>
              <w:rPr>
                <w:sz w:val="20"/>
                <w:szCs w:val="20"/>
                <w:color w:val="auto"/>
              </w:rPr>
            </w:pPr>
            <w:r>
              <w:rPr>
                <w:rFonts w:ascii="Arial" w:cs="Arial" w:eastAsia="Arial" w:hAnsi="Arial"/>
                <w:sz w:val="14"/>
                <w:szCs w:val="14"/>
                <w:color w:val="auto"/>
              </w:rPr>
              <w:t>Expense</w:t>
            </w: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164"/>
        </w:trPr>
        <w:tc>
          <w:tcPr>
            <w:tcW w:w="20" w:type="dxa"/>
            <w:vAlign w:val="bottom"/>
          </w:tcPr>
          <w:p>
            <w:pPr>
              <w:spacing w:after="0"/>
              <w:rPr>
                <w:sz w:val="14"/>
                <w:szCs w:val="14"/>
                <w:color w:val="auto"/>
              </w:rPr>
            </w:pPr>
          </w:p>
        </w:tc>
        <w:tc>
          <w:tcPr>
            <w:tcW w:w="358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540" w:type="dxa"/>
            <w:vAlign w:val="bottom"/>
          </w:tcPr>
          <w:p>
            <w:pPr>
              <w:jc w:val="right"/>
              <w:ind w:right="1146"/>
              <w:spacing w:after="0" w:line="164" w:lineRule="exact"/>
              <w:rPr>
                <w:sz w:val="20"/>
                <w:szCs w:val="20"/>
                <w:color w:val="auto"/>
              </w:rPr>
            </w:pPr>
            <w:r>
              <w:rPr>
                <w:rFonts w:ascii="Arial" w:cs="Arial" w:eastAsia="Arial" w:hAnsi="Arial"/>
                <w:sz w:val="16"/>
                <w:szCs w:val="16"/>
                <w:color w:val="auto"/>
              </w:rPr>
              <w:t>$</w:t>
            </w:r>
          </w:p>
        </w:tc>
        <w:tc>
          <w:tcPr>
            <w:tcW w:w="1820" w:type="dxa"/>
            <w:vAlign w:val="bottom"/>
          </w:tcPr>
          <w:p>
            <w:pPr>
              <w:jc w:val="right"/>
              <w:ind w:right="1345"/>
              <w:spacing w:after="0" w:line="164" w:lineRule="exact"/>
              <w:rPr>
                <w:sz w:val="20"/>
                <w:szCs w:val="20"/>
                <w:color w:val="auto"/>
              </w:rPr>
            </w:pPr>
            <w:r>
              <w:rPr>
                <w:rFonts w:ascii="Arial" w:cs="Arial" w:eastAsia="Arial" w:hAnsi="Arial"/>
                <w:sz w:val="16"/>
                <w:szCs w:val="16"/>
                <w:color w:val="auto"/>
              </w:rPr>
              <w:t>(1)</w:t>
            </w:r>
          </w:p>
        </w:tc>
        <w:tc>
          <w:tcPr>
            <w:tcW w:w="720" w:type="dxa"/>
            <w:vAlign w:val="bottom"/>
          </w:tcPr>
          <w:p>
            <w:pPr>
              <w:jc w:val="right"/>
              <w:ind w:right="119"/>
              <w:spacing w:after="0" w:line="164"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1065"/>
              <w:spacing w:after="0" w:line="164"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64" w:lineRule="exact"/>
              <w:rPr>
                <w:sz w:val="20"/>
                <w:szCs w:val="20"/>
                <w:color w:val="auto"/>
              </w:rPr>
            </w:pPr>
            <w:r>
              <w:rPr>
                <w:rFonts w:ascii="Arial" w:cs="Arial" w:eastAsia="Arial" w:hAnsi="Arial"/>
                <w:sz w:val="16"/>
                <w:szCs w:val="16"/>
                <w:color w:val="auto"/>
              </w:rPr>
              <w:t>214</w:t>
            </w:r>
          </w:p>
        </w:tc>
        <w:tc>
          <w:tcPr>
            <w:tcW w:w="1960" w:type="dxa"/>
            <w:vAlign w:val="bottom"/>
          </w:tcPr>
          <w:p>
            <w:pPr>
              <w:ind w:left="1420"/>
              <w:spacing w:after="0" w:line="164" w:lineRule="exact"/>
              <w:rPr>
                <w:sz w:val="20"/>
                <w:szCs w:val="20"/>
                <w:color w:val="auto"/>
              </w:rPr>
            </w:pPr>
            <w:r>
              <w:rPr>
                <w:rFonts w:ascii="Arial" w:cs="Arial" w:eastAsia="Arial" w:hAnsi="Arial"/>
                <w:sz w:val="16"/>
                <w:szCs w:val="16"/>
                <w:color w:val="auto"/>
              </w:rPr>
              <w:t>23 %</w:t>
            </w:r>
          </w:p>
        </w:tc>
      </w:tr>
      <w:tr>
        <w:trPr>
          <w:trHeight w:val="176"/>
        </w:trPr>
        <w:tc>
          <w:tcPr>
            <w:tcW w:w="36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540" w:type="dxa"/>
            <w:vAlign w:val="bottom"/>
          </w:tcPr>
          <w:p>
            <w:pPr>
              <w:spacing w:after="0"/>
              <w:rPr>
                <w:sz w:val="15"/>
                <w:szCs w:val="15"/>
                <w:color w:val="auto"/>
              </w:rPr>
            </w:pPr>
          </w:p>
        </w:tc>
        <w:tc>
          <w:tcPr>
            <w:tcW w:w="1820" w:type="dxa"/>
            <w:vAlign w:val="bottom"/>
          </w:tcPr>
          <w:p>
            <w:pPr>
              <w:jc w:val="right"/>
              <w:ind w:right="1385"/>
              <w:spacing w:after="0" w:line="176" w:lineRule="exact"/>
              <w:rPr>
                <w:sz w:val="20"/>
                <w:szCs w:val="20"/>
                <w:color w:val="auto"/>
              </w:rPr>
            </w:pPr>
            <w:r>
              <w:rPr>
                <w:rFonts w:ascii="Arial" w:cs="Arial" w:eastAsia="Arial" w:hAnsi="Arial"/>
                <w:sz w:val="16"/>
                <w:szCs w:val="16"/>
                <w:color w:val="auto"/>
              </w:rPr>
              <w:t>113</w:t>
            </w:r>
          </w:p>
        </w:tc>
        <w:tc>
          <w:tcPr>
            <w:tcW w:w="72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35</w:t>
            </w:r>
          </w:p>
        </w:tc>
        <w:tc>
          <w:tcPr>
            <w:tcW w:w="1420" w:type="dxa"/>
            <w:vAlign w:val="bottom"/>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91</w:t>
            </w:r>
          </w:p>
        </w:tc>
        <w:tc>
          <w:tcPr>
            <w:tcW w:w="1960" w:type="dxa"/>
            <w:vAlign w:val="bottom"/>
          </w:tcPr>
          <w:p>
            <w:pPr>
              <w:ind w:left="1420"/>
              <w:spacing w:after="0" w:line="176" w:lineRule="exact"/>
              <w:rPr>
                <w:sz w:val="20"/>
                <w:szCs w:val="20"/>
                <w:color w:val="auto"/>
              </w:rPr>
            </w:pPr>
            <w:r>
              <w:rPr>
                <w:rFonts w:ascii="Arial" w:cs="Arial" w:eastAsia="Arial" w:hAnsi="Arial"/>
                <w:sz w:val="16"/>
                <w:szCs w:val="16"/>
                <w:color w:val="auto"/>
              </w:rPr>
              <w:t>38</w:t>
            </w:r>
          </w:p>
        </w:tc>
      </w:tr>
      <w:tr>
        <w:trPr>
          <w:trHeight w:val="194"/>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5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1385"/>
              <w:spacing w:after="0"/>
              <w:rPr>
                <w:sz w:val="20"/>
                <w:szCs w:val="20"/>
                <w:color w:val="auto"/>
              </w:rPr>
            </w:pPr>
            <w:r>
              <w:rPr>
                <w:rFonts w:ascii="Arial" w:cs="Arial" w:eastAsia="Arial" w:hAnsi="Arial"/>
                <w:sz w:val="16"/>
                <w:szCs w:val="16"/>
                <w:color w:val="auto"/>
              </w:rPr>
              <w:t>68</w:t>
            </w: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36</w:t>
            </w:r>
          </w:p>
        </w:tc>
        <w:tc>
          <w:tcPr>
            <w:tcW w:w="1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96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ectPr>
          <w:pgSz w:w="11900" w:h="16989" w:orient="portrait"/>
          <w:cols w:equalWidth="0" w:num="1">
            <w:col w:w="11420"/>
          </w:cols>
          <w:pgMar w:left="240" w:top="125" w:right="239" w:bottom="0" w:gutter="0" w:footer="0" w:header="0"/>
        </w:sectPr>
      </w:pPr>
    </w:p>
    <w:p>
      <w:pPr>
        <w:spacing w:after="0" w:line="20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income tax benefit in the three months ended June 30, 2012 compared to income tax expense in the three months ended June 30, 2011 was due to significantly lower pretax income (due to the write-down of our investment in Rockies Express in 2012 and the remeasurement gain in 2011 related to our</w:t>
      </w:r>
    </w:p>
    <w:p>
      <w:pPr>
        <w:sectPr>
          <w:pgSz w:w="11900" w:h="16989" w:orient="portrait"/>
          <w:cols w:equalWidth="0" w:num="1">
            <w:col w:w="11420"/>
          </w:cols>
          <w:pgMar w:left="240" w:top="125" w:right="239" w:bottom="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auto"/>
        </w:rPr>
        <w:t>acquisition of controlling interests in Chilquinta Energía and Luz del Sur). Other items affecting the effective income tax rate were:</w:t>
      </w:r>
    </w:p>
    <w:p>
      <w:pPr>
        <w:spacing w:after="0" w:line="225" w:lineRule="exact"/>
        <w:rPr>
          <w:sz w:val="20"/>
          <w:szCs w:val="20"/>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$121 million deferred income tax benefit associated with the impairment to our Rockies Express partnership investment;</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$54 million income tax benefit primarily associated with our decision to hold life insurance contracts kept in support of certain benefit plans to term. Previously, we took the position that we might cash in or sell these contracts before maturity, which required that we record deferred income taxes on unrealized gains on investments held within the insurance contracts;</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lower income tax expense in 2012 due to Mexican currency translation and inflation adjustments;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higher planned renewable energy income tax credits and deferred income tax benefits related to renewable energy projects;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lower book depreciation over income tax depreciation related to a certain portion of utility plant fixed assets;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lower income in 2012 in countries with lower statutory income tax rates; such income was higher in 2011 due to a $277 million non-taxable gain from remeasurement of our equity method investments related to our acquisition from AEI of its investments in Chile and Peru;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higher U.S. income tax on non-U.S. non-operating activity due to the expiration of the look-through rule, as we discuss below.</w:t>
      </w:r>
    </w:p>
    <w:p>
      <w:pPr>
        <w:spacing w:after="0" w:line="200" w:lineRule="exact"/>
        <w:rPr>
          <w:sz w:val="20"/>
          <w:szCs w:val="20"/>
          <w:color w:val="auto"/>
        </w:rPr>
      </w:pPr>
    </w:p>
    <w:p>
      <w:pPr>
        <w:spacing w:after="0" w:line="26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the six months ended June 30, 2012, Sempra Energy's income tax expense decreased due to significantly lower pretax income (due to the write-down of our investment in Rockies Express in 2012 and the remeasurement gain in 2011 related to our acquisition of controlling interests in Chilquinta Energía and Luz del Sur) and a lower effective income tax rate. The lower effective income tax rate was primarily due to:</w:t>
      </w:r>
    </w:p>
    <w:p>
      <w:pPr>
        <w:spacing w:after="0" w:line="166" w:lineRule="exact"/>
        <w:rPr>
          <w:sz w:val="20"/>
          <w:szCs w:val="20"/>
          <w:color w:val="auto"/>
        </w:rPr>
      </w:pPr>
    </w:p>
    <w:p>
      <w:pPr>
        <w:ind w:left="340" w:hanging="188"/>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$121 million deferred income tax benefit associated with the impairment to the Rockies Express partnership investment;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$54 million income tax benefit primarily associated with the decision to hold life insurance contracts to term, as we discuss above;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higher planned renewable energy income tax credits and deferred income tax benefits related to renewable energy projects;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lower income tax expense in 2012 due to Mexican currency translation and inflation adjustments;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lower book depreciation over income tax depreciation related to a certain portion of utility plant fixed assets;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lower income in 2012 in countries with lower statutory income tax rates; such income was higher in 2011 due to the $277 million non-taxable gain discussed above;</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lower deductions for self-developed software costs;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higher U.S. income tax on non-U.S. non-operating activity due to the expiration of the look-through rule, as we discuss below.</w:t>
      </w:r>
    </w:p>
    <w:p>
      <w:pPr>
        <w:spacing w:after="0" w:line="200" w:lineRule="exact"/>
        <w:rPr>
          <w:sz w:val="20"/>
          <w:szCs w:val="20"/>
          <w:color w:val="auto"/>
        </w:rPr>
      </w:pPr>
    </w:p>
    <w:p>
      <w:pPr>
        <w:spacing w:after="0" w:line="2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we discuss in Note 5 of the Notes to Condensed Consolidated Financial Statements herein, Sempra Energy, SDG&amp;E and SoCalGas record income taxes for interim periods utilizing a forecasted effective tax rate anticipated for the full year, as required by U.S. GAAP. We also discuss renewable energy income tax credits and deferred income tax benefits related to renewable energy projects in Notes 1 and 5 of the Notes to Condensed Consolidated Financial Statements herein.</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 discussed above, through December 31, 2011, Sempra Renewables used what is referred to as the flow-through method of accounting in which the investment tax credits associated with a project are recognized as a reduction of tax expense in the year in which capacity is placed in service. Starting in the first quarter of 2012, Sempra Renewables adopted the deferral method of accounting for these projects. Under this methodology, instead of recognizing the investment tax credit, Sempra Renewables reduced the book basis of the asset by the amount of the tax credit. This resulted in lower book depreciation, but higher income tax expense. Therefore, over time total earnings will be equal under the deferred method when compared to the flow-through method. This change in accounting principle was applied retrospectively in the first quarter of 2012.</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plan for assets placed into service in 2012 includes assets that were under construction in 2011. We have used grant accounting for these assets in anticipation of applying for cash grants. Grant accounting for cash grants is very similar to the deferral method of accounting for investment tax credits, the primary difference being the recording of a grant receivable instead of an income tax receivable.</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2012, we anticipate that our effective income tax rate will be approximately 28% compared to 30% in 2011, excluding income tax and pretax items that cannot be reliably forecasted, as discussed in Note 5 of the Notes to Condensed Consolidated Financial Statements herein. This decrease is primarily as a result of higher planned renewable income tax credits and deferred income tax benefits related to renewable energy projects; offset by decreased favorable income tax deductions for self-developed software costs and higher U.S. income tax on non-U.S. non-operating activity due to the expiration of the look-through rule, as we discuss below. In the years 2013 through 2016, we are currently projecting that our effective income tax rate will be, excluding income tax items that cannot be reliably forecasted, approximately 30% to 32%. This increase in effective income tax rates is primarily due to: projected increases in pretax income; decreases in favorable income tax deductions for self-developed software costs; increases in the amount by which book depreciation exceeds normalized tax depreciation; and lower exclusions from income for the equity portion of AFUDC. These projected effective tax rates do not include any impact from a possible repatriation of future earnings from our Mexican and Peruvian subsidiaries. If we were to repatriate future non-U.S. earnings, as we discuss below, the rates would increase accordingly.</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ectPr>
          <w:pgSz w:w="11900" w:h="16838" w:orient="portrait"/>
          <w:cols w:equalWidth="0" w:num="1">
            <w:col w:w="11420"/>
          </w:cols>
          <w:pgMar w:left="240" w:top="125" w:right="239" w:bottom="0" w:gutter="0" w:footer="0" w:header="0"/>
        </w:sectPr>
      </w:pP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SDG&amp;E’s income tax expense increased in the three months ended June 30, 2012 primarily due to higher pretax income, offset by a lower effective income tax rate. The lower effective tax rate was primarily due to:</w:t>
      </w:r>
    </w:p>
    <w:p>
      <w:pPr>
        <w:sectPr>
          <w:pgSz w:w="11900" w:h="16838" w:orient="portrait"/>
          <w:cols w:equalWidth="0" w:num="1">
            <w:col w:w="11420"/>
          </w:cols>
          <w:pgMar w:left="240" w:top="125" w:right="239" w:bottom="0" w:gutter="0" w:footer="0" w:header="0"/>
          <w:type w:val="continuous"/>
        </w:sectPr>
      </w:pPr>
    </w:p>
    <w:bookmarkStart w:id="62" w:name="page63"/>
    <w:bookmarkEnd w:id="62"/>
    <w:p>
      <w:pPr>
        <w:ind w:left="340" w:hanging="188"/>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impact of Otay Mesa VIE, as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lower unfavorable adjustments related to prior years’ income tax items.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SDG&amp;E’s income tax expense increased in the six months ended June 30, 2012 primarily due to higher pretax income, offset by a lower effective income tax rate. The lower effective tax rate was primarily due to:</w:t>
      </w:r>
    </w:p>
    <w:p>
      <w:pPr>
        <w:spacing w:after="0" w:line="170" w:lineRule="exact"/>
        <w:rPr>
          <w:sz w:val="20"/>
          <w:szCs w:val="20"/>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impact of Otay Mesa VIE, as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lower unfavorable adjustments related to prior years’ income tax items;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lower deductions for self-developed software costs;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lower exclusions from taxable income of the equity portion of AFUDC.</w:t>
      </w:r>
    </w:p>
    <w:p>
      <w:pPr>
        <w:spacing w:after="0" w:line="200" w:lineRule="exact"/>
        <w:rPr>
          <w:sz w:val="20"/>
          <w:szCs w:val="20"/>
          <w:color w:val="auto"/>
        </w:rPr>
      </w:pPr>
    </w:p>
    <w:p>
      <w:pPr>
        <w:spacing w:after="0" w:line="2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Results for Sempra Energy Consolidated and SDG&amp;E include Otay Mesa VIE, which is consolidated, and therefore, their effective income tax rates are impacted by the VIE’s stand-alone effective income tax rate.</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2012, we anticipate that SDG&amp;E’s effective income tax rate will be approximately 36% compared to 34% in 2011, excluding income tax and pretax items that cannot be reliably forecasted. This increase is due to a projected rise in pretax income, combined with a decrease in favorable income tax deductions for self-developed software costs (due to completion of SDG&amp;E’s advanced meter project), and lower exclusions from income for the equity portion of AFUDC (due to the completion of construction on the Sunrise Powerlink electric transmission line), offset by lower book depreciation over income tax depreciation related to a certain portion of utility plant fixed assets. In the years 2013 through 2016, we are currently projecting that SDG&amp;E’s effective income tax rate will be approximately 37%, excluding income tax items that cannot be reliably forecasted, due to projected increases in pretax income.</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 the three months ended June 30, 2012, SoCalGas’ income tax expense was impacted by a higher effective income tax rate, offset by lower pretax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higher effective tax rate was primarily due to lower deductions for self-developed software costs.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six months ended June 30, 2012, income tax expense increased at SoCalGas primarily due to a higher effective income tax rate, offset by lower pretax income. The higher effective tax rate was primarily due to:</w:t>
      </w:r>
    </w:p>
    <w:p>
      <w:pPr>
        <w:spacing w:after="0" w:line="166" w:lineRule="exact"/>
        <w:rPr>
          <w:sz w:val="20"/>
          <w:szCs w:val="20"/>
          <w:color w:val="auto"/>
        </w:rPr>
      </w:pPr>
    </w:p>
    <w:p>
      <w:pPr>
        <w:ind w:left="340" w:hanging="188"/>
        <w:spacing w:after="0"/>
        <w:tabs>
          <w:tab w:leader="none" w:pos="34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 xml:space="preserve">lower deductions for self-developed software costs;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lower book depreciation over income tax depreciation related to a certain portion of utility plant fixed assets.</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2012, we anticipate that SoCalGas’ effective income tax rate will be approximately 36% compared to 33% in 2011, excluding income tax and pretax items that cannot be reliably forecasted. This increase is due to a projected rise in pretax income, combined with a decrease in favorable income tax deductions for self-developed software costs, offset by lower book depreciation over income tax depreciation related to a certain portion of utility plant fixed assets. In the years 2013 through 2016, we are currently projecting that SoCalGas’ effective income tax rate, excluding income tax items that cannot be reliably forecasted, will be approximately 40% to 42%. This expected increase is primarily due to projected increases in pretax income, combined with a decrease in favorable income tax deductions for self-developed software costs, and an increase in the amount by which book depreciation exceeds normalized tax depreciation.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general, the following items are subject to flow-through treatment at the California Utilities:</w:t>
      </w:r>
    </w:p>
    <w:p>
      <w:pPr>
        <w:spacing w:after="0" w:line="225" w:lineRule="exact"/>
        <w:rPr>
          <w:sz w:val="20"/>
          <w:szCs w:val="20"/>
          <w:color w:val="auto"/>
        </w:rPr>
      </w:pPr>
    </w:p>
    <w:p>
      <w:pPr>
        <w:ind w:left="340" w:hanging="188"/>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equity portion of AFUDC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cost of removal of utility plant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self-developed software costs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assets</w:t>
      </w:r>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discuss the impact of items subject to flow-through treatment on our effective income tax rates in Note 5 of the Notes to Condensed Consolidated Financial Statements herein.</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December 2010, the Tax Relief, Unemployment Insurance Reauthorization, and Job Creation Act of 2010 (2010 Tax Act) was signed into law. The 2010 Tax Act included the extension of bonus depreciation for U.S. federal income tax purposes for years 2010 through 2012 and an increase in the rate of bonus depreciation from 50 percent to 100 percent. This increased rate only applies to certain investments made after September 8, 2010 through December 31, 2012. Self-constructed property, where the construction period exceeds one year, construction starts between December 31, 2007 and January 1, 2013, and the property is placed in service by December 31, 2013, will qualify for bonus depreciation in 2013 at either the original or increased rate.</w:t>
      </w:r>
    </w:p>
    <w:p>
      <w:pPr>
        <w:spacing w:after="0" w:line="15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Due to the extension of bonus depreciation, Sempra Energy generated a large U.S. federal net operating loss (NOL) in 2011 and is currently projecting a large U.S. federal NOL in 2012. We currently project that the total NOL will not be fully utilized until 2016. However, potential repatriation of future earnings from certain non-U.S. operations, as we discuss below, has not been factored into this projection, and thus any actual repatriation may accelerate the future recovery of NOLs. Because of these projected NOLs, and the carryforward of U.S. federal income tax credits discussed below, Sempra Energy expects no</w:t>
      </w:r>
    </w:p>
    <w:p>
      <w:pPr>
        <w:sectPr>
          <w:pgSz w:w="11900" w:h="16838" w:orient="portrait"/>
          <w:cols w:equalWidth="0" w:num="1">
            <w:col w:w="11400"/>
          </w:cols>
          <w:pgMar w:left="240" w:top="341" w:right="259" w:bottom="0" w:gutter="0" w:footer="0" w:header="0"/>
        </w:sectPr>
      </w:pPr>
    </w:p>
    <w:bookmarkStart w:id="63" w:name="page64"/>
    <w:bookmarkEnd w:id="63"/>
    <w:p>
      <w:pPr>
        <w:ind w:right="60"/>
        <w:spacing w:after="0" w:line="286" w:lineRule="auto"/>
        <w:rPr>
          <w:sz w:val="20"/>
          <w:szCs w:val="20"/>
          <w:color w:val="auto"/>
        </w:rPr>
      </w:pPr>
      <w:r>
        <w:rPr>
          <w:rFonts w:ascii="Arial" w:cs="Arial" w:eastAsia="Arial" w:hAnsi="Arial"/>
          <w:sz w:val="17"/>
          <w:szCs w:val="17"/>
          <w:color w:val="auto"/>
        </w:rPr>
        <w:t>U.S. federal income tax payments in years 2012 through 2015. However, because bonus depreciation only creates a temporary difference, versus a permanent difference, between Sempra Energy’s U.S. federal income tax return and its U.S. GAAP financial statements, it does not impact Sempra Energy’s effective income tax rate. We expect larger U.S. federal income tax payments in the future as these temporary differences reverse.</w:t>
      </w:r>
    </w:p>
    <w:p>
      <w:pPr>
        <w:spacing w:after="0" w:line="16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SDG&amp;E and SoCalGas both generated a large U.S. federal NOL in 2011, also due to bonus depreciation. In addition, SDG&amp;E is currently projecting a large U.S. federal NOL in 2012. However, SoCalGas is not projecting a U.S. federal NOL in 2012. In 2012, SDG&amp;E and SoCalGas will be able to, on a stand-alone basis, carry back their 2011 NOLs to 2009 and 2010 to offset taxable income in those years. Therefore, 2011 NOLs are recorded as current income tax receivable. In 2013, SDG&amp;E will be able to, on a stand-alone basis, carry back a portion of its 2012 NOL to 2010 and the remaining portion will need to be carried forward. Therefore, a portion of the 2012 NOL generated to date that can be carried back to 2010 is recorded as current income tax receivable and the portion that will be carried forward is recorded as a deferred income tax asset. We currently project that SDG&amp;E’s carryforward NOL, on a stand-alone basis, will be fully utilized in 2013. Because of this projected 2012 NOL, and the carryforward of U.S. federal income tax credits discussed below, SDG&amp;E expects no U.S. federal income tax payments in 2012. However, because bonus depreciation only creates a temporary difference, versus a permanent difference, between SDG&amp;E’s and SoCalGas’ U.S. federal income tax returns and U.S. GAAP financial statements, it does not impact SDG&amp;E’s and SoCalGas’ effective income tax rates. We expect larger U.S. federal income tax payments in the future as these temporary differences reverse.</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Bonus depreciation, in addition to impacting Sempra Energy’s and SDG&amp;E’s U.S. federal income tax payments, will also have a temporary impact on Sempra Energy’s and SDG&amp;E’s ability to utilize their U.S. federal income tax credits, which primarily are investment tax credits and production tax credits generated by Sempra Energy’s and SDG&amp;E’s current and future renewable energy investments. However, based on current projections, Sempra Energy and SDG&amp;E do not expect, based on more-likely-than-not criteria required under U.S. GAAP, any of these income tax credits to expire prior to the end of their 20-year carryforward period, as allowed under current U.S. federal income tax law. We also expect bonus depreciation to increase the deferred tax component of SDG&amp;E’s and SoCalGas’ rate base, which reduces rate base.</w:t>
      </w:r>
    </w:p>
    <w:p>
      <w:pPr>
        <w:spacing w:after="0" w:line="193" w:lineRule="exact"/>
        <w:rPr>
          <w:sz w:val="20"/>
          <w:szCs w:val="20"/>
          <w:color w:val="auto"/>
        </w:rPr>
      </w:pPr>
    </w:p>
    <w:p>
      <w:pPr>
        <w:jc w:val="both"/>
        <w:ind w:right="340"/>
        <w:spacing w:after="0" w:line="288" w:lineRule="auto"/>
        <w:rPr>
          <w:sz w:val="20"/>
          <w:szCs w:val="20"/>
          <w:color w:val="auto"/>
        </w:rPr>
      </w:pPr>
      <w:r>
        <w:rPr>
          <w:rFonts w:ascii="Arial" w:cs="Arial" w:eastAsia="Arial" w:hAnsi="Arial"/>
          <w:sz w:val="16"/>
          <w:szCs w:val="16"/>
          <w:color w:val="auto"/>
        </w:rPr>
        <w:t>We are currently considering the potential repatriation of future earnings beginning in 2013 from certain of our non-U.S. subsidiaries in Mexico and Peru. However, we expect to continue to indefinitely reinvest future earnings from our Chilean subsidiaries. Currently, all future repatriated earnings would be subject to U.S. income tax (with a credit for foreign income taxes), and future repatriations from Peru would be subject to local country withholding tax.</w:t>
      </w:r>
    </w:p>
    <w:p>
      <w:pPr>
        <w:spacing w:after="0" w:line="254" w:lineRule="auto"/>
        <w:rPr>
          <w:sz w:val="20"/>
          <w:szCs w:val="20"/>
          <w:color w:val="auto"/>
        </w:rPr>
      </w:pPr>
      <w:r>
        <w:rPr>
          <w:rFonts w:ascii="Arial" w:cs="Arial" w:eastAsia="Arial" w:hAnsi="Arial"/>
          <w:sz w:val="18"/>
          <w:szCs w:val="18"/>
          <w:color w:val="auto"/>
        </w:rPr>
        <w:t>Because this potential repatriation would only be from future earnings, it does not change our current assertion, as we discuss in Note 7 of the Notes to Consolidated Financial Statements in the Updated Annual Report, that we intend to continue to indefinitely reinvest, for the foreseeable future, our cumulative undistributed non-U.S. earnings as of June 30, 2012. The forward-looking statements above on income tax matters do not include any impact from potential repatriation of future non-U.S. earnings.</w:t>
      </w:r>
    </w:p>
    <w:p>
      <w:pPr>
        <w:spacing w:after="0" w:line="1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Additionally, the 2010 Tax Act extended for years 2010 and 2011 the U.S. federal income tax law known as the look-through rule. This rule allows, under certain situations, for certain non-operating activity (e.g., dividend income, royalty income, interest income, rental income, etc.), of a greater than 50-percent owned non-U.S. subsidiary, to not be taxed under U.S. federal income tax law. As of June 30, 2012, this rule has not yet been extended beyond 2011, therefore, Sempra Energy’s effective income tax rate is currently unfavorably impacted for 2012 and could potentially increase, over the amounts projected above, in subsequent years. However, for years 2013-2016, we currently do not believe the lack of the extension of this rule will cause the effective income tax rate to be outside the estimated range provided above. It is generally thought that this rule will be extended beyond 2011. However, until the extension of the rule is enacted into law, U.S. GAAP accounting rules preclude us from reflecting its favorable impact in our financial results for 2012. If, starting in 2013, we were to decide to repatriate future non-U.S. earnings from Mexico and Peru, as discussed above, the loss of the look-through rule will not result in additional U.S. federal income tax beyond what would be paid on the repatriated future non-U.S. earnings from nonoperating activity in Mexico and Peru.</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Mexican Currency Exchange Rate and Inflation Impact on Income Taxes and Related Economic Hedging Activity</w:t>
      </w: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Mexican subsidiaries have U.S. dollar denominated receivables and payables (monetary assets and liabilities) that give rise to Mexican currency exchange rate movements for Mexican income tax purposes. They also have deferred income tax assets and liabilities that are denominated in the Mexican peso, which must be translated to U.S. dollars for financial reporting purposes. In addition, monetary assets and liabilities are adjusted for Mexican inflation for Mexican income tax purposes.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fluctuations in both the currency exchange rate for the Mexican peso against the U.S. dollar, with regard to Mexican monetary assets and liabilities, and Mexican inflation are subject to Mexican income tax and thus expose us to significant fluctuations in our income tax expense. The income tax expense of Sempra Mexico is impacted by these factors. Parent and Other is also impacted due to a Mexican holding company. The impacts of these fluctuations may offset to some extent at the consolidated level.</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Sempra Energy Consolidated, the impacts on the three months and six months ended June 30, 2012 and 2011 related to the factors described above are as follows: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MEXICAN CURRENCY IMPACT ON INCOME TAXES AND RELATED ECONOMIC HEDGING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720" w:type="dxa"/>
            <w:vAlign w:val="bottom"/>
            <w:gridSpan w:val="3"/>
            <w:vMerge w:val="restart"/>
          </w:tcPr>
          <w:p>
            <w:pPr>
              <w:ind w:left="600"/>
              <w:spacing w:after="0"/>
              <w:rPr>
                <w:sz w:val="20"/>
                <w:szCs w:val="20"/>
                <w:color w:val="auto"/>
              </w:rPr>
            </w:pPr>
            <w:r>
              <w:rPr>
                <w:rFonts w:ascii="Arial" w:cs="Arial" w:eastAsia="Arial" w:hAnsi="Arial"/>
                <w:sz w:val="14"/>
                <w:szCs w:val="14"/>
                <w:color w:val="auto"/>
              </w:rPr>
              <w:t>Three months ended June 30,</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vMerge w:val="restart"/>
          </w:tcPr>
          <w:p>
            <w:pPr>
              <w:jc w:val="right"/>
              <w:ind w:right="62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720" w:type="dxa"/>
            <w:vAlign w:val="bottom"/>
            <w:tcBorders>
              <w:bottom w:val="single" w:sz="8" w:color="auto"/>
            </w:tcBorders>
            <w:gridSpan w:val="3"/>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color w:val="auto"/>
              </w:rPr>
              <w:t>2011</w:t>
            </w: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Income tax benefit (expense) on currency exchange</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60" w:type="dxa"/>
            <w:vAlign w:val="bottom"/>
          </w:tcPr>
          <w:p>
            <w:pPr>
              <w:ind w:left="240"/>
              <w:spacing w:after="0"/>
              <w:rPr>
                <w:sz w:val="20"/>
                <w:szCs w:val="20"/>
                <w:color w:val="auto"/>
              </w:rPr>
            </w:pPr>
            <w:r>
              <w:rPr>
                <w:rFonts w:ascii="Arial" w:cs="Arial" w:eastAsia="Arial" w:hAnsi="Arial"/>
                <w:sz w:val="16"/>
                <w:szCs w:val="16"/>
                <w:color w:val="auto"/>
              </w:rPr>
              <w:t>rate movement of monetary assets and liabilities</w:t>
            </w:r>
          </w:p>
        </w:tc>
        <w:tc>
          <w:tcPr>
            <w:tcW w:w="112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160" w:type="dxa"/>
            <w:vAlign w:val="bottom"/>
          </w:tcPr>
          <w:p>
            <w:pPr>
              <w:jc w:val="right"/>
              <w:ind w:right="100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6"/>
        </w:trPr>
        <w:tc>
          <w:tcPr>
            <w:tcW w:w="5180" w:type="dxa"/>
            <w:vAlign w:val="bottom"/>
            <w:gridSpan w:val="2"/>
          </w:tcPr>
          <w:p>
            <w:pPr>
              <w:spacing w:after="0" w:line="176" w:lineRule="exact"/>
              <w:rPr>
                <w:sz w:val="20"/>
                <w:szCs w:val="20"/>
                <w:color w:val="auto"/>
              </w:rPr>
            </w:pPr>
            <w:r>
              <w:rPr>
                <w:rFonts w:ascii="Arial" w:cs="Arial" w:eastAsia="Arial" w:hAnsi="Arial"/>
                <w:sz w:val="16"/>
                <w:szCs w:val="16"/>
                <w:color w:val="auto"/>
              </w:rPr>
              <w:t>Translation of non-U.S. deferred income tax balances</w:t>
            </w:r>
          </w:p>
        </w:tc>
        <w:tc>
          <w:tcPr>
            <w:tcW w:w="112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1160" w:type="dxa"/>
            <w:vAlign w:val="bottom"/>
          </w:tcPr>
          <w:p>
            <w:pPr>
              <w:spacing w:after="0"/>
              <w:rPr>
                <w:sz w:val="15"/>
                <w:szCs w:val="15"/>
                <w:color w:val="auto"/>
              </w:rPr>
            </w:pPr>
          </w:p>
        </w:tc>
        <w:tc>
          <w:tcPr>
            <w:tcW w:w="540" w:type="dxa"/>
            <w:vAlign w:val="bottom"/>
          </w:tcPr>
          <w:p>
            <w:pPr>
              <w:jc w:val="right"/>
              <w:ind w:right="79"/>
              <w:spacing w:after="0" w:line="176" w:lineRule="exact"/>
              <w:rPr>
                <w:sz w:val="20"/>
                <w:szCs w:val="20"/>
                <w:color w:val="auto"/>
              </w:rPr>
            </w:pPr>
            <w:r>
              <w:rPr>
                <w:rFonts w:ascii="Arial" w:cs="Arial" w:eastAsia="Arial" w:hAnsi="Arial"/>
                <w:sz w:val="16"/>
                <w:szCs w:val="16"/>
                <w:color w:val="auto"/>
              </w:rPr>
              <w:t>(2)</w:t>
            </w:r>
          </w:p>
        </w:tc>
        <w:tc>
          <w:tcPr>
            <w:tcW w:w="340" w:type="dxa"/>
            <w:vAlign w:val="bottom"/>
          </w:tcPr>
          <w:p>
            <w:pPr>
              <w:spacing w:after="0"/>
              <w:rPr>
                <w:sz w:val="15"/>
                <w:szCs w:val="15"/>
                <w:color w:val="auto"/>
              </w:rPr>
            </w:pPr>
          </w:p>
        </w:tc>
        <w:tc>
          <w:tcPr>
            <w:tcW w:w="1260" w:type="dxa"/>
            <w:vAlign w:val="bottom"/>
          </w:tcPr>
          <w:p>
            <w:pPr>
              <w:jc w:val="right"/>
              <w:ind w:right="121"/>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4"/>
        </w:trPr>
        <w:tc>
          <w:tcPr>
            <w:tcW w:w="5180" w:type="dxa"/>
            <w:vAlign w:val="bottom"/>
            <w:gridSpan w:val="2"/>
          </w:tcPr>
          <w:p>
            <w:pPr>
              <w:spacing w:after="0"/>
              <w:rPr>
                <w:sz w:val="20"/>
                <w:szCs w:val="20"/>
                <w:color w:val="auto"/>
              </w:rPr>
            </w:pPr>
            <w:r>
              <w:rPr>
                <w:rFonts w:ascii="Arial" w:cs="Arial" w:eastAsia="Arial" w:hAnsi="Arial"/>
                <w:sz w:val="16"/>
                <w:szCs w:val="16"/>
                <w:color w:val="auto"/>
              </w:rPr>
              <w:t>Income tax benefit (expense) on inflation</w:t>
            </w: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60" w:type="dxa"/>
            <w:vAlign w:val="bottom"/>
          </w:tcPr>
          <w:p>
            <w:pPr>
              <w:ind w:left="240"/>
              <w:spacing w:after="0" w:line="164" w:lineRule="exact"/>
              <w:rPr>
                <w:sz w:val="20"/>
                <w:szCs w:val="20"/>
                <w:color w:val="auto"/>
              </w:rPr>
            </w:pPr>
            <w:r>
              <w:rPr>
                <w:rFonts w:ascii="Arial" w:cs="Arial" w:eastAsia="Arial" w:hAnsi="Arial"/>
                <w:sz w:val="16"/>
                <w:szCs w:val="16"/>
                <w:color w:val="auto"/>
              </w:rPr>
              <w:t>Total impact on income taxes</w:t>
            </w:r>
          </w:p>
        </w:tc>
        <w:tc>
          <w:tcPr>
            <w:tcW w:w="112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15</w:t>
            </w:r>
          </w:p>
        </w:tc>
        <w:tc>
          <w:tcPr>
            <w:tcW w:w="1160" w:type="dxa"/>
            <w:vAlign w:val="bottom"/>
          </w:tcPr>
          <w:p>
            <w:pPr>
              <w:spacing w:after="0"/>
              <w:rPr>
                <w:sz w:val="14"/>
                <w:szCs w:val="14"/>
                <w:color w:val="auto"/>
              </w:rPr>
            </w:pPr>
          </w:p>
        </w:tc>
        <w:tc>
          <w:tcPr>
            <w:tcW w:w="540" w:type="dxa"/>
            <w:vAlign w:val="bottom"/>
          </w:tcPr>
          <w:p>
            <w:pPr>
              <w:jc w:val="right"/>
              <w:ind w:right="79"/>
              <w:spacing w:after="0" w:line="164" w:lineRule="exact"/>
              <w:rPr>
                <w:sz w:val="20"/>
                <w:szCs w:val="20"/>
                <w:color w:val="auto"/>
              </w:rPr>
            </w:pPr>
            <w:r>
              <w:rPr>
                <w:rFonts w:ascii="Arial" w:cs="Arial" w:eastAsia="Arial" w:hAnsi="Arial"/>
                <w:sz w:val="16"/>
                <w:szCs w:val="16"/>
                <w:color w:val="auto"/>
              </w:rPr>
              <w:t>(2)</w:t>
            </w:r>
          </w:p>
        </w:tc>
        <w:tc>
          <w:tcPr>
            <w:tcW w:w="340" w:type="dxa"/>
            <w:vAlign w:val="bottom"/>
          </w:tcPr>
          <w:p>
            <w:pPr>
              <w:spacing w:after="0"/>
              <w:rPr>
                <w:sz w:val="14"/>
                <w:szCs w:val="14"/>
                <w:color w:val="auto"/>
              </w:rPr>
            </w:pPr>
          </w:p>
        </w:tc>
        <w:tc>
          <w:tcPr>
            <w:tcW w:w="1260" w:type="dxa"/>
            <w:vAlign w:val="bottom"/>
          </w:tcPr>
          <w:p>
            <w:pPr>
              <w:jc w:val="right"/>
              <w:ind w:right="121"/>
              <w:spacing w:after="0" w:line="164" w:lineRule="exact"/>
              <w:rPr>
                <w:sz w:val="20"/>
                <w:szCs w:val="20"/>
                <w:color w:val="auto"/>
              </w:rPr>
            </w:pPr>
            <w:r>
              <w:rPr>
                <w:rFonts w:ascii="Arial" w:cs="Arial" w:eastAsia="Arial" w:hAnsi="Arial"/>
                <w:sz w:val="16"/>
                <w:szCs w:val="16"/>
                <w:color w:val="auto"/>
              </w:rPr>
              <w:t>(3)</w:t>
            </w:r>
          </w:p>
        </w:tc>
        <w:tc>
          <w:tcPr>
            <w:tcW w:w="30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5"/>
        </w:trPr>
        <w:tc>
          <w:tcPr>
            <w:tcW w:w="5180" w:type="dxa"/>
            <w:vAlign w:val="bottom"/>
            <w:gridSpan w:val="2"/>
          </w:tcPr>
          <w:p>
            <w:pPr>
              <w:spacing w:after="0"/>
              <w:rPr>
                <w:sz w:val="20"/>
                <w:szCs w:val="20"/>
                <w:color w:val="auto"/>
              </w:rPr>
            </w:pPr>
            <w:r>
              <w:rPr>
                <w:rFonts w:ascii="Arial" w:cs="Arial" w:eastAsia="Arial" w:hAnsi="Arial"/>
                <w:sz w:val="16"/>
                <w:szCs w:val="16"/>
                <w:color w:val="auto"/>
              </w:rPr>
              <w:t>After-tax gains on Mexican peso exchange rate</w:t>
            </w:r>
          </w:p>
        </w:tc>
        <w:tc>
          <w:tcPr>
            <w:tcW w:w="112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6"/>
                <w:szCs w:val="16"/>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6"/>
                <w:szCs w:val="16"/>
                <w:color w:val="auto"/>
              </w:rPr>
            </w:pPr>
          </w:p>
        </w:tc>
        <w:tc>
          <w:tcPr>
            <w:tcW w:w="1260" w:type="dxa"/>
            <w:vAlign w:val="bottom"/>
            <w:vMerge w:val="restart"/>
          </w:tcPr>
          <w:p>
            <w:pPr>
              <w:jc w:val="right"/>
              <w:ind w:right="161"/>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tcPr>
          <w:p>
            <w:pPr>
              <w:ind w:left="240"/>
              <w:spacing w:after="0" w:line="168" w:lineRule="exact"/>
              <w:rPr>
                <w:sz w:val="20"/>
                <w:szCs w:val="20"/>
                <w:color w:val="auto"/>
              </w:rPr>
            </w:pPr>
            <w:r>
              <w:rPr>
                <w:rFonts w:ascii="Arial" w:cs="Arial" w:eastAsia="Arial" w:hAnsi="Arial"/>
                <w:sz w:val="16"/>
                <w:szCs w:val="16"/>
                <w:color w:val="auto"/>
              </w:rPr>
              <w:t>instruments (included in Other Income, Net)</w:t>
            </w:r>
          </w:p>
        </w:tc>
        <w:tc>
          <w:tcPr>
            <w:tcW w:w="1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180" w:type="dxa"/>
            <w:vAlign w:val="bottom"/>
            <w:gridSpan w:val="2"/>
          </w:tcPr>
          <w:p>
            <w:pPr>
              <w:spacing w:after="0" w:line="164" w:lineRule="exact"/>
              <w:rPr>
                <w:sz w:val="20"/>
                <w:szCs w:val="20"/>
                <w:color w:val="auto"/>
              </w:rPr>
            </w:pPr>
            <w:r>
              <w:rPr>
                <w:rFonts w:ascii="Arial" w:cs="Arial" w:eastAsia="Arial" w:hAnsi="Arial"/>
                <w:sz w:val="16"/>
                <w:szCs w:val="16"/>
                <w:color w:val="auto"/>
              </w:rPr>
              <w:t>Net impacts on Sempra Energy Condensed</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Consolidated Statements of Operations</w:t>
            </w:r>
          </w:p>
        </w:tc>
        <w:tc>
          <w:tcPr>
            <w:tcW w:w="1120" w:type="dxa"/>
            <w:vAlign w:val="bottom"/>
            <w:tcBorders>
              <w:bottom w:val="single" w:sz="8" w:color="auto"/>
            </w:tcBorders>
          </w:tcPr>
          <w:p>
            <w:pPr>
              <w:jc w:val="right"/>
              <w:ind w:right="66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160" w:type="dxa"/>
            <w:vAlign w:val="bottom"/>
            <w:tcBorders>
              <w:bottom w:val="single" w:sz="8" w:color="auto"/>
            </w:tcBorders>
          </w:tcPr>
          <w:p>
            <w:pPr>
              <w:jc w:val="right"/>
              <w:ind w:right="70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Net of Income Tax</w:t>
      </w:r>
    </w:p>
    <w:p>
      <w:pPr>
        <w:spacing w:after="0" w:line="2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six months ended June 30, 2012, equity earnings of unconsolidated subsidiaries, net of income tax, were $19 million compared to $39 million for the corresponding period in 2011. The change in the six months ended June 30, 2012 was primarily due to lower earnings related to equity method investments in Chile and Peru, for entities that are now consolidated.</w:t>
      </w:r>
    </w:p>
    <w:p>
      <w:pPr>
        <w:sectPr>
          <w:pgSz w:w="11900" w:h="16838" w:orient="portrait"/>
          <w:cols w:equalWidth="0" w:num="1">
            <w:col w:w="11420"/>
          </w:cols>
          <w:pgMar w:left="240" w:top="125" w:right="239" w:bottom="2" w:gutter="0" w:footer="0" w:header="0"/>
        </w:sectPr>
      </w:pPr>
    </w:p>
    <w:bookmarkStart w:id="64" w:name="page65"/>
    <w:bookmarkEnd w:id="64"/>
    <w:p>
      <w:pPr>
        <w:spacing w:after="0"/>
        <w:rPr>
          <w:sz w:val="20"/>
          <w:szCs w:val="20"/>
          <w:color w:val="auto"/>
        </w:rPr>
      </w:pPr>
      <w:r>
        <w:rPr>
          <w:rFonts w:ascii="Arial" w:cs="Arial" w:eastAsia="Arial" w:hAnsi="Arial"/>
          <w:sz w:val="20"/>
          <w:szCs w:val="20"/>
          <w:b w:val="1"/>
          <w:bCs w:val="1"/>
          <w:i w:val="1"/>
          <w:iCs w:val="1"/>
          <w:color w:val="auto"/>
        </w:rPr>
        <w:t>Earnings Attributable to Noncontrolling Interests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Earnings attributable to noncontrolling interests were $11 million for the three months ended June 30, 2012 compared to losses of $12 million for the same period in 2011. The change was primarily due to $5 million earnings attributable to noncontrolling interest in 2012 at Otay Mesa VIE compared to losses of $19 million in 2011.</w:t>
      </w:r>
    </w:p>
    <w:p>
      <w:pPr>
        <w:spacing w:after="0" w:line="200" w:lineRule="exact"/>
        <w:rPr>
          <w:sz w:val="20"/>
          <w:szCs w:val="20"/>
          <w:color w:val="auto"/>
        </w:rPr>
      </w:pPr>
    </w:p>
    <w:p>
      <w:pPr>
        <w:spacing w:after="0" w:line="2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Earnings attributable to noncontrolling interests were $24 million for the six months ended June 30, 2012 compared to losses of $8 million for the same period in 2011. The change was primarily due to:</w:t>
      </w:r>
    </w:p>
    <w:p>
      <w:pPr>
        <w:spacing w:after="0" w:line="170" w:lineRule="exact"/>
        <w:rPr>
          <w:sz w:val="20"/>
          <w:szCs w:val="20"/>
          <w:color w:val="auto"/>
        </w:rPr>
      </w:pPr>
    </w:p>
    <w:p>
      <w:pPr>
        <w:ind w:left="340" w:hanging="188"/>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$11 million earnings attributable to noncontrolling interest in 2012 at Otay Mesa VIE compared to $15 million losses in 2011;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$5 million higher earnings at Sempra South American Utilities primarily from noncontrolling interests at Luz del Sur in 2012.</w:t>
      </w:r>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both the three months and the six months ended June 30, 2012, the change in earnings and losses attributable to noncontrolling interest at Otay Mesa VIE was due to higher operating income.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discuss variations in earnings by segment above in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CAPITAL RESOURCES AND LIQUIDITY</w:t>
      </w:r>
    </w:p>
    <w:p>
      <w:pPr>
        <w:spacing w:after="0" w:line="19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We expect our cash flows from operations to fund a substantial portion of our capital expenditures and dividends. In addition, we may meet our cash requirements through the issuance of short-term and long-term debt and distributions from our equity method investments.</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committed lines of credit provide liquidity and support commercial paper. As we discuss in Note 6 of the Notes to Condensed Consolidated Financial Statements herein, in March 2012, Sempra Energy, Sempra Global (the holding company for our subsidiaries not subject to California utility regulation) and the California Utilities each entered into new five-year revolving credit facilities, expiring in 2017, which replace the previous principal credit agreements that were scheduled to expire in 2014. At Sempra Energy and the California Utilities, the agreements are syndicated broadly among 24 different lenders and at Sempra Global, among 25 different lenders. No single lender has greater than a 7-percent share in any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 of available funds at June 30, 2012: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jc w:val="center"/>
              <w:ind w:left="1785"/>
              <w:spacing w:after="0"/>
              <w:rPr>
                <w:sz w:val="20"/>
                <w:szCs w:val="20"/>
                <w:color w:val="auto"/>
              </w:rPr>
            </w:pPr>
            <w:r>
              <w:rPr>
                <w:rFonts w:ascii="Arial" w:cs="Arial" w:eastAsia="Arial" w:hAnsi="Arial"/>
                <w:sz w:val="14"/>
                <w:szCs w:val="14"/>
                <w:color w:val="auto"/>
              </w:rPr>
              <w:t>Sempra Energy</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jc w:val="center"/>
              <w:ind w:left="1785"/>
              <w:spacing w:after="0"/>
              <w:rPr>
                <w:sz w:val="20"/>
                <w:szCs w:val="20"/>
                <w:color w:val="auto"/>
              </w:rPr>
            </w:pPr>
            <w:r>
              <w:rPr>
                <w:rFonts w:ascii="Arial" w:cs="Arial" w:eastAsia="Arial" w:hAnsi="Arial"/>
                <w:sz w:val="14"/>
                <w:szCs w:val="14"/>
                <w:color w:val="auto"/>
              </w:rPr>
              <w:t>Consolidated</w:t>
            </w: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SDG&amp;E</w:t>
            </w: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color w:val="auto"/>
              </w:rPr>
              <w:t>SoCalGas</w:t>
            </w:r>
          </w:p>
        </w:tc>
      </w:tr>
      <w:tr>
        <w:trPr>
          <w:trHeight w:val="164"/>
        </w:trPr>
        <w:tc>
          <w:tcPr>
            <w:tcW w:w="20" w:type="dxa"/>
            <w:vAlign w:val="bottom"/>
          </w:tcPr>
          <w:p>
            <w:pPr>
              <w:spacing w:after="0"/>
              <w:rPr>
                <w:sz w:val="14"/>
                <w:szCs w:val="14"/>
                <w:color w:val="auto"/>
              </w:rPr>
            </w:pPr>
          </w:p>
        </w:tc>
        <w:tc>
          <w:tcPr>
            <w:tcW w:w="4200" w:type="dxa"/>
            <w:vAlign w:val="bottom"/>
          </w:tcPr>
          <w:p>
            <w:pPr>
              <w:spacing w:after="0" w:line="164" w:lineRule="exact"/>
              <w:rPr>
                <w:sz w:val="20"/>
                <w:szCs w:val="20"/>
                <w:color w:val="auto"/>
              </w:rPr>
            </w:pPr>
            <w:r>
              <w:rPr>
                <w:rFonts w:ascii="Arial" w:cs="Arial" w:eastAsia="Arial" w:hAnsi="Arial"/>
                <w:sz w:val="16"/>
                <w:szCs w:val="16"/>
                <w:color w:val="auto"/>
              </w:rPr>
              <w:t>Unrestricted cash and cash equivalents</w:t>
            </w:r>
          </w:p>
        </w:tc>
        <w:tc>
          <w:tcPr>
            <w:tcW w:w="2860" w:type="dxa"/>
            <w:vAlign w:val="bottom"/>
          </w:tcPr>
          <w:p>
            <w:pPr>
              <w:jc w:val="right"/>
              <w:ind w:right="1305"/>
              <w:spacing w:after="0" w:line="164"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64" w:lineRule="exact"/>
              <w:rPr>
                <w:sz w:val="20"/>
                <w:szCs w:val="20"/>
                <w:color w:val="auto"/>
              </w:rPr>
            </w:pPr>
            <w:r>
              <w:rPr>
                <w:rFonts w:ascii="Arial" w:cs="Arial" w:eastAsia="Arial" w:hAnsi="Arial"/>
                <w:sz w:val="16"/>
                <w:szCs w:val="16"/>
                <w:color w:val="auto"/>
              </w:rPr>
              <w:t>221</w:t>
            </w:r>
          </w:p>
        </w:tc>
        <w:tc>
          <w:tcPr>
            <w:tcW w:w="440" w:type="dxa"/>
            <w:vAlign w:val="bottom"/>
          </w:tcPr>
          <w:p>
            <w:pPr>
              <w:jc w:val="right"/>
              <w:ind w:right="239"/>
              <w:spacing w:after="0" w:line="164"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64" w:lineRule="exact"/>
              <w:rPr>
                <w:sz w:val="20"/>
                <w:szCs w:val="20"/>
                <w:color w:val="auto"/>
              </w:rPr>
            </w:pPr>
            <w:r>
              <w:rPr>
                <w:rFonts w:ascii="Arial" w:cs="Arial" w:eastAsia="Arial" w:hAnsi="Arial"/>
                <w:sz w:val="16"/>
                <w:szCs w:val="16"/>
                <w:color w:val="auto"/>
              </w:rPr>
              <w:t>29</w:t>
            </w:r>
          </w:p>
        </w:tc>
        <w:tc>
          <w:tcPr>
            <w:tcW w:w="400" w:type="dxa"/>
            <w:vAlign w:val="bottom"/>
          </w:tcPr>
          <w:p>
            <w:pPr>
              <w:jc w:val="right"/>
              <w:ind w:right="199"/>
              <w:spacing w:after="0" w:line="164" w:lineRule="exact"/>
              <w:rPr>
                <w:sz w:val="20"/>
                <w:szCs w:val="20"/>
                <w:color w:val="auto"/>
              </w:rPr>
            </w:pPr>
            <w:r>
              <w:rPr>
                <w:rFonts w:ascii="Arial" w:cs="Arial" w:eastAsia="Arial" w:hAnsi="Arial"/>
                <w:sz w:val="16"/>
                <w:szCs w:val="16"/>
                <w:color w:val="auto"/>
              </w:rPr>
              <w:t>$</w:t>
            </w:r>
          </w:p>
        </w:tc>
        <w:tc>
          <w:tcPr>
            <w:tcW w:w="1580" w:type="dxa"/>
            <w:vAlign w:val="bottom"/>
          </w:tcPr>
          <w:p>
            <w:pPr>
              <w:jc w:val="right"/>
              <w:spacing w:after="0" w:line="164" w:lineRule="exact"/>
              <w:rPr>
                <w:sz w:val="20"/>
                <w:szCs w:val="20"/>
                <w:color w:val="auto"/>
              </w:rPr>
            </w:pPr>
            <w:r>
              <w:rPr>
                <w:rFonts w:ascii="Arial" w:cs="Arial" w:eastAsia="Arial" w:hAnsi="Arial"/>
                <w:sz w:val="16"/>
                <w:szCs w:val="16"/>
                <w:color w:val="auto"/>
              </w:rPr>
              <w:t>11</w:t>
            </w:r>
          </w:p>
        </w:tc>
      </w:tr>
      <w:tr>
        <w:trPr>
          <w:trHeight w:val="195"/>
        </w:trPr>
        <w:tc>
          <w:tcPr>
            <w:tcW w:w="4220" w:type="dxa"/>
            <w:vAlign w:val="bottom"/>
            <w:gridSpan w:val="2"/>
          </w:tcPr>
          <w:p>
            <w:pPr>
              <w:spacing w:after="0"/>
              <w:rPr>
                <w:sz w:val="20"/>
                <w:szCs w:val="20"/>
                <w:color w:val="auto"/>
              </w:rPr>
            </w:pPr>
            <w:r>
              <w:rPr>
                <w:rFonts w:ascii="Arial" w:cs="Arial" w:eastAsia="Arial" w:hAnsi="Arial"/>
                <w:sz w:val="16"/>
                <w:szCs w:val="16"/>
                <w:color w:val="auto"/>
              </w:rPr>
              <w:t>Available unused credit(1)</w:t>
            </w:r>
          </w:p>
        </w:tc>
        <w:tc>
          <w:tcPr>
            <w:tcW w:w="28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3,197</w:t>
            </w:r>
          </w:p>
        </w:tc>
        <w:tc>
          <w:tcPr>
            <w:tcW w:w="4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248</w:t>
            </w:r>
          </w:p>
        </w:tc>
        <w:tc>
          <w:tcPr>
            <w:tcW w:w="4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20" w:right="120" w:hanging="389"/>
        <w:spacing w:after="0" w:line="260" w:lineRule="auto"/>
        <w:tabs>
          <w:tab w:leader="none" w:pos="62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Borrowings on the shared line of credit at SDG&amp;E and SoCalGas, discussed in Note 6 of the Notes to Condensed Consolidated Financial Statements herein, are limited to $658 million for each utility and $877 million in total. SDG&amp;E’s available funds reflect variable-rate demand notes outstanding of $237 million and commercial paper outstanding of $173 million, both supported by the line. SoCalGas' availability reflects the impact of SDG&amp;E’s use of the combined credit available on the line.</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these available funds and cash flows from operations, distributions from equity method investments and security issuances, combined with current cash balances, will be adequate to:</w:t>
      </w:r>
    </w:p>
    <w:p>
      <w:pPr>
        <w:spacing w:after="0" w:line="170" w:lineRule="exact"/>
        <w:rPr>
          <w:sz w:val="20"/>
          <w:szCs w:val="20"/>
          <w:color w:val="auto"/>
        </w:rPr>
      </w:pPr>
    </w:p>
    <w:p>
      <w:pPr>
        <w:ind w:left="340" w:hanging="188"/>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finance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meet liquidity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fund shareholder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fund new business acquisitions or start-ups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repay maturing long-term debt</w:t>
      </w:r>
    </w:p>
    <w:p>
      <w:pPr>
        <w:spacing w:after="0" w:line="25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March 2012, Sempra Energy publicly offered and sold $600 million of 2.3-percent notes maturing in 2017, and SDG&amp;E publicly offered and sold $250 million of 4.3-percent first mortgage bonds maturing in 2042. Sempra Energy and SDG&amp;E issued long-term debt in 2011 in the aggregate principal amounts of $800 million and $600 million, respectively. Changing economic conditions could affect the availability and cost of both short-term and long-term financing. If cash flows from operations were to be significantly reduced or we were unable to borrow under acceptable terms, we would reduce or postpone discretionary capital expenditures and investments in new businesses. If these measures were necessary, they would primarily impact certain of our Sempra International and Sempra U.S. Gas &amp; Power businesses before we would reduce funds necessary for the ongoing needs of the California Utilities, and secondarily our South American utilities. We continuously monitor our ability to finance the needs of our operating, investing and financing activities in a manner consistent with our intention to maintain strong, investment-grade credit ratings and capital structure.</w:t>
      </w:r>
    </w:p>
    <w:p>
      <w:pPr>
        <w:sectPr>
          <w:pgSz w:w="11900" w:h="16838" w:orient="portrait"/>
          <w:cols w:equalWidth="0" w:num="1">
            <w:col w:w="11420"/>
          </w:cols>
          <w:pgMar w:left="240" w:top="122" w:right="239" w:bottom="0" w:gutter="0" w:footer="0" w:header="0"/>
        </w:sectPr>
      </w:pPr>
    </w:p>
    <w:bookmarkStart w:id="65" w:name="page66"/>
    <w:bookmarkEnd w:id="65"/>
    <w:p>
      <w:pPr>
        <w:ind w:right="120"/>
        <w:spacing w:after="0" w:line="271" w:lineRule="auto"/>
        <w:rPr>
          <w:sz w:val="20"/>
          <w:szCs w:val="20"/>
          <w:color w:val="auto"/>
        </w:rPr>
      </w:pPr>
      <w:r>
        <w:rPr>
          <w:rFonts w:ascii="Arial" w:cs="Arial" w:eastAsia="Arial" w:hAnsi="Arial"/>
          <w:sz w:val="17"/>
          <w:szCs w:val="17"/>
          <w:color w:val="auto"/>
        </w:rPr>
        <w:t>In three separate transactions during 2010 and one in early 2011, we and RBS sold substantially all of the businesses and assets of our joint-venture partnership that comprised our commodities-marketing businesses. Distributions from the partnership in 2011 were $623 million. The investment balance of $126 million at June 30, 2012 reflects remaining distributions expected to be received from the partnership as it is dissolved. The timing and amount of distributions may be impacted by the matters we discuss related to RBS Sempra Commodities in Note 10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are providing transitional back-up guarantees, a few of which may continue for a prolonged period of time. Either RBS or JP Morgan Chase &amp; Co., one of the buyers’ parties in the sales transactions, has fully indemnified us for any claims or losses in connection with the related transactions.</w:t>
      </w:r>
    </w:p>
    <w:p>
      <w:pPr>
        <w:spacing w:after="0" w:line="17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provide additional information about RBS Sempra Commodities and the sales transactions and guarantees in Notes 4, 6 and 10 of the Notes to Condensed Consolidated Financial Statements herein and in Notes 3, 4, 5 and 15 of the Notes to Consolidated Financial Statements in the Updated Annual Report.</w:t>
      </w:r>
    </w:p>
    <w:p>
      <w:pPr>
        <w:spacing w:after="0" w:line="12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At June 30, 2012, our cash and cash equivalents held in foreign jurisdictions that are unavailable to fund domestic operations unless repatriated were approximately $120 million. We intend for funds associated with accumulated foreign earnings through June 30, 2012 to remain indefinitely in our foreign subsidiaries to fund their operations. We are currently considering a plan to repatriate future earnings from certain foreign operations beginning in 2013.</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significant investments in several trusts to provide for future payments of pensions and other postretirement benefits, and nuclear decommissioning. Changes in asset values, which are dependent on the activity in the equity and fixed income markets, have not affected the trust funds’ abilities to make required payments, but may impact funding requirements for pension and other postretirement benefit plans. At the California Utilities, funding requirements are generally recoverable in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principal credit agreements more fully in Note 6 of the Notes to Condensed Consolidated Financial Statements herein.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SoCalGas expects that cash flows from operations and debt issuances will continue to be adequate to meet its capital expenditure requirements. In March 2011, Sempra Energy made a $200 million capital contribution to SDG&amp;E, and SDG&amp;E expects its cash flows from operations and debt issuances will be adequate to meet its future capital expenditure requirements.</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SoCalGas declared and paid a $100 million common dividend in the second quarter of 2012 and a $50 million common dividend in the first quarter of both 2012 and 2011. However, as a result of the increase in SoCalGas’ capital investment programs over the next few years, management expects that SoCalGas’ dividends on common stock to be reduced, when compared to the dividends on common stock declared on an annual basis historically, or temporarily suspended over the next few years to maintain SoCalGas’ authorized capital structure during the periods of high capital investments.</w:t>
      </w:r>
    </w:p>
    <w:p>
      <w:pPr>
        <w:spacing w:after="0" w:line="15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a result of SDG&amp;E’s large capital investment program over the past few years and the level of capital investment planned for 2012, SDG&amp;E does not expect to pay common dividends to Sempra Energy in 2012. However, due to the completion of construction of the Sunrise Powerlink transmission power line in June 2012, SDG&amp;E expects to resume the declaration and payment of dividends on its common stock in 2013.</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projects at Chilquinta Energía and Luz del Sur to be funded by external borrowings and funds internally generated by Chilquinta Energía and Luz del Sur.</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projects in Mexico to be funded through a combination of funds internally generated by the Mexico businesses, project financing and partnering in joint ventures.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expect Sempra Renewables to require funds for the development of and investment in electric renewable energy projects. Projects at Sempra Renewables may be financed through a combination of operating cash flow, project financing, low-cost financing from the U.S. Department of Energy, U.S. Treasury Department cash grants, funds from the parent and partnering in joint ventures. The Sempra Renewables projects have planned in-service dates ranging from 2012 to 2016.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expect Sempra Natural Gas to require funding from the parent and external sources to fund projects and investments, including development and expansion of its natural gas storage projects.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flows from operations at Sempra Natural Gas are expected to decrease substantially since its contract with the DWR expired in September 2011, due to less favorable pricing on any replacement contracts obtained, and the sale of its El Dorado natural gas generation plant to SDG&amp;E in 2011. Also, Sempra Natural Gas may not be able to replace all of the lost revenue due to decreased market demand. Sales to the DWR comprised six percent of Sempra Energy’s revenues in 2011.</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Some of Sempra Natural Gas’ long-term power sale contracts contain collateral requirements which require its affiliates and/or the counterparty to post cash, guarantees or letters of credit to the other party for exposure in excess of established thresholds. Sempra Natural Gas may be required to provide collateral when market price movements adversely affect the counterparty’s cost of replacement energy supplies if Sempra Natural Gas fails to deliver the contracted amounts. Sempra Natural Gas had no outstanding collateral requirements under such contracts at June 30, 2012.</w:t>
      </w:r>
    </w:p>
    <w:p>
      <w:pPr>
        <w:sectPr>
          <w:pgSz w:w="11900" w:h="16838" w:orient="portrait"/>
          <w:cols w:equalWidth="0" w:num="1">
            <w:col w:w="11380"/>
          </w:cols>
          <w:pgMar w:left="240" w:top="125" w:right="279" w:bottom="113" w:gutter="0" w:footer="0" w:header="0"/>
        </w:sectPr>
      </w:pPr>
    </w:p>
    <w:bookmarkStart w:id="66" w:name="page67"/>
    <w:bookmarkEnd w:id="66"/>
    <w:p>
      <w:pPr>
        <w:spacing w:after="0"/>
        <w:rPr>
          <w:sz w:val="20"/>
          <w:szCs w:val="20"/>
          <w:color w:val="auto"/>
        </w:rPr>
      </w:pPr>
      <w:r>
        <w:rPr>
          <w:rFonts w:ascii="Arial" w:cs="Arial" w:eastAsia="Arial" w:hAnsi="Arial"/>
          <w:sz w:val="20"/>
          <w:szCs w:val="20"/>
          <w:color w:val="auto"/>
        </w:rPr>
        <w:t>CASH FLOWS FROM OPERATING ACTIVITIES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jc w:val="right"/>
              <w:ind w:right="3"/>
              <w:spacing w:after="0" w:line="157" w:lineRule="exact"/>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21"/>
              <w:spacing w:after="0" w:line="157" w:lineRule="exact"/>
              <w:rPr>
                <w:sz w:val="20"/>
                <w:szCs w:val="20"/>
                <w:color w:val="auto"/>
              </w:rPr>
            </w:pPr>
            <w:r>
              <w:rPr>
                <w:rFonts w:ascii="Arial" w:cs="Arial" w:eastAsia="Arial" w:hAnsi="Arial"/>
                <w:sz w:val="14"/>
                <w:szCs w:val="14"/>
                <w:color w:val="auto"/>
              </w:rPr>
              <w:t>2012 Change</w:t>
            </w:r>
          </w:p>
        </w:tc>
        <w:tc>
          <w:tcPr>
            <w:tcW w:w="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1"/>
              <w:spacing w:after="0" w:line="157" w:lineRule="exact"/>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362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2520" w:type="dxa"/>
            <w:vAlign w:val="bottom"/>
          </w:tcPr>
          <w:p>
            <w:pPr>
              <w:jc w:val="right"/>
              <w:ind w:right="843"/>
              <w:spacing w:after="0" w:line="164"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64" w:lineRule="exact"/>
              <w:rPr>
                <w:sz w:val="20"/>
                <w:szCs w:val="20"/>
                <w:color w:val="auto"/>
              </w:rPr>
            </w:pPr>
            <w:r>
              <w:rPr>
                <w:rFonts w:ascii="Arial" w:cs="Arial" w:eastAsia="Arial" w:hAnsi="Arial"/>
                <w:sz w:val="16"/>
                <w:szCs w:val="16"/>
                <w:color w:val="auto"/>
              </w:rPr>
              <w:t>1,152</w:t>
            </w:r>
          </w:p>
        </w:tc>
        <w:tc>
          <w:tcPr>
            <w:tcW w:w="640" w:type="dxa"/>
            <w:vAlign w:val="bottom"/>
          </w:tcPr>
          <w:p>
            <w:pPr>
              <w:jc w:val="right"/>
              <w:ind w:right="439"/>
              <w:spacing w:after="0" w:line="164"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601"/>
              <w:spacing w:after="0" w:line="164" w:lineRule="exact"/>
              <w:rPr>
                <w:sz w:val="20"/>
                <w:szCs w:val="20"/>
                <w:color w:val="auto"/>
              </w:rPr>
            </w:pPr>
            <w:r>
              <w:rPr>
                <w:rFonts w:ascii="Arial" w:cs="Arial" w:eastAsia="Arial" w:hAnsi="Arial"/>
                <w:sz w:val="16"/>
                <w:szCs w:val="16"/>
                <w:color w:val="auto"/>
              </w:rPr>
              <w:t>13</w:t>
            </w:r>
          </w:p>
        </w:tc>
        <w:tc>
          <w:tcPr>
            <w:tcW w:w="640" w:type="dxa"/>
            <w:vAlign w:val="bottom"/>
          </w:tcPr>
          <w:p>
            <w:pPr>
              <w:jc w:val="right"/>
              <w:ind w:right="99"/>
              <w:spacing w:after="0" w:line="164" w:lineRule="exact"/>
              <w:rPr>
                <w:sz w:val="20"/>
                <w:szCs w:val="20"/>
                <w:color w:val="auto"/>
              </w:rPr>
            </w:pPr>
            <w:r>
              <w:rPr>
                <w:rFonts w:ascii="Arial" w:cs="Arial" w:eastAsia="Arial" w:hAnsi="Arial"/>
                <w:sz w:val="16"/>
                <w:szCs w:val="16"/>
                <w:color w:val="auto"/>
              </w:rPr>
              <w:t>1</w:t>
            </w:r>
          </w:p>
        </w:tc>
        <w:tc>
          <w:tcPr>
            <w:tcW w:w="64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4" w:lineRule="exact"/>
              <w:rPr>
                <w:sz w:val="20"/>
                <w:szCs w:val="20"/>
                <w:color w:val="auto"/>
              </w:rPr>
            </w:pPr>
            <w:r>
              <w:rPr>
                <w:rFonts w:ascii="Arial" w:cs="Arial" w:eastAsia="Arial" w:hAnsi="Arial"/>
                <w:sz w:val="16"/>
                <w:szCs w:val="16"/>
                <w:color w:val="auto"/>
              </w:rPr>
              <w:t>1,139</w:t>
            </w:r>
          </w:p>
        </w:tc>
      </w:tr>
      <w:tr>
        <w:trPr>
          <w:trHeight w:val="176"/>
        </w:trPr>
        <w:tc>
          <w:tcPr>
            <w:tcW w:w="364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252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309</w:t>
            </w:r>
          </w:p>
        </w:tc>
        <w:tc>
          <w:tcPr>
            <w:tcW w:w="640" w:type="dxa"/>
            <w:vAlign w:val="bottom"/>
          </w:tcPr>
          <w:p>
            <w:pPr>
              <w:spacing w:after="0"/>
              <w:rPr>
                <w:sz w:val="15"/>
                <w:szCs w:val="15"/>
                <w:color w:val="auto"/>
              </w:rPr>
            </w:pPr>
          </w:p>
        </w:tc>
        <w:tc>
          <w:tcPr>
            <w:tcW w:w="1580" w:type="dxa"/>
            <w:vAlign w:val="bottom"/>
          </w:tcPr>
          <w:p>
            <w:pPr>
              <w:jc w:val="right"/>
              <w:ind w:right="561"/>
              <w:spacing w:after="0" w:line="176" w:lineRule="exact"/>
              <w:rPr>
                <w:sz w:val="20"/>
                <w:szCs w:val="20"/>
                <w:color w:val="auto"/>
              </w:rPr>
            </w:pPr>
            <w:r>
              <w:rPr>
                <w:rFonts w:ascii="Arial" w:cs="Arial" w:eastAsia="Arial" w:hAnsi="Arial"/>
                <w:sz w:val="16"/>
                <w:szCs w:val="16"/>
                <w:color w:val="auto"/>
              </w:rPr>
              <w:t>(247)</w:t>
            </w:r>
          </w:p>
        </w:tc>
        <w:tc>
          <w:tcPr>
            <w:tcW w:w="640" w:type="dxa"/>
            <w:vAlign w:val="bottom"/>
          </w:tcPr>
          <w:p>
            <w:pPr>
              <w:jc w:val="right"/>
              <w:ind w:right="59"/>
              <w:spacing w:after="0" w:line="176" w:lineRule="exact"/>
              <w:rPr>
                <w:sz w:val="20"/>
                <w:szCs w:val="20"/>
                <w:color w:val="auto"/>
              </w:rPr>
            </w:pPr>
            <w:r>
              <w:rPr>
                <w:rFonts w:ascii="Arial" w:cs="Arial" w:eastAsia="Arial" w:hAnsi="Arial"/>
                <w:sz w:val="16"/>
                <w:szCs w:val="16"/>
                <w:color w:val="auto"/>
              </w:rPr>
              <w:t>(44)</w:t>
            </w:r>
          </w:p>
        </w:tc>
        <w:tc>
          <w:tcPr>
            <w:tcW w:w="64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556</w:t>
            </w:r>
          </w:p>
        </w:tc>
      </w:tr>
      <w:tr>
        <w:trPr>
          <w:trHeight w:val="19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25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6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276</w:t>
            </w: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63</w:t>
            </w: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Sempra Energy increased in 2012 primarily due to:</w:t>
      </w:r>
    </w:p>
    <w:p>
      <w:pPr>
        <w:spacing w:after="0" w:line="225" w:lineRule="exact"/>
        <w:rPr>
          <w:sz w:val="20"/>
          <w:szCs w:val="20"/>
          <w:color w:val="auto"/>
        </w:rPr>
      </w:pPr>
    </w:p>
    <w:p>
      <w:pPr>
        <w:ind w:left="340" w:hanging="188"/>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$336 million decrease in accounts receivable in 2012 compared to a $162 million decrease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$130 million settlement payment in 2011 related to energy crisis litigation;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$38 million higher net income, adjusted for noncash items included in earnings, in 2012 compared to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$300 million of funds received in 2011 from a wildfire litigation settlement, which is offset by an increase in restricted cash in cash flows from investing activities.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SDG&amp;E decreased in 2012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$300 million of funds received in 2011 from a wildfire litigation settlement, which is offset by an increase in restricted cash in cash flows from investing activities;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$29 million of income tax payments made in 2011 compared to $26 million of income tax refunds received in 2012.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SoCalGas increased in 2012 primarily due to:</w:t>
      </w:r>
    </w:p>
    <w:p>
      <w:pPr>
        <w:spacing w:after="0" w:line="225" w:lineRule="exact"/>
        <w:rPr>
          <w:sz w:val="20"/>
          <w:szCs w:val="20"/>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$284 million decrease in accounts receivable in 2012 compared to a $169 million decrease in 2011; and</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 increase of $146 million in overcollected regulatory balancing accounts in 2012 compared to a decrease of $44 million in 2011. Over- and undercollected regulatory balancing accounts reflect the difference between customer billings and recorded or CPUC-authorized costs. These differences are required to be balanced over time; </w:t>
      </w:r>
      <w:r>
        <w:rPr>
          <w:rFonts w:ascii="Arial" w:cs="Arial" w:eastAsia="Arial" w:hAnsi="Arial"/>
          <w:sz w:val="18"/>
          <w:szCs w:val="18"/>
          <w:b w:val="1"/>
          <w:bCs w:val="1"/>
          <w:color w:val="auto"/>
        </w:rPr>
        <w:t>offset by</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$31 million lower net income, adjusted for noncash items included in earnings, in 2012 compared to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contributions to pension and other postretirement benefit plans for the six months ended June 30, 2012.</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jc w:val="center"/>
              <w:ind w:right="363"/>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65"/>
        </w:trPr>
        <w:tc>
          <w:tcPr>
            <w:tcW w:w="42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020" w:type="dxa"/>
            <w:vAlign w:val="bottom"/>
          </w:tcPr>
          <w:p>
            <w:pPr>
              <w:ind w:left="3100"/>
              <w:spacing w:after="0"/>
              <w:rPr>
                <w:sz w:val="20"/>
                <w:szCs w:val="20"/>
                <w:color w:val="auto"/>
              </w:rPr>
            </w:pPr>
            <w:r>
              <w:rPr>
                <w:rFonts w:ascii="Arial" w:cs="Arial" w:eastAsia="Arial" w:hAnsi="Arial"/>
                <w:sz w:val="14"/>
                <w:szCs w:val="14"/>
                <w:color w:val="auto"/>
              </w:rPr>
              <w:t>Pension</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jc w:val="center"/>
              <w:ind w:right="383"/>
              <w:spacing w:after="0"/>
              <w:rPr>
                <w:sz w:val="20"/>
                <w:szCs w:val="20"/>
                <w:color w:val="auto"/>
              </w:rPr>
            </w:pPr>
            <w:r>
              <w:rPr>
                <w:rFonts w:ascii="Arial" w:cs="Arial" w:eastAsia="Arial" w:hAnsi="Arial"/>
                <w:sz w:val="14"/>
                <w:szCs w:val="14"/>
                <w:color w:val="auto"/>
              </w:rPr>
              <w:t>Postretirement</w:t>
            </w:r>
          </w:p>
        </w:tc>
        <w:tc>
          <w:tcPr>
            <w:tcW w:w="0" w:type="dxa"/>
            <w:vAlign w:val="bottom"/>
          </w:tcPr>
          <w:p>
            <w:pPr>
              <w:spacing w:after="0"/>
              <w:rPr>
                <w:sz w:val="1"/>
                <w:szCs w:val="1"/>
                <w:color w:val="auto"/>
              </w:rPr>
            </w:pPr>
          </w:p>
        </w:tc>
      </w:tr>
      <w:tr>
        <w:trPr>
          <w:trHeight w:val="164"/>
        </w:trPr>
        <w:tc>
          <w:tcPr>
            <w:tcW w:w="4220" w:type="dxa"/>
            <w:vAlign w:val="bottom"/>
            <w:tcBorders>
              <w:bottom w:val="single" w:sz="8" w:color="auto"/>
            </w:tcBorders>
            <w:vMerge w:val="continue"/>
          </w:tcPr>
          <w:p>
            <w:pPr>
              <w:spacing w:after="0"/>
              <w:rPr>
                <w:sz w:val="14"/>
                <w:szCs w:val="14"/>
                <w:color w:val="auto"/>
              </w:rPr>
            </w:pPr>
          </w:p>
        </w:tc>
        <w:tc>
          <w:tcPr>
            <w:tcW w:w="4020" w:type="dxa"/>
            <w:vAlign w:val="bottom"/>
            <w:tcBorders>
              <w:bottom w:val="single" w:sz="8" w:color="auto"/>
            </w:tcBorders>
          </w:tcPr>
          <w:p>
            <w:pPr>
              <w:ind w:left="3100"/>
              <w:spacing w:after="0" w:line="157" w:lineRule="exact"/>
              <w:rPr>
                <w:sz w:val="20"/>
                <w:szCs w:val="20"/>
                <w:color w:val="auto"/>
              </w:rPr>
            </w:pPr>
            <w:r>
              <w:rPr>
                <w:rFonts w:ascii="Arial" w:cs="Arial" w:eastAsia="Arial" w:hAnsi="Arial"/>
                <w:sz w:val="14"/>
                <w:szCs w:val="14"/>
                <w:color w:val="auto"/>
              </w:rPr>
              <w:t>Benefits</w:t>
            </w: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center"/>
              <w:ind w:right="363"/>
              <w:spacing w:after="0" w:line="157" w:lineRule="exact"/>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64"/>
        </w:trPr>
        <w:tc>
          <w:tcPr>
            <w:tcW w:w="422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4020" w:type="dxa"/>
            <w:vAlign w:val="bottom"/>
          </w:tcPr>
          <w:p>
            <w:pPr>
              <w:jc w:val="right"/>
              <w:ind w:right="1765"/>
              <w:spacing w:after="0" w:line="164"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4" w:lineRule="exact"/>
              <w:rPr>
                <w:sz w:val="20"/>
                <w:szCs w:val="20"/>
                <w:color w:val="auto"/>
              </w:rPr>
            </w:pPr>
            <w:r>
              <w:rPr>
                <w:rFonts w:ascii="Arial" w:cs="Arial" w:eastAsia="Arial" w:hAnsi="Arial"/>
                <w:sz w:val="16"/>
                <w:szCs w:val="16"/>
                <w:color w:val="auto"/>
              </w:rPr>
              <w:t>70</w:t>
            </w:r>
          </w:p>
        </w:tc>
        <w:tc>
          <w:tcPr>
            <w:tcW w:w="460" w:type="dxa"/>
            <w:vAlign w:val="bottom"/>
          </w:tcPr>
          <w:p>
            <w:pPr>
              <w:jc w:val="right"/>
              <w:ind w:right="279"/>
              <w:spacing w:after="0" w:line="164" w:lineRule="exact"/>
              <w:rPr>
                <w:sz w:val="20"/>
                <w:szCs w:val="20"/>
                <w:color w:val="auto"/>
              </w:rPr>
            </w:pPr>
            <w:r>
              <w:rPr>
                <w:rFonts w:ascii="Arial" w:cs="Arial" w:eastAsia="Arial" w:hAnsi="Arial"/>
                <w:sz w:val="16"/>
                <w:szCs w:val="16"/>
                <w:color w:val="auto"/>
                <w:w w:val="89"/>
              </w:rPr>
              <w:t>$</w:t>
            </w:r>
          </w:p>
        </w:tc>
        <w:tc>
          <w:tcPr>
            <w:tcW w:w="2120" w:type="dxa"/>
            <w:vAlign w:val="bottom"/>
          </w:tcPr>
          <w:p>
            <w:pPr>
              <w:jc w:val="right"/>
              <w:spacing w:after="0" w:line="164"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6"/>
        </w:trPr>
        <w:tc>
          <w:tcPr>
            <w:tcW w:w="4220" w:type="dxa"/>
            <w:vAlign w:val="bottom"/>
          </w:tcPr>
          <w:p>
            <w:pPr>
              <w:spacing w:after="0" w:line="176" w:lineRule="exact"/>
              <w:rPr>
                <w:sz w:val="20"/>
                <w:szCs w:val="20"/>
                <w:color w:val="auto"/>
              </w:rPr>
            </w:pPr>
            <w:r>
              <w:rPr>
                <w:rFonts w:ascii="Arial" w:cs="Arial" w:eastAsia="Arial" w:hAnsi="Arial"/>
                <w:sz w:val="16"/>
                <w:szCs w:val="16"/>
                <w:color w:val="auto"/>
              </w:rPr>
              <w:t>SDG&amp;E</w:t>
            </w:r>
          </w:p>
        </w:tc>
        <w:tc>
          <w:tcPr>
            <w:tcW w:w="40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460" w:type="dxa"/>
            <w:vAlign w:val="bottom"/>
          </w:tcPr>
          <w:p>
            <w:pPr>
              <w:spacing w:after="0"/>
              <w:rPr>
                <w:sz w:val="15"/>
                <w:szCs w:val="15"/>
                <w:color w:val="auto"/>
              </w:rPr>
            </w:pPr>
          </w:p>
        </w:tc>
        <w:tc>
          <w:tcPr>
            <w:tcW w:w="212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4"/>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4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2012</w:t>
            </w:r>
          </w:p>
        </w:tc>
        <w:tc>
          <w:tcPr>
            <w:tcW w:w="1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81"/>
              <w:spacing w:after="0" w:line="157" w:lineRule="exact"/>
              <w:rPr>
                <w:sz w:val="20"/>
                <w:szCs w:val="20"/>
                <w:color w:val="auto"/>
              </w:rPr>
            </w:pPr>
            <w:r>
              <w:rPr>
                <w:rFonts w:ascii="Arial" w:cs="Arial" w:eastAsia="Arial" w:hAnsi="Arial"/>
                <w:sz w:val="14"/>
                <w:szCs w:val="14"/>
                <w:color w:val="auto"/>
              </w:rPr>
              <w:t>2012 Change</w:t>
            </w: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1"/>
              <w:spacing w:after="0" w:line="157"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62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2500" w:type="dxa"/>
            <w:vAlign w:val="bottom"/>
          </w:tcPr>
          <w:p>
            <w:pPr>
              <w:jc w:val="right"/>
              <w:ind w:right="823"/>
              <w:spacing w:after="0" w:line="164"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39"/>
              <w:spacing w:after="0" w:line="164" w:lineRule="exact"/>
              <w:rPr>
                <w:sz w:val="20"/>
                <w:szCs w:val="20"/>
                <w:color w:val="auto"/>
              </w:rPr>
            </w:pPr>
            <w:r>
              <w:rPr>
                <w:rFonts w:ascii="Arial" w:cs="Arial" w:eastAsia="Arial" w:hAnsi="Arial"/>
                <w:sz w:val="16"/>
                <w:szCs w:val="16"/>
                <w:color w:val="auto"/>
              </w:rPr>
              <w:t>(1,781)$</w:t>
            </w:r>
          </w:p>
        </w:tc>
        <w:tc>
          <w:tcPr>
            <w:tcW w:w="1640" w:type="dxa"/>
            <w:vAlign w:val="bottom"/>
          </w:tcPr>
          <w:p>
            <w:pPr>
              <w:jc w:val="right"/>
              <w:ind w:right="661"/>
              <w:spacing w:after="0" w:line="164" w:lineRule="exact"/>
              <w:rPr>
                <w:sz w:val="20"/>
                <w:szCs w:val="20"/>
                <w:color w:val="auto"/>
              </w:rPr>
            </w:pPr>
            <w:r>
              <w:rPr>
                <w:rFonts w:ascii="Arial" w:cs="Arial" w:eastAsia="Arial" w:hAnsi="Arial"/>
                <w:sz w:val="16"/>
                <w:szCs w:val="16"/>
                <w:color w:val="auto"/>
              </w:rPr>
              <w:t>128</w:t>
            </w:r>
          </w:p>
        </w:tc>
        <w:tc>
          <w:tcPr>
            <w:tcW w:w="580" w:type="dxa"/>
            <w:vAlign w:val="bottom"/>
          </w:tcPr>
          <w:p>
            <w:pPr>
              <w:jc w:val="center"/>
              <w:ind w:left="59"/>
              <w:spacing w:after="0" w:line="164" w:lineRule="exact"/>
              <w:rPr>
                <w:sz w:val="20"/>
                <w:szCs w:val="20"/>
                <w:color w:val="auto"/>
              </w:rPr>
            </w:pPr>
            <w:r>
              <w:rPr>
                <w:rFonts w:ascii="Arial" w:cs="Arial" w:eastAsia="Arial" w:hAnsi="Arial"/>
                <w:sz w:val="16"/>
                <w:szCs w:val="16"/>
                <w:color w:val="auto"/>
                <w:w w:val="89"/>
              </w:rPr>
              <w:t>8</w:t>
            </w:r>
          </w:p>
        </w:tc>
        <w:tc>
          <w:tcPr>
            <w:tcW w:w="64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4" w:lineRule="exact"/>
              <w:rPr>
                <w:sz w:val="20"/>
                <w:szCs w:val="20"/>
                <w:color w:val="auto"/>
              </w:rPr>
            </w:pPr>
            <w:r>
              <w:rPr>
                <w:rFonts w:ascii="Arial" w:cs="Arial" w:eastAsia="Arial" w:hAnsi="Arial"/>
                <w:sz w:val="16"/>
                <w:szCs w:val="16"/>
                <w:color w:val="auto"/>
              </w:rPr>
              <w:t>(1,653)</w:t>
            </w:r>
          </w:p>
        </w:tc>
        <w:tc>
          <w:tcPr>
            <w:tcW w:w="20" w:type="dxa"/>
            <w:vAlign w:val="bottom"/>
          </w:tcPr>
          <w:p>
            <w:pPr>
              <w:spacing w:after="0"/>
              <w:rPr>
                <w:sz w:val="14"/>
                <w:szCs w:val="14"/>
                <w:color w:val="auto"/>
              </w:rPr>
            </w:pPr>
          </w:p>
        </w:tc>
      </w:tr>
      <w:tr>
        <w:trPr>
          <w:trHeight w:val="176"/>
        </w:trPr>
        <w:tc>
          <w:tcPr>
            <w:tcW w:w="364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2500" w:type="dxa"/>
            <w:vAlign w:val="bottom"/>
          </w:tcPr>
          <w:p>
            <w:pPr>
              <w:spacing w:after="0"/>
              <w:rPr>
                <w:sz w:val="15"/>
                <w:szCs w:val="15"/>
                <w:color w:val="auto"/>
              </w:rPr>
            </w:pPr>
          </w:p>
        </w:tc>
        <w:tc>
          <w:tcPr>
            <w:tcW w:w="1180" w:type="dxa"/>
            <w:vAlign w:val="bottom"/>
          </w:tcPr>
          <w:p>
            <w:pPr>
              <w:jc w:val="right"/>
              <w:ind w:right="539"/>
              <w:spacing w:after="0" w:line="176" w:lineRule="exact"/>
              <w:rPr>
                <w:sz w:val="20"/>
                <w:szCs w:val="20"/>
                <w:color w:val="auto"/>
              </w:rPr>
            </w:pPr>
            <w:r>
              <w:rPr>
                <w:rFonts w:ascii="Arial" w:cs="Arial" w:eastAsia="Arial" w:hAnsi="Arial"/>
                <w:sz w:val="16"/>
                <w:szCs w:val="16"/>
                <w:color w:val="auto"/>
              </w:rPr>
              <w:t>(721)</w:t>
            </w:r>
          </w:p>
        </w:tc>
        <w:tc>
          <w:tcPr>
            <w:tcW w:w="1640" w:type="dxa"/>
            <w:vAlign w:val="bottom"/>
          </w:tcPr>
          <w:p>
            <w:pPr>
              <w:jc w:val="right"/>
              <w:ind w:right="621"/>
              <w:spacing w:after="0" w:line="176" w:lineRule="exact"/>
              <w:rPr>
                <w:sz w:val="20"/>
                <w:szCs w:val="20"/>
                <w:color w:val="auto"/>
              </w:rPr>
            </w:pPr>
            <w:r>
              <w:rPr>
                <w:rFonts w:ascii="Arial" w:cs="Arial" w:eastAsia="Arial" w:hAnsi="Arial"/>
                <w:sz w:val="16"/>
                <w:szCs w:val="16"/>
                <w:color w:val="auto"/>
              </w:rPr>
              <w:t>(70)</w:t>
            </w:r>
          </w:p>
        </w:tc>
        <w:tc>
          <w:tcPr>
            <w:tcW w:w="580" w:type="dxa"/>
            <w:vAlign w:val="bottom"/>
          </w:tcPr>
          <w:p>
            <w:pPr>
              <w:jc w:val="center"/>
              <w:ind w:left="19"/>
              <w:spacing w:after="0" w:line="176" w:lineRule="exact"/>
              <w:rPr>
                <w:sz w:val="20"/>
                <w:szCs w:val="20"/>
                <w:color w:val="auto"/>
              </w:rPr>
            </w:pPr>
            <w:r>
              <w:rPr>
                <w:rFonts w:ascii="Arial" w:cs="Arial" w:eastAsia="Arial" w:hAnsi="Arial"/>
                <w:sz w:val="16"/>
                <w:szCs w:val="16"/>
                <w:color w:val="auto"/>
              </w:rPr>
              <w:t>(9)</w:t>
            </w:r>
          </w:p>
        </w:tc>
        <w:tc>
          <w:tcPr>
            <w:tcW w:w="640" w:type="dxa"/>
            <w:vAlign w:val="bottom"/>
          </w:tcPr>
          <w:p>
            <w:pPr>
              <w:spacing w:after="0"/>
              <w:rPr>
                <w:sz w:val="15"/>
                <w:szCs w:val="15"/>
                <w:color w:val="auto"/>
              </w:rPr>
            </w:pPr>
          </w:p>
        </w:tc>
        <w:tc>
          <w:tcPr>
            <w:tcW w:w="12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(791)</w:t>
            </w:r>
          </w:p>
        </w:tc>
      </w:tr>
      <w:tr>
        <w:trPr>
          <w:trHeight w:val="19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2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(586)</w:t>
            </w:r>
          </w:p>
        </w:tc>
        <w:tc>
          <w:tcPr>
            <w:tcW w:w="16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50</w:t>
            </w:r>
          </w:p>
        </w:tc>
        <w:tc>
          <w:tcPr>
            <w:tcW w:w="58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89"/>
              </w:rPr>
              <w:t>9</w:t>
            </w:r>
          </w:p>
        </w:tc>
        <w:tc>
          <w:tcPr>
            <w:tcW w:w="6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(536)</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ectPr>
          <w:pgSz w:w="11900" w:h="16838" w:orient="portrait"/>
          <w:cols w:equalWidth="0" w:num="1">
            <w:col w:w="11420"/>
          </w:cols>
          <w:pgMar w:left="240" w:top="136" w:right="239" w:bottom="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at Sempra Energy increased in 2012 primarily due to:</w:t>
      </w:r>
    </w:p>
    <w:p>
      <w:pPr>
        <w:spacing w:after="0" w:line="248" w:lineRule="exact"/>
        <w:rPr>
          <w:sz w:val="20"/>
          <w:szCs w:val="20"/>
          <w:color w:val="auto"/>
        </w:rPr>
      </w:pPr>
    </w:p>
    <w:p>
      <w:pPr>
        <w:ind w:left="340" w:hanging="188"/>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$292 million increase in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$276 million in distributions received from RBS Sempra Commodities in 2011; and</w:t>
      </w:r>
    </w:p>
    <w:p>
      <w:pPr>
        <w:sectPr>
          <w:pgSz w:w="11900" w:h="16838" w:orient="portrait"/>
          <w:cols w:equalWidth="0" w:num="1">
            <w:col w:w="11420"/>
          </w:cols>
          <w:pgMar w:left="240" w:top="136" w:right="239" w:bottom="0" w:gutter="0" w:footer="0" w:header="0"/>
          <w:type w:val="continuous"/>
        </w:sectPr>
      </w:pPr>
    </w:p>
    <w:bookmarkStart w:id="67" w:name="page68"/>
    <w:bookmarkEnd w:id="67"/>
    <w:p>
      <w:pPr>
        <w:ind w:left="340" w:hanging="188"/>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$208 million invested in Flat Ridge 2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$611 million in cash used to fund Sempra South American Utilities’ purchase of South American entities in 2011; and</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$67 million net increase in SDG&amp;E’s restricted cash in 2011 due to $300 million in funds received from a wildfire litigation settlement, net of $233 million in wildfire litigation settlement payments using these restricted funds.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SDG&amp;E decreased in 2012 primarily due to:</w:t>
      </w:r>
    </w:p>
    <w:p>
      <w:pPr>
        <w:spacing w:after="0" w:line="225" w:lineRule="exact"/>
        <w:rPr>
          <w:sz w:val="20"/>
          <w:szCs w:val="20"/>
          <w:color w:val="auto"/>
        </w:rPr>
      </w:pPr>
    </w:p>
    <w:p>
      <w:pPr>
        <w:ind w:left="340" w:right="20" w:hanging="188"/>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 $67 million net increase in SDG&amp;E’s restricted cash in 2011 due to $300 million in funds received from a wildfire litigation settlement, net of $233 million in wildfire litigation settlement payments using these restricted funds;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$15 million increase in capital expenditures.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used in investing activities at SoCalGas increased in 2012 primarily due to a $59 million higher increase in the amount advanced to Sempra Energy in 2012 as compared to 2011.</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CONSTRUCTION EXPENDITURES AND INVESTMENTS</w:t>
      </w:r>
    </w:p>
    <w:p>
      <w:pPr>
        <w:spacing w:after="0" w:line="23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amounts and timing of capital expenditures are generally subject to approvals by the CPUC, the Federal Energy Regulatory Commission (FERC) and other regulatory bodies. However, in 2012, we expect to make capital expenditures and investments of approximately $3.1 billion. These expenditures include</w:t>
      </w:r>
    </w:p>
    <w:p>
      <w:pPr>
        <w:spacing w:after="0" w:line="124" w:lineRule="exact"/>
        <w:rPr>
          <w:sz w:val="20"/>
          <w:szCs w:val="20"/>
          <w:color w:val="auto"/>
        </w:rPr>
      </w:pPr>
    </w:p>
    <w:p>
      <w:pPr>
        <w:ind w:left="340" w:hanging="188"/>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$1.9 billion at the California Utilities for capital projects and plant improvements ($1.2 billion at SDG&amp;E and $680 million at SoCalGas)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$1.2 billion at our other subsidiaries for capital projects in South America, renewable energy generation projects, and development of natural gas storage facilities and pipelines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 2012, the California Utilities expect their capital expenditures to include</w:t>
      </w:r>
    </w:p>
    <w:p>
      <w:pPr>
        <w:spacing w:after="0" w:line="225" w:lineRule="exact"/>
        <w:rPr>
          <w:sz w:val="20"/>
          <w:szCs w:val="20"/>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$630 million for improvements to SDG&amp;E’s natural gas and electric distribution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$150 million at SDG&amp;E for the Sunrise Powerlink transmission line and substation expansions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$300 million for improvements to SDG&amp;E’s electric transmission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$90 million for SDG&amp;E’s electric generation plants and equipment</w:t>
      </w:r>
    </w:p>
    <w:p>
      <w:pPr>
        <w:spacing w:after="0" w:line="252" w:lineRule="exact"/>
        <w:rPr>
          <w:rFonts w:ascii="Arial" w:cs="Arial" w:eastAsia="Arial" w:hAnsi="Arial"/>
          <w:sz w:val="18"/>
          <w:szCs w:val="18"/>
          <w:color w:val="auto"/>
        </w:rPr>
      </w:pPr>
    </w:p>
    <w:p>
      <w:pPr>
        <w:ind w:right="400" w:firstLine="152"/>
        <w:spacing w:after="0" w:line="547" w:lineRule="auto"/>
        <w:tabs>
          <w:tab w:leader="none" w:pos="32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$680 million at SoCalGas for improvements to distribution and transmission systems and storage facilities, and for advanced metering infrastructure The California Utilities expect to finance these expenditures with cash flows from operations, cash on hand and debt issuances.</w:t>
      </w:r>
    </w:p>
    <w:p>
      <w:pPr>
        <w:ind w:right="80"/>
        <w:spacing w:after="0" w:line="302" w:lineRule="auto"/>
        <w:rPr>
          <w:sz w:val="20"/>
          <w:szCs w:val="20"/>
          <w:color w:val="auto"/>
        </w:rPr>
      </w:pPr>
      <w:r>
        <w:rPr>
          <w:rFonts w:ascii="Arial" w:cs="Arial" w:eastAsia="Arial" w:hAnsi="Arial"/>
          <w:sz w:val="16"/>
          <w:szCs w:val="16"/>
          <w:color w:val="auto"/>
        </w:rPr>
        <w:t>In July 2012, SDG&amp;E received $85 million from Citizens Sunrise Transmission, LLC (Citizens), a subsidiary of Citizens Energy Corporation. For this payment, under the terms of the agreement with Citizens, SDG&amp;E will provide Citizens with access to a segment of the Sunrise Powerlink transmission line known as the Border-East transmission line equal to 50 percent of the line transfer capacity for a period of 30 years. After the 30-year contract term, the transfer capability will revert back to SDG&amp;E. The expected 2012 capital expenditure above for the Sunrise Powerlink is net of Citizens’ July 2012 payment.</w:t>
      </w:r>
    </w:p>
    <w:p>
      <w:pPr>
        <w:spacing w:after="0" w:line="1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2012, the expected capital expenditures and investments of $1.2 billion at our other subsidiaries, net of anticipated project financing and joint venture structures, include</w:t>
      </w:r>
    </w:p>
    <w:p>
      <w:pPr>
        <w:spacing w:after="0" w:line="384"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Sempra South American Utilities</w:t>
      </w:r>
    </w:p>
    <w:p>
      <w:pPr>
        <w:spacing w:after="0" w:line="205" w:lineRule="exact"/>
        <w:rPr>
          <w:sz w:val="20"/>
          <w:szCs w:val="20"/>
          <w:color w:val="auto"/>
        </w:rPr>
      </w:pPr>
    </w:p>
    <w:p>
      <w:pPr>
        <w:ind w:left="660" w:hanging="184"/>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approximately $100 million to $200 million for capital projects in South America, including approximately $70 million for the Santa Teresa hydroelectric power plant at Luz del Sur</w:t>
      </w: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Sempra Renewables</w:t>
      </w:r>
    </w:p>
    <w:p>
      <w:pPr>
        <w:spacing w:after="0" w:line="205" w:lineRule="exact"/>
        <w:rPr>
          <w:sz w:val="20"/>
          <w:szCs w:val="20"/>
          <w:color w:val="auto"/>
        </w:rPr>
      </w:pPr>
    </w:p>
    <w:p>
      <w:pPr>
        <w:ind w:left="660" w:hanging="184"/>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approximately $400 million for investment in the first phase (150 MW) of Mesquite Solar, a solar project at our Mesquite Power plant near Arlington, Arizona</w:t>
      </w:r>
    </w:p>
    <w:p>
      <w:pPr>
        <w:spacing w:after="0" w:line="197" w:lineRule="exact"/>
        <w:rPr>
          <w:rFonts w:ascii="Arial" w:cs="Arial" w:eastAsia="Arial" w:hAnsi="Arial"/>
          <w:sz w:val="18"/>
          <w:szCs w:val="18"/>
          <w:color w:val="auto"/>
        </w:rPr>
      </w:pPr>
    </w:p>
    <w:p>
      <w:pPr>
        <w:ind w:left="660" w:right="20" w:hanging="184"/>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approximately $350 million for investment in the second phase (150 MW) of Copper Mountain Solar, a solar project located near Boulder City, Nevada</w:t>
      </w:r>
    </w:p>
    <w:p>
      <w:pPr>
        <w:spacing w:after="0" w:line="197" w:lineRule="exact"/>
        <w:rPr>
          <w:rFonts w:ascii="Arial" w:cs="Arial" w:eastAsia="Arial" w:hAnsi="Arial"/>
          <w:sz w:val="18"/>
          <w:szCs w:val="18"/>
          <w:color w:val="auto"/>
        </w:rPr>
      </w:pPr>
    </w:p>
    <w:p>
      <w:pPr>
        <w:ind w:left="660" w:hanging="184"/>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approximately $150 million for investment in other renewable energy projects</w:t>
      </w:r>
    </w:p>
    <w:p>
      <w:pPr>
        <w:sectPr>
          <w:pgSz w:w="11900" w:h="16838" w:orient="portrait"/>
          <w:cols w:equalWidth="0" w:num="1">
            <w:col w:w="11420"/>
          </w:cols>
          <w:pgMar w:left="240" w:top="364" w:right="239" w:bottom="0" w:gutter="0" w:footer="0" w:header="0"/>
        </w:sectPr>
      </w:pPr>
    </w:p>
    <w:bookmarkStart w:id="68" w:name="page69"/>
    <w:bookmarkEnd w:id="68"/>
    <w:p>
      <w:pPr>
        <w:ind w:left="500"/>
        <w:spacing w:after="0"/>
        <w:rPr>
          <w:sz w:val="20"/>
          <w:szCs w:val="20"/>
          <w:color w:val="auto"/>
        </w:rPr>
      </w:pPr>
      <w:r>
        <w:rPr>
          <w:rFonts w:ascii="Arial" w:cs="Arial" w:eastAsia="Arial" w:hAnsi="Arial"/>
          <w:sz w:val="20"/>
          <w:szCs w:val="20"/>
          <w:i w:val="1"/>
          <w:iCs w:val="1"/>
          <w:color w:val="auto"/>
        </w:rPr>
        <w:t>Sempra Natural Gas</w:t>
      </w:r>
    </w:p>
    <w:p>
      <w:pPr>
        <w:spacing w:after="0" w:line="205" w:lineRule="exact"/>
        <w:rPr>
          <w:sz w:val="20"/>
          <w:szCs w:val="20"/>
          <w:color w:val="auto"/>
        </w:rPr>
      </w:pPr>
    </w:p>
    <w:p>
      <w:pPr>
        <w:ind w:left="660" w:hanging="184"/>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approximately $100 million for development of natural gas storage projects at Bay Gas and Mississippi Hub</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approximately $50 million to $100 million for other natural gas projects</w:t>
      </w:r>
    </w:p>
    <w:p>
      <w:pPr>
        <w:spacing w:after="0" w:line="25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Our level of capital expenditures and investments in the next few years may vary substantially and will depend on the cost and availability of financing, regulatory approvals, changes in U.S. federal tax law and business opportunities providing desirable rates of return. We intend to finance our capital expenditures in a manner that will maintain our strong investment-grade credit ratings and capital structure.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9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103"/>
              <w:spacing w:after="0" w:line="157" w:lineRule="exact"/>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21"/>
              <w:spacing w:after="0" w:line="157" w:lineRule="exact"/>
              <w:rPr>
                <w:sz w:val="20"/>
                <w:szCs w:val="20"/>
                <w:color w:val="auto"/>
              </w:rPr>
            </w:pPr>
            <w:r>
              <w:rPr>
                <w:rFonts w:ascii="Arial" w:cs="Arial" w:eastAsia="Arial" w:hAnsi="Arial"/>
                <w:sz w:val="14"/>
                <w:szCs w:val="14"/>
                <w:color w:val="auto"/>
              </w:rPr>
              <w:t>2012 Change</w:t>
            </w: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61"/>
              <w:spacing w:after="0" w:line="157"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90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3000" w:type="dxa"/>
            <w:vAlign w:val="bottom"/>
          </w:tcPr>
          <w:p>
            <w:pPr>
              <w:jc w:val="right"/>
              <w:ind w:right="1023"/>
              <w:spacing w:after="0" w:line="164" w:lineRule="exact"/>
              <w:rPr>
                <w:sz w:val="20"/>
                <w:szCs w:val="20"/>
                <w:color w:val="auto"/>
              </w:rPr>
            </w:pPr>
            <w:r>
              <w:rPr>
                <w:rFonts w:ascii="Arial" w:cs="Arial" w:eastAsia="Arial" w:hAnsi="Arial"/>
                <w:sz w:val="16"/>
                <w:szCs w:val="16"/>
                <w:color w:val="auto"/>
              </w:rPr>
              <w:t>$</w:t>
            </w:r>
          </w:p>
        </w:tc>
        <w:tc>
          <w:tcPr>
            <w:tcW w:w="540" w:type="dxa"/>
            <w:vAlign w:val="bottom"/>
          </w:tcPr>
          <w:p>
            <w:pPr>
              <w:jc w:val="center"/>
              <w:ind w:left="99"/>
              <w:spacing w:after="0" w:line="164" w:lineRule="exact"/>
              <w:rPr>
                <w:sz w:val="20"/>
                <w:szCs w:val="20"/>
                <w:color w:val="auto"/>
              </w:rPr>
            </w:pPr>
            <w:r>
              <w:rPr>
                <w:rFonts w:ascii="Arial" w:cs="Arial" w:eastAsia="Arial" w:hAnsi="Arial"/>
                <w:sz w:val="16"/>
                <w:szCs w:val="16"/>
                <w:color w:val="auto"/>
              </w:rPr>
              <w:t>594</w:t>
            </w:r>
          </w:p>
        </w:tc>
        <w:tc>
          <w:tcPr>
            <w:tcW w:w="380" w:type="dxa"/>
            <w:vAlign w:val="bottom"/>
          </w:tcPr>
          <w:p>
            <w:pPr>
              <w:jc w:val="right"/>
              <w:ind w:right="199"/>
              <w:spacing w:after="0" w:line="164" w:lineRule="exact"/>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81"/>
              <w:spacing w:after="0" w:line="164" w:lineRule="exact"/>
              <w:rPr>
                <w:sz w:val="20"/>
                <w:szCs w:val="20"/>
                <w:color w:val="auto"/>
              </w:rPr>
            </w:pPr>
            <w:r>
              <w:rPr>
                <w:rFonts w:ascii="Arial" w:cs="Arial" w:eastAsia="Arial" w:hAnsi="Arial"/>
                <w:sz w:val="16"/>
                <w:szCs w:val="16"/>
                <w:color w:val="auto"/>
              </w:rPr>
              <w:t>596</w:t>
            </w:r>
          </w:p>
        </w:tc>
        <w:tc>
          <w:tcPr>
            <w:tcW w:w="660" w:type="dxa"/>
            <w:vAlign w:val="bottom"/>
          </w:tcPr>
          <w:p>
            <w:pPr>
              <w:jc w:val="right"/>
              <w:ind w:right="219"/>
              <w:spacing w:after="0" w:line="164"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64"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4"/>
                <w:szCs w:val="14"/>
                <w:color w:val="auto"/>
              </w:rPr>
            </w:pPr>
          </w:p>
        </w:tc>
      </w:tr>
      <w:tr>
        <w:trPr>
          <w:trHeight w:val="176"/>
        </w:trPr>
        <w:tc>
          <w:tcPr>
            <w:tcW w:w="392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3000" w:type="dxa"/>
            <w:vAlign w:val="bottom"/>
          </w:tcPr>
          <w:p>
            <w:pPr>
              <w:spacing w:after="0"/>
              <w:rPr>
                <w:sz w:val="15"/>
                <w:szCs w:val="15"/>
                <w:color w:val="auto"/>
              </w:rPr>
            </w:pPr>
          </w:p>
        </w:tc>
        <w:tc>
          <w:tcPr>
            <w:tcW w:w="540" w:type="dxa"/>
            <w:vAlign w:val="bottom"/>
          </w:tcPr>
          <w:p>
            <w:pPr>
              <w:jc w:val="center"/>
              <w:ind w:left="99"/>
              <w:spacing w:after="0" w:line="176" w:lineRule="exact"/>
              <w:rPr>
                <w:sz w:val="20"/>
                <w:szCs w:val="20"/>
                <w:color w:val="auto"/>
              </w:rPr>
            </w:pPr>
            <w:r>
              <w:rPr>
                <w:rFonts w:ascii="Arial" w:cs="Arial" w:eastAsia="Arial" w:hAnsi="Arial"/>
                <w:sz w:val="16"/>
                <w:szCs w:val="16"/>
                <w:color w:val="auto"/>
              </w:rPr>
              <w:t>412</w:t>
            </w:r>
          </w:p>
        </w:tc>
        <w:tc>
          <w:tcPr>
            <w:tcW w:w="380" w:type="dxa"/>
            <w:vAlign w:val="bottom"/>
          </w:tcPr>
          <w:p>
            <w:pPr>
              <w:spacing w:after="0"/>
              <w:rPr>
                <w:sz w:val="15"/>
                <w:szCs w:val="15"/>
                <w:color w:val="auto"/>
              </w:rPr>
            </w:pPr>
          </w:p>
        </w:tc>
        <w:tc>
          <w:tcPr>
            <w:tcW w:w="1560" w:type="dxa"/>
            <w:vAlign w:val="bottom"/>
          </w:tcPr>
          <w:p>
            <w:pPr>
              <w:jc w:val="right"/>
              <w:ind w:right="181"/>
              <w:spacing w:after="0" w:line="176" w:lineRule="exact"/>
              <w:rPr>
                <w:sz w:val="20"/>
                <w:szCs w:val="20"/>
                <w:color w:val="auto"/>
              </w:rPr>
            </w:pPr>
            <w:r>
              <w:rPr>
                <w:rFonts w:ascii="Arial" w:cs="Arial" w:eastAsia="Arial" w:hAnsi="Arial"/>
                <w:sz w:val="16"/>
                <w:szCs w:val="16"/>
                <w:color w:val="auto"/>
              </w:rPr>
              <w:t>219</w:t>
            </w:r>
          </w:p>
        </w:tc>
        <w:tc>
          <w:tcPr>
            <w:tcW w:w="66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Arial" w:cs="Arial" w:eastAsia="Arial" w:hAnsi="Arial"/>
                <w:sz w:val="16"/>
                <w:szCs w:val="16"/>
                <w:color w:val="auto"/>
              </w:rPr>
              <w:t>193</w:t>
            </w:r>
          </w:p>
        </w:tc>
        <w:tc>
          <w:tcPr>
            <w:tcW w:w="20" w:type="dxa"/>
            <w:vAlign w:val="bottom"/>
          </w:tcPr>
          <w:p>
            <w:pPr>
              <w:spacing w:after="0"/>
              <w:rPr>
                <w:sz w:val="15"/>
                <w:szCs w:val="15"/>
                <w:color w:val="auto"/>
              </w:rPr>
            </w:pPr>
          </w:p>
        </w:tc>
      </w:tr>
      <w:tr>
        <w:trPr>
          <w:trHeight w:val="194"/>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3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(151)</w:t>
            </w: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150</w:t>
            </w:r>
          </w:p>
        </w:tc>
        <w:tc>
          <w:tcPr>
            <w:tcW w:w="6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(301)</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 Sempra Energy, financing activities provided cash in 2012 compared to using cash in 2011, primarily due to:</w:t>
      </w:r>
    </w:p>
    <w:p>
      <w:pPr>
        <w:spacing w:after="0" w:line="225" w:lineRule="exact"/>
        <w:rPr>
          <w:sz w:val="20"/>
          <w:szCs w:val="20"/>
          <w:color w:val="auto"/>
        </w:rPr>
      </w:pPr>
    </w:p>
    <w:p>
      <w:pPr>
        <w:ind w:left="340" w:hanging="188"/>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$241 million increase in short-term debt in 2012 compared to a $319 million decrease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$297 million higher issuances of long-term debt;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$80 million for the redemption of subsidiary preferred stock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$289 million higher long-term debt payments;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$50 million increase in common dividends paid.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at SDG&amp;E increased in 2012 primarily due to:</w:t>
      </w:r>
    </w:p>
    <w:p>
      <w:pPr>
        <w:spacing w:after="0" w:line="198" w:lineRule="exact"/>
        <w:rPr>
          <w:sz w:val="20"/>
          <w:szCs w:val="20"/>
          <w:color w:val="auto"/>
        </w:rPr>
      </w:pPr>
    </w:p>
    <w:p>
      <w:pPr>
        <w:ind w:left="340" w:hanging="188"/>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$249 million issuances of long-term debt in 2012;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$173 million increase in short-term debt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$200 million capital contribution from Sempra Energy in 2011.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financing activities at SoCalGas decreased in 2012 primarily due to:</w:t>
      </w:r>
    </w:p>
    <w:p>
      <w:pPr>
        <w:spacing w:after="0" w:line="194" w:lineRule="exact"/>
        <w:rPr>
          <w:sz w:val="20"/>
          <w:szCs w:val="20"/>
          <w:color w:val="auto"/>
        </w:rPr>
      </w:pPr>
    </w:p>
    <w:p>
      <w:pPr>
        <w:ind w:left="340" w:hanging="188"/>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$250 million long-term debt payment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$100 million increase in common dividends paid.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discuss significant changes to contractual commitments at Sempra Energy, SDG&amp;E and SoCalGas in Note 10 of the Notes to Condensed Consolidated Financial Statements herein.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credit ratings of Sempra Energy, SDG&amp;E and SoCalGas remained at investment grade levels during the first six months of 2012.</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credit ratings may affect the rates at which borrowings bear interest and of commitment fees on available unused credit. We provide additional information about our credit ratings at Sempra Energy, SDG&amp;E and SoCalGas in “Management’s Discussion and Analysis of Financial Condition and Results of Operations” in the Updated Annual Report.</w:t>
      </w:r>
    </w:p>
    <w:p>
      <w:pPr>
        <w:sectPr>
          <w:pgSz w:w="11900" w:h="16838" w:orient="portrait"/>
          <w:cols w:equalWidth="0" w:num="1">
            <w:col w:w="11420"/>
          </w:cols>
          <w:pgMar w:left="240" w:top="582" w:right="239" w:bottom="0" w:gutter="0" w:footer="0" w:header="0"/>
        </w:sectPr>
      </w:pPr>
    </w:p>
    <w:bookmarkStart w:id="69" w:name="page70"/>
    <w:bookmarkEnd w:id="6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637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765" cy="8890"/>
                    </a:xfrm>
                    <a:prstGeom prst="rect">
                      <a:avLst/>
                    </a:prstGeom>
                    <a:noFill/>
                  </pic:spPr>
                </pic:pic>
              </a:graphicData>
            </a:graphic>
          </wp:anchor>
        </w:drawing>
        <w:t>FACTORS INFLUENCING FUTURE PERFORMANCE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OVERVIEW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California Utilities’ operations have historically provided relatively stable earnings and liquidity. However, for the next few years, SoCalGas intends to limit its common stock dividends to reinvest its earnings in significant capital projects.</w:t>
      </w:r>
    </w:p>
    <w:p>
      <w:pPr>
        <w:spacing w:after="0" w:line="170"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California Utilities’ performance will depend primarily on the ratemaking and regulatory process, environmental regulations, economic conditions, actions by the California legislature to address the state budget crisis and the changing energy marketplace. Their performance will also depend on the successful completion of capital projects that we discuss in various sections of this report and below.</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SDG&amp;E may also be significantly impacted by matters at San Onofre Nuclear Generating Station (SONGS). We discuss SONGS in Notes 9 and 10 of the Notes to Condensed Consolidated Financial Statements herein, in Notes 6, 14 and 15 of the Notes to Consolidated Financial Statements in the Updated Annual Report, in Item 1A. Risk Factors in Part II herein, and in Risk Factors in our Form 10-K.</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April 2011, Sempra South American Utilities increased its investment in two utilities in South America. We expect the acquisition to be accretive to our earnings per share. However, in connection with our increased interests in Chilquinta Energía and Luz del Sur, Sempra Energy has $970 million in goodwill on its Consolidated Balance Sheet as of June 30, 2012. Goodwill is subject to impairment testing, annually and under other potential circumstances, which may cause its fair value to vary if differing estimates and assumptions are used in the valuation techniques applied as indicated by changing market or other conditions.</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discuss the acquisition in Note 3 of the Notes to Consolidated Financial Statements in the Updated Annual Report. Sempra South American Utilities is also expected to provide earnings from construction projects when completed and other investments, but will require substantial funding for these investments.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late 2011, Chilquinta Energía initiated the process to establish their distribution rates for the period from November 2012 to October 2016. Revenues at Chilquinta Energía are based on tariffs set by the National Energy Commission (Comisión Nacional de Energía, or CNE) every four years. We expect a final decision in the fourth quarter with the new distribution rates becoming effective in November 2012.</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Sempra Renewables is developing and investing in renewable energy generation projects that have long-term contracts with utilities. The renewable energy projects have planned in-service dates ranging from 2012 to 2016. These projects require construction financing which may come from a variety of sources including operating cash flow, project financing, low-cost financing procured under the U.S. Department of Energy’s (DOE) loan guaranty program, U.S.</w:t>
      </w:r>
    </w:p>
    <w:p>
      <w:pPr>
        <w:ind w:right="160"/>
        <w:spacing w:after="0" w:line="261" w:lineRule="auto"/>
        <w:rPr>
          <w:sz w:val="20"/>
          <w:szCs w:val="20"/>
          <w:color w:val="auto"/>
        </w:rPr>
      </w:pPr>
      <w:r>
        <w:rPr>
          <w:rFonts w:ascii="Arial" w:cs="Arial" w:eastAsia="Arial" w:hAnsi="Arial"/>
          <w:sz w:val="18"/>
          <w:szCs w:val="18"/>
          <w:color w:val="auto"/>
        </w:rPr>
        <w:t>Treasury Department cash grants, funds from the parent and partnering in joint ventures. The varying costs of these alternative financing sources impact the projects’ returns.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Currently, Sempra Renewables is planning for Auwahi Wind, Mehoopany Wind Farm and Flat Ridge 2 Wind Farm projects to be placed in service in 2012. If all or any portion of these projects are not placed in service during 2012, Sempra Renewables’ cash flows and earnings for the next 10 years will be adversely affected as wind projects must be placed in service during 2012 in order to claim production tax credits or cash grants.</w:t>
      </w:r>
    </w:p>
    <w:p>
      <w:pPr>
        <w:spacing w:after="0" w:line="16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Sempra Renewables’ future performance and the demand for renewable energy is impacted by various market factors, most notably state mandated requirements to deliver a portion of total energy load from renewable energy sources. The rules governing these requirements are generally known as Renewables Portfolio Standards (RPS). Additionally, the phase out or extension of U.S. federal income tax incentives, primarily investment tax credits and production tax credits, and grant programs could significantly impact future renewable energy resource availability and investment decisions.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Current energy market prices are significantly lower than those under Sempra Natural Gas’ contract with the DWR, which ended on September 30, 2011 and had provided a significant portion of Sempra Natural Gas’ revenues. Revenues from Sempra Natural Gas’ generation plants are also expected to be lower due to a decline in market demand and the sale of Sempra Natural Gas’ El Dorado natural gas generation plant to SDG&amp;E on October 1, 2011. Based on current market prices for electricity, contracts that Sempra Natural Gas enters into at its natural gas-fired plants to replace the DWR contract, if obtained, or merchant (daily) sales will provide substantially lower earnings. Because Sempra Mexico sells power from its Mexicali plant to Sempra Natural Gas, its earnings from generation may also decrease due to the completion of the DWR contract.</w:t>
      </w:r>
    </w:p>
    <w:p>
      <w:pPr>
        <w:spacing w:after="0" w:line="17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 June 2011, Sempra Natural Gas entered into a 25-year contract with various members of Southwest Public Power Resources Group (SPPR Group), an association of 40 not-for-profit utilities in Arizona and southern Nevada, for 240 MW of electricity. Under the terms of the agreement, Sempra Natural Gas will provide 21 participating SPPR Group members with firm, day-ahead dispatchable power delivered to the Palo Verde hub beginning in January 2015.</w:t>
      </w:r>
    </w:p>
    <w:p>
      <w:pPr>
        <w:spacing w:after="0" w:line="13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Sempra Natural Gas, until there are firm LNG supply or capacity services contracts from third parties that would subscribe to 100 percent of the capacity of Sempra Natural Gas’ Cameron terminal, Sempra Natural Gas will seek to purchase short-term LNG supplies and sell short-term capacity, which may result in greater variability in revenues and earnings. Sempra Natural Gas is currently evaluating opportunities to utilize its assets to support the liquefaction and exportation of LNG. The objective is to obtain a long-term contract and fully utilize our existing infrastructure while minimizing our future additional capital</w:t>
      </w:r>
    </w:p>
    <w:p>
      <w:pPr>
        <w:sectPr>
          <w:pgSz w:w="11900" w:h="16838" w:orient="portrait"/>
          <w:cols w:equalWidth="0" w:num="1">
            <w:col w:w="11380"/>
          </w:cols>
          <w:pgMar w:left="240" w:top="798" w:right="279" w:bottom="0" w:gutter="0" w:footer="0" w:header="0"/>
        </w:sectPr>
      </w:pPr>
    </w:p>
    <w:bookmarkStart w:id="70" w:name="page71"/>
    <w:bookmarkEnd w:id="70"/>
    <w:p>
      <w:pPr>
        <w:ind w:right="320"/>
        <w:spacing w:after="0" w:line="277" w:lineRule="auto"/>
        <w:rPr>
          <w:sz w:val="20"/>
          <w:szCs w:val="20"/>
          <w:color w:val="auto"/>
        </w:rPr>
      </w:pPr>
      <w:r>
        <w:rPr>
          <w:rFonts w:ascii="Arial" w:cs="Arial" w:eastAsia="Arial" w:hAnsi="Arial"/>
          <w:sz w:val="18"/>
          <w:szCs w:val="18"/>
          <w:color w:val="auto"/>
        </w:rPr>
        <w:t>investment. In January 2012, the DOE approved Cameron LNG’s application for an LNG export license to Free Trade Act countries. The authorization to export LNG to countries with which the U.S. does not have a Free Trade Agreement is pending review by the DOE.</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April and May 2012, Sempra Natural Gas signed commercial development agreements with Mitsubishi Corporation, Mitsui &amp; Co., Ltd., and a subsidiary of GDF SUEZ S.A. (GDF SUEZ) to develop a natural gas liquefaction export facility at the Cameron LNG terminal. The completed liquefaction facility is expected to be comprised of three liquefaction trains with a total export capability of 12 million tonnes per annum (Mtpa) of LNG, or approximately 1.7 Bcf per day. Sempra Natural Gas expects to receive the required permits from the FERC and enter into a turnkey contract in 2013 for engineering and construction services for the project. Pending regulatory approvals and the achievement of other key milestones, construction on the project is planned to start in 2013 and begin operations in late 2016. The liquefaction facility will utilize Cameron LNG’s existing facilities, including two marine berths, three LNG storage tanks, and vaporization capability for regasification services of 1.5 Bcf per day. The anticipated incremental investment in the three-train liquefaction project is estimated to be approximately $6 billion, excluding capitalized interest, the majority of which will be project-financed and the balance provided by the project partners in a joint-venture arrangement.</w:t>
      </w:r>
    </w:p>
    <w:p>
      <w:pPr>
        <w:spacing w:after="0" w:line="18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commercial development agreements bind the parties to fund all development expenses, including design, permitting and engineering, as well as to negotiate 20-year tolling agreements, based on agreed-upon key terms outlined in the commercial development agreements. Each tolling agreement would be for 4 Mtpa.</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we discuss above under “Overview–Sempra Natural Gas,” Sempra Natural Gas, KMP and Phillips 66 jointly own REX. In the second quarter of 2012, we recorded a noncash impairment charge of $179 million after-tax to write down our investment in the partnership that operates REX. We discuss our investment in Rockies Express and the impairment in Note 4 of the Notes to Condensed Consolidated Financial Statements herein.</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2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three separate transactions in 2010 and one in early 2011, we and RBS sold substantially all of the businesses and assets of our commodities-marketing partnership. The investment balance of $126 million at June 30, 2012 reflects remaining distributions expected to be received from the partnership as it is dissolved. The timing and amount of distributions may be impacted by the matters we discuss related to RBS Sempra Commodities in Note 10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provide additional information in Notes 4, 6 and 10 of the Notes to Condensed Consolidated Financial Statements herein and in Notes 3, 4, 5 and 15 of the Notes to Consolidated Financial Statements in the Updated Annual Report.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Joint Matters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Rate Case (GRC)</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Both SDG&amp;E and SoCalGas have their 2012 General Rate Case (GRC) applications pending at the CPUC. The California Utilities filed their initial applications for the 2012 GRC in December 2010 to establish their authorized 2012 revenue requirements and the ratemaking mechanisms by which those requirements will change on an annual basis over the subsequent three-year (2013-2015) period. In July 2011, SDG&amp;E and SoCalGas filed revised applications and in February 2012, SDG&amp;E and SoCalGas filed amendments to update the July 2011 filing. The 2012 amendments revised the requested increases to their authorized revenue requirements, as compared to their 2011 authorized revenues, to $235 million at SDG&amp;E, of which $67 million is for the cost recovery of incremental wildfire insurance premiums, and to $268 million at SoCalGas. The Division of Ratepayer Advocates and other intervening parties are recommending that the CPUC reduce the utilities’ revenue requirements in 2012 by approximately 5 percent compared to 2011.</w:t>
      </w:r>
    </w:p>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Evidentiary hearings were completed in January 2012 and final briefs reflecting the results from these hearings were filed with the CPUC in May 2012. We currently expect a final decision for the 2012 GRC, which will be made effective retroactive to January 1, 2012, in the fourth quarter of 2012. However, until such time as a final decision for the 2012 GRC is issued, the California Utilities are recording revenues in 2012 based on levels authorized in 2011 plus, for SDG&amp;E, consistent with the recent CPUC decisions for cost recovery for SDG&amp;E’s incremental wildfire insurance premiums, an amount for the recovery of 2012 wildfire insurance premiums. The timing of the CPUC decision and the outcome from these proceedings will have an impact on the financial condition, operating results and cash flows of the California Utilities. If the CPUC’s final decision grants a significantly lower authorized revenue requirement, it could result in a material adverse effect to the California Utilities’ cash flows, financial position and results of operations starting in 2012 as compared to 2011. We provide additional information regarding the 2012 GRC in Note 9 of the Notes to Condensed Consolidated Financial Statements herein and in Note 14 of the Notes to the Consolidated Financial Statements in the Updated Annual Report.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Capital</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SDG&amp;E and SoCalGas filed separate applications with the CPUC in April 2012 to update their cost of capital effective January 1, 2013. SDG&amp;E is proposing to adjust its authorized capital structure by increasing the amount of its common equity from 49.0 percent to 52.0 percent. SDG&amp;E is also proposing to lower its authorized return on equity (ROE) from 11.1 percent to 11.0 percent and to lower its authorized return on rate base (ROR) from 8.40 percent to 8.20 percent. The proposed change in SDG&amp;E’s capital structure and resulting ROR would result in a decrease in its 2013 authorized revenue of approximately $7.7 million if approved by the CPUC.</w:t>
      </w:r>
    </w:p>
    <w:p>
      <w:pPr>
        <w:spacing w:after="0" w:line="18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SoCalGas is requesting to adjust its authorized capital structure by increasing the amount of its common equity from 48.0 percent to 52.0 percent. SoCalGas is also requesting to increase its authorized ROE from 10.82 percent to 10.9 percent and to lower its authorized ROR from 8.68 percent to 8.42 percent. The proposed change in SoCalGas’ capital structure and resulting ROR would result in a decrease in its 2013 authorized revenue of approximately $1.4 million if approved by the CPUC.</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the CPUC were to approve a capital structure in the cost of capital proceedings that resulted in either SDG&amp;E’s or SoCalGas’ ROR being significantly lower than what was proposed, it could materially adversely affect the respective company’s cash flows, financial position and results of operations starting in 2013.</w:t>
      </w:r>
    </w:p>
    <w:p>
      <w:pPr>
        <w:sectPr>
          <w:pgSz w:w="11900" w:h="16838" w:orient="portrait"/>
          <w:cols w:equalWidth="0" w:num="1">
            <w:col w:w="11400"/>
          </w:cols>
          <w:pgMar w:left="240" w:top="125" w:right="259" w:bottom="0" w:gutter="0" w:footer="0" w:header="0"/>
        </w:sectPr>
      </w:pPr>
    </w:p>
    <w:bookmarkStart w:id="71" w:name="page72"/>
    <w:bookmarkEnd w:id="71"/>
    <w:p>
      <w:pPr>
        <w:ind w:right="340"/>
        <w:spacing w:after="0" w:line="259" w:lineRule="auto"/>
        <w:rPr>
          <w:sz w:val="20"/>
          <w:szCs w:val="20"/>
          <w:color w:val="auto"/>
        </w:rPr>
      </w:pPr>
      <w:r>
        <w:rPr>
          <w:rFonts w:ascii="Arial" w:cs="Arial" w:eastAsia="Arial" w:hAnsi="Arial"/>
          <w:sz w:val="18"/>
          <w:szCs w:val="18"/>
          <w:color w:val="auto"/>
        </w:rPr>
        <w:t>SDG&amp;E is proposing to continue using the cost of capital adjustment mechanism currently in effect, which uses a utility bond benchmark. SoCalGas is proposing to switch from its current cost of capital adjustment mechanism, which is based on U.S. Treasury Bonds, to the utility bond benchmark used by SDG&amp;E, Southern California Edison (Edison) and Pacific Gas &amp; Electric Company (PG&amp;E). We provide more information about the cost of capital proceedings in Note 9 of the Notes to Condensed Consolidated Financial Statements herein.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Pipeline Operations Safety Assessments</w:t>
      </w:r>
    </w:p>
    <w:p>
      <w:pPr>
        <w:spacing w:after="0" w:line="2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Pending the outcome of the various regulatory agency evaluations of natural gas pipeline safety regulations, practices and procedures, Sempra Energy, including the California Utilities, may incur incremental expense and capital investment associated with its natural gas pipeline operations and investments. In August 2011, SoCalGas, SDG&amp;E, PG&amp;E and Southwest Gas filed implementation plans to test or replace all natural gas transmission pipelines that have not been pressure tested with the CPUC, as we discuss in Note 14 of the Notes to Consolidated Financial Statements in the Updated Annual Report. The California Utilities are currently estimating that the total cost for Phase 1 of the two-phase plan is $3.1 billion over a 10-year period. The California Utilities requested that the incremental capital investment required as a result of any approved plan be included in rate base and that cost recovery be allowed for any other incremental cost not eligible for rate-base recovery. The costs that are the subject of these plans are outside the scope of the 2012 GRC proceedings discussed above. If the CPUC were to decide that the incremental capital investment not be considered as incremental rate base outside the GRC process or that this incremental capital investment earn an ROR lower than what is otherwise authorized, it could materially adversely affect the respective company’s cash flows, financial position and results of operations upon commencement of this program. We provide additional information in Note 9 of the Notes to Condensed Consolidated Financial Statements herein.</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Matters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0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regard to the 2007 wildfire litigation, SDG&amp;E’s settlement of claims and the estimate of outstanding claims and legal fees is approximately $2.3 billion, which is in excess of the $1.1 billion of liability insurance coverage and the approximately $455 million it has received from third parties, including Cox. However, SDG&amp;E has concluded that it is probable that it will be permitted to recover from its utility customers substantially all reasonably incurred costs of resolving wildfire claims in excess of its liability insurance coverage and amounts recovered from other potentially responsible parties. Consequently, Sempra Energy and SDG&amp;E expect no significant earnings impact from the resolution of the remaining wildfire claims. As of June 30, 2012, Sempra Energy’s and SDG&amp;E’s Condensed Consolidated Balance Sheets reflect $722 million in regulatory assets and balancing accounts for costs incurred and the estimated settlement of pending claims. However, SDG&amp;E’s cash flow may be materially adversely affected by timing differences between the resolution of claims and recoveries from other potentially responsible parties and utility customers, which may extend over a number of years. In addition, recovery from customers will require future regulatory actions, and a failure to obtain substantial or full recovery, or any negative assessment of the likelihood of recovery, would likely have a material adverse effect on Sempra Energy’s and SDG&amp;E’s financial condition, cash flows and results of operations.</w:t>
      </w:r>
    </w:p>
    <w:p>
      <w:pPr>
        <w:spacing w:after="0" w:line="16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 We provide additional information concerning these matters in Notes 9 and 10 of the Notes to Condensed Consolidated Financial Statements herein and in Notes 14 and 15 of the Notes to Consolidated Financial Statements in the Updated Annual Report.</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SEMPRA ENERGY MATTERS</w:t>
      </w:r>
    </w:p>
    <w:p>
      <w:pPr>
        <w:spacing w:after="0" w:line="2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discuss additional potential and expected impacts of the 2010 Tax Act on our income tax expense, earnings and cash flows in “Results of Operations – Changes in Revenues, Costs and Earnings – Income Taxes” above.</w:t>
      </w:r>
    </w:p>
    <w:p>
      <w:pPr>
        <w:spacing w:after="0" w:line="17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may be further impacted by depressed and rapidly changing economic conditions. Moreover, the dollar has fluctuated significantly compared to some foreign currencies, especially in Mexico and South America where we have significant operations. We discuss foreign currency rate risk further under “Market Risk – Foreign Currency Rate Risk” in “Management’s Discussion and Analysis of Financial Condition and Results of Operations” in the Updated Annual Report. North American natural gas prices, which affect profitability at Sempra Renewables and Sempra Natural Gas, are currently significantly below Asian and European prices. These factors could, if they remain unchanged, adversely affect profitability. However, management expects that future export capability at Sempra Natural Gas’ Cameron LNG facility would benefit from lower gas prices in North America compared to other regions.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discuss additional matters that could affect our future performance in Notes 9 and 10 of the Notes to Condensed Consolidated Financial Statements herein and in Notes 14 and 15 of the Notes to Consolidated Financial Statements in the Updated Annual Report.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DERIVATIVES REFORMS</w:t>
      </w:r>
    </w:p>
    <w:p>
      <w:pPr>
        <w:spacing w:after="0" w:line="23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 material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describe legal proceedings which could adversely affect our future performance in Note 10 of the Notes to Condensed Consolidated Financial Statements herein.</w:t>
      </w:r>
    </w:p>
    <w:p>
      <w:pPr>
        <w:sectPr>
          <w:pgSz w:w="11900" w:h="16838" w:orient="portrait"/>
          <w:cols w:equalWidth="0" w:num="1">
            <w:col w:w="11420"/>
          </w:cols>
          <w:pgMar w:left="240" w:top="125" w:right="239" w:bottom="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CALIFORNIA UTILITIES – INDUSTRY DEVELOPMENTS AND CAPITAL PROJECTS</w:t>
      </w:r>
    </w:p>
    <w:p>
      <w:pPr>
        <w:sectPr>
          <w:pgSz w:w="11900" w:h="16838" w:orient="portrait"/>
          <w:cols w:equalWidth="0" w:num="1">
            <w:col w:w="11420"/>
          </w:cols>
          <w:pgMar w:left="240" w:top="125" w:right="239" w:bottom="0" w:gutter="0" w:footer="0" w:header="0"/>
          <w:type w:val="continuous"/>
        </w:sectPr>
      </w:pPr>
    </w:p>
    <w:bookmarkStart w:id="72" w:name="page73"/>
    <w:bookmarkEnd w:id="72"/>
    <w:p>
      <w:pPr>
        <w:jc w:val="both"/>
        <w:ind w:right="20"/>
        <w:spacing w:after="0" w:line="264" w:lineRule="auto"/>
        <w:rPr>
          <w:sz w:val="20"/>
          <w:szCs w:val="20"/>
          <w:color w:val="auto"/>
        </w:rPr>
      </w:pPr>
      <w:r>
        <w:rPr>
          <w:rFonts w:ascii="Arial" w:cs="Arial" w:eastAsia="Arial" w:hAnsi="Arial"/>
          <w:sz w:val="18"/>
          <w:szCs w:val="18"/>
          <w:color w:val="auto"/>
        </w:rPr>
        <w:t>We describe capital projects, electric and natural gas regulation and rates, and other pending proceedings and investigations that affect our business in Note 9 of the Notes to Condensed Consolidated Financial Statements herein and in Note 14 of the Notes to Consolidated Financial Statements in the Updated Annual Report.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INTERNATIONAL AND SEMPRA U.S. GAS &amp; POWER INVESTMENTS</w:t>
      </w:r>
    </w:p>
    <w:p>
      <w:pPr>
        <w:spacing w:after="0" w:line="23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As we discuss in “Cash Flows From Investing Activities,” our investments will significantly impact our future performance. In addition to the discussion below, we provide information about these investments in “Capital Resources and Liquidity” herein and “Capital Resources and Liquidity” and “Factors Influencing Future Performance” in the Updated Annual Report.</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Santa Teresa</w:t>
      </w:r>
    </w:p>
    <w:p>
      <w:pPr>
        <w:spacing w:after="0" w:line="20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May 2011, groundbreaking took place for Santa Teresa, a project at Luz del Sur to build a 98-MW hydroelectric power plant in Peru’s Cusco region. It is planned to be completed in 2014.</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Projects</w:t>
      </w:r>
    </w:p>
    <w:p>
      <w:pPr>
        <w:spacing w:after="0" w:line="205" w:lineRule="exact"/>
        <w:rPr>
          <w:sz w:val="20"/>
          <w:szCs w:val="20"/>
          <w:color w:val="auto"/>
        </w:rPr>
      </w:pPr>
    </w:p>
    <w:p>
      <w:pPr>
        <w:jc w:val="both"/>
        <w:ind w:right="120"/>
        <w:spacing w:after="0" w:line="324" w:lineRule="auto"/>
        <w:rPr>
          <w:sz w:val="20"/>
          <w:szCs w:val="20"/>
          <w:color w:val="auto"/>
        </w:rPr>
      </w:pPr>
      <w:r>
        <w:rPr>
          <w:rFonts w:ascii="Arial" w:cs="Arial" w:eastAsia="Arial" w:hAnsi="Arial"/>
          <w:sz w:val="16"/>
          <w:szCs w:val="16"/>
          <w:color w:val="auto"/>
        </w:rPr>
        <w:t>In May 2012, Chilquinta Energía, in a joint venture with Sociedad Austral de Electricidad Sociedad Anonima (SAESA), was awarded two 220-kilovolt (kV) transmission lines in Chile. The transmission lines will extend 150 miles, and we estimate it will cost approximately $160 million and be completed in 2017.</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Sierra Juárez</w:t>
      </w:r>
    </w:p>
    <w:p>
      <w:pPr>
        <w:spacing w:after="0" w:line="205"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In April 2011, SDG&amp;E entered into a 20-year contract for up to 156 MW of renewable power supplied from the first phase of Sempra Mexico’s Energía Sierra Juárez wind project in Baja California, Mexico. The contract was approved by the CPUC in March 2012 and by the FERC in July 2012. We expect construction on the project to begin in 2013, and the project to be fully operational in 2014.</w:t>
      </w:r>
    </w:p>
    <w:p>
      <w:pPr>
        <w:spacing w:after="0" w:line="169"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Sempra Mexico intends to develop the project within the framework of a joint venture, and is working on an agreement for the sale of a 50-percent partnership interest in the current phase of the project to BP Wind Energy.</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Copper Mountain Solar</w:t>
      </w:r>
    </w:p>
    <w:p>
      <w:pPr>
        <w:spacing w:after="0" w:line="205" w:lineRule="exact"/>
        <w:rPr>
          <w:sz w:val="20"/>
          <w:szCs w:val="20"/>
          <w:color w:val="auto"/>
        </w:rPr>
      </w:pPr>
    </w:p>
    <w:p>
      <w:pPr>
        <w:jc w:val="both"/>
        <w:ind w:right="600"/>
        <w:spacing w:after="0" w:line="270" w:lineRule="auto"/>
        <w:rPr>
          <w:sz w:val="20"/>
          <w:szCs w:val="20"/>
          <w:color w:val="auto"/>
        </w:rPr>
      </w:pPr>
      <w:r>
        <w:rPr>
          <w:rFonts w:ascii="Arial" w:cs="Arial" w:eastAsia="Arial" w:hAnsi="Arial"/>
          <w:sz w:val="17"/>
          <w:szCs w:val="17"/>
          <w:color w:val="auto"/>
        </w:rPr>
        <w:t>Copper Mountain Solar is a photovoltaic generation facility operated and under development by Sempra Renewables in Boulder City, Nevada. If fully developed, the project will be capable of producing up to approximately 400 MW of solar power. Copper Mountain Solar 1 is a 58-MW photovoltaic generation facility currently in operation, and now includes the 10-MW facility previously referred to as El Dorado Solar.</w:t>
      </w:r>
    </w:p>
    <w:p>
      <w:pPr>
        <w:spacing w:after="0" w:line="15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Copper Mountain Solar 2 (CMS 2) will total 150 MW and construction began in December 2011. CMS 2 is divided into two phases, with the first phase of 92 MW planned to be completed by the end of January 2013 and the remaining 58 MW planned to be completed in 2015. PG&amp;E has contracted for all of the solar power at CMS 2 for 25 years.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Mesquite Solar</w:t>
      </w:r>
    </w:p>
    <w:p>
      <w:pPr>
        <w:spacing w:after="0" w:line="20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Mesquite Solar is a photovoltaic generation facility under development by Sempra Renewables in Maricopa County, Arizona. If fully developed, the project will be capable of producing up to approximately 700 MW of solar power. Construction of the first phase (Mesquite Solar 1) of 150 MW began in June 2011 and is expected to be completed in early 2013. In December 2011, solar panels were fully installed and began delivering 42 MW of electricity to the grid. Currently, the project is at approximately 100-MW capacity. PG&amp;E has contracted for all of the solar power at Mesquite Solar 1 for 20 years.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Auwahi Wind</w:t>
      </w:r>
    </w:p>
    <w:p>
      <w:pPr>
        <w:spacing w:after="0" w:line="205"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The Auwahi Wind project, in the southeastern region of Maui, is a joint venture project with a BP affiliate, Auwahi Wind Energy Holdings, with a 20-year contract with Maui Electric Company to provide 21 MW of wind energy. Construction on the project began in March 2012, and we expect the project to be fully operational in late 2012.</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Mehoopany Wind Farm</w:t>
      </w:r>
    </w:p>
    <w:p>
      <w:pPr>
        <w:spacing w:after="0" w:line="20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December 2011, Sempra Renewables entered into a joint venture with BP Wind Energy to develop the Mehoopany Wind Farm in Wyoming County, Pennsylvania, which is expected to generate up to 141 MW of energy. The power output from the wind farm has been sold under 20-year contracts to Old Dominion Electric Cooperative and Southern Maryland Electric Cooperative Inc. Construction began in November 2011, and we expect the project to be fully operational by the end of 2012.</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Flat Ridge 2 Wind Farm</w:t>
      </w:r>
    </w:p>
    <w:p>
      <w:pPr>
        <w:spacing w:after="0" w:line="20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December 2011, Sempra Renewables entered into a joint venture with BP Wind Energy to develop the Flat Ridge 2 Wind Farm near Wichita, Kansas, which is expected to generate up to 419 MW of energy. The power output from the wind farm has been sold under three contracts for 20 to 25 year terms, including contracts with Associated Electric Cooperative, Inc. and Southwestern Electric Power Company. Construction began in April 2012, and we expect the project to be fully operational by the end of 2012. In June 2012, Sempra Renewables entered into an agreement with BP for a 51-MW expansion of Flat Ridge 2, the power output of which has been sold under a purchase power agreement with Arkansas Electric Cooperative approved by the Rural Utilities Service in April 2012.</w:t>
      </w:r>
    </w:p>
    <w:p>
      <w:pPr>
        <w:sectPr>
          <w:pgSz w:w="11900" w:h="16838" w:orient="portrait"/>
          <w:cols w:equalWidth="0" w:num="1">
            <w:col w:w="11420"/>
          </w:cols>
          <w:pgMar w:left="240" w:top="341" w:right="239" w:bottom="0" w:gutter="0" w:footer="0" w:header="0"/>
        </w:sectPr>
      </w:pPr>
    </w:p>
    <w:bookmarkStart w:id="73" w:name="page74"/>
    <w:bookmarkEnd w:id="73"/>
    <w:p>
      <w:pPr>
        <w:spacing w:after="0" w:line="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Storage</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Currently, Sempra Natural Gas has 23 Bcf of operational working natural gas storage capacity. We are currently developing another 20 Bcf of capacity with planned in-service dates through 2013 and may, over the long term, develop as much as 76 Bcf of total storage capacity.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natural gas storage facilities and projects include</w:t>
      </w:r>
    </w:p>
    <w:p>
      <w:pPr>
        <w:spacing w:after="0" w:line="225" w:lineRule="exact"/>
        <w:rPr>
          <w:sz w:val="20"/>
          <w:szCs w:val="20"/>
          <w:color w:val="auto"/>
        </w:rPr>
      </w:pPr>
    </w:p>
    <w:p>
      <w:pPr>
        <w:jc w:val="both"/>
        <w:ind w:left="340" w:hanging="188"/>
        <w:spacing w:after="0" w:line="26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Bay Gas, a facility located 40 miles north of Mobile, Alabama, that provides underground storage and delivery of natural gas. Sempra Natural Gas owns 91 percent of the project. It is the easternmost salt dome storage facility on the Gulf Coast, with direct service to the Florida market and markets across the Southeast, Mid-Atlantic and Northeast regions.</w:t>
      </w:r>
    </w:p>
    <w:p>
      <w:pPr>
        <w:spacing w:after="0" w:line="208" w:lineRule="exact"/>
        <w:rPr>
          <w:rFonts w:ascii="Arial" w:cs="Arial" w:eastAsia="Arial" w:hAnsi="Arial"/>
          <w:sz w:val="18"/>
          <w:szCs w:val="18"/>
          <w:color w:val="auto"/>
        </w:rPr>
      </w:pPr>
    </w:p>
    <w:p>
      <w:pPr>
        <w:ind w:left="340" w:right="20" w:hanging="188"/>
        <w:spacing w:after="0" w:line="342"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Mississippi Hub,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50" w:lineRule="exact"/>
        <w:rPr>
          <w:rFonts w:ascii="Arial" w:cs="Arial" w:eastAsia="Arial" w:hAnsi="Arial"/>
          <w:sz w:val="16"/>
          <w:szCs w:val="16"/>
          <w:color w:val="auto"/>
        </w:rPr>
      </w:pPr>
    </w:p>
    <w:p>
      <w:pPr>
        <w:jc w:val="both"/>
        <w:ind w:left="340" w:hanging="188"/>
        <w:spacing w:after="0" w:line="26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LA Storage, previously referred to as Liberty natural gas storage expansion, a salt cavern development project in Cameron Parish, Louisiana. Sempra Natural Gas owns 75 percent of the project and ProLiance Transportation LLC owns the remaining 25 percent. The project’s location provides access to several LNG facilities in the area.</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w:t>
      </w:r>
    </w:p>
    <w:p>
      <w:pPr>
        <w:spacing w:after="0" w:line="205"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color w:val="auto"/>
        </w:rPr>
        <w:t xml:space="preserve">In April and May 2012, Sempra Natural Gas signed commercial development agreements with Mitsubishi Corporation, Mitsui &amp; Co., Ltd., and GDF SUEZ to develop a natural gas liquefaction export facility at the site of its Cameron LNG terminal in Hackberry, Louisiana. We discuss these agreements above in “Factors Influencing Future Performance </w:t>
      </w:r>
      <w:r>
        <w:rPr>
          <w:rFonts w:ascii="Arial" w:cs="Arial" w:eastAsia="Arial" w:hAnsi="Arial"/>
          <w:sz w:val="19"/>
          <w:szCs w:val="19"/>
          <w:i w:val="1"/>
          <w:iCs w:val="1"/>
          <w:color w:val="auto"/>
        </w:rPr>
        <w:t>–</w:t>
      </w:r>
      <w:r>
        <w:rPr>
          <w:rFonts w:ascii="Arial" w:cs="Arial" w:eastAsia="Arial" w:hAnsi="Arial"/>
          <w:sz w:val="18"/>
          <w:szCs w:val="18"/>
          <w:color w:val="auto"/>
        </w:rPr>
        <w:t xml:space="preserve"> Sempra Energy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263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 AND ESTIMATES</w:t>
      </w:r>
    </w:p>
    <w:p>
      <w:pPr>
        <w:spacing w:after="0" w:line="19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Updated Annual Report.</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describe our significant accounting policies in Note 1 of the Notes to Consolidated Financial Statements in the Updated Annual Report. We follow the same accounting policies for interim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NEW ACCOUNTING STANDARDS</w:t>
      </w:r>
    </w:p>
    <w:p>
      <w:pPr>
        <w:spacing w:after="0" w:line="1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discuss the relevant pronouncements that have recently become effective and have had or may have an impact on our financial statements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6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Updated Annual Report.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table below shows the nominal amount and the one-year VaR for long-term debt, excluding commercial paper classified as long-term debt and capital lease obligations, and before reductions for unamortized discount, at June 30, 2012 and December 31,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3"/>
          </w:tcPr>
          <w:p>
            <w:pPr>
              <w:jc w:val="right"/>
              <w:ind w:right="622"/>
              <w:spacing w:after="0"/>
              <w:rPr>
                <w:sz w:val="20"/>
                <w:szCs w:val="20"/>
                <w:color w:val="auto"/>
              </w:rPr>
            </w:pPr>
            <w:r>
              <w:rPr>
                <w:rFonts w:ascii="Arial" w:cs="Arial" w:eastAsia="Arial" w:hAnsi="Arial"/>
                <w:sz w:val="14"/>
                <w:szCs w:val="14"/>
                <w:color w:val="auto"/>
              </w:rPr>
              <w:t>Sempra Energy</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702"/>
              <w:spacing w:after="0" w:line="157" w:lineRule="exact"/>
              <w:rPr>
                <w:sz w:val="20"/>
                <w:szCs w:val="20"/>
                <w:color w:val="auto"/>
              </w:rPr>
            </w:pPr>
            <w:r>
              <w:rPr>
                <w:rFonts w:ascii="Arial" w:cs="Arial" w:eastAsia="Arial" w:hAnsi="Arial"/>
                <w:sz w:val="14"/>
                <w:szCs w:val="14"/>
                <w:color w:val="auto"/>
              </w:rPr>
              <w:t>Consolidated</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SDG&amp;E</w:t>
            </w: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822"/>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80"/>
        </w:trPr>
        <w:tc>
          <w:tcPr>
            <w:tcW w:w="410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Arial" w:cs="Arial" w:eastAsia="Arial" w:hAnsi="Arial"/>
                <w:sz w:val="14"/>
                <w:szCs w:val="14"/>
                <w:color w:val="auto"/>
              </w:rPr>
              <w:t>Nominal</w:t>
            </w:r>
          </w:p>
        </w:tc>
        <w:tc>
          <w:tcPr>
            <w:tcW w:w="220" w:type="dxa"/>
            <w:vAlign w:val="bottom"/>
          </w:tcPr>
          <w:p>
            <w:pPr>
              <w:spacing w:after="0"/>
              <w:rPr>
                <w:sz w:val="15"/>
                <w:szCs w:val="15"/>
                <w:color w:val="auto"/>
              </w:rPr>
            </w:pPr>
          </w:p>
        </w:tc>
        <w:tc>
          <w:tcPr>
            <w:tcW w:w="1000" w:type="dxa"/>
            <w:vAlign w:val="bottom"/>
          </w:tcPr>
          <w:p>
            <w:pPr>
              <w:jc w:val="right"/>
              <w:ind w:right="202"/>
              <w:spacing w:after="0"/>
              <w:rPr>
                <w:sz w:val="20"/>
                <w:szCs w:val="20"/>
                <w:color w:val="auto"/>
              </w:rPr>
            </w:pPr>
            <w:r>
              <w:rPr>
                <w:rFonts w:ascii="Arial" w:cs="Arial" w:eastAsia="Arial" w:hAnsi="Arial"/>
                <w:sz w:val="14"/>
                <w:szCs w:val="14"/>
                <w:color w:val="auto"/>
              </w:rPr>
              <w:t>One-Year</w:t>
            </w:r>
          </w:p>
        </w:tc>
        <w:tc>
          <w:tcPr>
            <w:tcW w:w="24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Arial" w:cs="Arial" w:eastAsia="Arial" w:hAnsi="Arial"/>
                <w:sz w:val="14"/>
                <w:szCs w:val="14"/>
                <w:color w:val="auto"/>
              </w:rPr>
              <w:t>Nominal</w:t>
            </w:r>
          </w:p>
        </w:tc>
        <w:tc>
          <w:tcPr>
            <w:tcW w:w="280" w:type="dxa"/>
            <w:vAlign w:val="bottom"/>
          </w:tcPr>
          <w:p>
            <w:pPr>
              <w:spacing w:after="0"/>
              <w:rPr>
                <w:sz w:val="15"/>
                <w:szCs w:val="15"/>
                <w:color w:val="auto"/>
              </w:rPr>
            </w:pPr>
          </w:p>
        </w:tc>
        <w:tc>
          <w:tcPr>
            <w:tcW w:w="920" w:type="dxa"/>
            <w:vAlign w:val="bottom"/>
          </w:tcPr>
          <w:p>
            <w:pPr>
              <w:jc w:val="right"/>
              <w:ind w:right="222"/>
              <w:spacing w:after="0"/>
              <w:rPr>
                <w:sz w:val="20"/>
                <w:szCs w:val="20"/>
                <w:color w:val="auto"/>
              </w:rPr>
            </w:pPr>
            <w:r>
              <w:rPr>
                <w:rFonts w:ascii="Arial" w:cs="Arial" w:eastAsia="Arial" w:hAnsi="Arial"/>
                <w:sz w:val="14"/>
                <w:szCs w:val="14"/>
                <w:color w:val="auto"/>
                <w:w w:val="98"/>
              </w:rPr>
              <w:t>One-Year</w:t>
            </w:r>
          </w:p>
        </w:tc>
        <w:tc>
          <w:tcPr>
            <w:tcW w:w="220" w:type="dxa"/>
            <w:vAlign w:val="bottom"/>
          </w:tcPr>
          <w:p>
            <w:pPr>
              <w:spacing w:after="0"/>
              <w:rPr>
                <w:sz w:val="15"/>
                <w:szCs w:val="15"/>
                <w:color w:val="auto"/>
              </w:rPr>
            </w:pPr>
          </w:p>
        </w:tc>
        <w:tc>
          <w:tcPr>
            <w:tcW w:w="1020" w:type="dxa"/>
            <w:vAlign w:val="bottom"/>
          </w:tcPr>
          <w:p>
            <w:pPr>
              <w:jc w:val="center"/>
              <w:ind w:right="143"/>
              <w:spacing w:after="0"/>
              <w:rPr>
                <w:sz w:val="20"/>
                <w:szCs w:val="20"/>
                <w:color w:val="auto"/>
              </w:rPr>
            </w:pPr>
            <w:r>
              <w:rPr>
                <w:rFonts w:ascii="Arial" w:cs="Arial" w:eastAsia="Arial" w:hAnsi="Arial"/>
                <w:sz w:val="14"/>
                <w:szCs w:val="14"/>
                <w:color w:val="auto"/>
              </w:rPr>
              <w:t>Nominal</w:t>
            </w:r>
          </w:p>
        </w:tc>
        <w:tc>
          <w:tcPr>
            <w:tcW w:w="200" w:type="dxa"/>
            <w:vAlign w:val="bottom"/>
          </w:tcPr>
          <w:p>
            <w:pPr>
              <w:spacing w:after="0"/>
              <w:rPr>
                <w:sz w:val="15"/>
                <w:szCs w:val="15"/>
                <w:color w:val="auto"/>
              </w:rPr>
            </w:pPr>
          </w:p>
        </w:tc>
        <w:tc>
          <w:tcPr>
            <w:tcW w:w="1040" w:type="dxa"/>
            <w:vAlign w:val="bottom"/>
          </w:tcPr>
          <w:p>
            <w:pPr>
              <w:jc w:val="right"/>
              <w:ind w:right="242"/>
              <w:spacing w:after="0"/>
              <w:rPr>
                <w:sz w:val="20"/>
                <w:szCs w:val="20"/>
                <w:color w:val="auto"/>
              </w:rPr>
            </w:pPr>
            <w:r>
              <w:rPr>
                <w:rFonts w:ascii="Arial" w:cs="Arial" w:eastAsia="Arial" w:hAnsi="Arial"/>
                <w:sz w:val="14"/>
                <w:szCs w:val="14"/>
                <w:color w:val="auto"/>
              </w:rPr>
              <w:t>One-Year</w:t>
            </w: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3"/>
              <w:spacing w:after="0" w:line="157" w:lineRule="exact"/>
              <w:rPr>
                <w:sz w:val="20"/>
                <w:szCs w:val="20"/>
                <w:color w:val="auto"/>
              </w:rPr>
            </w:pPr>
            <w:r>
              <w:rPr>
                <w:rFonts w:ascii="Arial" w:cs="Arial" w:eastAsia="Arial" w:hAnsi="Arial"/>
                <w:sz w:val="14"/>
                <w:szCs w:val="14"/>
                <w:color w:val="auto"/>
              </w:rPr>
              <w:t>Debt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2"/>
              <w:spacing w:after="0" w:line="157" w:lineRule="exact"/>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83"/>
              <w:spacing w:after="0" w:line="157" w:lineRule="exact"/>
              <w:rPr>
                <w:sz w:val="20"/>
                <w:szCs w:val="20"/>
                <w:color w:val="auto"/>
              </w:rPr>
            </w:pPr>
            <w:r>
              <w:rPr>
                <w:rFonts w:ascii="Arial" w:cs="Arial" w:eastAsia="Arial" w:hAnsi="Arial"/>
                <w:sz w:val="14"/>
                <w:szCs w:val="14"/>
                <w:color w:val="auto"/>
              </w:rPr>
              <w:t>Debt</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2"/>
              <w:spacing w:after="0" w:line="157" w:lineRule="exact"/>
              <w:rPr>
                <w:sz w:val="20"/>
                <w:szCs w:val="20"/>
                <w:color w:val="auto"/>
              </w:rPr>
            </w:pPr>
            <w:r>
              <w:rPr>
                <w:rFonts w:ascii="Arial" w:cs="Arial" w:eastAsia="Arial" w:hAnsi="Arial"/>
                <w:sz w:val="14"/>
                <w:szCs w:val="14"/>
                <w:color w:val="auto"/>
              </w:rPr>
              <w:t>VaR(1)</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3"/>
              <w:spacing w:after="0" w:line="157" w:lineRule="exact"/>
              <w:rPr>
                <w:sz w:val="20"/>
                <w:szCs w:val="20"/>
                <w:color w:val="auto"/>
              </w:rPr>
            </w:pPr>
            <w:r>
              <w:rPr>
                <w:rFonts w:ascii="Arial" w:cs="Arial" w:eastAsia="Arial" w:hAnsi="Arial"/>
                <w:sz w:val="14"/>
                <w:szCs w:val="14"/>
                <w:color w:val="auto"/>
              </w:rPr>
              <w:t>Debt</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2"/>
              <w:spacing w:after="0" w:line="157" w:lineRule="exact"/>
              <w:rPr>
                <w:sz w:val="20"/>
                <w:szCs w:val="20"/>
                <w:color w:val="auto"/>
              </w:rPr>
            </w:pPr>
            <w:r>
              <w:rPr>
                <w:rFonts w:ascii="Arial" w:cs="Arial" w:eastAsia="Arial" w:hAnsi="Arial"/>
                <w:sz w:val="14"/>
                <w:szCs w:val="14"/>
                <w:color w:val="auto"/>
              </w:rPr>
              <w:t>VaR(1)</w:t>
            </w:r>
          </w:p>
        </w:tc>
        <w:tc>
          <w:tcPr>
            <w:tcW w:w="0" w:type="dxa"/>
            <w:vAlign w:val="bottom"/>
          </w:tcPr>
          <w:p>
            <w:pPr>
              <w:spacing w:after="0"/>
              <w:rPr>
                <w:sz w:val="1"/>
                <w:szCs w:val="1"/>
                <w:color w:val="auto"/>
              </w:rPr>
            </w:pPr>
          </w:p>
        </w:tc>
      </w:tr>
      <w:tr>
        <w:trPr>
          <w:trHeight w:val="164"/>
        </w:trPr>
        <w:tc>
          <w:tcPr>
            <w:tcW w:w="4100" w:type="dxa"/>
            <w:vAlign w:val="bottom"/>
          </w:tcPr>
          <w:p>
            <w:pPr>
              <w:spacing w:after="0" w:line="164" w:lineRule="exact"/>
              <w:rPr>
                <w:sz w:val="20"/>
                <w:szCs w:val="20"/>
                <w:color w:val="auto"/>
              </w:rPr>
            </w:pPr>
            <w:r>
              <w:rPr>
                <w:rFonts w:ascii="Arial" w:cs="Arial" w:eastAsia="Arial" w:hAnsi="Arial"/>
                <w:sz w:val="16"/>
                <w:szCs w:val="16"/>
                <w:color w:val="auto"/>
              </w:rPr>
              <w:t>At June 30, 2012:</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California Utilities fixed-rate</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4,866</w:t>
            </w:r>
          </w:p>
        </w:tc>
        <w:tc>
          <w:tcPr>
            <w:tcW w:w="2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784</w:t>
            </w:r>
          </w:p>
        </w:tc>
        <w:tc>
          <w:tcPr>
            <w:tcW w:w="240" w:type="dxa"/>
            <w:vAlign w:val="bottom"/>
          </w:tcPr>
          <w:p>
            <w:pPr>
              <w:jc w:val="right"/>
              <w:ind w:right="59"/>
              <w:spacing w:after="0" w:line="176"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3,554</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639</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1,312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California Utilities variable-rate</w:t>
            </w:r>
          </w:p>
        </w:tc>
        <w:tc>
          <w:tcPr>
            <w:tcW w:w="2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24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c>
          <w:tcPr>
            <w:tcW w:w="28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220" w:type="dxa"/>
            <w:vAlign w:val="bottom"/>
          </w:tcPr>
          <w:p>
            <w:pPr>
              <w:spacing w:after="0"/>
              <w:rPr>
                <w:sz w:val="15"/>
                <w:szCs w:val="15"/>
                <w:color w:val="auto"/>
              </w:rPr>
            </w:pPr>
          </w:p>
        </w:tc>
        <w:tc>
          <w:tcPr>
            <w:tcW w:w="1020" w:type="dxa"/>
            <w:vAlign w:val="bottom"/>
          </w:tcPr>
          <w:p>
            <w:pPr>
              <w:ind w:left="860"/>
              <w:spacing w:after="0" w:line="176" w:lineRule="exact"/>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All other, fixed-rate and variable-rate</w:t>
            </w:r>
          </w:p>
        </w:tc>
        <w:tc>
          <w:tcPr>
            <w:tcW w:w="2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5,362</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365</w:t>
            </w:r>
          </w:p>
        </w:tc>
        <w:tc>
          <w:tcPr>
            <w:tcW w:w="24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20" w:type="dxa"/>
            <w:vAlign w:val="bottom"/>
          </w:tcPr>
          <w:p>
            <w:pPr>
              <w:ind w:left="860"/>
              <w:spacing w:after="0" w:line="176" w:lineRule="exact"/>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100" w:type="dxa"/>
            <w:vAlign w:val="bottom"/>
          </w:tcPr>
          <w:p>
            <w:pPr>
              <w:spacing w:after="0" w:line="176" w:lineRule="exact"/>
              <w:rPr>
                <w:sz w:val="20"/>
                <w:szCs w:val="20"/>
                <w:color w:val="auto"/>
              </w:rPr>
            </w:pPr>
            <w:r>
              <w:rPr>
                <w:rFonts w:ascii="Arial" w:cs="Arial" w:eastAsia="Arial" w:hAnsi="Arial"/>
                <w:sz w:val="16"/>
                <w:szCs w:val="16"/>
                <w:color w:val="auto"/>
              </w:rPr>
              <w:t>At December 31, 2011:</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180"/>
              <w:spacing w:after="0"/>
              <w:rPr>
                <w:sz w:val="20"/>
                <w:szCs w:val="20"/>
                <w:color w:val="auto"/>
              </w:rPr>
            </w:pPr>
            <w:r>
              <w:rPr>
                <w:rFonts w:ascii="Arial" w:cs="Arial" w:eastAsia="Arial" w:hAnsi="Arial"/>
                <w:sz w:val="16"/>
                <w:szCs w:val="16"/>
                <w:color w:val="auto"/>
              </w:rPr>
              <w:t>California Utilities fixed-rate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4,617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782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3,304</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623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1,313</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bl>
    <w:p>
      <w:pPr>
        <w:sectPr>
          <w:pgSz w:w="11900" w:h="16851" w:orient="portrait"/>
          <w:cols w:equalWidth="0" w:num="1">
            <w:col w:w="11420"/>
          </w:cols>
          <w:pgMar w:left="240" w:top="541" w:right="239" w:bottom="0" w:gutter="0" w:footer="0" w:header="0"/>
        </w:sectPr>
      </w:pPr>
    </w:p>
    <w:bookmarkStart w:id="74" w:name="page75"/>
    <w:bookmarkEnd w:id="74"/>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640" w:type="dxa"/>
            <w:vAlign w:val="bottom"/>
          </w:tcPr>
          <w:p>
            <w:pPr>
              <w:spacing w:after="0"/>
              <w:rPr>
                <w:sz w:val="20"/>
                <w:szCs w:val="20"/>
                <w:color w:val="auto"/>
              </w:rPr>
            </w:pPr>
            <w:r>
              <w:rPr>
                <w:rFonts w:ascii="Arial" w:cs="Arial" w:eastAsia="Arial" w:hAnsi="Arial"/>
                <w:sz w:val="16"/>
                <w:szCs w:val="16"/>
                <w:color w:val="auto"/>
              </w:rPr>
              <w:t>California Utilities variable-rate</w:t>
            </w:r>
          </w:p>
        </w:tc>
        <w:tc>
          <w:tcPr>
            <w:tcW w:w="1900" w:type="dxa"/>
            <w:vAlign w:val="bottom"/>
          </w:tcPr>
          <w:p>
            <w:pPr>
              <w:jc w:val="right"/>
              <w:ind w:right="379"/>
              <w:spacing w:after="0"/>
              <w:rPr>
                <w:sz w:val="20"/>
                <w:szCs w:val="20"/>
                <w:color w:val="auto"/>
              </w:rPr>
            </w:pPr>
            <w:r>
              <w:rPr>
                <w:rFonts w:ascii="Arial" w:cs="Arial" w:eastAsia="Arial" w:hAnsi="Arial"/>
                <w:sz w:val="16"/>
                <w:szCs w:val="16"/>
                <w:color w:val="auto"/>
              </w:rPr>
              <w:t>591</w:t>
            </w:r>
          </w:p>
        </w:tc>
        <w:tc>
          <w:tcPr>
            <w:tcW w:w="1220" w:type="dxa"/>
            <w:vAlign w:val="bottom"/>
          </w:tcPr>
          <w:p>
            <w:pPr>
              <w:jc w:val="right"/>
              <w:ind w:right="379"/>
              <w:spacing w:after="0"/>
              <w:rPr>
                <w:sz w:val="20"/>
                <w:szCs w:val="20"/>
                <w:color w:val="auto"/>
              </w:rPr>
            </w:pPr>
            <w:r>
              <w:rPr>
                <w:rFonts w:ascii="Arial" w:cs="Arial" w:eastAsia="Arial" w:hAnsi="Arial"/>
                <w:sz w:val="16"/>
                <w:szCs w:val="16"/>
                <w:color w:val="auto"/>
              </w:rPr>
              <w:t>25</w:t>
            </w:r>
          </w:p>
        </w:tc>
        <w:tc>
          <w:tcPr>
            <w:tcW w:w="1280" w:type="dxa"/>
            <w:vAlign w:val="bottom"/>
          </w:tcPr>
          <w:p>
            <w:pPr>
              <w:jc w:val="right"/>
              <w:ind w:right="459"/>
              <w:spacing w:after="0"/>
              <w:rPr>
                <w:sz w:val="20"/>
                <w:szCs w:val="20"/>
                <w:color w:val="auto"/>
              </w:rPr>
            </w:pPr>
            <w:r>
              <w:rPr>
                <w:rFonts w:ascii="Arial" w:cs="Arial" w:eastAsia="Arial" w:hAnsi="Arial"/>
                <w:sz w:val="16"/>
                <w:szCs w:val="16"/>
                <w:color w:val="auto"/>
              </w:rPr>
              <w:t>591</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25</w:t>
            </w:r>
          </w:p>
        </w:tc>
        <w:tc>
          <w:tcPr>
            <w:tcW w:w="1240" w:type="dxa"/>
            <w:vAlign w:val="bottom"/>
          </w:tcPr>
          <w:p>
            <w:pPr>
              <w:ind w:left="540"/>
              <w:spacing w:after="0"/>
              <w:rPr>
                <w:sz w:val="20"/>
                <w:szCs w:val="20"/>
                <w:color w:val="auto"/>
              </w:rPr>
            </w:pPr>
            <w:r>
              <w:rPr>
                <w:rFonts w:ascii="Arial" w:cs="Arial" w:eastAsia="Arial" w:hAnsi="Arial"/>
                <w:sz w:val="16"/>
                <w:szCs w:val="16"/>
                <w:color w:val="auto"/>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87"/>
              </w:rPr>
              <w:t>―</w:t>
            </w:r>
          </w:p>
        </w:tc>
      </w:tr>
      <w:tr>
        <w:trPr>
          <w:trHeight w:val="195"/>
        </w:trPr>
        <w:tc>
          <w:tcPr>
            <w:tcW w:w="3640" w:type="dxa"/>
            <w:vAlign w:val="bottom"/>
          </w:tcPr>
          <w:p>
            <w:pPr>
              <w:spacing w:after="0"/>
              <w:rPr>
                <w:sz w:val="20"/>
                <w:szCs w:val="20"/>
                <w:color w:val="auto"/>
              </w:rPr>
            </w:pPr>
            <w:r>
              <w:rPr>
                <w:rFonts w:ascii="Arial" w:cs="Arial" w:eastAsia="Arial" w:hAnsi="Arial"/>
                <w:sz w:val="16"/>
                <w:szCs w:val="16"/>
                <w:color w:val="auto"/>
              </w:rPr>
              <w:t>All other, fixed-rate and variable-rate</w:t>
            </w:r>
          </w:p>
        </w:tc>
        <w:tc>
          <w:tcPr>
            <w:tcW w:w="1900" w:type="dxa"/>
            <w:vAlign w:val="bottom"/>
          </w:tcPr>
          <w:p>
            <w:pPr>
              <w:jc w:val="right"/>
              <w:ind w:right="379"/>
              <w:spacing w:after="0"/>
              <w:rPr>
                <w:sz w:val="20"/>
                <w:szCs w:val="20"/>
                <w:color w:val="auto"/>
              </w:rPr>
            </w:pPr>
            <w:r>
              <w:rPr>
                <w:rFonts w:ascii="Arial" w:cs="Arial" w:eastAsia="Arial" w:hAnsi="Arial"/>
                <w:sz w:val="16"/>
                <w:szCs w:val="16"/>
                <w:color w:val="auto"/>
              </w:rPr>
              <w:t>4,602</w:t>
            </w:r>
          </w:p>
        </w:tc>
        <w:tc>
          <w:tcPr>
            <w:tcW w:w="1220" w:type="dxa"/>
            <w:vAlign w:val="bottom"/>
          </w:tcPr>
          <w:p>
            <w:pPr>
              <w:jc w:val="right"/>
              <w:ind w:right="379"/>
              <w:spacing w:after="0"/>
              <w:rPr>
                <w:sz w:val="20"/>
                <w:szCs w:val="20"/>
                <w:color w:val="auto"/>
              </w:rPr>
            </w:pPr>
            <w:r>
              <w:rPr>
                <w:rFonts w:ascii="Arial" w:cs="Arial" w:eastAsia="Arial" w:hAnsi="Arial"/>
                <w:sz w:val="16"/>
                <w:szCs w:val="16"/>
                <w:color w:val="auto"/>
              </w:rPr>
              <w:t>377</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40" w:type="dxa"/>
            <w:vAlign w:val="bottom"/>
          </w:tcPr>
          <w:p>
            <w:pPr>
              <w:ind w:left="540"/>
              <w:spacing w:after="0"/>
              <w:rPr>
                <w:sz w:val="20"/>
                <w:szCs w:val="20"/>
                <w:color w:val="auto"/>
              </w:rPr>
            </w:pPr>
            <w:r>
              <w:rPr>
                <w:rFonts w:ascii="Arial" w:cs="Arial" w:eastAsia="Arial" w:hAnsi="Arial"/>
                <w:sz w:val="16"/>
                <w:szCs w:val="16"/>
                <w:color w:val="auto"/>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After the effects of interest rate swaps.</w:t>
      </w:r>
    </w:p>
    <w:p>
      <w:pPr>
        <w:spacing w:after="0" w:line="200" w:lineRule="exact"/>
        <w:rPr>
          <w:sz w:val="20"/>
          <w:szCs w:val="20"/>
          <w:color w:val="auto"/>
        </w:rPr>
      </w:pPr>
    </w:p>
    <w:p>
      <w:pPr>
        <w:spacing w:after="0" w:line="25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At June 30, 2012, the net notional amount of interest rate swap transactions ranged from $4 million to $369 million at Sempra Energy (ranges relate to the tenor of the various hedging instruments). We provide additional information about interest rate swap transactions in Note 7 of the Notes to Condensed Consolidated Financial Statements herein.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234"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color w:val="auto"/>
        </w:rPr>
        <w:t>We discuss our foreign currency rate risk in detail in “Management’s Discussion and Analysis of Financial Condition and Results of Operations” in the Updated Annual Report. At June 30, 2012, there were no significant changes to our exposure to foreign currency rate risk since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2637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Sempra Energy, SDG&amp;E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18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Officers and Chief Financial Officers of Sempra Energy, SDG&amp;E and SoCalGas, each company evaluated the effectiveness of the design and operation of its disclosure controls and procedures as of June 30, 2012, the end of the period covered by this report. Based on these evaluations, the Chief Executive Officers and Chief Financial Officers of Sempra Energy, SDG&amp;E and SoCalGas concluded that their respective company’s disclosure controls and procedures were effective at the reasonable assurance level.</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515620</wp:posOffset>
            </wp:positionV>
            <wp:extent cx="7263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and Notes 14 and 15 of the Notes to Consolidated Financial Statements in the Updated Annual Report, or 2) referred to in “Management's Discussion and Analysis of Financial Condition and Results of Operations” herein and in the Updated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263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supplements the risk factors set forth in our Annual Report on Form 10-K for the year ended December 31, 2011.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Ongoing regulatory and maintenance issues at San Onofre Nuclear Generating Station (SONGS)</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SDG&amp;E has a 20-percent ownership interest in SONGS, a 2,150-MW nuclear generating facility near San Clemente, California operated by Southern California Edison. As discussed in Note 9 of Notes to the Condensed Consolidated Financial Statements herein, SONGS’s Units 2 and 3 are offline. The timing of the restart of either of these Units is dependent upon approval by the Nuclear Regulatory Commission, which could result in substantial additional expenditures that may not be recoverable, in whole or in part, in customer rates. If one or both of these Units were to be offline for more than nine consecutive months (November 2012 for Unit 3 and December 2012 for Unit 2), the CPUC will be notified of such fact and it is expected that the CPUC will issue a notice of its intent to conduct an investigation to determine whether SDG&amp;E should remove from customer rates some or all of the revenue requirement associated with the portion of the facility that is out of service. Any extended shut down of one or both these Units and the costs required to bring those Units back online could materially adversely affect SDG&amp;E’s and Sempra Energy’s businesses, results of operations, cash flows, and financial condition.</w:t>
      </w:r>
    </w:p>
    <w:p>
      <w:pPr>
        <w:sectPr>
          <w:pgSz w:w="11900" w:h="16838" w:orient="portrait"/>
          <w:cols w:equalWidth="0" w:num="1">
            <w:col w:w="11420"/>
          </w:cols>
          <w:pgMar w:left="240" w:top="120" w:right="239" w:bottom="0" w:gutter="0" w:footer="0" w:header="0"/>
        </w:sectPr>
      </w:pPr>
    </w:p>
    <w:bookmarkStart w:id="75" w:name="page76"/>
    <w:bookmarkEnd w:id="75"/>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912495</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ITEM 6. EXHIBITS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relate to each registrant as indicated.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10 -- MATERIAL CONTRACTS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10.1 Second Amendment to the Sempra Energy Employee and Director Retirement Savings Plan.</w:t>
      </w:r>
    </w:p>
    <w:p>
      <w:pPr>
        <w:spacing w:after="0" w:line="19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10.2 General Release Agreement between Sempra Energy and Michael W. Allman.</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10.3 Severance Pay Agreement between Sempra Energy and Trevor Mihalik.</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10.4 Severance Pay Agreement between Sempra Energy and Anne S. Smith.</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12.1 Sempra Energy Computation of Ratio of Earnings to Combined Fixed Charges and Preferred Stock Dividends.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12.2 San Diego Gas &amp; Electric Company Computation of Ratio of Earnings to Combined Fixed Charges and Preferred Stock Dividends.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12.3 Southern California Gas Company Computation of Ratio of Earnings to Combined Fixed Charges and Preferred Stock Dividends.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31 -- SECTION 302 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31.1 Statement of Sempra Energy’s Chief Executive Officer pursuant to Rules 13a-14 and 15d-14 of the Securities Exchange Act of 1934.</w:t>
      </w:r>
    </w:p>
    <w:p>
      <w:pPr>
        <w:spacing w:after="0" w:line="22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31.2 Statement of Sempra Energy’s Chief Financial Officer pursuant to Rules 13a-14 and 15d-14 of the Securities Exchange Act of 1934.</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5" w:lineRule="exact"/>
        <w:rPr>
          <w:sz w:val="20"/>
          <w:szCs w:val="20"/>
          <w:color w:val="auto"/>
        </w:rPr>
      </w:pPr>
    </w:p>
    <w:p>
      <w:pPr>
        <w:ind w:left="1420" w:right="580" w:hanging="404"/>
        <w:spacing w:after="0" w:line="243" w:lineRule="auto"/>
        <w:rPr>
          <w:sz w:val="20"/>
          <w:szCs w:val="20"/>
          <w:color w:val="auto"/>
        </w:rPr>
      </w:pPr>
      <w:r>
        <w:rPr>
          <w:rFonts w:ascii="Arial" w:cs="Arial" w:eastAsia="Arial" w:hAnsi="Arial"/>
          <w:sz w:val="18"/>
          <w:szCs w:val="18"/>
          <w:color w:val="auto"/>
        </w:rPr>
        <w:t>31.3 Statement of San Diego Gas &amp; Electric Company’s Chief Executive Officer pursuant to Rules 13a-14 and 15d-14 of the Securities Exchange Act of 1934.</w:t>
      </w:r>
    </w:p>
    <w:p>
      <w:pPr>
        <w:spacing w:after="0" w:line="186" w:lineRule="exact"/>
        <w:rPr>
          <w:sz w:val="20"/>
          <w:szCs w:val="20"/>
          <w:color w:val="auto"/>
        </w:rPr>
      </w:pPr>
    </w:p>
    <w:p>
      <w:pPr>
        <w:ind w:left="1420" w:right="620" w:hanging="404"/>
        <w:spacing w:after="0" w:line="262" w:lineRule="auto"/>
        <w:rPr>
          <w:sz w:val="20"/>
          <w:szCs w:val="20"/>
          <w:color w:val="auto"/>
        </w:rPr>
      </w:pPr>
      <w:r>
        <w:rPr>
          <w:rFonts w:ascii="Arial" w:cs="Arial" w:eastAsia="Arial" w:hAnsi="Arial"/>
          <w:sz w:val="18"/>
          <w:szCs w:val="18"/>
          <w:color w:val="auto"/>
        </w:rPr>
        <w:t>31.4 Statement of San Diego Gas &amp; Electric Company’s Chief Financial Officer pursuant to Rules 13a-14 and 15d-14 of the Securities Exchange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5" w:lineRule="exact"/>
        <w:rPr>
          <w:sz w:val="20"/>
          <w:szCs w:val="20"/>
          <w:color w:val="auto"/>
        </w:rPr>
      </w:pPr>
    </w:p>
    <w:p>
      <w:pPr>
        <w:ind w:left="1420" w:right="700" w:hanging="404"/>
        <w:spacing w:after="0" w:line="243" w:lineRule="auto"/>
        <w:rPr>
          <w:sz w:val="20"/>
          <w:szCs w:val="20"/>
          <w:color w:val="auto"/>
        </w:rPr>
      </w:pPr>
      <w:r>
        <w:rPr>
          <w:rFonts w:ascii="Arial" w:cs="Arial" w:eastAsia="Arial" w:hAnsi="Arial"/>
          <w:sz w:val="18"/>
          <w:szCs w:val="18"/>
          <w:color w:val="auto"/>
        </w:rPr>
        <w:t>31.5 Statement of Southern California Gas Company’s Chief Executive Officer pursuant to Rules 13a-14 and 15d-14 of the Securities Exchange Act of 1934.</w:t>
      </w:r>
    </w:p>
    <w:p>
      <w:pPr>
        <w:spacing w:after="0" w:line="186" w:lineRule="exact"/>
        <w:rPr>
          <w:sz w:val="20"/>
          <w:szCs w:val="20"/>
          <w:color w:val="auto"/>
        </w:rPr>
      </w:pPr>
    </w:p>
    <w:p>
      <w:pPr>
        <w:ind w:left="1420" w:hanging="404"/>
        <w:spacing w:after="0" w:line="262" w:lineRule="auto"/>
        <w:rPr>
          <w:sz w:val="20"/>
          <w:szCs w:val="20"/>
          <w:color w:val="auto"/>
        </w:rPr>
      </w:pPr>
      <w:r>
        <w:rPr>
          <w:rFonts w:ascii="Arial" w:cs="Arial" w:eastAsia="Arial" w:hAnsi="Arial"/>
          <w:sz w:val="18"/>
          <w:szCs w:val="18"/>
          <w:color w:val="auto"/>
        </w:rPr>
        <w:t>31.6 Statement of Southern California Gas Company’s Chief Financial Officer pursuant to Rules 13a-14 and 15d-14 of the Securities Exchange Act of 1934.</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32.1 Statement of Sempra Energy’s Chief Executive Officer pursuant to 18 U.S.C. Sec. 1350.</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32.2 Statement of Sempra Energy’s Chief Financial Officer pursuant to 18 U.S.C. Sec. 1350.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32.3 Statement of San Diego Gas &amp; Electric Company’s Chief Executive Officer pursuant to 18 U.S.C. Sec. 1350.</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32.4 Statement of San Diego Gas &amp; Electric Company’s Chief Financial Officer pursuant to 18 U.S.C. Sec. 1350.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32.5 Statement of Southern California Gas Company’s Chief Executive Officer pursuant to 18 U.S.C. Sec. 1350.</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32.6 Statement of Southern California Gas Company’s Chief Financial Officer pursuant to 18 U.S.C. Sec. 1350.</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101 -- INTERACTIVE DATA FILE</w:t>
      </w:r>
    </w:p>
    <w:p>
      <w:pPr>
        <w:sectPr>
          <w:pgSz w:w="11900" w:h="16838" w:orient="portrait"/>
          <w:cols w:equalWidth="0" w:num="1">
            <w:col w:w="11380"/>
          </w:cols>
          <w:pgMar w:left="240" w:top="1440" w:right="279" w:bottom="0" w:gutter="0" w:footer="0" w:header="0"/>
        </w:sectPr>
      </w:pPr>
    </w:p>
    <w:bookmarkStart w:id="76" w:name="page77"/>
    <w:bookmarkEnd w:id="76"/>
    <w:p>
      <w:pPr>
        <w:ind w:left="80"/>
        <w:spacing w:after="0"/>
        <w:rPr>
          <w:sz w:val="20"/>
          <w:szCs w:val="20"/>
          <w:color w:val="auto"/>
        </w:rPr>
      </w:pPr>
      <w:r>
        <w:rPr>
          <w:rFonts w:ascii="Arial" w:cs="Arial" w:eastAsia="Arial" w:hAnsi="Arial"/>
          <w:sz w:val="18"/>
          <w:szCs w:val="18"/>
          <w:color w:val="auto"/>
        </w:rPr>
        <w:t>101.INS XBRL Instance Document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 XBRL Taxonomy Extension Schema Document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 XBRL Taxonomy Extension Calculation Linkbase Document</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 XBRL Taxonomy Extension Definition Linkbase Document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 Document</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 XBRL Taxonomy Extension Presentation Linkbase Document</w:t>
      </w:r>
    </w:p>
    <w:p>
      <w:pPr>
        <w:sectPr>
          <w:pgSz w:w="11900" w:h="16838" w:orient="portrait"/>
          <w:cols w:equalWidth="0" w:num="1">
            <w:col w:w="9579"/>
          </w:cols>
          <w:pgMar w:left="880" w:top="557" w:right="1440"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SEMPRA ENERGY,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196" w:lineRule="exact"/>
        <w:rPr>
          <w:sz w:val="20"/>
          <w:szCs w:val="20"/>
          <w:color w:val="auto"/>
        </w:rPr>
      </w:pPr>
    </w:p>
    <w:p>
      <w:pPr>
        <w:ind w:left="1860"/>
        <w:spacing w:after="0"/>
        <w:tabs>
          <w:tab w:leader="none" w:pos="5880" w:val="left"/>
        </w:tabs>
        <w:rPr>
          <w:sz w:val="20"/>
          <w:szCs w:val="20"/>
          <w:color w:val="auto"/>
        </w:rPr>
      </w:pPr>
      <w:r>
        <w:rPr>
          <w:rFonts w:ascii="Arial" w:cs="Arial" w:eastAsia="Arial" w:hAnsi="Arial"/>
          <w:sz w:val="18"/>
          <w:szCs w:val="18"/>
          <w:color w:val="auto"/>
        </w:rPr>
        <w:t>Date: August 2, 2012</w:t>
      </w:r>
      <w:r>
        <w:rPr>
          <w:sz w:val="20"/>
          <w:szCs w:val="20"/>
          <w:color w:val="auto"/>
        </w:rPr>
        <w:tab/>
      </w:r>
      <w:r>
        <w:rPr>
          <w:rFonts w:ascii="Arial" w:cs="Arial" w:eastAsia="Arial" w:hAnsi="Arial"/>
          <w:sz w:val="17"/>
          <w:szCs w:val="17"/>
          <w:color w:val="auto"/>
        </w:rPr>
        <w:t>By: /s/ Trevor I. Mihalik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Trevor I. Mihalik</w:t>
      </w:r>
    </w:p>
    <w:p>
      <w:pPr>
        <w:ind w:left="5900"/>
        <w:spacing w:after="0"/>
        <w:rPr>
          <w:sz w:val="20"/>
          <w:szCs w:val="20"/>
          <w:color w:val="auto"/>
        </w:rPr>
      </w:pPr>
      <w:r>
        <w:rPr>
          <w:rFonts w:ascii="Arial" w:cs="Arial" w:eastAsia="Arial" w:hAnsi="Arial"/>
          <w:sz w:val="18"/>
          <w:szCs w:val="18"/>
          <w:color w:val="auto"/>
        </w:rPr>
        <w:t>Controller and Chief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Diego Gas &amp; Electric Company:</w:t>
      </w: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SAN DIEGO GAS &amp; ELECTRIC COMPANY,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196" w:lineRule="exact"/>
        <w:rPr>
          <w:sz w:val="20"/>
          <w:szCs w:val="20"/>
          <w:color w:val="auto"/>
        </w:rPr>
      </w:pPr>
    </w:p>
    <w:p>
      <w:pPr>
        <w:ind w:left="1860"/>
        <w:spacing w:after="0"/>
        <w:tabs>
          <w:tab w:leader="none" w:pos="5880" w:val="left"/>
        </w:tabs>
        <w:rPr>
          <w:sz w:val="20"/>
          <w:szCs w:val="20"/>
          <w:color w:val="auto"/>
        </w:rPr>
      </w:pPr>
      <w:r>
        <w:rPr>
          <w:rFonts w:ascii="Arial" w:cs="Arial" w:eastAsia="Arial" w:hAnsi="Arial"/>
          <w:sz w:val="18"/>
          <w:szCs w:val="18"/>
          <w:color w:val="auto"/>
        </w:rPr>
        <w:t>Date: August 2, 2012</w:t>
      </w:r>
      <w:r>
        <w:rPr>
          <w:sz w:val="20"/>
          <w:szCs w:val="20"/>
          <w:color w:val="auto"/>
        </w:rPr>
        <w:tab/>
      </w:r>
      <w:r>
        <w:rPr>
          <w:rFonts w:ascii="Arial" w:cs="Arial" w:eastAsia="Arial" w:hAnsi="Arial"/>
          <w:sz w:val="17"/>
          <w:szCs w:val="17"/>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Schlax</w:t>
      </w:r>
    </w:p>
    <w:p>
      <w:pPr>
        <w:ind w:left="5900"/>
        <w:spacing w:after="0" w:line="234" w:lineRule="auto"/>
        <w:rPr>
          <w:sz w:val="20"/>
          <w:szCs w:val="20"/>
          <w:color w:val="auto"/>
        </w:rPr>
      </w:pPr>
      <w:r>
        <w:rPr>
          <w:rFonts w:ascii="Arial" w:cs="Arial" w:eastAsia="Arial" w:hAnsi="Arial"/>
          <w:sz w:val="18"/>
          <w:szCs w:val="18"/>
          <w:color w:val="auto"/>
        </w:rPr>
        <w:t>Vice President, Controller, Chief Financial Officer and Chief</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California Gas Company:</w:t>
      </w: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SOUTHERN CALIFORNIA GAS COMPANY,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196" w:lineRule="exact"/>
        <w:rPr>
          <w:sz w:val="20"/>
          <w:szCs w:val="20"/>
          <w:color w:val="auto"/>
        </w:rPr>
      </w:pPr>
    </w:p>
    <w:p>
      <w:pPr>
        <w:ind w:left="1860"/>
        <w:spacing w:after="0"/>
        <w:tabs>
          <w:tab w:leader="none" w:pos="5880" w:val="left"/>
        </w:tabs>
        <w:rPr>
          <w:sz w:val="20"/>
          <w:szCs w:val="20"/>
          <w:color w:val="auto"/>
        </w:rPr>
      </w:pPr>
      <w:r>
        <w:rPr>
          <w:rFonts w:ascii="Arial" w:cs="Arial" w:eastAsia="Arial" w:hAnsi="Arial"/>
          <w:sz w:val="18"/>
          <w:szCs w:val="18"/>
          <w:color w:val="auto"/>
        </w:rPr>
        <w:t>Date: August 2, 2012</w:t>
      </w:r>
      <w:r>
        <w:rPr>
          <w:sz w:val="20"/>
          <w:szCs w:val="20"/>
          <w:color w:val="auto"/>
        </w:rPr>
        <w:tab/>
      </w:r>
      <w:r>
        <w:rPr>
          <w:rFonts w:ascii="Arial" w:cs="Arial" w:eastAsia="Arial" w:hAnsi="Arial"/>
          <w:sz w:val="17"/>
          <w:szCs w:val="17"/>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Schlax</w:t>
      </w:r>
    </w:p>
    <w:p>
      <w:pPr>
        <w:ind w:left="5900"/>
        <w:spacing w:after="0" w:line="234" w:lineRule="auto"/>
        <w:rPr>
          <w:sz w:val="20"/>
          <w:szCs w:val="20"/>
          <w:color w:val="auto"/>
        </w:rPr>
      </w:pPr>
      <w:r>
        <w:rPr>
          <w:rFonts w:ascii="Arial" w:cs="Arial" w:eastAsia="Arial" w:hAnsi="Arial"/>
          <w:sz w:val="18"/>
          <w:szCs w:val="18"/>
          <w:color w:val="auto"/>
        </w:rPr>
        <w:t>Vice President, Controller, Chief Financial Officer and Chief</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0720"/>
          </w:cols>
          <w:pgMar w:left="240" w:top="513" w:right="939" w:bottom="1440" w:gutter="0" w:footer="0" w:header="0"/>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Arial" w:cs="Arial" w:eastAsia="Arial" w:hAnsi="Arial"/>
          <w:sz w:val="25"/>
          <w:szCs w:val="25"/>
          <w:b w:val="1"/>
          <w:bCs w:val="1"/>
          <w:color w:val="auto"/>
        </w:rPr>
        <w:t>Exhibit 10.1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the</w:t>
      </w:r>
    </w:p>
    <w:p>
      <w:pPr>
        <w:jc w:val="center"/>
        <w:spacing w:after="0"/>
        <w:rPr>
          <w:sz w:val="20"/>
          <w:szCs w:val="20"/>
          <w:color w:val="auto"/>
        </w:rPr>
      </w:pPr>
      <w:r>
        <w:rPr>
          <w:rFonts w:ascii="Arial" w:cs="Arial" w:eastAsia="Arial" w:hAnsi="Arial"/>
          <w:sz w:val="22"/>
          <w:szCs w:val="22"/>
          <w:b w:val="1"/>
          <w:bCs w:val="1"/>
          <w:color w:val="auto"/>
        </w:rPr>
        <w:t>Sempra Energy Employee and Director Retirement Savings Plan</w:t>
      </w:r>
    </w:p>
    <w:p>
      <w:pPr>
        <w:spacing w:after="0" w:line="200" w:lineRule="exact"/>
        <w:rPr>
          <w:sz w:val="20"/>
          <w:szCs w:val="20"/>
          <w:color w:val="auto"/>
        </w:rPr>
      </w:pPr>
    </w:p>
    <w:p>
      <w:pPr>
        <w:spacing w:after="0" w:line="204" w:lineRule="exact"/>
        <w:rPr>
          <w:sz w:val="20"/>
          <w:szCs w:val="20"/>
          <w:color w:val="auto"/>
        </w:rPr>
      </w:pPr>
    </w:p>
    <w:p>
      <w:pPr>
        <w:ind w:right="60" w:firstLine="648"/>
        <w:spacing w:after="0" w:line="252" w:lineRule="auto"/>
        <w:rPr>
          <w:sz w:val="20"/>
          <w:szCs w:val="20"/>
          <w:color w:val="auto"/>
        </w:rPr>
      </w:pPr>
      <w:r>
        <w:rPr>
          <w:rFonts w:ascii="Arial" w:cs="Arial" w:eastAsia="Arial" w:hAnsi="Arial"/>
          <w:sz w:val="21"/>
          <w:szCs w:val="21"/>
          <w:color w:val="auto"/>
        </w:rPr>
        <w:t>Sempra Energy, a California corporation (the “Company”), and its direct and indirect subsidiaries maintain the Sempra Energy Employee and Director Retirement Savings Plan (the “Plan”) which is designed to provide supplemental retirement income benefits for certain directors and for a select group of management and highly compensated employees through deferrals of salary and incentive compensation and Company matching contributions.</w:t>
      </w:r>
    </w:p>
    <w:p>
      <w:pPr>
        <w:spacing w:after="0" w:line="174" w:lineRule="exact"/>
        <w:rPr>
          <w:sz w:val="20"/>
          <w:szCs w:val="20"/>
          <w:color w:val="auto"/>
        </w:rPr>
      </w:pPr>
    </w:p>
    <w:p>
      <w:pPr>
        <w:ind w:right="340" w:firstLine="648"/>
        <w:spacing w:after="0" w:line="251" w:lineRule="auto"/>
        <w:rPr>
          <w:sz w:val="20"/>
          <w:szCs w:val="20"/>
          <w:color w:val="auto"/>
        </w:rPr>
      </w:pPr>
      <w:r>
        <w:rPr>
          <w:rFonts w:ascii="Arial" w:cs="Arial" w:eastAsia="Arial" w:hAnsi="Arial"/>
          <w:sz w:val="22"/>
          <w:szCs w:val="22"/>
          <w:color w:val="auto"/>
        </w:rPr>
        <w:t>Pursuant to Section 9.4 of the Plan, the Committee may amend the Plan in whole or in part, provided that no amendment may retroactively reduce any vested amounts allocated to a Participant’s Account.</w:t>
      </w:r>
    </w:p>
    <w:p>
      <w:pPr>
        <w:spacing w:after="0" w:line="173"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The Committee deems it to be in the best interest of the Company to amend the Plan to change the Company Matching Contribution from initial investment in the Sempra Energy Stock Fund to a cash contribution which Participants may elect to be invested in any Measurement Fund. Any capitalized terms that are not defined herein shall have the have the same meaning as set forth in the Plan.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Plan is hereby amended, effective June 29, 2012 as follows:</w:t>
      </w:r>
    </w:p>
    <w:p>
      <w:pPr>
        <w:spacing w:after="0" w:line="193" w:lineRule="exact"/>
        <w:rPr>
          <w:sz w:val="20"/>
          <w:szCs w:val="20"/>
          <w:color w:val="auto"/>
        </w:rPr>
      </w:pPr>
    </w:p>
    <w:p>
      <w:pPr>
        <w:ind w:right="200" w:firstLine="656"/>
        <w:spacing w:after="0" w:line="251" w:lineRule="auto"/>
        <w:tabs>
          <w:tab w:leader="none" w:pos="129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name of the Plan is changed to “The Sempra Energy Employee and Director Savings Plan” and Section 1.2(ii) of the Plan is hereby amended to read in its entirety as follows:</w:t>
      </w:r>
    </w:p>
    <w:p>
      <w:pPr>
        <w:spacing w:after="0" w:line="173" w:lineRule="exact"/>
        <w:rPr>
          <w:sz w:val="20"/>
          <w:szCs w:val="20"/>
          <w:color w:val="auto"/>
        </w:rPr>
      </w:pPr>
    </w:p>
    <w:p>
      <w:pPr>
        <w:ind w:left="660" w:right="100" w:firstLine="648"/>
        <w:spacing w:after="0" w:line="251" w:lineRule="auto"/>
        <w:rPr>
          <w:sz w:val="20"/>
          <w:szCs w:val="20"/>
          <w:color w:val="auto"/>
        </w:rPr>
      </w:pPr>
      <w:r>
        <w:rPr>
          <w:rFonts w:ascii="Arial" w:cs="Arial" w:eastAsia="Arial" w:hAnsi="Arial"/>
          <w:sz w:val="22"/>
          <w:szCs w:val="22"/>
          <w:color w:val="auto"/>
        </w:rPr>
        <w:t>“(ii) ‘Plan’ shall mean the Sempra Energy Employee and Director Savings Plan as set forth herein as amended from time to time.”</w:t>
      </w:r>
    </w:p>
    <w:p>
      <w:pPr>
        <w:spacing w:after="0" w:line="173"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Section 3.3(b) of the Plan is hereby amended in its entirety to read as follows:</w:t>
      </w:r>
    </w:p>
    <w:p>
      <w:pPr>
        <w:spacing w:after="0" w:line="193" w:lineRule="exact"/>
        <w:rPr>
          <w:sz w:val="20"/>
          <w:szCs w:val="20"/>
          <w:color w:val="auto"/>
        </w:rPr>
      </w:pPr>
    </w:p>
    <w:p>
      <w:pPr>
        <w:ind w:left="1960" w:right="100" w:hanging="599"/>
        <w:spacing w:after="0" w:line="251" w:lineRule="auto"/>
        <w:tabs>
          <w:tab w:leader="none" w:pos="1940" w:val="left"/>
        </w:tabs>
        <w:rPr>
          <w:sz w:val="20"/>
          <w:szCs w:val="20"/>
          <w:color w:val="auto"/>
        </w:rPr>
      </w:pPr>
      <w:r>
        <w:rPr>
          <w:rFonts w:ascii="Arial" w:cs="Arial" w:eastAsia="Arial" w:hAnsi="Arial"/>
          <w:sz w:val="22"/>
          <w:szCs w:val="22"/>
          <w:color w:val="auto"/>
        </w:rPr>
        <w:t>“(b)</w:t>
        <w:tab/>
        <w:t>The Company Matching Contribution for a Plan Year shall be credited to a Participant’s Company Matching Account in the manner and form determined by the Committee.”</w:t>
      </w:r>
    </w:p>
    <w:p>
      <w:pPr>
        <w:spacing w:after="0" w:line="160" w:lineRule="exact"/>
        <w:rPr>
          <w:sz w:val="20"/>
          <w:szCs w:val="20"/>
          <w:color w:val="auto"/>
        </w:rPr>
      </w:pPr>
    </w:p>
    <w:p>
      <w:pPr>
        <w:ind w:left="660" w:right="3640" w:hanging="4"/>
        <w:spacing w:after="0" w:line="429" w:lineRule="auto"/>
        <w:tabs>
          <w:tab w:leader="none" w:pos="130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Section 4.2 of the Plan is hereby amended in its entirety to read as follows: “4.2 </w:t>
      </w:r>
      <w:r>
        <w:rPr>
          <w:rFonts w:ascii="Arial" w:cs="Arial" w:eastAsia="Arial" w:hAnsi="Arial"/>
          <w:sz w:val="22"/>
          <w:szCs w:val="22"/>
          <w:u w:val="single" w:color="auto"/>
          <w:color w:val="auto"/>
        </w:rPr>
        <w:t>Investment Elections</w:t>
      </w:r>
      <w:r>
        <w:rPr>
          <w:rFonts w:ascii="Arial" w:cs="Arial" w:eastAsia="Arial" w:hAnsi="Arial"/>
          <w:sz w:val="22"/>
          <w:szCs w:val="22"/>
          <w:color w:val="auto"/>
        </w:rPr>
        <w:t>.</w:t>
      </w:r>
    </w:p>
    <w:p>
      <w:pPr>
        <w:ind w:left="1300" w:hanging="644"/>
        <w:spacing w:after="0"/>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Executive Officers and Director Participants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660" w:right="160" w:firstLine="645"/>
        <w:spacing w:after="0" w:line="328" w:lineRule="auto"/>
        <w:tabs>
          <w:tab w:leader="none" w:pos="1957"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Deferral Accounts</w:t>
      </w:r>
      <w:r>
        <w:rPr>
          <w:rFonts w:ascii="Arial" w:cs="Arial" w:eastAsia="Arial" w:hAnsi="Arial"/>
          <w:sz w:val="19"/>
          <w:szCs w:val="19"/>
          <w:color w:val="auto"/>
        </w:rPr>
        <w:t>. Except as provided in Sections 4.2(a)(2) and 4.3, Participants who are either Executive Officers or Directors may designate how their Deferral Accounts shall be deemed to be invested under the Plan.</w:t>
      </w:r>
    </w:p>
    <w:p>
      <w:pPr>
        <w:spacing w:after="0" w:line="105" w:lineRule="exact"/>
        <w:rPr>
          <w:rFonts w:ascii="Arial" w:cs="Arial" w:eastAsia="Arial" w:hAnsi="Arial"/>
          <w:sz w:val="19"/>
          <w:szCs w:val="19"/>
          <w:color w:val="auto"/>
        </w:rPr>
      </w:pPr>
    </w:p>
    <w:p>
      <w:pPr>
        <w:ind w:left="660" w:right="1140" w:firstLine="1293"/>
        <w:spacing w:after="0" w:line="251" w:lineRule="auto"/>
        <w:tabs>
          <w:tab w:leader="none" w:pos="2605" w:val="left"/>
        </w:tabs>
        <w:numPr>
          <w:ilvl w:val="2"/>
          <w:numId w:val="122"/>
        </w:numPr>
        <w:rPr>
          <w:rFonts w:ascii="Arial" w:cs="Arial" w:eastAsia="Arial" w:hAnsi="Arial"/>
          <w:sz w:val="22"/>
          <w:szCs w:val="22"/>
          <w:color w:val="auto"/>
        </w:rPr>
      </w:pPr>
      <w:r>
        <w:rPr>
          <w:rFonts w:ascii="Arial" w:cs="Arial" w:eastAsia="Arial" w:hAnsi="Arial"/>
          <w:sz w:val="22"/>
          <w:szCs w:val="22"/>
          <w:color w:val="auto"/>
        </w:rPr>
        <w:t>Such Participants may make separate investment elections for (I) their future deferrals of Compensation and (II) the existing balances of their Deferral Accounts.</w:t>
      </w:r>
    </w:p>
    <w:p>
      <w:pPr>
        <w:spacing w:after="0" w:line="159" w:lineRule="exact"/>
        <w:rPr>
          <w:rFonts w:ascii="Arial" w:cs="Arial" w:eastAsia="Arial" w:hAnsi="Arial"/>
          <w:sz w:val="22"/>
          <w:szCs w:val="22"/>
          <w:color w:val="auto"/>
        </w:rPr>
      </w:pPr>
    </w:p>
    <w:p>
      <w:pPr>
        <w:ind w:left="660" w:right="740" w:firstLine="1293"/>
        <w:spacing w:after="0" w:line="328" w:lineRule="auto"/>
        <w:tabs>
          <w:tab w:leader="none" w:pos="2605" w:val="left"/>
        </w:tabs>
        <w:numPr>
          <w:ilvl w:val="2"/>
          <w:numId w:val="122"/>
        </w:numPr>
        <w:rPr>
          <w:rFonts w:ascii="Arial" w:cs="Arial" w:eastAsia="Arial" w:hAnsi="Arial"/>
          <w:sz w:val="19"/>
          <w:szCs w:val="19"/>
          <w:color w:val="auto"/>
        </w:rPr>
      </w:pPr>
      <w:r>
        <w:rPr>
          <w:rFonts w:ascii="Arial" w:cs="Arial" w:eastAsia="Arial" w:hAnsi="Arial"/>
          <w:sz w:val="19"/>
          <w:szCs w:val="19"/>
          <w:color w:val="auto"/>
        </w:rPr>
        <w:t>Such Participants may make and change their investment elections by choosing from the Measurement Funds designated by the Committee in accordance with the procedures established by the Committee.</w:t>
      </w:r>
    </w:p>
    <w:p>
      <w:pPr>
        <w:spacing w:after="0" w:line="91" w:lineRule="exact"/>
        <w:rPr>
          <w:rFonts w:ascii="Arial" w:cs="Arial" w:eastAsia="Arial" w:hAnsi="Arial"/>
          <w:sz w:val="19"/>
          <w:szCs w:val="19"/>
          <w:color w:val="auto"/>
        </w:rPr>
      </w:pPr>
    </w:p>
    <w:p>
      <w:pPr>
        <w:ind w:left="660" w:right="20" w:firstLine="1293"/>
        <w:spacing w:after="0" w:line="238" w:lineRule="auto"/>
        <w:tabs>
          <w:tab w:leader="none" w:pos="2605" w:val="left"/>
        </w:tabs>
        <w:numPr>
          <w:ilvl w:val="2"/>
          <w:numId w:val="122"/>
        </w:numPr>
        <w:rPr>
          <w:rFonts w:ascii="Arial" w:cs="Arial" w:eastAsia="Arial" w:hAnsi="Arial"/>
          <w:sz w:val="22"/>
          <w:szCs w:val="22"/>
          <w:color w:val="auto"/>
        </w:rPr>
      </w:pPr>
      <w:r>
        <w:rPr>
          <w:rFonts w:ascii="Arial" w:cs="Arial" w:eastAsia="Arial" w:hAnsi="Arial"/>
          <w:sz w:val="22"/>
          <w:szCs w:val="22"/>
          <w:color w:val="auto"/>
        </w:rPr>
        <w:t>Except as otherwise designated by the Committee, the available Measurement Funds under this Section 4.2(a)(1) shall be the investment funds under the 401(k) Plan (excluding the Stable Value Fund and any brokerage account option). Additionally, for the Deferral Account only, there shall also be a Measurement Fund based on the Moody’s Plus Rate.</w:t>
      </w:r>
    </w:p>
    <w:p>
      <w:pPr>
        <w:spacing w:after="0" w:line="185" w:lineRule="exact"/>
        <w:rPr>
          <w:rFonts w:ascii="Arial" w:cs="Arial" w:eastAsia="Arial" w:hAnsi="Arial"/>
          <w:sz w:val="22"/>
          <w:szCs w:val="22"/>
          <w:color w:val="auto"/>
        </w:rPr>
      </w:pPr>
    </w:p>
    <w:p>
      <w:pPr>
        <w:ind w:left="660" w:right="480" w:firstLine="1293"/>
        <w:spacing w:after="0" w:line="274" w:lineRule="auto"/>
        <w:tabs>
          <w:tab w:leader="none" w:pos="2605" w:val="left"/>
        </w:tabs>
        <w:numPr>
          <w:ilvl w:val="2"/>
          <w:numId w:val="122"/>
        </w:numPr>
        <w:rPr>
          <w:rFonts w:ascii="Arial" w:cs="Arial" w:eastAsia="Arial" w:hAnsi="Arial"/>
          <w:sz w:val="21"/>
          <w:szCs w:val="21"/>
          <w:color w:val="auto"/>
        </w:rPr>
      </w:pPr>
      <w:r>
        <w:rPr>
          <w:rFonts w:ascii="Arial" w:cs="Arial" w:eastAsia="Arial" w:hAnsi="Arial"/>
          <w:sz w:val="21"/>
          <w:szCs w:val="21"/>
          <w:color w:val="auto"/>
        </w:rPr>
        <w:t>If a Participant fails to elect a Measurement Fund under this Section, he shall be deemed to have elected the default Measurement Fund (as designated by the Committee) for all of his Accounts.</w:t>
      </w:r>
    </w:p>
    <w:p>
      <w:pPr>
        <w:spacing w:after="0" w:line="137" w:lineRule="exact"/>
        <w:rPr>
          <w:rFonts w:ascii="Arial" w:cs="Arial" w:eastAsia="Arial" w:hAnsi="Arial"/>
          <w:sz w:val="21"/>
          <w:szCs w:val="21"/>
          <w:color w:val="auto"/>
        </w:rPr>
      </w:pPr>
    </w:p>
    <w:p>
      <w:pPr>
        <w:ind w:left="660" w:right="20" w:firstLine="645"/>
        <w:spacing w:after="0" w:line="279" w:lineRule="auto"/>
        <w:tabs>
          <w:tab w:leader="none" w:pos="1957"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Company Matching Account and Certain Deferral Subaccounts</w:t>
      </w:r>
      <w:r>
        <w:rPr>
          <w:rFonts w:ascii="Arial" w:cs="Arial" w:eastAsia="Arial" w:hAnsi="Arial"/>
          <w:sz w:val="19"/>
          <w:szCs w:val="19"/>
          <w:color w:val="auto"/>
        </w:rPr>
        <w:t>. A Participant may direct the investment of the Company Matching Contributions credited to his Company Matching Account into any Measurement Fund, as permitted by the Committee. The deferrals of a Participant’s Restricted Stock Units and Stock Option Gains credited to such Participant’s Deferral Account shall be initially deemed invested in the Sempra Energy Stock Fund; provided, however, such Participant may direct the investment of the balance of his Restricted Stock Unit and Stock Option Gain subaccounts of his Deferral Account into any Measurement Fund, as permitted by the Committee.</w:t>
      </w:r>
    </w:p>
    <w:p>
      <w:pPr>
        <w:spacing w:after="0" w:line="137" w:lineRule="exact"/>
        <w:rPr>
          <w:rFonts w:ascii="Arial" w:cs="Arial" w:eastAsia="Arial" w:hAnsi="Arial"/>
          <w:sz w:val="19"/>
          <w:szCs w:val="19"/>
          <w:color w:val="auto"/>
        </w:rPr>
      </w:pPr>
    </w:p>
    <w:p>
      <w:pPr>
        <w:ind w:left="1300" w:hanging="644"/>
        <w:spacing w:after="0"/>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Manager Participants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right="740" w:firstLine="645"/>
        <w:spacing w:after="0" w:line="328" w:lineRule="auto"/>
        <w:tabs>
          <w:tab w:leader="none" w:pos="1957"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Deferral Account</w:t>
      </w:r>
      <w:r>
        <w:rPr>
          <w:rFonts w:ascii="Arial" w:cs="Arial" w:eastAsia="Arial" w:hAnsi="Arial"/>
          <w:sz w:val="19"/>
          <w:szCs w:val="19"/>
          <w:color w:val="auto"/>
        </w:rPr>
        <w:t>. Any Participant who is a Manager shall have his Deferral Account invested in the Measurement Fund based on the Moody’s Plus Rate, except as otherwise permitted by the Committee.</w:t>
      </w:r>
    </w:p>
    <w:p>
      <w:pPr>
        <w:spacing w:after="0" w:line="91" w:lineRule="exact"/>
        <w:rPr>
          <w:rFonts w:ascii="Arial" w:cs="Arial" w:eastAsia="Arial" w:hAnsi="Arial"/>
          <w:sz w:val="19"/>
          <w:szCs w:val="19"/>
          <w:color w:val="auto"/>
        </w:rPr>
      </w:pPr>
    </w:p>
    <w:p>
      <w:pPr>
        <w:ind w:left="660" w:right="300" w:firstLine="645"/>
        <w:spacing w:after="0"/>
        <w:tabs>
          <w:tab w:leader="none" w:pos="1957"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Company Matching Account</w:t>
      </w:r>
      <w:r>
        <w:rPr>
          <w:rFonts w:ascii="Arial" w:cs="Arial" w:eastAsia="Arial" w:hAnsi="Arial"/>
          <w:sz w:val="22"/>
          <w:szCs w:val="22"/>
          <w:color w:val="auto"/>
        </w:rPr>
        <w:t>. The Company Matching Contributions credited to a Participant’s Company Matching Account may be invested into any Measurement Fund at the direction of the Participant, as permitted by the Committee.</w:t>
      </w:r>
    </w:p>
    <w:p>
      <w:pPr>
        <w:sectPr>
          <w:pgSz w:w="11900" w:h="16838" w:orient="portrait"/>
          <w:cols w:equalWidth="0" w:num="1">
            <w:col w:w="11420"/>
          </w:cols>
          <w:pgMar w:left="240" w:top="117" w:right="239" w:bottom="14" w:gutter="0" w:footer="0" w:header="0"/>
        </w:sectPr>
      </w:pPr>
    </w:p>
    <w:bookmarkStart w:id="80" w:name="page81"/>
    <w:bookmarkEnd w:id="80"/>
    <w:p>
      <w:pPr>
        <w:ind w:left="660" w:hanging="4"/>
        <w:spacing w:after="0" w:line="238" w:lineRule="auto"/>
        <w:tabs>
          <w:tab w:leader="none" w:pos="1308"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Continuing Investment Elections</w:t>
      </w:r>
      <w:r>
        <w:rPr>
          <w:rFonts w:ascii="Arial" w:cs="Arial" w:eastAsia="Arial" w:hAnsi="Arial"/>
          <w:sz w:val="22"/>
          <w:szCs w:val="22"/>
          <w:color w:val="auto"/>
        </w:rPr>
        <w:t>. Participants who have had a Retirement or Termination but not yet commenced distributions under Article VII or Participants or Beneficiaries who are receiving installment payments may continue to make investment elections pursuant to subsection (a) and (b) above, as applicable, except as otherwise determined by the Committee.”</w:t>
      </w:r>
    </w:p>
    <w:p>
      <w:pPr>
        <w:spacing w:after="0" w:line="172" w:lineRule="exact"/>
        <w:rPr>
          <w:sz w:val="20"/>
          <w:szCs w:val="20"/>
          <w:color w:val="auto"/>
        </w:rPr>
      </w:pPr>
    </w:p>
    <w:p>
      <w:pPr>
        <w:ind w:left="1300" w:hanging="644"/>
        <w:spacing w:after="0"/>
        <w:tabs>
          <w:tab w:leader="none" w:pos="130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Plan, as amended herein, shall remain in full force and effect in accordance with the terms and conditions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at San Diego, California this 11</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June, 2012.</w:t>
      </w:r>
    </w:p>
    <w:p>
      <w:pPr>
        <w:spacing w:after="0" w:line="9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SEMPRA ENERGY</w:t>
      </w:r>
    </w:p>
    <w:p>
      <w:pPr>
        <w:sectPr>
          <w:pgSz w:w="11900" w:h="16838" w:orient="portrait"/>
          <w:cols w:equalWidth="0" w:num="1">
            <w:col w:w="11160"/>
          </w:cols>
          <w:pgMar w:left="240" w:top="118" w:right="499" w:bottom="1440" w:gutter="0" w:footer="0" w:header="0"/>
        </w:sectPr>
      </w:pP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34" w:lineRule="exact"/>
        <w:rPr>
          <w:sz w:val="20"/>
          <w:szCs w:val="20"/>
          <w:color w:val="auto"/>
        </w:rPr>
      </w:pPr>
    </w:p>
    <w:p>
      <w:pPr>
        <w:sectPr>
          <w:pgSz w:w="11900" w:h="16838" w:orient="portrait"/>
          <w:cols w:equalWidth="0" w:num="2">
            <w:col w:w="4640" w:space="660"/>
            <w:col w:w="5860"/>
          </w:cols>
          <w:pgMar w:left="240" w:top="118" w:right="499" w:bottom="1440" w:gutter="0" w:footer="0" w:header="0"/>
          <w:type w:val="continuous"/>
        </w:sectPr>
      </w:pPr>
    </w:p>
    <w:p>
      <w:pPr>
        <w:spacing w:after="0" w:line="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Sr. Vice President, Human Resources, Diversity &amp; Inclusion</w:t>
      </w:r>
    </w:p>
    <w:p>
      <w:pPr>
        <w:spacing w:after="0" w:line="227" w:lineRule="exact"/>
        <w:rPr>
          <w:sz w:val="20"/>
          <w:szCs w:val="20"/>
          <w:color w:val="auto"/>
        </w:rPr>
      </w:pPr>
    </w:p>
    <w:p>
      <w:pPr>
        <w:sectPr>
          <w:pgSz w:w="11900" w:h="16838" w:orient="portrait"/>
          <w:cols w:equalWidth="0" w:num="2">
            <w:col w:w="4800" w:space="400"/>
            <w:col w:w="5960"/>
          </w:cols>
          <w:pgMar w:left="240" w:top="118" w:right="499" w:bottom="1440" w:gutter="0" w:footer="0" w:header="0"/>
          <w:type w:val="continuous"/>
        </w:sectPr>
      </w:pPr>
    </w:p>
    <w:p>
      <w:pPr>
        <w:spacing w:after="0" w:line="13" w:lineRule="exact"/>
        <w:rPr>
          <w:sz w:val="20"/>
          <w:szCs w:val="20"/>
          <w:color w:val="auto"/>
        </w:rPr>
      </w:pPr>
    </w:p>
    <w:p>
      <w:pPr>
        <w:ind w:left="432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June 11, 2012</w:t>
      </w:r>
    </w:p>
    <w:p>
      <w:pPr>
        <w:sectPr>
          <w:pgSz w:w="11900" w:h="16838" w:orient="portrait"/>
          <w:cols w:equalWidth="0" w:num="2">
            <w:col w:w="4800" w:space="400"/>
            <w:col w:w="5960"/>
          </w:cols>
          <w:pgMar w:left="240" w:top="118" w:right="499" w:bottom="1440" w:gutter="0" w:footer="0" w:header="0"/>
          <w:type w:val="continuous"/>
        </w:sectPr>
      </w:pPr>
    </w:p>
    <w:bookmarkStart w:id="81" w:name="page82"/>
    <w:bookmarkEnd w:id="81"/>
    <w:p>
      <w:pPr>
        <w:spacing w:after="0" w:line="7"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10.2</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00" w:lineRule="exact"/>
        <w:rPr>
          <w:sz w:val="20"/>
          <w:szCs w:val="20"/>
          <w:color w:val="auto"/>
        </w:rPr>
      </w:pPr>
    </w:p>
    <w:p>
      <w:pPr>
        <w:spacing w:after="0" w:line="255" w:lineRule="exact"/>
        <w:rPr>
          <w:sz w:val="20"/>
          <w:szCs w:val="20"/>
          <w:color w:val="auto"/>
        </w:rPr>
      </w:pPr>
    </w:p>
    <w:p>
      <w:pPr>
        <w:ind w:right="340" w:firstLine="1297"/>
        <w:spacing w:after="0" w:line="251" w:lineRule="auto"/>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as set forth on the signature page, is made by and between Sempra Energy, a California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Michael W. Allman (“</w:t>
      </w:r>
      <w:r>
        <w:rPr>
          <w:rFonts w:ascii="Arial" w:cs="Arial" w:eastAsia="Arial" w:hAnsi="Arial"/>
          <w:sz w:val="22"/>
          <w:szCs w:val="22"/>
          <w:u w:val="single" w:color="auto"/>
          <w:color w:val="auto"/>
        </w:rPr>
        <w:t>you</w:t>
      </w:r>
      <w:r>
        <w:rPr>
          <w:rFonts w:ascii="Arial" w:cs="Arial" w:eastAsia="Arial" w:hAnsi="Arial"/>
          <w:sz w:val="22"/>
          <w:szCs w:val="22"/>
          <w:color w:val="auto"/>
        </w:rPr>
        <w:t>” or “</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73" w:lineRule="exact"/>
        <w:rPr>
          <w:sz w:val="20"/>
          <w:szCs w:val="20"/>
          <w:color w:val="auto"/>
        </w:rPr>
      </w:pPr>
    </w:p>
    <w:p>
      <w:pPr>
        <w:ind w:right="680" w:firstLine="1297"/>
        <w:spacing w:after="0" w:line="251" w:lineRule="auto"/>
        <w:rPr>
          <w:sz w:val="20"/>
          <w:szCs w:val="20"/>
          <w:color w:val="auto"/>
        </w:rPr>
      </w:pPr>
      <w:r>
        <w:rPr>
          <w:rFonts w:ascii="Arial" w:cs="Arial" w:eastAsia="Arial" w:hAnsi="Arial"/>
          <w:sz w:val="22"/>
          <w:szCs w:val="22"/>
          <w:color w:val="auto"/>
        </w:rPr>
        <w:t>WHEREAS, you and the Company have previously entered into that certain Severance Pay Agreement dated December 31, 2011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73"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WHEREAS, Section 14(d) of the Severance Pay Agreement provides for the payment of a benefit to you by the Company in consideration for certain covenants, including your execution and non-revocation of a general release of claims by you against the Company and its subsidiaries and affiliates.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5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and its affiliates has terminated or will promptly terminate on the date the Company designates.</w:t>
      </w:r>
    </w:p>
    <w:p>
      <w:pPr>
        <w:spacing w:after="0" w:line="173" w:lineRule="exact"/>
        <w:rPr>
          <w:sz w:val="20"/>
          <w:szCs w:val="20"/>
          <w:color w:val="auto"/>
        </w:rPr>
      </w:pPr>
    </w:p>
    <w:p>
      <w:pPr>
        <w:ind w:right="260" w:firstLine="1297"/>
        <w:spacing w:after="0" w:line="249" w:lineRule="auto"/>
        <w:rPr>
          <w:sz w:val="20"/>
          <w:szCs w:val="20"/>
          <w:color w:val="auto"/>
        </w:rPr>
      </w:pPr>
      <w:r>
        <w:rPr>
          <w:rFonts w:ascii="Arial" w:cs="Arial" w:eastAsia="Arial" w:hAnsi="Arial"/>
          <w:sz w:val="21"/>
          <w:szCs w:val="21"/>
          <w:color w:val="auto"/>
        </w:rPr>
        <w:t>TWO: As a material inducement for the payment of the benefit under Section 14(d) of the Severance Pay Agreement and the Additional Benefits described in subparagraph (d),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65" w:lineRule="exact"/>
        <w:rPr>
          <w:sz w:val="20"/>
          <w:szCs w:val="20"/>
          <w:color w:val="auto"/>
        </w:rPr>
      </w:pPr>
    </w:p>
    <w:p>
      <w:pPr>
        <w:ind w:right="120" w:firstLine="1305"/>
        <w:spacing w:after="0" w:line="249" w:lineRule="auto"/>
        <w:tabs>
          <w:tab w:leader="none" w:pos="1945" w:val="left"/>
        </w:tabs>
        <w:numPr>
          <w:ilvl w:val="1"/>
          <w:numId w:val="125"/>
        </w:numPr>
        <w:rPr>
          <w:rFonts w:ascii="Arial" w:cs="Arial" w:eastAsia="Arial" w:hAnsi="Arial"/>
          <w:sz w:val="21"/>
          <w:szCs w:val="21"/>
          <w:color w:val="auto"/>
        </w:rPr>
      </w:pPr>
      <w:r>
        <w:rPr>
          <w:rFonts w:ascii="Arial" w:cs="Arial" w:eastAsia="Arial" w:hAnsi="Arial"/>
          <w:sz w:val="21"/>
          <w:szCs w:val="21"/>
          <w:color w:val="auto"/>
        </w:rPr>
        <w:t>The words “</w:t>
      </w:r>
      <w:r>
        <w:rPr>
          <w:rFonts w:ascii="Arial" w:cs="Arial" w:eastAsia="Arial" w:hAnsi="Arial"/>
          <w:sz w:val="21"/>
          <w:szCs w:val="21"/>
          <w:u w:val="single" w:color="auto"/>
          <w:color w:val="auto"/>
        </w:rPr>
        <w:t>Releasee</w:t>
      </w:r>
      <w:r>
        <w:rPr>
          <w:rFonts w:ascii="Arial" w:cs="Arial" w:eastAsia="Arial" w:hAnsi="Arial"/>
          <w:sz w:val="21"/>
          <w:szCs w:val="21"/>
          <w:color w:val="auto"/>
        </w:rPr>
        <w:t>” or “</w:t>
      </w:r>
      <w:r>
        <w:rPr>
          <w:rFonts w:ascii="Arial" w:cs="Arial" w:eastAsia="Arial" w:hAnsi="Arial"/>
          <w:sz w:val="21"/>
          <w:szCs w:val="21"/>
          <w:u w:val="single" w:color="auto"/>
          <w:color w:val="auto"/>
        </w:rPr>
        <w:t>Releasees</w:t>
      </w:r>
      <w:r>
        <w:rPr>
          <w:rFonts w:ascii="Arial" w:cs="Arial" w:eastAsia="Arial" w:hAnsi="Arial"/>
          <w:sz w:val="21"/>
          <w:szCs w:val="21"/>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benefit plans and their insurers or fiduciaries, and all persons acting by, through, under or in concert with any of them.</w:t>
      </w:r>
    </w:p>
    <w:p>
      <w:pPr>
        <w:spacing w:after="0" w:line="178" w:lineRule="exact"/>
        <w:rPr>
          <w:rFonts w:ascii="Arial" w:cs="Arial" w:eastAsia="Arial" w:hAnsi="Arial"/>
          <w:sz w:val="21"/>
          <w:szCs w:val="21"/>
          <w:color w:val="auto"/>
        </w:rPr>
      </w:pPr>
    </w:p>
    <w:p>
      <w:pPr>
        <w:ind w:firstLine="1305"/>
        <w:spacing w:after="0" w:line="268" w:lineRule="auto"/>
        <w:tabs>
          <w:tab w:leader="none" w:pos="1945"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except as limited by law or regulation such as the Age Discrimination in Employment Act (ADEA), in the future may have, own or hold against any of the Releasees;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word “Claim” or “Claims” shall not refer to any charges, complaints, claims, liabilities, obligations, promises, agreements, controversies, damages, actions, causes of action, suits, rights, demands, costs, losses, debts and expenses (including attorneys’ fees and costs actually incurred) arising under the Excluded Programs listed in subparagraph (c). Claims released pursuant to this Agreement by you and the Company include, but are not limited to, rights arising out of alleged violations of any contracts, express or implied, any tort, any claim that you failed to perform or negligently performed or breached your duties during employment at the Company, any legal restrictions on the Company’s right to terminate employees or any federal, state or other governmental statute, regulation, or ordinance, including, without limitation: (1) Title VII of the Civil Rights Act of 1964 (race, color, religion, sex and national origin discrimination); (2) 42 U.S.C. § 1981 (discrimination); (3) the ADEA, 29 U.S.C. §§ 621–634 (age discrimination); (4) 29 U.S.C. § 206(d)(l) (equal pay); (5) 42 U.S.C. §§ 12101, et seq. (disability); (6) the California Constitution, Article I, Section 8 (discrimination); (7) the California Fair Employment and Housing Act (discrimination, including race, color, national origin, ancestry, physical handicap, medical condition, marital status, religion, sex or age); (8) California Labor Code Section 1102.1 (sexual orientation discrimination); (9) the Executive Order 11246 (race, color, religion, sex and national origin discrimination);</w:t>
      </w:r>
    </w:p>
    <w:p>
      <w:pPr>
        <w:spacing w:after="0" w:line="2" w:lineRule="exact"/>
        <w:rPr>
          <w:rFonts w:ascii="Arial" w:cs="Arial" w:eastAsia="Arial" w:hAnsi="Arial"/>
          <w:sz w:val="19"/>
          <w:szCs w:val="19"/>
          <w:color w:val="auto"/>
        </w:rPr>
      </w:pPr>
    </w:p>
    <w:p>
      <w:pPr>
        <w:ind w:right="60" w:firstLine="8"/>
        <w:spacing w:after="0" w:line="232" w:lineRule="auto"/>
        <w:tabs>
          <w:tab w:leader="none" w:pos="41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Executive Order 11141 (age discrimination); (11) §§ 503 and 504 of the Rehabilitation Act of 1973 (handicap discrimination); (12) The Worker Adjustment and Retraining Act (WARN Act); (13) the California Labor Code (wages, hours, working conditions, benefits and other matters); (14) the Fair Labor Standards Act (wages, hours, working conditions and other matters); the Federal Employee Polygraph Protection Act (prohibits employer from requiring employee to take polygraph test as condition of employment); and (15) any federal, state or other governmental statute, regulation or ordinance which is similar to any of the statutes described in clauses (1) through (14).</w:t>
      </w:r>
    </w:p>
    <w:p>
      <w:pPr>
        <w:spacing w:after="0" w:line="175" w:lineRule="exact"/>
        <w:rPr>
          <w:rFonts w:ascii="Arial" w:cs="Arial" w:eastAsia="Arial" w:hAnsi="Arial"/>
          <w:sz w:val="22"/>
          <w:szCs w:val="22"/>
          <w:color w:val="auto"/>
        </w:rPr>
      </w:pPr>
    </w:p>
    <w:p>
      <w:pPr>
        <w:ind w:right="200" w:firstLine="1305"/>
        <w:spacing w:after="0" w:line="245" w:lineRule="auto"/>
        <w:tabs>
          <w:tab w:leader="none" w:pos="1945" w:val="left"/>
        </w:tabs>
        <w:numPr>
          <w:ilvl w:val="1"/>
          <w:numId w:val="12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Programs</w:t>
      </w:r>
      <w:r>
        <w:rPr>
          <w:rFonts w:ascii="Arial" w:cs="Arial" w:eastAsia="Arial" w:hAnsi="Arial"/>
          <w:sz w:val="21"/>
          <w:szCs w:val="21"/>
          <w:color w:val="auto"/>
        </w:rPr>
        <w:t>” shall mean the following, but only to the extent, if any, that they establish duties, rights, or obligations of either party that remain operative following your termination of employment: (1) Sempra Energy Cash Balance Plan, (2) Sempra Energy Cash Balance Restoration Plan, (3) Sempra Energy Savings Plan, (4) Sempra Energy Deferred Compensation and Excess Savings Plan, (5) Sempra Energy 2005 Deferred Compensation Plan, (6) your written Stock Option Agreements, (7) your written Restricted Stock Agreements, (8) your Executive Life Insurance Plan and all other life or casualty insurance presently in effect, (9) Executive Medical Benefits Plan and other retiree medical plans, (10) your Severance Pay Agreement, (11) any other benefit plan generally available to senior executives of the Company, or (12) any agreement, insurance policy, corporate provision, Company policy, or statutory provision affording you indemnification protection with respect to your acts of omissions while a Company employee.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w:t>
      </w:r>
    </w:p>
    <w:p>
      <w:pPr>
        <w:sectPr>
          <w:pgSz w:w="11900" w:h="16845" w:orient="portrait"/>
          <w:cols w:equalWidth="0" w:num="1">
            <w:col w:w="11420"/>
          </w:cols>
          <w:pgMar w:left="240" w:top="117" w:right="239" w:bottom="0" w:gutter="0" w:footer="0" w:header="0"/>
        </w:sectPr>
      </w:pPr>
    </w:p>
    <w:bookmarkStart w:id="82" w:name="page83"/>
    <w:bookmarkEnd w:id="82"/>
    <w:p>
      <w:pPr>
        <w:ind w:right="80" w:firstLine="194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Benefits</w:t>
      </w:r>
      <w:r>
        <w:rPr>
          <w:rFonts w:ascii="Arial" w:cs="Arial" w:eastAsia="Arial" w:hAnsi="Arial"/>
          <w:sz w:val="22"/>
          <w:szCs w:val="22"/>
          <w:color w:val="auto"/>
        </w:rPr>
        <w:t>” shall mean: (1) continuation of your 2009 and 2010 long term incentive plan awards as if you had remained employed (your 2011 and 2012 awards expire on termination of employment)and (2) accelerated payment of a portion of your Severance Pay Agreement benefits, pursuant to the following provision by which Section 10 of that agreement is hereby amended unless you refuse to consent to this amendment by initialing the line at the end of the last sentence of this subparagraph:</w:t>
      </w:r>
    </w:p>
    <w:p>
      <w:pPr>
        <w:spacing w:after="0" w:line="188" w:lineRule="exact"/>
        <w:rPr>
          <w:sz w:val="20"/>
          <w:szCs w:val="20"/>
          <w:color w:val="auto"/>
        </w:rPr>
      </w:pPr>
    </w:p>
    <w:p>
      <w:pPr>
        <w:ind w:left="660" w:right="20"/>
        <w:spacing w:after="0" w:line="277" w:lineRule="auto"/>
        <w:rPr>
          <w:sz w:val="20"/>
          <w:szCs w:val="20"/>
          <w:color w:val="auto"/>
        </w:rPr>
      </w:pPr>
      <w:r>
        <w:rPr>
          <w:rFonts w:ascii="Arial" w:cs="Arial" w:eastAsia="Arial" w:hAnsi="Arial"/>
          <w:sz w:val="19"/>
          <w:szCs w:val="19"/>
          <w:color w:val="auto"/>
        </w:rPr>
        <w:t>This section does not provide for a six-month delay of lump sum cash Section 409A Payments to the extent they are exempt from Section 409A under the Treas. Reg. § 1.409A-1(b)(9)(iii) “2x2 exemption”. That provision exempts cash lump sum Section 409A Payments that do not exceed two times the lesser of a prescribed, cost-of-living indexed amount (currently $250,000) or the employee’s annualized prior year pay. Lump sum severance pay equal to the pro-rated bonus payable under Section 6(a)(E) shall not be eligible for the 2x2 exemption, and that bonus or a like amount of severance pay are payable under a separate stand-alone plan. If more than one amount would qualify for the 2x2 exemption, Sempra management shall determine how to apportion the exemption among such amounts.</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22"/>
          <w:szCs w:val="22"/>
          <w:color w:val="auto"/>
        </w:rPr>
        <w:t>If you do not want your Severance Pay Agreement to be so amended, initial this line: ___</w:t>
      </w:r>
    </w:p>
    <w:p>
      <w:pPr>
        <w:spacing w:after="0" w:line="206"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9"/>
          <w:szCs w:val="19"/>
          <w:color w:val="auto"/>
        </w:rPr>
        <w:t>THREE: You and the Company expressly waive and relinquish all rights and benefits afforded by any statute (including but not limited to Section 1542 of the Civil Code of the State of California)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Section 1542 of the Civil Code of the State of California states as follows:</w:t>
      </w:r>
    </w:p>
    <w:p>
      <w:pPr>
        <w:spacing w:after="0" w:line="148" w:lineRule="exact"/>
        <w:rPr>
          <w:sz w:val="20"/>
          <w:szCs w:val="20"/>
          <w:color w:val="auto"/>
        </w:rPr>
      </w:pPr>
    </w:p>
    <w:p>
      <w:pPr>
        <w:ind w:left="1300" w:right="1420"/>
        <w:spacing w:after="0" w:line="238" w:lineRule="auto"/>
        <w:rPr>
          <w:sz w:val="20"/>
          <w:szCs w:val="20"/>
          <w:color w:val="auto"/>
        </w:rPr>
      </w:pPr>
      <w:r>
        <w:rPr>
          <w:rFonts w:ascii="Arial" w:cs="Arial" w:eastAsia="Arial" w:hAnsi="Arial"/>
          <w:sz w:val="22"/>
          <w:szCs w:val="22"/>
          <w:i w:val="1"/>
          <w:iCs w:val="1"/>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85"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pacing w:after="0" w:line="18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38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38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NINE:</w:t>
      </w:r>
    </w:p>
    <w:p>
      <w:pPr>
        <w:sectPr>
          <w:pgSz w:w="11900" w:h="16838" w:orient="portrait"/>
          <w:cols w:equalWidth="0" w:num="1">
            <w:col w:w="11400"/>
          </w:cols>
          <w:pgMar w:left="240" w:top="118" w:right="259" w:bottom="0" w:gutter="0" w:footer="0" w:header="0"/>
        </w:sectPr>
      </w:pPr>
    </w:p>
    <w:bookmarkStart w:id="83" w:name="page84"/>
    <w:bookmarkEnd w:id="83"/>
    <w:p>
      <w:pPr>
        <w:ind w:right="40" w:firstLine="1953"/>
        <w:spacing w:after="0" w:line="235" w:lineRule="auto"/>
        <w:tabs>
          <w:tab w:leader="none" w:pos="2593"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75" w:lineRule="exact"/>
        <w:rPr>
          <w:rFonts w:ascii="Arial" w:cs="Arial" w:eastAsia="Arial" w:hAnsi="Arial"/>
          <w:sz w:val="22"/>
          <w:szCs w:val="22"/>
          <w:color w:val="auto"/>
        </w:rPr>
      </w:pPr>
    </w:p>
    <w:p>
      <w:pPr>
        <w:ind w:right="40" w:firstLine="1953"/>
        <w:spacing w:after="0" w:line="279" w:lineRule="auto"/>
        <w:tabs>
          <w:tab w:leader="none" w:pos="259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,that you acted in good faith and in a manner you reasonably believed to be in the best interest of the Company. The limitations of California Corporations Code Section 317 shall apply to this assurance of indemnification.</w:t>
      </w:r>
    </w:p>
    <w:p>
      <w:pPr>
        <w:spacing w:after="0" w:line="150" w:lineRule="exact"/>
        <w:rPr>
          <w:rFonts w:ascii="Arial" w:cs="Arial" w:eastAsia="Arial" w:hAnsi="Arial"/>
          <w:sz w:val="19"/>
          <w:szCs w:val="19"/>
          <w:color w:val="auto"/>
        </w:rPr>
      </w:pPr>
    </w:p>
    <w:p>
      <w:pPr>
        <w:ind w:right="80" w:firstLine="1953"/>
        <w:spacing w:after="0" w:line="282" w:lineRule="auto"/>
        <w:tabs>
          <w:tab w:leader="none" w:pos="259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TEN:</w:t>
      </w:r>
    </w:p>
    <w:p>
      <w:pPr>
        <w:ind w:right="520" w:firstLine="1953"/>
        <w:spacing w:after="0" w:line="234" w:lineRule="auto"/>
        <w:tabs>
          <w:tab w:leader="none" w:pos="2593"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As a material inducement for the benefits provided in this Agreement, you agree to refrain from making any derogatory and/or disparaging statements to any person or entity about the Company and/or the other Releasees, individually or collectively.</w:t>
      </w:r>
    </w:p>
    <w:p>
      <w:pPr>
        <w:spacing w:after="0" w:line="173" w:lineRule="exact"/>
        <w:rPr>
          <w:rFonts w:ascii="Arial" w:cs="Arial" w:eastAsia="Arial" w:hAnsi="Arial"/>
          <w:sz w:val="22"/>
          <w:szCs w:val="22"/>
          <w:color w:val="auto"/>
        </w:rPr>
      </w:pPr>
    </w:p>
    <w:p>
      <w:pPr>
        <w:ind w:right="300" w:firstLine="1953"/>
        <w:spacing w:after="0"/>
        <w:tabs>
          <w:tab w:leader="none" w:pos="2593"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In the event you direct a prospective employer to contact the Company's Senior Vice President of Human Resources, such officer shall provide such prospective employer solely with your dates of employment, job title, and the fact that your employment ended by resignation.</w:t>
      </w:r>
    </w:p>
    <w:p>
      <w:pPr>
        <w:spacing w:after="0" w:line="186" w:lineRule="exact"/>
        <w:rPr>
          <w:rFonts w:ascii="Arial" w:cs="Arial" w:eastAsia="Arial" w:hAnsi="Arial"/>
          <w:sz w:val="22"/>
          <w:szCs w:val="22"/>
          <w:color w:val="auto"/>
        </w:rPr>
      </w:pPr>
    </w:p>
    <w:p>
      <w:pPr>
        <w:ind w:right="460" w:firstLine="1953"/>
        <w:spacing w:after="0" w:line="251" w:lineRule="auto"/>
        <w:tabs>
          <w:tab w:leader="none" w:pos="2593"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Nothing in this paragraph shall prohibit you from providing truthful information in response to a subpoena or other legal process.</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If you violate this paragraph,you will be liable as follows and there will be the following</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consequences:</w:t>
      </w:r>
    </w:p>
    <w:p>
      <w:pPr>
        <w:spacing w:after="0" w:line="174" w:lineRule="exact"/>
        <w:rPr>
          <w:rFonts w:ascii="Arial" w:cs="Arial" w:eastAsia="Arial" w:hAnsi="Arial"/>
          <w:sz w:val="22"/>
          <w:szCs w:val="22"/>
          <w:color w:val="auto"/>
        </w:rPr>
      </w:pPr>
    </w:p>
    <w:p>
      <w:pPr>
        <w:ind w:left="660" w:right="100" w:firstLine="1941"/>
        <w:spacing w:after="0" w:line="282" w:lineRule="auto"/>
        <w:tabs>
          <w:tab w:leader="none" w:pos="3253" w:val="left"/>
        </w:tabs>
        <w:numPr>
          <w:ilvl w:val="1"/>
          <w:numId w:val="128"/>
        </w:numPr>
        <w:rPr>
          <w:rFonts w:ascii="Arial" w:cs="Arial" w:eastAsia="Arial" w:hAnsi="Arial"/>
          <w:sz w:val="19"/>
          <w:szCs w:val="19"/>
          <w:color w:val="auto"/>
        </w:rPr>
      </w:pPr>
      <w:r>
        <w:rPr>
          <w:rFonts w:ascii="Arial" w:cs="Arial" w:eastAsia="Arial" w:hAnsi="Arial"/>
          <w:sz w:val="19"/>
          <w:szCs w:val="19"/>
          <w:color w:val="auto"/>
        </w:rPr>
        <w:t>Given your past positions with the Company, and the sensitivity of the issues with which you have dealt, you and the Company agree that damages for any violation of this paragraph will be difficult to quantify. You and the Company agree that a reasonable amount of liquidated damages will be$100,000for each material violation.You agree to pay the Company this amount of liquidated damages for each material violation of this paragraph.However, you agree that the Company may elect instead to recover actual damages for a violation if they exceed $100,000.</w:t>
      </w:r>
    </w:p>
    <w:p>
      <w:pPr>
        <w:spacing w:after="0" w:line="147" w:lineRule="exact"/>
        <w:rPr>
          <w:rFonts w:ascii="Arial" w:cs="Arial" w:eastAsia="Arial" w:hAnsi="Arial"/>
          <w:sz w:val="19"/>
          <w:szCs w:val="19"/>
          <w:color w:val="auto"/>
        </w:rPr>
      </w:pPr>
    </w:p>
    <w:p>
      <w:pPr>
        <w:ind w:left="660" w:right="80" w:firstLine="1941"/>
        <w:spacing w:after="0" w:line="238" w:lineRule="auto"/>
        <w:tabs>
          <w:tab w:leader="none" w:pos="3253" w:val="left"/>
        </w:tabs>
        <w:numPr>
          <w:ilvl w:val="1"/>
          <w:numId w:val="128"/>
        </w:numPr>
        <w:rPr>
          <w:rFonts w:ascii="Arial" w:cs="Arial" w:eastAsia="Arial" w:hAnsi="Arial"/>
          <w:sz w:val="22"/>
          <w:szCs w:val="22"/>
          <w:color w:val="auto"/>
        </w:rPr>
      </w:pPr>
      <w:r>
        <w:rPr>
          <w:rFonts w:ascii="Arial" w:cs="Arial" w:eastAsia="Arial" w:hAnsi="Arial"/>
          <w:sz w:val="22"/>
          <w:szCs w:val="22"/>
          <w:color w:val="auto"/>
        </w:rPr>
        <w:t>Furthermore, if you violate this paragraph, the Company's waiver of certain eligibility conditions with respect to your 2009 and 2010 LTIP grants will be of no further force and effect, your potential opportunity to vest in or realize any value related to those awardswill automatically lapse</w:t>
      </w:r>
      <w:r>
        <w:rPr>
          <w:rFonts w:ascii="Arial" w:cs="Arial" w:eastAsia="Arial" w:hAnsi="Arial"/>
          <w:sz w:val="22"/>
          <w:szCs w:val="22"/>
          <w:color w:val="0000FF"/>
        </w:rPr>
        <w:t>,</w:t>
      </w:r>
      <w:r>
        <w:rPr>
          <w:rFonts w:ascii="Arial" w:cs="Arial" w:eastAsia="Arial" w:hAnsi="Arial"/>
          <w:sz w:val="22"/>
          <w:szCs w:val="22"/>
          <w:color w:val="auto"/>
        </w:rPr>
        <w:t xml:space="preserve"> and you must refund to the Company any value you have already realized from them.</w:t>
      </w:r>
    </w:p>
    <w:p>
      <w:pPr>
        <w:spacing w:after="0" w:line="185"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ELEVEN: This Agreement is made and entered into in California. This Agreement shall in all respects be interpreted, enforced and governed by and under the laws of the State of California and applicable Federal law. Any dispute about the validity, interpretation, effect or alleged violation of this Agreement (an “</w:t>
      </w:r>
      <w:r>
        <w:rPr>
          <w:rFonts w:ascii="Arial" w:cs="Arial" w:eastAsia="Arial" w:hAnsi="Arial"/>
          <w:sz w:val="19"/>
          <w:szCs w:val="19"/>
          <w:u w:val="single" w:color="auto"/>
          <w:color w:val="auto"/>
        </w:rPr>
        <w:t>arbitrable dispute</w:t>
      </w:r>
      <w:r>
        <w:rPr>
          <w:rFonts w:ascii="Arial" w:cs="Arial" w:eastAsia="Arial" w:hAnsi="Arial"/>
          <w:sz w:val="19"/>
          <w:szCs w:val="19"/>
          <w:color w:val="auto"/>
        </w:rPr>
        <w:t xml:space="preserve">”) must be submitted to arbitration in San Diego, California. Arbitration shall take place before an experienced employment arbitrator licensed to practice law in such state and selected in accordance with the then existing JAMS arbitration rules applicable to employment disputes;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in any event, the arbitrator shall allow reasonable discovery. Arbitration shall be the exclusive remedy for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arbitrable dispute. The arbitrator in any arbitrable dispute shall not have authority to modify or change the Agreement in any respect. You and the Company shall each be responsible for payment of one-half (1/2) the amount of the arbitrator’s fee(s);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in no event shall you be required to pay any fee or cost of arbitration that is unique to arbitration or exceeds</w:t>
      </w:r>
      <w:r>
        <w:rPr>
          <w:rFonts w:ascii="Arial" w:cs="Arial" w:eastAsia="Arial" w:hAnsi="Arial"/>
          <w:sz w:val="19"/>
          <w:szCs w:val="19"/>
          <w:i w:val="1"/>
          <w:iCs w:val="1"/>
          <w:color w:val="auto"/>
        </w:rPr>
        <w:t xml:space="preserve"> </w:t>
      </w:r>
      <w:r>
        <w:rPr>
          <w:rFonts w:ascii="Arial" w:cs="Arial" w:eastAsia="Arial" w:hAnsi="Arial"/>
          <w:sz w:val="19"/>
          <w:szCs w:val="19"/>
          <w:color w:val="auto"/>
        </w:rPr>
        <w:t>the costs you would have incurred had any arbitrable dispute been pursued in a court of competent jurisdiction. The Company shall make up any shortfall. Should any party to this Agreement institute any legal action or administrative proceeding against the other with respect to any Claim waived by this Agreement or pursue any arbitrable dispute by any method other than arbitration, the prevailing party shall be entitled to recover from the non-prevailing party all damages, costs, expenses and attorneys’ fees incurred as a result of that action. The arbitrator’s decision and/or award shall be rendered in writing and will be fully enforceable and subject to an entry of judgment by the Superior Court of the State of California for the County of San Diego, or any other court of competent jurisdiction.</w:t>
      </w:r>
    </w:p>
    <w:p>
      <w:pPr>
        <w:spacing w:after="0" w:line="200" w:lineRule="exact"/>
        <w:rPr>
          <w:sz w:val="20"/>
          <w:szCs w:val="20"/>
          <w:color w:val="auto"/>
        </w:rPr>
      </w:pPr>
    </w:p>
    <w:p>
      <w:pPr>
        <w:spacing w:after="0" w:line="205" w:lineRule="exact"/>
        <w:rPr>
          <w:sz w:val="20"/>
          <w:szCs w:val="20"/>
          <w:color w:val="auto"/>
        </w:rPr>
      </w:pPr>
    </w:p>
    <w:p>
      <w:pPr>
        <w:ind w:right="40" w:firstLine="1297"/>
        <w:spacing w:after="0" w:line="279" w:lineRule="auto"/>
        <w:rPr>
          <w:sz w:val="20"/>
          <w:szCs w:val="20"/>
          <w:color w:val="auto"/>
        </w:rPr>
      </w:pPr>
      <w:r>
        <w:rPr>
          <w:rFonts w:ascii="Arial" w:cs="Arial" w:eastAsia="Arial" w:hAnsi="Arial"/>
          <w:sz w:val="19"/>
          <w:szCs w:val="19"/>
          <w:color w:val="auto"/>
        </w:rPr>
        <w:t>TWELVE: Both you and the Company understand that this Agreement is final and binding eight (8) days after its execution and return. Should you nevertheless attempt to challenge the enforceability of this Agreement as provided in Paragraph ELEVENor, in violation of that paragraph, through litigation, as a further limitation on any right to make such a challenge, you shall initially tender to the Company, by certified check delivered to the Company, all monies received pursuant to Section 14(d) of the Severance Pay Agreement, plus interest, and invite the Company to retain such monies and agree with you to cancel this Agreement and void the Company’s obligations under Section 14(d) of the Severance Pay Agreement. In the event the Company</w:t>
      </w:r>
    </w:p>
    <w:p>
      <w:pPr>
        <w:sectPr>
          <w:pgSz w:w="11900" w:h="16838" w:orient="portrait"/>
          <w:cols w:equalWidth="0" w:num="1">
            <w:col w:w="11400"/>
          </w:cols>
          <w:pgMar w:left="240" w:top="118" w:right="259" w:bottom="0" w:gutter="0" w:footer="0" w:header="0"/>
        </w:sectPr>
      </w:pPr>
    </w:p>
    <w:bookmarkStart w:id="84" w:name="page85"/>
    <w:bookmarkEnd w:id="84"/>
    <w:p>
      <w:pPr>
        <w:ind w:right="240"/>
        <w:spacing w:after="0" w:line="277" w:lineRule="auto"/>
        <w:rPr>
          <w:sz w:val="20"/>
          <w:szCs w:val="20"/>
          <w:color w:val="auto"/>
        </w:rPr>
      </w:pPr>
      <w:r>
        <w:rPr>
          <w:rFonts w:ascii="Arial" w:cs="Arial" w:eastAsia="Arial" w:hAnsi="Arial"/>
          <w:sz w:val="19"/>
          <w:szCs w:val="19"/>
          <w:color w:val="auto"/>
        </w:rPr>
        <w:t>accepts this offer, the Company shall retain such monies and this Agreement shall be canceled and the Company shall have no obligation under Section 14(d) of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Section 14(d) of the Severance Pay Agreement shall be set aside and/or otherwise rendered voidable or unenforceable. Additionally, any consulting agreement then in effect between you and the Company shall be immediately rescinded with no requirement of notice. To the extent, if any, prohibited by law, if you challenge the validity of your ADEA claim waiver, this paragraph shall be inapplicable.</w:t>
      </w:r>
    </w:p>
    <w:p>
      <w:pPr>
        <w:spacing w:after="0" w:line="153"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THIRTEEN: Any notices required to be given under this Agreement shall be delivered either personally or by first class United States mail, postage prepaid, addressed to the respective parties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320" w:type="dxa"/>
            <w:vAlign w:val="bottom"/>
          </w:tcPr>
          <w:p>
            <w:pPr>
              <w:spacing w:after="0"/>
              <w:rPr>
                <w:sz w:val="20"/>
                <w:szCs w:val="20"/>
                <w:color w:val="auto"/>
              </w:rPr>
            </w:pPr>
            <w:r>
              <w:rPr>
                <w:rFonts w:ascii="Arial" w:cs="Arial" w:eastAsia="Arial" w:hAnsi="Arial"/>
                <w:sz w:val="22"/>
                <w:szCs w:val="22"/>
                <w:color w:val="auto"/>
                <w:w w:val="98"/>
              </w:rPr>
              <w:t>To Company:</w:t>
            </w:r>
          </w:p>
        </w:tc>
        <w:tc>
          <w:tcPr>
            <w:tcW w:w="5960" w:type="dxa"/>
            <w:vAlign w:val="bottom"/>
          </w:tcPr>
          <w:p>
            <w:pPr>
              <w:ind w:left="140"/>
              <w:spacing w:after="0"/>
              <w:rPr>
                <w:sz w:val="20"/>
                <w:szCs w:val="20"/>
                <w:color w:val="auto"/>
              </w:rPr>
            </w:pPr>
            <w:r>
              <w:rPr>
                <w:rFonts w:ascii="Arial" w:cs="Arial" w:eastAsia="Arial" w:hAnsi="Arial"/>
                <w:sz w:val="22"/>
                <w:szCs w:val="22"/>
                <w:color w:val="auto"/>
              </w:rPr>
              <w:t>Sempra Energy</w:t>
            </w:r>
          </w:p>
        </w:tc>
      </w:tr>
      <w:tr>
        <w:trPr>
          <w:trHeight w:val="230"/>
        </w:trPr>
        <w:tc>
          <w:tcPr>
            <w:tcW w:w="1320" w:type="dxa"/>
            <w:vAlign w:val="bottom"/>
          </w:tcPr>
          <w:p>
            <w:pPr>
              <w:spacing w:after="0"/>
              <w:rPr>
                <w:sz w:val="19"/>
                <w:szCs w:val="19"/>
                <w:color w:val="auto"/>
              </w:rPr>
            </w:pPr>
          </w:p>
        </w:tc>
        <w:tc>
          <w:tcPr>
            <w:tcW w:w="5960" w:type="dxa"/>
            <w:vAlign w:val="bottom"/>
          </w:tcPr>
          <w:p>
            <w:pPr>
              <w:ind w:left="140"/>
              <w:spacing w:after="0" w:line="229" w:lineRule="exact"/>
              <w:rPr>
                <w:sz w:val="20"/>
                <w:szCs w:val="20"/>
                <w:color w:val="auto"/>
              </w:rPr>
            </w:pPr>
            <w:r>
              <w:rPr>
                <w:rFonts w:ascii="Arial" w:cs="Arial" w:eastAsia="Arial" w:hAnsi="Arial"/>
                <w:sz w:val="22"/>
                <w:szCs w:val="22"/>
                <w:color w:val="auto"/>
              </w:rPr>
              <w:t>Attn: Joyce Rowland</w:t>
            </w:r>
          </w:p>
        </w:tc>
      </w:tr>
      <w:tr>
        <w:trPr>
          <w:trHeight w:val="230"/>
        </w:trPr>
        <w:tc>
          <w:tcPr>
            <w:tcW w:w="1320" w:type="dxa"/>
            <w:vAlign w:val="bottom"/>
          </w:tcPr>
          <w:p>
            <w:pPr>
              <w:spacing w:after="0"/>
              <w:rPr>
                <w:sz w:val="19"/>
                <w:szCs w:val="19"/>
                <w:color w:val="auto"/>
              </w:rPr>
            </w:pPr>
          </w:p>
        </w:tc>
        <w:tc>
          <w:tcPr>
            <w:tcW w:w="5960" w:type="dxa"/>
            <w:vAlign w:val="bottom"/>
          </w:tcPr>
          <w:p>
            <w:pPr>
              <w:ind w:left="140"/>
              <w:spacing w:after="0" w:line="229" w:lineRule="exact"/>
              <w:rPr>
                <w:sz w:val="20"/>
                <w:szCs w:val="20"/>
                <w:color w:val="auto"/>
              </w:rPr>
            </w:pPr>
            <w:r>
              <w:rPr>
                <w:rFonts w:ascii="Arial" w:cs="Arial" w:eastAsia="Arial" w:hAnsi="Arial"/>
                <w:sz w:val="22"/>
                <w:szCs w:val="22"/>
                <w:color w:val="auto"/>
              </w:rPr>
              <w:t>Senior VP, Human Resources, Diversity &amp; Inclusion</w:t>
            </w:r>
          </w:p>
        </w:tc>
      </w:tr>
      <w:tr>
        <w:trPr>
          <w:trHeight w:val="243"/>
        </w:trPr>
        <w:tc>
          <w:tcPr>
            <w:tcW w:w="1320" w:type="dxa"/>
            <w:vAlign w:val="bottom"/>
          </w:tcPr>
          <w:p>
            <w:pPr>
              <w:spacing w:after="0"/>
              <w:rPr>
                <w:sz w:val="21"/>
                <w:szCs w:val="21"/>
                <w:color w:val="auto"/>
              </w:rPr>
            </w:pPr>
          </w:p>
        </w:tc>
        <w:tc>
          <w:tcPr>
            <w:tcW w:w="5960" w:type="dxa"/>
            <w:vAlign w:val="bottom"/>
          </w:tcPr>
          <w:p>
            <w:pPr>
              <w:ind w:left="140"/>
              <w:spacing w:after="0" w:line="243" w:lineRule="exact"/>
              <w:rPr>
                <w:sz w:val="20"/>
                <w:szCs w:val="20"/>
                <w:color w:val="auto"/>
              </w:rPr>
            </w:pPr>
            <w:r>
              <w:rPr>
                <w:rFonts w:ascii="Arial" w:cs="Arial" w:eastAsia="Arial" w:hAnsi="Arial"/>
                <w:sz w:val="22"/>
                <w:szCs w:val="22"/>
                <w:color w:val="auto"/>
              </w:rPr>
              <w:t>101 Ash Street</w:t>
            </w:r>
          </w:p>
        </w:tc>
      </w:tr>
      <w:tr>
        <w:trPr>
          <w:trHeight w:val="230"/>
        </w:trPr>
        <w:tc>
          <w:tcPr>
            <w:tcW w:w="1320" w:type="dxa"/>
            <w:vAlign w:val="bottom"/>
          </w:tcPr>
          <w:p>
            <w:pPr>
              <w:spacing w:after="0"/>
              <w:rPr>
                <w:sz w:val="19"/>
                <w:szCs w:val="19"/>
                <w:color w:val="auto"/>
              </w:rPr>
            </w:pPr>
          </w:p>
        </w:tc>
        <w:tc>
          <w:tcPr>
            <w:tcW w:w="5960" w:type="dxa"/>
            <w:vAlign w:val="bottom"/>
          </w:tcPr>
          <w:p>
            <w:pPr>
              <w:ind w:left="140"/>
              <w:spacing w:after="0" w:line="229" w:lineRule="exact"/>
              <w:rPr>
                <w:sz w:val="20"/>
                <w:szCs w:val="20"/>
                <w:color w:val="auto"/>
              </w:rPr>
            </w:pPr>
            <w:r>
              <w:rPr>
                <w:rFonts w:ascii="Arial" w:cs="Arial" w:eastAsia="Arial" w:hAnsi="Arial"/>
                <w:sz w:val="22"/>
                <w:szCs w:val="22"/>
                <w:color w:val="auto"/>
              </w:rPr>
              <w:t>HQ18</w:t>
            </w:r>
          </w:p>
        </w:tc>
      </w:tr>
      <w:tr>
        <w:trPr>
          <w:trHeight w:val="275"/>
        </w:trPr>
        <w:tc>
          <w:tcPr>
            <w:tcW w:w="1320" w:type="dxa"/>
            <w:vAlign w:val="bottom"/>
          </w:tcPr>
          <w:p>
            <w:pPr>
              <w:spacing w:after="0"/>
              <w:rPr>
                <w:sz w:val="23"/>
                <w:szCs w:val="23"/>
                <w:color w:val="auto"/>
              </w:rPr>
            </w:pPr>
          </w:p>
        </w:tc>
        <w:tc>
          <w:tcPr>
            <w:tcW w:w="5960" w:type="dxa"/>
            <w:vAlign w:val="bottom"/>
          </w:tcPr>
          <w:p>
            <w:pPr>
              <w:ind w:left="140"/>
              <w:spacing w:after="0"/>
              <w:rPr>
                <w:sz w:val="20"/>
                <w:szCs w:val="20"/>
                <w:color w:val="auto"/>
              </w:rPr>
            </w:pPr>
            <w:r>
              <w:rPr>
                <w:rFonts w:ascii="Arial" w:cs="Arial" w:eastAsia="Arial" w:hAnsi="Arial"/>
                <w:sz w:val="22"/>
                <w:szCs w:val="22"/>
                <w:color w:val="auto"/>
              </w:rPr>
              <w:t>San Diego, CA 92101</w:t>
            </w:r>
          </w:p>
        </w:tc>
      </w:tr>
      <w:tr>
        <w:trPr>
          <w:trHeight w:val="459"/>
        </w:trPr>
        <w:tc>
          <w:tcPr>
            <w:tcW w:w="1320" w:type="dxa"/>
            <w:vAlign w:val="bottom"/>
          </w:tcPr>
          <w:p>
            <w:pPr>
              <w:spacing w:after="0"/>
              <w:rPr>
                <w:sz w:val="20"/>
                <w:szCs w:val="20"/>
                <w:color w:val="auto"/>
              </w:rPr>
            </w:pPr>
            <w:r>
              <w:rPr>
                <w:rFonts w:ascii="Arial" w:cs="Arial" w:eastAsia="Arial" w:hAnsi="Arial"/>
                <w:sz w:val="22"/>
                <w:szCs w:val="22"/>
                <w:color w:val="auto"/>
              </w:rPr>
              <w:t>To You:</w:t>
            </w:r>
          </w:p>
        </w:tc>
        <w:tc>
          <w:tcPr>
            <w:tcW w:w="5960" w:type="dxa"/>
            <w:vAlign w:val="bottom"/>
          </w:tcPr>
          <w:p>
            <w:pPr>
              <w:ind w:left="140"/>
              <w:spacing w:after="0"/>
              <w:rPr>
                <w:sz w:val="20"/>
                <w:szCs w:val="20"/>
                <w:color w:val="auto"/>
              </w:rPr>
            </w:pPr>
            <w:r>
              <w:rPr>
                <w:rFonts w:ascii="Arial" w:cs="Arial" w:eastAsia="Arial" w:hAnsi="Arial"/>
                <w:sz w:val="22"/>
                <w:szCs w:val="22"/>
                <w:color w:val="auto"/>
                <w:w w:val="87"/>
              </w:rPr>
              <w:t>Your last known home address, as shown in the Company’s records</w:t>
            </w:r>
          </w:p>
        </w:tc>
      </w:tr>
    </w:tbl>
    <w:p>
      <w:pPr>
        <w:spacing w:after="0" w:line="171" w:lineRule="exact"/>
        <w:rPr>
          <w:sz w:val="20"/>
          <w:szCs w:val="20"/>
          <w:color w:val="auto"/>
        </w:rPr>
      </w:pPr>
    </w:p>
    <w:p>
      <w:pPr>
        <w:ind w:firstLine="1297"/>
        <w:spacing w:after="0" w:line="234" w:lineRule="auto"/>
        <w:rPr>
          <w:sz w:val="20"/>
          <w:szCs w:val="20"/>
          <w:color w:val="auto"/>
        </w:rPr>
      </w:pPr>
      <w:r>
        <w:rPr>
          <w:rFonts w:ascii="Arial" w:cs="Arial" w:eastAsia="Arial" w:hAnsi="Arial"/>
          <w:sz w:val="22"/>
          <w:szCs w:val="22"/>
          <w:color w:val="auto"/>
        </w:rPr>
        <w:t>FOURTEEN: You understand and acknowledge that you have been given a period of 21 days to review and consider this Agreement before signing it and may use as much of this 21-day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Senior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 14(d) of the Severance Pay Agreement or any Additional Benefits.</w:t>
      </w:r>
    </w:p>
    <w:p>
      <w:pPr>
        <w:spacing w:after="0" w:line="188" w:lineRule="exact"/>
        <w:rPr>
          <w:sz w:val="20"/>
          <w:szCs w:val="20"/>
          <w:color w:val="auto"/>
        </w:rPr>
      </w:pPr>
    </w:p>
    <w:p>
      <w:pPr>
        <w:ind w:right="60" w:firstLine="1297"/>
        <w:spacing w:after="0" w:line="297" w:lineRule="auto"/>
        <w:rPr>
          <w:sz w:val="20"/>
          <w:szCs w:val="20"/>
          <w:color w:val="auto"/>
        </w:rPr>
      </w:pPr>
      <w:r>
        <w:rPr>
          <w:rFonts w:ascii="Arial" w:cs="Arial" w:eastAsia="Arial" w:hAnsi="Arial"/>
          <w:sz w:val="19"/>
          <w:szCs w:val="19"/>
          <w:color w:val="auto"/>
        </w:rPr>
        <w:t>FIFTEEN: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20" w:firstLine="1297"/>
        <w:spacing w:after="0" w:line="328" w:lineRule="auto"/>
        <w:rPr>
          <w:sz w:val="20"/>
          <w:szCs w:val="20"/>
          <w:color w:val="auto"/>
        </w:rPr>
      </w:pPr>
      <w:r>
        <w:rPr>
          <w:rFonts w:ascii="Arial" w:cs="Arial" w:eastAsia="Arial" w:hAnsi="Arial"/>
          <w:sz w:val="19"/>
          <w:szCs w:val="19"/>
          <w:color w:val="auto"/>
        </w:rPr>
        <w:t>SIXTEEN: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120" w:firstLine="1297"/>
        <w:spacing w:after="0"/>
        <w:rPr>
          <w:sz w:val="20"/>
          <w:szCs w:val="20"/>
          <w:color w:val="auto"/>
        </w:rPr>
      </w:pPr>
      <w:r>
        <w:rPr>
          <w:rFonts w:ascii="Arial" w:cs="Arial" w:eastAsia="Arial" w:hAnsi="Arial"/>
          <w:sz w:val="22"/>
          <w:szCs w:val="22"/>
          <w:color w:val="auto"/>
        </w:rPr>
        <w:t>SEVENTEEN: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EIGHTEEN: This Agreement may be executed in counterparts.</w:t>
      </w:r>
    </w:p>
    <w:p>
      <w:pPr>
        <w:spacing w:after="0" w:line="206" w:lineRule="exact"/>
        <w:rPr>
          <w:sz w:val="20"/>
          <w:szCs w:val="20"/>
          <w:color w:val="auto"/>
        </w:rPr>
      </w:pPr>
    </w:p>
    <w:p>
      <w:pPr>
        <w:ind w:right="80"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____________________________</w:t>
            </w:r>
          </w:p>
        </w:tc>
        <w:tc>
          <w:tcPr>
            <w:tcW w:w="4540" w:type="dxa"/>
            <w:vAlign w:val="bottom"/>
          </w:tcPr>
          <w:p>
            <w:pPr>
              <w:ind w:left="2160"/>
              <w:spacing w:after="0"/>
              <w:rPr>
                <w:sz w:val="20"/>
                <w:szCs w:val="20"/>
                <w:color w:val="auto"/>
              </w:rPr>
            </w:pPr>
            <w:r>
              <w:rPr>
                <w:rFonts w:ascii="Arial" w:cs="Arial" w:eastAsia="Arial" w:hAnsi="Arial"/>
                <w:sz w:val="22"/>
                <w:szCs w:val="22"/>
                <w:color w:val="auto"/>
                <w:w w:val="87"/>
              </w:rPr>
              <w:t>______________________</w:t>
            </w:r>
          </w:p>
        </w:tc>
      </w:tr>
      <w:tr>
        <w:trPr>
          <w:trHeight w:val="274"/>
        </w:trPr>
        <w:tc>
          <w:tcPr>
            <w:tcW w:w="3040" w:type="dxa"/>
            <w:vAlign w:val="bottom"/>
          </w:tcPr>
          <w:p>
            <w:pPr>
              <w:spacing w:after="0"/>
              <w:rPr>
                <w:sz w:val="20"/>
                <w:szCs w:val="20"/>
                <w:color w:val="auto"/>
              </w:rPr>
            </w:pPr>
            <w:r>
              <w:rPr>
                <w:rFonts w:ascii="Arial" w:cs="Arial" w:eastAsia="Arial" w:hAnsi="Arial"/>
                <w:sz w:val="22"/>
                <w:szCs w:val="22"/>
                <w:color w:val="auto"/>
              </w:rPr>
              <w:t>Michael W. Allman</w:t>
            </w:r>
          </w:p>
        </w:tc>
        <w:tc>
          <w:tcPr>
            <w:tcW w:w="4540" w:type="dxa"/>
            <w:vAlign w:val="bottom"/>
          </w:tcPr>
          <w:p>
            <w:pPr>
              <w:ind w:left="2160"/>
              <w:spacing w:after="0"/>
              <w:rPr>
                <w:sz w:val="20"/>
                <w:szCs w:val="20"/>
                <w:color w:val="auto"/>
              </w:rPr>
            </w:pPr>
            <w:r>
              <w:rPr>
                <w:rFonts w:ascii="Arial" w:cs="Arial" w:eastAsia="Arial" w:hAnsi="Arial"/>
                <w:sz w:val="22"/>
                <w:szCs w:val="22"/>
                <w:color w:val="auto"/>
              </w:rPr>
              <w:t>Date</w:t>
            </w:r>
          </w:p>
        </w:tc>
      </w:tr>
      <w:tr>
        <w:trPr>
          <w:trHeight w:val="638"/>
        </w:trPr>
        <w:tc>
          <w:tcPr>
            <w:tcW w:w="3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____________________________</w:t>
            </w:r>
          </w:p>
        </w:tc>
        <w:tc>
          <w:tcPr>
            <w:tcW w:w="4540" w:type="dxa"/>
            <w:vAlign w:val="bottom"/>
          </w:tcPr>
          <w:p>
            <w:pPr>
              <w:spacing w:after="0"/>
              <w:rPr>
                <w:sz w:val="24"/>
                <w:szCs w:val="24"/>
                <w:color w:val="auto"/>
              </w:rPr>
            </w:pPr>
          </w:p>
        </w:tc>
      </w:tr>
      <w:tr>
        <w:trPr>
          <w:trHeight w:val="274"/>
        </w:trPr>
        <w:tc>
          <w:tcPr>
            <w:tcW w:w="3040" w:type="dxa"/>
            <w:vAlign w:val="bottom"/>
          </w:tcPr>
          <w:p>
            <w:pPr>
              <w:spacing w:after="0"/>
              <w:rPr>
                <w:sz w:val="20"/>
                <w:szCs w:val="20"/>
                <w:color w:val="auto"/>
              </w:rPr>
            </w:pPr>
            <w:r>
              <w:rPr>
                <w:rFonts w:ascii="Arial" w:cs="Arial" w:eastAsia="Arial" w:hAnsi="Arial"/>
                <w:sz w:val="22"/>
                <w:szCs w:val="22"/>
                <w:color w:val="auto"/>
              </w:rPr>
              <w:t>Sempra Energy</w:t>
            </w:r>
          </w:p>
        </w:tc>
        <w:tc>
          <w:tcPr>
            <w:tcW w:w="4540" w:type="dxa"/>
            <w:vAlign w:val="bottom"/>
          </w:tcPr>
          <w:p>
            <w:pPr>
              <w:spacing w:after="0"/>
              <w:rPr>
                <w:sz w:val="23"/>
                <w:szCs w:val="23"/>
                <w:color w:val="auto"/>
              </w:rPr>
            </w:pPr>
          </w:p>
        </w:tc>
      </w:tr>
    </w:tbl>
    <w:p>
      <w:pPr>
        <w:sectPr>
          <w:pgSz w:w="11900" w:h="16838" w:orient="portrait"/>
          <w:cols w:equalWidth="0" w:num="1">
            <w:col w:w="11400"/>
          </w:cols>
          <w:pgMar w:left="240" w:top="118" w:right="259" w:bottom="1440" w:gutter="0" w:footer="0" w:header="0"/>
        </w:sectPr>
      </w:pPr>
    </w:p>
    <w:bookmarkStart w:id="85" w:name="page86"/>
    <w:bookmarkEnd w:id="85"/>
    <w:p>
      <w:pPr>
        <w:spacing w:after="0" w:line="108"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10.3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jc w:val="center"/>
        <w:spacing w:after="0"/>
        <w:rPr>
          <w:sz w:val="20"/>
          <w:szCs w:val="20"/>
          <w:color w:val="auto"/>
        </w:rPr>
      </w:pPr>
      <w:r>
        <w:rPr>
          <w:rFonts w:ascii="Arial" w:cs="Arial" w:eastAsia="Arial" w:hAnsi="Arial"/>
          <w:sz w:val="22"/>
          <w:szCs w:val="22"/>
          <w:b w:val="1"/>
          <w:bCs w:val="1"/>
          <w:color w:val="auto"/>
        </w:rPr>
        <w:t>SEVERANCE PAY AGREEMENT</w:t>
      </w:r>
    </w:p>
    <w:p>
      <w:pPr>
        <w:spacing w:after="0" w:line="182" w:lineRule="exact"/>
        <w:rPr>
          <w:sz w:val="20"/>
          <w:szCs w:val="20"/>
          <w:color w:val="auto"/>
        </w:rPr>
      </w:pPr>
    </w:p>
    <w:p>
      <w:pPr>
        <w:ind w:firstLine="1297"/>
        <w:spacing w:after="0" w:line="256" w:lineRule="auto"/>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July 14, 2012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is made by and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SEMPRA ENERGY, a California corporation (“</w:t>
      </w:r>
      <w:r>
        <w:rPr>
          <w:rFonts w:ascii="Arial" w:cs="Arial" w:eastAsia="Arial" w:hAnsi="Arial"/>
          <w:sz w:val="22"/>
          <w:szCs w:val="22"/>
          <w:u w:val="single" w:color="auto"/>
          <w:color w:val="auto"/>
        </w:rPr>
        <w:t>Sempra Energy</w:t>
      </w:r>
      <w:r>
        <w:rPr>
          <w:rFonts w:ascii="Arial" w:cs="Arial" w:eastAsia="Arial" w:hAnsi="Arial"/>
          <w:sz w:val="22"/>
          <w:szCs w:val="22"/>
          <w:color w:val="auto"/>
        </w:rPr>
        <w:t>”), and Trevor Mihalik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63" w:lineRule="exact"/>
        <w:rPr>
          <w:sz w:val="20"/>
          <w:szCs w:val="20"/>
          <w:color w:val="auto"/>
        </w:rPr>
      </w:pPr>
    </w:p>
    <w:p>
      <w:pPr>
        <w:ind w:right="36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currently employed by Sempra Energy or a direct or indirect subsidiary of Sempra</w:t>
      </w:r>
      <w:r>
        <w:rPr>
          <w:rFonts w:ascii="Arial" w:cs="Arial" w:eastAsia="Arial" w:hAnsi="Arial"/>
          <w:sz w:val="22"/>
          <w:szCs w:val="22"/>
          <w:b w:val="1"/>
          <w:bCs w:val="1"/>
          <w:color w:val="auto"/>
        </w:rPr>
        <w:t xml:space="preserve"> </w:t>
      </w:r>
      <w:r>
        <w:rPr>
          <w:rFonts w:ascii="Arial" w:cs="Arial" w:eastAsia="Arial" w:hAnsi="Arial"/>
          <w:sz w:val="22"/>
          <w:szCs w:val="22"/>
          <w:color w:val="auto"/>
        </w:rPr>
        <w:t>Energy (Sempra Energy and its subsidiaries are hereinafter collectively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as Controller and Chief Accounting Officer; and</w:t>
      </w:r>
    </w:p>
    <w:p>
      <w:pPr>
        <w:spacing w:after="0" w:line="177" w:lineRule="exact"/>
        <w:rPr>
          <w:sz w:val="20"/>
          <w:szCs w:val="20"/>
          <w:color w:val="auto"/>
        </w:rPr>
      </w:pPr>
    </w:p>
    <w:p>
      <w:pPr>
        <w:ind w:left="1300" w:right="1360"/>
        <w:spacing w:after="0" w:line="50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Sempra Energy and the Executive desire to enter into this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Board of Directors of Sempra Energy (the “</w:t>
      </w:r>
      <w:r>
        <w:rPr>
          <w:rFonts w:ascii="Arial" w:cs="Arial" w:eastAsia="Arial" w:hAnsi="Arial"/>
          <w:sz w:val="19"/>
          <w:szCs w:val="19"/>
          <w:u w:val="single" w:color="auto"/>
          <w:color w:val="auto"/>
        </w:rPr>
        <w:t>Board</w:t>
      </w:r>
      <w:r>
        <w:rPr>
          <w:rFonts w:ascii="Arial" w:cs="Arial" w:eastAsia="Arial" w:hAnsi="Arial"/>
          <w:sz w:val="19"/>
          <w:szCs w:val="19"/>
          <w:color w:val="auto"/>
        </w:rPr>
        <w:t>”) has authorized this Agreement.</w:t>
      </w:r>
    </w:p>
    <w:p>
      <w:pPr>
        <w:spacing w:after="0" w:line="1"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herein contained,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hereby agree as follows:</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capitalized terms have the meanings set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has the meaning assigned thereto in Section 2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Post-Change in Control Severance Payment</w:t>
      </w:r>
      <w:r>
        <w:rPr>
          <w:rFonts w:ascii="Arial" w:cs="Arial" w:eastAsia="Arial" w:hAnsi="Arial"/>
          <w:sz w:val="19"/>
          <w:szCs w:val="19"/>
          <w:color w:val="auto"/>
        </w:rPr>
        <w:t>” has the meaning assigned thereto in Section 6(a) hereof.</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Executive’s annual base salary from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Purchaser</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right="20"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from the Company earned by the Executive with respect to the three (3) fiscal years of the Company immediately preceding the Date of Termination (the “</w:t>
      </w:r>
      <w:r>
        <w:rPr>
          <w:rFonts w:ascii="Arial" w:cs="Arial" w:eastAsia="Arial" w:hAnsi="Arial"/>
          <w:sz w:val="19"/>
          <w:szCs w:val="19"/>
          <w:u w:val="single" w:color="auto"/>
          <w:color w:val="auto"/>
        </w:rPr>
        <w:t>Bonus Fiscal Years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Executive was employed by the Company during all or any portion of one or two of the Bonus Fiscal</w:t>
      </w:r>
      <w:r>
        <w:rPr>
          <w:rFonts w:ascii="Arial" w:cs="Arial" w:eastAsia="Arial" w:hAnsi="Arial"/>
          <w:sz w:val="19"/>
          <w:szCs w:val="19"/>
          <w:i w:val="1"/>
          <w:iCs w:val="1"/>
          <w:color w:val="auto"/>
        </w:rPr>
        <w:t xml:space="preserve"> </w:t>
      </w:r>
      <w:r>
        <w:rPr>
          <w:rFonts w:ascii="Arial" w:cs="Arial" w:eastAsia="Arial" w:hAnsi="Arial"/>
          <w:sz w:val="19"/>
          <w:szCs w:val="19"/>
          <w:color w:val="auto"/>
        </w:rPr>
        <w:t>Years (but not three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xml:space="preserve">” means the average of the annual bonuses (if any) from the Company earned by the Executive with respect to the Bonus Fiscal Years during all or any portion of which the Executive was employed by the Company;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Executive was not employed by the Company during all or any portion of any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zero.</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has the meaning set forth in Rule 13d-3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right="120" w:firstLine="1305"/>
        <w:spacing w:after="0" w:line="276" w:lineRule="auto"/>
        <w:tabs>
          <w:tab w:leader="none" w:pos="1945" w:val="left"/>
        </w:tabs>
        <w:numPr>
          <w:ilvl w:val="1"/>
          <w:numId w:val="129"/>
        </w:numPr>
        <w:rPr>
          <w:rFonts w:ascii="Arial" w:cs="Arial" w:eastAsia="Arial" w:hAnsi="Arial"/>
          <w:sz w:val="19"/>
          <w:szCs w:val="19"/>
          <w:color w:val="auto"/>
        </w:rPr>
      </w:pPr>
      <w:r>
        <w:rPr>
          <w:rFonts w:ascii="Arial" w:cs="Arial" w:eastAsia="Arial" w:hAnsi="Arial"/>
          <w:sz w:val="19"/>
          <w:szCs w:val="19"/>
          <w:color w:val="auto"/>
        </w:rPr>
        <w:t>Prior to a Change in Control, (i) the willful failure by the Executive to substantially perform the Executive’s duties with the Company (other than any such failure resulting from the Executive’s incapacity due to physical or mental illness,</w:t>
      </w:r>
    </w:p>
    <w:p>
      <w:pPr>
        <w:spacing w:after="0" w:line="1" w:lineRule="exact"/>
        <w:rPr>
          <w:rFonts w:ascii="Arial" w:cs="Arial" w:eastAsia="Arial" w:hAnsi="Arial"/>
          <w:sz w:val="19"/>
          <w:szCs w:val="19"/>
          <w:color w:val="auto"/>
        </w:rPr>
      </w:pPr>
    </w:p>
    <w:p>
      <w:pPr>
        <w:ind w:right="20" w:firstLine="8"/>
        <w:spacing w:after="0" w:line="275" w:lineRule="auto"/>
        <w:tabs>
          <w:tab w:leader="none" w:pos="31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w:t>
      </w:r>
    </w:p>
    <w:p>
      <w:pPr>
        <w:spacing w:after="0" w:line="141" w:lineRule="exact"/>
        <w:rPr>
          <w:rFonts w:ascii="Arial" w:cs="Arial" w:eastAsia="Arial" w:hAnsi="Arial"/>
          <w:sz w:val="19"/>
          <w:szCs w:val="19"/>
          <w:color w:val="auto"/>
        </w:rPr>
      </w:pPr>
    </w:p>
    <w:p>
      <w:pPr>
        <w:ind w:right="20" w:firstLine="1305"/>
        <w:spacing w:after="0" w:line="273" w:lineRule="auto"/>
        <w:tabs>
          <w:tab w:leader="none" w:pos="1945" w:val="left"/>
        </w:tabs>
        <w:numPr>
          <w:ilvl w:val="1"/>
          <w:numId w:val="130"/>
        </w:numPr>
        <w:rPr>
          <w:rFonts w:ascii="Arial" w:cs="Arial" w:eastAsia="Arial" w:hAnsi="Arial"/>
          <w:sz w:val="19"/>
          <w:szCs w:val="19"/>
          <w:color w:val="auto"/>
        </w:rPr>
      </w:pPr>
      <w:r>
        <w:rPr>
          <w:rFonts w:ascii="Arial" w:cs="Arial" w:eastAsia="Arial" w:hAnsi="Arial"/>
          <w:sz w:val="19"/>
          <w:szCs w:val="19"/>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3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 (b) unless and until the Executive shall have been provided with reasonable notice of and, if possible, a reasonable opportunity to cure the facts and circumstances claimed to provide a basis for termination of the Executive’s employment for Cause.</w:t>
      </w:r>
    </w:p>
    <w:p>
      <w:pPr>
        <w:spacing w:after="0" w:line="156" w:lineRule="exact"/>
        <w:rPr>
          <w:sz w:val="20"/>
          <w:szCs w:val="20"/>
          <w:color w:val="auto"/>
        </w:rPr>
      </w:pPr>
    </w:p>
    <w:p>
      <w:pPr>
        <w:ind w:right="4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w:t>
      </w:r>
    </w:p>
    <w:p>
      <w:pPr>
        <w:sectPr>
          <w:pgSz w:w="11900" w:h="16946" w:orient="portrait"/>
          <w:cols w:equalWidth="0" w:num="1">
            <w:col w:w="11420"/>
          </w:cols>
          <w:pgMar w:left="240" w:top="117" w:right="239" w:bottom="0" w:gutter="0" w:footer="0" w:header="0"/>
        </w:sectPr>
      </w:pPr>
    </w:p>
    <w:bookmarkStart w:id="86" w:name="page87"/>
    <w:bookmarkEnd w:id="86"/>
    <w:p>
      <w:pPr>
        <w:spacing w:after="0"/>
        <w:rPr>
          <w:sz w:val="20"/>
          <w:szCs w:val="20"/>
          <w:color w:val="auto"/>
        </w:rPr>
      </w:pPr>
      <w:r>
        <w:rPr>
          <w:rFonts w:ascii="Arial" w:cs="Arial" w:eastAsia="Arial" w:hAnsi="Arial"/>
          <w:sz w:val="19"/>
          <w:szCs w:val="19"/>
          <w:color w:val="auto"/>
        </w:rPr>
        <w:t>Energy occurs (each, as defined in subsection (a) below), except as otherwise provided in subsections (b), (c) and (d) below:</w:t>
      </w:r>
    </w:p>
    <w:p>
      <w:pPr>
        <w:spacing w:after="0" w:line="228" w:lineRule="exact"/>
        <w:rPr>
          <w:sz w:val="20"/>
          <w:szCs w:val="20"/>
          <w:color w:val="auto"/>
        </w:rPr>
      </w:pPr>
    </w:p>
    <w:p>
      <w:pPr>
        <w:ind w:right="20" w:firstLine="1305"/>
        <w:spacing w:after="0" w:line="297" w:lineRule="auto"/>
        <w:tabs>
          <w:tab w:leader="none" w:pos="194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20" w:lineRule="exact"/>
        <w:rPr>
          <w:rFonts w:ascii="Arial" w:cs="Arial" w:eastAsia="Arial" w:hAnsi="Arial"/>
          <w:sz w:val="19"/>
          <w:szCs w:val="19"/>
          <w:color w:val="auto"/>
        </w:rPr>
      </w:pPr>
    </w:p>
    <w:p>
      <w:pPr>
        <w:ind w:left="2600" w:hanging="647"/>
        <w:spacing w:after="0"/>
        <w:tabs>
          <w:tab w:leader="none" w:pos="260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227" w:lineRule="exact"/>
        <w:rPr>
          <w:rFonts w:ascii="Arial" w:cs="Arial" w:eastAsia="Arial" w:hAnsi="Arial"/>
          <w:sz w:val="19"/>
          <w:szCs w:val="19"/>
          <w:color w:val="auto"/>
        </w:rPr>
      </w:pPr>
    </w:p>
    <w:p>
      <w:pPr>
        <w:ind w:right="100" w:firstLine="2601"/>
        <w:spacing w:after="0" w:line="297" w:lineRule="auto"/>
        <w:tabs>
          <w:tab w:leader="none" w:pos="3241" w:val="left"/>
        </w:tabs>
        <w:numPr>
          <w:ilvl w:val="2"/>
          <w:numId w:val="131"/>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acquires (or has acquired during the twelve (12) month period ending on the date of the most recent acquisition by such person or persons) ownership of stock of Sempra Energy possessing thirty percent (30%) or more of the total voting power of the stock of Sempra Energy, or</w:t>
      </w:r>
    </w:p>
    <w:p>
      <w:pPr>
        <w:spacing w:after="0" w:line="134" w:lineRule="exact"/>
        <w:rPr>
          <w:rFonts w:ascii="Arial" w:cs="Arial" w:eastAsia="Arial" w:hAnsi="Arial"/>
          <w:sz w:val="19"/>
          <w:szCs w:val="19"/>
          <w:color w:val="auto"/>
        </w:rPr>
      </w:pPr>
    </w:p>
    <w:p>
      <w:pPr>
        <w:jc w:val="both"/>
        <w:ind w:right="380" w:firstLine="2601"/>
        <w:spacing w:after="0"/>
        <w:tabs>
          <w:tab w:leader="none" w:pos="3241" w:val="left"/>
        </w:tabs>
        <w:numPr>
          <w:ilvl w:val="2"/>
          <w:numId w:val="131"/>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172" w:lineRule="exact"/>
        <w:rPr>
          <w:rFonts w:ascii="Arial" w:cs="Arial" w:eastAsia="Arial" w:hAnsi="Arial"/>
          <w:sz w:val="22"/>
          <w:szCs w:val="22"/>
          <w:color w:val="auto"/>
        </w:rPr>
      </w:pPr>
    </w:p>
    <w:p>
      <w:pPr>
        <w:ind w:right="100" w:firstLine="1953"/>
        <w:spacing w:after="0" w:line="236" w:lineRule="auto"/>
        <w:tabs>
          <w:tab w:leader="none" w:pos="2593" w:val="left"/>
        </w:tabs>
        <w:numPr>
          <w:ilvl w:val="1"/>
          <w:numId w:val="131"/>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a substantial portion of assets of Sempra Energy</w:t>
      </w:r>
      <w:r>
        <w:rPr>
          <w:rFonts w:ascii="Arial" w:cs="Arial" w:eastAsia="Arial" w:hAnsi="Arial"/>
          <w:sz w:val="22"/>
          <w:szCs w:val="22"/>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74" w:lineRule="exact"/>
        <w:rPr>
          <w:rFonts w:ascii="Arial" w:cs="Arial" w:eastAsia="Arial" w:hAnsi="Arial"/>
          <w:sz w:val="22"/>
          <w:szCs w:val="22"/>
          <w:color w:val="auto"/>
        </w:rPr>
      </w:pPr>
    </w:p>
    <w:p>
      <w:pPr>
        <w:ind w:right="440" w:firstLine="1305"/>
        <w:spacing w:after="0" w:line="251" w:lineRule="auto"/>
        <w:tabs>
          <w:tab w:leader="none" w:pos="1945"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Sempra Energy</w:t>
      </w:r>
      <w:r>
        <w:rPr>
          <w:rFonts w:ascii="Arial" w:cs="Arial" w:eastAsia="Arial" w:hAnsi="Arial"/>
          <w:sz w:val="22"/>
          <w:szCs w:val="22"/>
          <w:color w:val="auto"/>
        </w:rPr>
        <w:t>” or “</w:t>
      </w:r>
      <w:r>
        <w:rPr>
          <w:rFonts w:ascii="Arial" w:cs="Arial" w:eastAsia="Arial" w:hAnsi="Arial"/>
          <w:sz w:val="22"/>
          <w:szCs w:val="22"/>
          <w:u w:val="single" w:color="auto"/>
          <w:color w:val="auto"/>
        </w:rPr>
        <w:t>a change in the effective control of Sempra Energy</w:t>
      </w:r>
      <w:r>
        <w:rPr>
          <w:rFonts w:ascii="Arial" w:cs="Arial" w:eastAsia="Arial" w:hAnsi="Arial"/>
          <w:sz w:val="22"/>
          <w:szCs w:val="22"/>
          <w:color w:val="auto"/>
        </w:rPr>
        <w:t>” shall not occur under clause (a)(i) or (a)(ii) by reason of any of the following:</w:t>
      </w:r>
    </w:p>
    <w:p>
      <w:pPr>
        <w:spacing w:after="0" w:line="173" w:lineRule="exact"/>
        <w:rPr>
          <w:rFonts w:ascii="Arial" w:cs="Arial" w:eastAsia="Arial" w:hAnsi="Arial"/>
          <w:sz w:val="22"/>
          <w:szCs w:val="22"/>
          <w:color w:val="auto"/>
        </w:rPr>
      </w:pPr>
    </w:p>
    <w:p>
      <w:pPr>
        <w:ind w:right="100" w:firstLine="1953"/>
        <w:spacing w:after="0" w:line="251" w:lineRule="auto"/>
        <w:tabs>
          <w:tab w:leader="none" w:pos="2593"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an acquisition of ownership of stock of Sempra Energy directly from Sempra Energy or its Affiliates other than in connection with the acquisition by Sempra Energy or its Affiliates of a business,</w:t>
      </w:r>
    </w:p>
    <w:p>
      <w:pPr>
        <w:spacing w:after="0" w:line="159" w:lineRule="exact"/>
        <w:rPr>
          <w:rFonts w:ascii="Arial" w:cs="Arial" w:eastAsia="Arial" w:hAnsi="Arial"/>
          <w:sz w:val="22"/>
          <w:szCs w:val="22"/>
          <w:color w:val="auto"/>
        </w:rPr>
      </w:pPr>
    </w:p>
    <w:p>
      <w:pPr>
        <w:ind w:right="80" w:firstLine="1953"/>
        <w:spacing w:after="0" w:line="235" w:lineRule="auto"/>
        <w:tabs>
          <w:tab w:leader="none" w:pos="2593"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74" w:lineRule="exact"/>
        <w:rPr>
          <w:rFonts w:ascii="Arial" w:cs="Arial" w:eastAsia="Arial" w:hAnsi="Arial"/>
          <w:sz w:val="22"/>
          <w:szCs w:val="22"/>
          <w:color w:val="auto"/>
        </w:rPr>
      </w:pPr>
    </w:p>
    <w:p>
      <w:pPr>
        <w:ind w:firstLine="1953"/>
        <w:spacing w:after="0" w:line="249" w:lineRule="auto"/>
        <w:tabs>
          <w:tab w:leader="none" w:pos="2593" w:val="left"/>
        </w:tabs>
        <w:numPr>
          <w:ilvl w:val="1"/>
          <w:numId w:val="132"/>
        </w:numPr>
        <w:rPr>
          <w:rFonts w:ascii="Arial" w:cs="Arial" w:eastAsia="Arial" w:hAnsi="Arial"/>
          <w:sz w:val="21"/>
          <w:szCs w:val="21"/>
          <w:color w:val="auto"/>
        </w:rPr>
      </w:pPr>
      <w:r>
        <w:rPr>
          <w:rFonts w:ascii="Arial" w:cs="Arial" w:eastAsia="Arial" w:hAnsi="Arial"/>
          <w:sz w:val="21"/>
          <w:szCs w:val="21"/>
          <w:color w:val="auto"/>
        </w:rPr>
        <w:t>a merger or consolidation effected to implement a recapitalization of Sempra Energy (or similar transaction) in which no Person is or becomes the Beneficial Owner,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78" w:lineRule="exact"/>
        <w:rPr>
          <w:rFonts w:ascii="Arial" w:cs="Arial" w:eastAsia="Arial" w:hAnsi="Arial"/>
          <w:sz w:val="21"/>
          <w:szCs w:val="21"/>
          <w:color w:val="auto"/>
        </w:rPr>
      </w:pPr>
    </w:p>
    <w:p>
      <w:pPr>
        <w:jc w:val="both"/>
        <w:ind w:right="20" w:firstLine="1305"/>
        <w:spacing w:after="0" w:line="252" w:lineRule="auto"/>
        <w:tabs>
          <w:tab w:leader="none" w:pos="1945" w:val="left"/>
        </w:tabs>
        <w:numPr>
          <w:ilvl w:val="0"/>
          <w:numId w:val="133"/>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the ownership of a substantial portion of assets of Sempra Energy</w:t>
      </w:r>
      <w:r>
        <w:rPr>
          <w:rFonts w:ascii="Arial" w:cs="Arial" w:eastAsia="Arial" w:hAnsi="Arial"/>
          <w:sz w:val="21"/>
          <w:szCs w:val="21"/>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60" w:lineRule="exact"/>
        <w:rPr>
          <w:rFonts w:ascii="Arial" w:cs="Arial" w:eastAsia="Arial" w:hAnsi="Arial"/>
          <w:sz w:val="21"/>
          <w:szCs w:val="21"/>
          <w:color w:val="auto"/>
        </w:rPr>
      </w:pPr>
    </w:p>
    <w:p>
      <w:pPr>
        <w:ind w:right="120" w:firstLine="1305"/>
        <w:spacing w:after="0" w:line="238" w:lineRule="auto"/>
        <w:tabs>
          <w:tab w:leader="none" w:pos="194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This definition of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limited to the definition of a “change in control event” relating to Sempra Energy under Treasury Regulation Section 1.409A-3(i)(5).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only occur if there is a “change in control event” relating to Sempra Energy under Treasury Regulation Section 1.409A-3(i)(5) with respect to the Executive.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date on which a Change in Control occurs.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Period</w:t>
      </w:r>
      <w:r>
        <w:rPr>
          <w:rFonts w:ascii="Arial" w:cs="Arial" w:eastAsia="Arial" w:hAnsi="Arial"/>
          <w:sz w:val="22"/>
          <w:szCs w:val="22"/>
          <w:color w:val="auto"/>
        </w:rPr>
        <w:t>” has the meaning assigned thereto in Section 14(e)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has the meaning assigned thereto in Section 5(f) hereof.</w:t>
      </w:r>
    </w:p>
    <w:p>
      <w:pPr>
        <w:spacing w:after="0" w:line="206" w:lineRule="exact"/>
        <w:rPr>
          <w:sz w:val="20"/>
          <w:szCs w:val="20"/>
          <w:color w:val="auto"/>
        </w:rPr>
      </w:pPr>
    </w:p>
    <w:p>
      <w:pPr>
        <w:ind w:right="1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has the meaning set forth in the Company’s long-term disability plan or its successor;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Board may not terminate the Executive’s employment hereunder by reason of Disability unless (i) at the time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termination there is no reasonable expectation that the Executive will return to work within the next ninety (90) day period and (ii) such termination is permitted by all applicable disability laws.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applicable rulings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ectPr>
          <w:pgSz w:w="11900" w:h="16838" w:orient="portrait"/>
          <w:cols w:equalWidth="0" w:num="1">
            <w:col w:w="11400"/>
          </w:cols>
          <w:pgMar w:left="240" w:top="118" w:right="259" w:bottom="0" w:gutter="0" w:footer="0" w:header="0"/>
        </w:sectPr>
      </w:pPr>
    </w:p>
    <w:bookmarkStart w:id="87" w:name="page88"/>
    <w:bookmarkEnd w:id="87"/>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has the meaning assigned thereto in Section 9(a) hereof.</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193" w:lineRule="exact"/>
        <w:rPr>
          <w:sz w:val="20"/>
          <w:szCs w:val="20"/>
          <w:color w:val="auto"/>
        </w:rPr>
      </w:pPr>
    </w:p>
    <w:p>
      <w:pPr>
        <w:jc w:val="both"/>
        <w:ind w:left="-1200" w:right="140" w:firstLine="1305"/>
        <w:spacing w:after="0"/>
        <w:tabs>
          <w:tab w:leader="none" w:pos="74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jc w:val="both"/>
        <w:ind w:left="-1200" w:right="400" w:firstLine="1953"/>
        <w:spacing w:after="0"/>
        <w:tabs>
          <w:tab w:leader="none" w:pos="13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72" w:lineRule="exact"/>
        <w:rPr>
          <w:rFonts w:ascii="Arial" w:cs="Arial" w:eastAsia="Arial" w:hAnsi="Arial"/>
          <w:sz w:val="22"/>
          <w:szCs w:val="22"/>
          <w:color w:val="auto"/>
        </w:rPr>
      </w:pPr>
    </w:p>
    <w:p>
      <w:pPr>
        <w:ind w:left="-1200" w:right="120" w:firstLine="1953"/>
        <w:spacing w:after="0"/>
        <w:tabs>
          <w:tab w:leader="none" w:pos="13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 material reduction in the Executive’s overall standing and responsibilities within the Company, but not including (A) a mere change in title or (B) a transfer within the Company, which, in the case of both (A) and (B), does not adversely affect the Executive’s overall status within the Company;</w:t>
      </w:r>
    </w:p>
    <w:p>
      <w:pPr>
        <w:spacing w:after="0" w:line="172" w:lineRule="exact"/>
        <w:rPr>
          <w:rFonts w:ascii="Arial" w:cs="Arial" w:eastAsia="Arial" w:hAnsi="Arial"/>
          <w:sz w:val="22"/>
          <w:szCs w:val="22"/>
          <w:color w:val="auto"/>
        </w:rPr>
      </w:pPr>
    </w:p>
    <w:p>
      <w:pPr>
        <w:ind w:left="-1200" w:right="340" w:firstLine="1953"/>
        <w:spacing w:after="0" w:line="238" w:lineRule="auto"/>
        <w:tabs>
          <w:tab w:leader="none" w:pos="13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85" w:lineRule="exact"/>
        <w:rPr>
          <w:rFonts w:ascii="Arial" w:cs="Arial" w:eastAsia="Arial" w:hAnsi="Arial"/>
          <w:sz w:val="22"/>
          <w:szCs w:val="22"/>
          <w:color w:val="auto"/>
        </w:rPr>
      </w:pPr>
    </w:p>
    <w:p>
      <w:pPr>
        <w:ind w:left="-1200" w:right="80" w:firstLine="1953"/>
        <w:spacing w:after="0"/>
        <w:tabs>
          <w:tab w:leader="none" w:pos="13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ind w:left="-1200" w:firstLine="1953"/>
        <w:spacing w:after="0"/>
        <w:tabs>
          <w:tab w:leader="none" w:pos="13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2" w:lineRule="exact"/>
        <w:rPr>
          <w:rFonts w:ascii="Arial" w:cs="Arial" w:eastAsia="Arial" w:hAnsi="Arial"/>
          <w:sz w:val="22"/>
          <w:szCs w:val="22"/>
          <w:color w:val="auto"/>
        </w:rPr>
      </w:pPr>
    </w:p>
    <w:p>
      <w:pPr>
        <w:ind w:left="1400" w:hanging="647"/>
        <w:spacing w:after="0"/>
        <w:tabs>
          <w:tab w:leader="none" w:pos="140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left="-1200" w:right="80" w:firstLine="1953"/>
        <w:spacing w:after="0" w:line="251" w:lineRule="auto"/>
        <w:tabs>
          <w:tab w:leader="none" w:pos="13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59" w:lineRule="exact"/>
        <w:rPr>
          <w:rFonts w:ascii="Arial" w:cs="Arial" w:eastAsia="Arial" w:hAnsi="Arial"/>
          <w:sz w:val="22"/>
          <w:szCs w:val="22"/>
          <w:color w:val="auto"/>
        </w:rPr>
      </w:pPr>
    </w:p>
    <w:p>
      <w:pPr>
        <w:ind w:left="1400" w:hanging="647"/>
        <w:spacing w:after="0"/>
        <w:tabs>
          <w:tab w:leader="none" w:pos="140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192" w:lineRule="exact"/>
        <w:rPr>
          <w:rFonts w:ascii="Arial" w:cs="Arial" w:eastAsia="Arial" w:hAnsi="Arial"/>
          <w:sz w:val="22"/>
          <w:szCs w:val="22"/>
          <w:color w:val="auto"/>
        </w:rPr>
      </w:pPr>
    </w:p>
    <w:p>
      <w:pPr>
        <w:ind w:left="-1200" w:right="60" w:firstLine="1305"/>
        <w:spacing w:after="0"/>
        <w:tabs>
          <w:tab w:leader="none" w:pos="74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ind w:left="-1200" w:right="300" w:firstLine="1953"/>
        <w:spacing w:after="0" w:line="251" w:lineRule="auto"/>
        <w:tabs>
          <w:tab w:leader="none" w:pos="13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an adverse change in the Executive’s title, authority, duties, responsibilities or reporting lines as in effect immediately prior to the Change in Control;</w:t>
      </w:r>
    </w:p>
    <w:p>
      <w:pPr>
        <w:spacing w:after="0" w:line="159" w:lineRule="exact"/>
        <w:rPr>
          <w:rFonts w:ascii="Arial" w:cs="Arial" w:eastAsia="Arial" w:hAnsi="Arial"/>
          <w:sz w:val="22"/>
          <w:szCs w:val="22"/>
          <w:color w:val="auto"/>
        </w:rPr>
      </w:pPr>
    </w:p>
    <w:p>
      <w:pPr>
        <w:ind w:left="-1200" w:right="60" w:firstLine="1953"/>
        <w:spacing w:after="0" w:line="245" w:lineRule="auto"/>
        <w:tabs>
          <w:tab w:leader="none" w:pos="1393" w:val="left"/>
        </w:tabs>
        <w:numPr>
          <w:ilvl w:val="1"/>
          <w:numId w:val="134"/>
        </w:numPr>
        <w:rPr>
          <w:rFonts w:ascii="Arial" w:cs="Arial" w:eastAsia="Arial" w:hAnsi="Arial"/>
          <w:sz w:val="21"/>
          <w:szCs w:val="21"/>
          <w:color w:val="auto"/>
        </w:rPr>
      </w:pPr>
      <w:r>
        <w:rPr>
          <w:rFonts w:ascii="Arial" w:cs="Arial" w:eastAsia="Arial" w:hAnsi="Arial"/>
          <w:sz w:val="21"/>
          <w:szCs w:val="21"/>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71" w:lineRule="exact"/>
        <w:rPr>
          <w:rFonts w:ascii="Arial" w:cs="Arial" w:eastAsia="Arial" w:hAnsi="Arial"/>
          <w:sz w:val="21"/>
          <w:szCs w:val="21"/>
          <w:color w:val="auto"/>
        </w:rPr>
      </w:pPr>
    </w:p>
    <w:p>
      <w:pPr>
        <w:ind w:left="-1200" w:right="80" w:firstLine="1953"/>
        <w:spacing w:after="0" w:line="234" w:lineRule="auto"/>
        <w:tabs>
          <w:tab w:leader="none" w:pos="13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immediately prior to the Change in Control Date (the “</w:t>
      </w:r>
      <w:r>
        <w:rPr>
          <w:rFonts w:ascii="Arial" w:cs="Arial" w:eastAsia="Arial" w:hAnsi="Arial"/>
          <w:sz w:val="22"/>
          <w:szCs w:val="22"/>
          <w:u w:val="single" w:color="auto"/>
          <w:color w:val="auto"/>
        </w:rPr>
        <w:t>Principal Location</w:t>
      </w:r>
      <w:r>
        <w:rPr>
          <w:rFonts w:ascii="Arial" w:cs="Arial" w:eastAsia="Arial" w:hAnsi="Arial"/>
          <w:sz w:val="22"/>
          <w:szCs w:val="22"/>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91" w:lineRule="exact"/>
        <w:rPr>
          <w:rFonts w:ascii="Arial" w:cs="Arial" w:eastAsia="Arial" w:hAnsi="Arial"/>
          <w:sz w:val="22"/>
          <w:szCs w:val="22"/>
          <w:color w:val="auto"/>
        </w:rPr>
      </w:pPr>
    </w:p>
    <w:p>
      <w:pPr>
        <w:ind w:left="-1200" w:right="80" w:firstLine="1953"/>
        <w:spacing w:after="0"/>
        <w:tabs>
          <w:tab w:leader="none" w:pos="13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ind w:left="-1200" w:firstLine="1953"/>
        <w:spacing w:after="0"/>
        <w:tabs>
          <w:tab w:leader="none" w:pos="13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86" w:lineRule="exact"/>
        <w:rPr>
          <w:rFonts w:ascii="Arial" w:cs="Arial" w:eastAsia="Arial" w:hAnsi="Arial"/>
          <w:sz w:val="22"/>
          <w:szCs w:val="22"/>
          <w:color w:val="auto"/>
        </w:rPr>
      </w:pPr>
    </w:p>
    <w:p>
      <w:pPr>
        <w:ind w:left="1400" w:hanging="647"/>
        <w:spacing w:after="0"/>
        <w:tabs>
          <w:tab w:leader="none" w:pos="140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ectPr>
          <w:pgSz w:w="11900" w:h="16838" w:orient="portrait"/>
          <w:cols w:equalWidth="0" w:num="1">
            <w:col w:w="10200"/>
          </w:cols>
          <w:pgMar w:left="1440" w:top="118" w:right="259" w:bottom="0" w:gutter="0" w:footer="0" w:header="0"/>
        </w:sectPr>
      </w:pPr>
    </w:p>
    <w:bookmarkStart w:id="88" w:name="page89"/>
    <w:bookmarkEnd w:id="88"/>
    <w:p>
      <w:pPr>
        <w:ind w:right="100" w:firstLine="1953"/>
        <w:spacing w:after="0" w:line="251" w:lineRule="auto"/>
        <w:tabs>
          <w:tab w:leader="none" w:pos="259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60" w:lineRule="exact"/>
        <w:rPr>
          <w:rFonts w:ascii="Arial" w:cs="Arial" w:eastAsia="Arial" w:hAnsi="Arial"/>
          <w:sz w:val="22"/>
          <w:szCs w:val="22"/>
          <w:color w:val="auto"/>
        </w:rPr>
      </w:pPr>
    </w:p>
    <w:p>
      <w:pPr>
        <w:ind w:left="2600" w:hanging="647"/>
        <w:spacing w:after="0"/>
        <w:tabs>
          <w:tab w:leader="none" w:pos="26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206"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8" w:lineRule="exact"/>
        <w:rPr>
          <w:sz w:val="20"/>
          <w:szCs w:val="20"/>
          <w:color w:val="auto"/>
        </w:rPr>
      </w:pPr>
    </w:p>
    <w:p>
      <w:pPr>
        <w:ind w:right="7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Plans</w:t>
      </w:r>
      <w:r>
        <w:rPr>
          <w:rFonts w:ascii="Arial" w:cs="Arial" w:eastAsia="Arial" w:hAnsi="Arial"/>
          <w:sz w:val="22"/>
          <w:szCs w:val="22"/>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86"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(a) the Executive’s Separation from Service by reason of a termination of employment by the Company other than for Cause, death, or Disability, or (b) the Executive’s Separation from Service by reason of resignation of employment with the Company for Good Reason.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has the meaning assigned thereto in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assigned thereto in Section 3(a)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thereto in Section 9(a)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right="1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Accrued Obligations</w:t>
      </w:r>
      <w:r>
        <w:rPr>
          <w:rFonts w:ascii="Arial" w:cs="Arial" w:eastAsia="Arial" w:hAnsi="Arial"/>
          <w:sz w:val="22"/>
          <w:szCs w:val="22"/>
          <w:color w:val="auto"/>
        </w:rPr>
        <w:t>” has the meaning assigned thereto in Section 6(a)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Severance Payment</w:t>
      </w:r>
      <w:r>
        <w:rPr>
          <w:rFonts w:ascii="Arial" w:cs="Arial" w:eastAsia="Arial" w:hAnsi="Arial"/>
          <w:sz w:val="22"/>
          <w:szCs w:val="22"/>
          <w:color w:val="auto"/>
        </w:rPr>
        <w:t>” has the meaning assigned thereto in Section 6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Accrued Obligations</w:t>
      </w:r>
      <w:r>
        <w:rPr>
          <w:rFonts w:ascii="Arial" w:cs="Arial" w:eastAsia="Arial" w:hAnsi="Arial"/>
          <w:sz w:val="22"/>
          <w:szCs w:val="22"/>
          <w:color w:val="auto"/>
        </w:rPr>
        <w:t>” has the meaning assigned thereto in Section 5(a)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Severance Payment</w:t>
      </w:r>
      <w:r>
        <w:rPr>
          <w:rFonts w:ascii="Arial" w:cs="Arial" w:eastAsia="Arial" w:hAnsi="Arial"/>
          <w:sz w:val="22"/>
          <w:szCs w:val="22"/>
          <w:color w:val="auto"/>
        </w:rPr>
        <w:t>” has the meaning assigned thereto in Section 5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has the meaning assigned thereto in Section 14(a)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has the meaning assigned thereto in Section 14(d) hereof.</w:t>
      </w:r>
    </w:p>
    <w:p>
      <w:pPr>
        <w:spacing w:after="0" w:line="206" w:lineRule="exact"/>
        <w:rPr>
          <w:sz w:val="20"/>
          <w:szCs w:val="20"/>
          <w:color w:val="auto"/>
        </w:rPr>
      </w:pPr>
    </w:p>
    <w:p>
      <w:pPr>
        <w:ind w:right="38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409A Payments</w:t>
      </w:r>
      <w:r>
        <w:rPr>
          <w:rFonts w:ascii="Arial" w:cs="Arial" w:eastAsia="Arial" w:hAnsi="Arial"/>
          <w:sz w:val="21"/>
          <w:szCs w:val="21"/>
          <w:color w:val="auto"/>
        </w:rPr>
        <w:t>” means any of the following: (a) the Payment in Lieu of Notice; (b) the Pre-Change in Control Severance Payment; (c) the Post-Change in Control Severance Payment; (d) the Additional Post-Change in Control Severance Payment; (e) the Consulting Payment; (f) the financial planning services and the related payments provided under Sections 5(e) and 6(e); and (g) the legal fees and expenses reimbursed under Section 15.</w:t>
      </w:r>
    </w:p>
    <w:p>
      <w:pPr>
        <w:spacing w:after="0" w:line="174"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05" w:lineRule="exact"/>
        <w:rPr>
          <w:sz w:val="20"/>
          <w:szCs w:val="20"/>
          <w:color w:val="auto"/>
        </w:rPr>
      </w:pPr>
    </w:p>
    <w:p>
      <w:pPr>
        <w:ind w:right="2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with respect to the Executive (or another Service Provider), means the Executive’s (or such Service Provider’s) (a) termination of employment or (b) other termination or reduction in services, provided that such termination or reduction in clause (a) or (b) constitutes a “separation from service,” as defined in Treasury Regulation Section 1.409A-1(h), with respect to the Service Recipient.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Provider</w:t>
      </w:r>
      <w:r>
        <w:rPr>
          <w:rFonts w:ascii="Arial" w:cs="Arial" w:eastAsia="Arial" w:hAnsi="Arial"/>
          <w:sz w:val="19"/>
          <w:szCs w:val="19"/>
          <w:color w:val="auto"/>
        </w:rPr>
        <w:t>” means the Executive or any other “service provider,” as defined in Treasury Regulation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1.409A-1(f).</w:t>
      </w:r>
    </w:p>
    <w:p>
      <w:pPr>
        <w:spacing w:after="0" w:line="188" w:lineRule="exact"/>
        <w:rPr>
          <w:sz w:val="20"/>
          <w:szCs w:val="20"/>
          <w:color w:val="auto"/>
        </w:rPr>
      </w:pPr>
    </w:p>
    <w:p>
      <w:pPr>
        <w:jc w:val="both"/>
        <w:ind w:right="14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Recipient</w:t>
      </w:r>
      <w:r>
        <w:rPr>
          <w:rFonts w:ascii="Arial" w:cs="Arial" w:eastAsia="Arial" w:hAnsi="Arial"/>
          <w:sz w:val="19"/>
          <w:szCs w:val="19"/>
          <w:color w:val="auto"/>
        </w:rPr>
        <w:t>,” with respect to the Executive, means Sempra Energy (if the Executive is employed by Sempra Energy), or the subsidiary of Sempra Energy employing the Executive, whichever is applicable, and all persons considered part of the “service recipient,” as defined in Treasury Regulation Section 1.409A-1(g), as determined from time to time. As provided in</w:t>
      </w:r>
    </w:p>
    <w:p>
      <w:pPr>
        <w:sectPr>
          <w:pgSz w:w="11900" w:h="16838" w:orient="portrait"/>
          <w:cols w:equalWidth="0" w:num="1">
            <w:col w:w="11420"/>
          </w:cols>
          <w:pgMar w:left="240" w:top="118" w:right="239" w:bottom="0" w:gutter="0" w:footer="0" w:header="0"/>
        </w:sectPr>
      </w:pPr>
    </w:p>
    <w:bookmarkStart w:id="89" w:name="page90"/>
    <w:bookmarkEnd w:id="89"/>
    <w:p>
      <w:pPr>
        <w:spacing w:after="0" w:line="34" w:lineRule="exact"/>
        <w:rPr>
          <w:sz w:val="20"/>
          <w:szCs w:val="20"/>
          <w:color w:val="auto"/>
        </w:rPr>
      </w:pPr>
    </w:p>
    <w:p>
      <w:pPr>
        <w:jc w:val="both"/>
        <w:ind w:right="20"/>
        <w:spacing w:after="0" w:line="241" w:lineRule="auto"/>
        <w:rPr>
          <w:sz w:val="20"/>
          <w:szCs w:val="20"/>
          <w:color w:val="auto"/>
        </w:rPr>
      </w:pPr>
      <w:r>
        <w:rPr>
          <w:rFonts w:ascii="Arial" w:cs="Arial" w:eastAsia="Arial" w:hAnsi="Arial"/>
          <w:sz w:val="22"/>
          <w:szCs w:val="22"/>
          <w:color w:val="auto"/>
        </w:rPr>
        <w:t>Treasury Regulation Section 1.409A-1(g), the “</w:t>
      </w:r>
      <w:r>
        <w:rPr>
          <w:rFonts w:ascii="Arial" w:cs="Arial" w:eastAsia="Arial" w:hAnsi="Arial"/>
          <w:sz w:val="22"/>
          <w:szCs w:val="22"/>
          <w:u w:val="single" w:color="auto"/>
          <w:color w:val="auto"/>
        </w:rPr>
        <w:t>Service Recipient</w:t>
      </w:r>
      <w:r>
        <w:rPr>
          <w:rFonts w:ascii="Arial" w:cs="Arial" w:eastAsia="Arial" w:hAnsi="Arial"/>
          <w:sz w:val="22"/>
          <w:szCs w:val="22"/>
          <w:color w:val="auto"/>
        </w:rPr>
        <w: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84"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w:t>
      </w:r>
      <w:r>
        <w:rPr>
          <w:rFonts w:ascii="Arial" w:cs="Arial" w:eastAsia="Arial" w:hAnsi="Arial"/>
          <w:sz w:val="19"/>
          <w:szCs w:val="19"/>
          <w:color w:val="auto"/>
        </w:rPr>
        <w:t>” means a Service Provider who, as of the date of the Service Provider’s Separation from Service is a “</w:t>
      </w:r>
      <w:r>
        <w:rPr>
          <w:rFonts w:ascii="Arial" w:cs="Arial" w:eastAsia="Arial" w:hAnsi="Arial"/>
          <w:sz w:val="19"/>
          <w:szCs w:val="19"/>
          <w:u w:val="single" w:color="auto"/>
          <w:color w:val="auto"/>
        </w:rPr>
        <w:t>Key Employee</w:t>
      </w:r>
      <w:r>
        <w:rPr>
          <w:rFonts w:ascii="Arial" w:cs="Arial" w:eastAsia="Arial" w:hAnsi="Arial"/>
          <w:sz w:val="19"/>
          <w:szCs w:val="19"/>
          <w:color w:val="auto"/>
        </w:rPr>
        <w:t>” of the Service Recipient any stock of which is publicly traded on an established securities market or otherwise. For purposes of this definition,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if the Service Provider meets the requirements of Section 416(i)(1)(A)(i), (ii) or (iii) of the Code (applied in accordance with the Treasury Regulations thereunder and disregarding Section 416(i)(5) of the Code) at any time during the Testing Year. If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(as defined above) as of a Specified Employee Identification Date, the Service Provider shall be treated as “</w:t>
      </w:r>
      <w:r>
        <w:rPr>
          <w:rFonts w:ascii="Arial" w:cs="Arial" w:eastAsia="Arial" w:hAnsi="Arial"/>
          <w:sz w:val="19"/>
          <w:szCs w:val="19"/>
          <w:u w:val="single" w:color="auto"/>
          <w:color w:val="auto"/>
        </w:rPr>
        <w:t>Key Employee</w:t>
      </w:r>
      <w:r>
        <w:rPr>
          <w:rFonts w:ascii="Arial" w:cs="Arial" w:eastAsia="Arial" w:hAnsi="Arial"/>
          <w:sz w:val="19"/>
          <w:szCs w:val="19"/>
          <w:color w:val="auto"/>
        </w:rPr>
        <w:t>” for the entire twelve (12) month period beginning on the Specified Employee Effective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 1.415(c)-2(d), were not using any of the elective special timing rules provided in Treasury Regulation Section</w:t>
      </w:r>
    </w:p>
    <w:p>
      <w:pPr>
        <w:ind w:right="60"/>
        <w:spacing w:after="0" w:line="234" w:lineRule="auto"/>
        <w:rPr>
          <w:sz w:val="20"/>
          <w:szCs w:val="20"/>
          <w:color w:val="auto"/>
        </w:rPr>
      </w:pPr>
      <w:r>
        <w:rPr>
          <w:rFonts w:ascii="Arial" w:cs="Arial" w:eastAsia="Arial" w:hAnsi="Arial"/>
          <w:sz w:val="22"/>
          <w:szCs w:val="22"/>
          <w:color w:val="auto"/>
        </w:rPr>
        <w:t>1.415(c)-2(e), and were not using any of the elective special rules provided in Treasury Regulation Section 1.415(c)-2(g)), from the Service Recipient for such Testing Year. The “Specified Employees” shall be determined in accordance with Section 409A(a)(2) (B)(i) of the Code and Treasury Regulation Section 1.409A-1(i).</w:t>
      </w:r>
    </w:p>
    <w:p>
      <w:pPr>
        <w:spacing w:after="0" w:line="187" w:lineRule="exact"/>
        <w:rPr>
          <w:sz w:val="20"/>
          <w:szCs w:val="20"/>
          <w:color w:val="auto"/>
        </w:rPr>
      </w:pPr>
    </w:p>
    <w:p>
      <w:pPr>
        <w:jc w:val="both"/>
        <w:ind w:right="3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Effective Date</w:t>
      </w:r>
      <w:r>
        <w:rPr>
          <w:rFonts w:ascii="Arial" w:cs="Arial" w:eastAsia="Arial" w:hAnsi="Arial"/>
          <w:sz w:val="22"/>
          <w:szCs w:val="22"/>
          <w:color w:val="auto"/>
        </w:rPr>
        <w:t>” means the first day of the fourth month following the Specified Employee Identification Date. The Specified Employee Effective Date may be changed by Sempra Energy, in its discretion, in accordance with Treasury Regulation Section 1.409A-1(i)(4).</w:t>
      </w:r>
    </w:p>
    <w:p>
      <w:pPr>
        <w:spacing w:after="0" w:line="186" w:lineRule="exact"/>
        <w:rPr>
          <w:sz w:val="20"/>
          <w:szCs w:val="20"/>
          <w:color w:val="auto"/>
        </w:rPr>
      </w:pPr>
    </w:p>
    <w:p>
      <w:pPr>
        <w:ind w:right="2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for purposes of Treasury Regulation Section 1.409A-1(i)(3), shall mean December 31. The “</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shall apply to all “nonqualified deferred compensation plans” (as defined in Treasury Regulation Section 1.409A-1(a)) of the Service Recipient and all affected Service Providers. The “</w:t>
      </w:r>
      <w:r>
        <w:rPr>
          <w:rFonts w:ascii="Arial" w:cs="Arial" w:eastAsia="Arial" w:hAnsi="Arial"/>
          <w:sz w:val="22"/>
          <w:szCs w:val="22"/>
          <w:u w:val="single" w:color="auto"/>
          <w:color w:val="auto"/>
        </w:rPr>
        <w:t>Specified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 Identification Date</w:t>
      </w:r>
      <w:r>
        <w:rPr>
          <w:rFonts w:ascii="Arial" w:cs="Arial" w:eastAsia="Arial" w:hAnsi="Arial"/>
          <w:sz w:val="22"/>
          <w:szCs w:val="22"/>
          <w:color w:val="auto"/>
        </w:rPr>
        <w:t>” may be changed by Sempra Energy, in its discretion, in accordance with Treasury Regulation Section 1.409A-1(i)(3).</w:t>
      </w:r>
    </w:p>
    <w:p>
      <w:pPr>
        <w:spacing w:after="0" w:line="188"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Year</w:t>
      </w:r>
      <w:r>
        <w:rPr>
          <w:rFonts w:ascii="Arial" w:cs="Arial" w:eastAsia="Arial" w:hAnsi="Arial"/>
          <w:sz w:val="22"/>
          <w:szCs w:val="22"/>
          <w:color w:val="auto"/>
        </w:rPr>
        <w:t>” shall mean the twelve (12) month period ending on the Specified Employee Identification Date, as determined from time to time.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Underpayment</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For purposes of this Agreement, references to any “</w:t>
      </w:r>
      <w:r>
        <w:rPr>
          <w:rFonts w:ascii="Arial" w:cs="Arial" w:eastAsia="Arial" w:hAnsi="Arial"/>
          <w:sz w:val="22"/>
          <w:szCs w:val="22"/>
          <w:u w:val="single" w:color="auto"/>
          <w:color w:val="auto"/>
        </w:rPr>
        <w:t>Treasury Regulation</w:t>
      </w:r>
      <w:r>
        <w:rPr>
          <w:rFonts w:ascii="Arial" w:cs="Arial" w:eastAsia="Arial" w:hAnsi="Arial"/>
          <w:sz w:val="22"/>
          <w:szCs w:val="22"/>
          <w:color w:val="auto"/>
        </w:rPr>
        <w:t>” shall mean such Treasury Regulation as in effect on the date hereof.</w:t>
      </w:r>
    </w:p>
    <w:p>
      <w:pPr>
        <w:spacing w:after="0" w:line="160" w:lineRule="exact"/>
        <w:rPr>
          <w:sz w:val="20"/>
          <w:szCs w:val="20"/>
          <w:color w:val="auto"/>
        </w:rPr>
      </w:pPr>
    </w:p>
    <w:p>
      <w:pPr>
        <w:ind w:firstLine="1297"/>
        <w:spacing w:after="0" w:line="275" w:lineRule="auto"/>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9"/>
          <w:szCs w:val="19"/>
          <w:u w:val="single" w:color="auto"/>
          <w:color w:val="auto"/>
        </w:rPr>
        <w:t>Sarbanes-Oxley Act of 2002</w:t>
      </w:r>
      <w:r>
        <w:rPr>
          <w:rFonts w:ascii="Arial" w:cs="Arial" w:eastAsia="Arial" w:hAnsi="Arial"/>
          <w:sz w:val="19"/>
          <w:szCs w:val="19"/>
          <w:color w:val="auto"/>
        </w:rPr>
        <w:t>. Notwithstanding anything herein to the contrary, if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in its good faith judgment, that any provision of this Agreement is likely to be interpreted as a personal loan prohibited by the Sarbanes-Oxley Act of 2002 and the rules and regulations promulgated thereunder (the “</w:t>
      </w:r>
      <w:r>
        <w:rPr>
          <w:rFonts w:ascii="Arial" w:cs="Arial" w:eastAsia="Arial" w:hAnsi="Arial"/>
          <w:sz w:val="19"/>
          <w:szCs w:val="19"/>
          <w:u w:val="single" w:color="auto"/>
          <w:color w:val="auto"/>
        </w:rPr>
        <w:t>Act</w:t>
      </w:r>
      <w:r>
        <w:rPr>
          <w:rFonts w:ascii="Arial" w:cs="Arial" w:eastAsia="Arial" w:hAnsi="Arial"/>
          <w:sz w:val="19"/>
          <w:szCs w:val="19"/>
          <w:color w:val="auto"/>
        </w:rPr>
        <w:t>”), then such provision shall be modified as necessary or appropriate so as to not violate the Act; and if this cannot be accomplished, then the Company shall use its reasonable efforts to provide the Executive with similar, but lawful, substitute benefit(s) at a cost to the Company not to significantly exceed the amount the Company would have otherwise paid to provide such benefit(s) to the Executive. In addition, if the Executive is required to forfeit or to make any repayment of any compensation or benefit(s) to the Company under the Act or any other law, such forfeiture or repayment shall not constitute Good Reason.</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u w:val="single" w:color="auto"/>
          <w:color w:val="auto"/>
        </w:rPr>
        <w:t>Notice and Date of Termination</w:t>
      </w:r>
      <w:r>
        <w:rPr>
          <w:rFonts w:ascii="Arial" w:cs="Arial" w:eastAsia="Arial" w:hAnsi="Arial"/>
          <w:sz w:val="19"/>
          <w:szCs w:val="19"/>
          <w:color w:val="auto"/>
        </w:rPr>
        <w:t>.</w:t>
      </w:r>
    </w:p>
    <w:p>
      <w:pPr>
        <w:spacing w:after="0" w:line="199" w:lineRule="exact"/>
        <w:rPr>
          <w:sz w:val="20"/>
          <w:szCs w:val="20"/>
          <w:color w:val="auto"/>
        </w:rPr>
      </w:pPr>
    </w:p>
    <w:p>
      <w:pPr>
        <w:ind w:right="20" w:firstLine="1305"/>
        <w:spacing w:after="0" w:line="279" w:lineRule="auto"/>
        <w:tabs>
          <w:tab w:leader="none" w:pos="194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37" w:lineRule="exact"/>
        <w:rPr>
          <w:rFonts w:ascii="Arial" w:cs="Arial" w:eastAsia="Arial" w:hAnsi="Arial"/>
          <w:sz w:val="19"/>
          <w:szCs w:val="19"/>
          <w:color w:val="auto"/>
        </w:rPr>
      </w:pPr>
    </w:p>
    <w:p>
      <w:pPr>
        <w:ind w:firstLine="1305"/>
        <w:spacing w:after="0" w:line="272" w:lineRule="auto"/>
        <w:tabs>
          <w:tab w:leader="none" w:pos="194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date of the Executive’s termination of employment with the Company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be determined as follows: (i) if the Executive has a Separation from Service by reason of the Company terminating his or her employment, either with or without Cause,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19"/>
          <w:szCs w:val="19"/>
          <w:u w:val="single" w:color="auto"/>
          <w:color w:val="auto"/>
        </w:rPr>
        <w:t>Payment in Lieu of Notice</w:t>
      </w:r>
      <w:r>
        <w:rPr>
          <w:rFonts w:ascii="Arial" w:cs="Arial" w:eastAsia="Arial" w:hAnsi="Arial"/>
          <w:sz w:val="19"/>
          <w:szCs w:val="19"/>
          <w:color w:val="auto"/>
        </w:rPr>
        <w:t xml:space="preserve">”) equal to two (2) weeks of the Executive’s Annual Base Salary in effect on the Date of Termination), and (ii) if the basis for the Executive’s Involuntary Termination is his resignation for Good Reason, the Date of Termination shall be determined by the Executive and specified in the Notice of Termination, but shall not in any event be less than fifteen (15) days nor more than sixty (60) days after the date such Notice of Termination is given. The Payment in Lieu of Notice shall be paid on such date as is determined by the Company within thirty (30) days after the date of the Executive’s Separation from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his or her Separation from Service, such Payment in Lieu of Notice shall be paid as provided in Section 10 hereof.</w:t>
      </w:r>
    </w:p>
    <w:p>
      <w:pPr>
        <w:spacing w:after="0" w:line="156" w:lineRule="exact"/>
        <w:rPr>
          <w:sz w:val="20"/>
          <w:szCs w:val="20"/>
          <w:color w:val="auto"/>
        </w:rPr>
      </w:pPr>
    </w:p>
    <w:p>
      <w:pPr>
        <w:ind w:right="160" w:firstLine="1297"/>
        <w:spacing w:after="0" w:line="335"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membership on the Board, the board of directors of any of the Company’s Affiliates, any committees of the Board</w:t>
      </w:r>
    </w:p>
    <w:p>
      <w:pPr>
        <w:sectPr>
          <w:pgSz w:w="11900" w:h="16872" w:orient="portrait"/>
          <w:cols w:equalWidth="0" w:num="1">
            <w:col w:w="11420"/>
          </w:cols>
          <w:pgMar w:left="240" w:top="118" w:right="239" w:bottom="0" w:gutter="0" w:footer="0" w:header="0"/>
        </w:sectPr>
      </w:pPr>
    </w:p>
    <w:bookmarkStart w:id="90" w:name="page91"/>
    <w:bookmarkEnd w:id="90"/>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and any committees of the board of directors of any of the Company’s Affiliates, if applicable, shall be automatically terminated.</w:t>
      </w:r>
    </w:p>
    <w:p>
      <w:pPr>
        <w:spacing w:after="0" w:line="228" w:lineRule="exact"/>
        <w:rPr>
          <w:sz w:val="20"/>
          <w:szCs w:val="20"/>
          <w:color w:val="auto"/>
        </w:rPr>
      </w:pPr>
    </w:p>
    <w:p>
      <w:pPr>
        <w:ind w:right="80" w:firstLine="1297"/>
        <w:spacing w:after="0" w:line="269"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u w:val="single" w:color="auto"/>
          <w:color w:val="auto"/>
        </w:rPr>
        <w:t>Severance Benefits upon Involuntary Termination Prior to Change in Control</w:t>
      </w:r>
      <w:r>
        <w:rPr>
          <w:rFonts w:ascii="Arial" w:cs="Arial" w:eastAsia="Arial" w:hAnsi="Arial"/>
          <w:sz w:val="19"/>
          <w:szCs w:val="19"/>
          <w:color w:val="auto"/>
        </w:rPr>
        <w:t>. Except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6 and Section 19(i) hereof, in the event of the Involuntary Termination of the Executive prior to a Change in Control, the Company shall pay the Executive, in one lump sum cash payment, an amount (the “</w:t>
      </w:r>
      <w:r>
        <w:rPr>
          <w:rFonts w:ascii="Arial" w:cs="Arial" w:eastAsia="Arial" w:hAnsi="Arial"/>
          <w:sz w:val="19"/>
          <w:szCs w:val="19"/>
          <w:u w:val="single" w:color="auto"/>
          <w:color w:val="auto"/>
        </w:rPr>
        <w:t>Pre-Change in Control Severance Payment</w:t>
      </w:r>
      <w:r>
        <w:rPr>
          <w:rFonts w:ascii="Arial" w:cs="Arial" w:eastAsia="Arial" w:hAnsi="Arial"/>
          <w:sz w:val="19"/>
          <w:szCs w:val="19"/>
          <w:color w:val="auto"/>
        </w:rPr>
        <w:t>”) equal to one-half (0.5) times the greater of: (X) 150%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Except as provided in Section 5(f), the Pre-Change in Control Severance Payment and the payment under Section 5(a) shall be paid on such date as is determined by the Company within thirty</w:t>
      </w:r>
    </w:p>
    <w:p>
      <w:pPr>
        <w:spacing w:after="0" w:line="4" w:lineRule="exact"/>
        <w:rPr>
          <w:sz w:val="20"/>
          <w:szCs w:val="20"/>
          <w:color w:val="auto"/>
        </w:rPr>
      </w:pPr>
    </w:p>
    <w:p>
      <w:pPr>
        <w:ind w:right="60" w:firstLine="8"/>
        <w:spacing w:after="0" w:line="249" w:lineRule="auto"/>
        <w:tabs>
          <w:tab w:leader="none" w:pos="41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 xml:space="preserve">days after the date of the Involuntary Termination;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the Executive’s Involuntary Termination, the Pre-Change in Control Severance Payment and the financial planning services and the related payments provided under Section 5(e) shall be paid as provided in Section 10 hereof.</w:t>
      </w:r>
    </w:p>
    <w:p>
      <w:pPr>
        <w:spacing w:after="0" w:line="175" w:lineRule="exact"/>
        <w:rPr>
          <w:rFonts w:ascii="Arial" w:cs="Arial" w:eastAsia="Arial" w:hAnsi="Arial"/>
          <w:sz w:val="21"/>
          <w:szCs w:val="21"/>
          <w:color w:val="auto"/>
        </w:rPr>
      </w:pPr>
    </w:p>
    <w:p>
      <w:pPr>
        <w:ind w:left="1960" w:hanging="655"/>
        <w:spacing w:after="0"/>
        <w:tabs>
          <w:tab w:leader="none" w:pos="1960" w:val="left"/>
        </w:tabs>
        <w:numPr>
          <w:ilvl w:val="1"/>
          <w:numId w:val="137"/>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right="120"/>
        <w:spacing w:after="0" w:line="275" w:lineRule="auto"/>
        <w:rPr>
          <w:rFonts w:ascii="Arial" w:cs="Arial" w:eastAsia="Arial" w:hAnsi="Arial"/>
          <w:sz w:val="19"/>
          <w:szCs w:val="19"/>
          <w:color w:val="auto"/>
        </w:rPr>
      </w:pPr>
      <w:r>
        <w:rPr>
          <w:rFonts w:ascii="Arial" w:cs="Arial" w:eastAsia="Arial" w:hAnsi="Arial"/>
          <w:sz w:val="19"/>
          <w:szCs w:val="19"/>
          <w:color w:val="auto"/>
        </w:rPr>
        <w:t>(A)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 (The amounts specified in clauses (A), (B), (C) and (D) shall be hereinafter referred to as the “</w:t>
      </w:r>
      <w:r>
        <w:rPr>
          <w:rFonts w:ascii="Arial" w:cs="Arial" w:eastAsia="Arial" w:hAnsi="Arial"/>
          <w:sz w:val="19"/>
          <w:szCs w:val="19"/>
          <w:u w:val="single" w:color="auto"/>
          <w:color w:val="auto"/>
        </w:rPr>
        <w:t>Pre-Change in Control Accrued Obligations</w:t>
      </w:r>
      <w:r>
        <w:rPr>
          <w:rFonts w:ascii="Arial" w:cs="Arial" w:eastAsia="Arial" w:hAnsi="Arial"/>
          <w:sz w:val="19"/>
          <w:szCs w:val="19"/>
          <w:color w:val="auto"/>
        </w:rPr>
        <w:t>”).</w:t>
      </w:r>
    </w:p>
    <w:p>
      <w:pPr>
        <w:spacing w:after="0" w:line="141" w:lineRule="exact"/>
        <w:rPr>
          <w:rFonts w:ascii="Arial" w:cs="Arial" w:eastAsia="Arial" w:hAnsi="Arial"/>
          <w:sz w:val="19"/>
          <w:szCs w:val="19"/>
          <w:color w:val="auto"/>
        </w:rPr>
      </w:pPr>
    </w:p>
    <w:p>
      <w:pPr>
        <w:ind w:right="80" w:firstLine="1305"/>
        <w:spacing w:after="0" w:line="251" w:lineRule="auto"/>
        <w:tabs>
          <w:tab w:leader="none" w:pos="1945"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Equity Based Compensation</w:t>
      </w:r>
      <w:r>
        <w:rPr>
          <w:rFonts w:ascii="Arial" w:cs="Arial" w:eastAsia="Arial" w:hAnsi="Arial"/>
          <w:sz w:val="22"/>
          <w:szCs w:val="22"/>
          <w:color w:val="auto"/>
        </w:rPr>
        <w:t>. The Executive shall retain all rights to any equity-based compensation awards to the extent set forth in the applicable plan and/or award agreement.</w:t>
      </w:r>
    </w:p>
    <w:p>
      <w:pPr>
        <w:spacing w:after="0" w:line="159" w:lineRule="exact"/>
        <w:rPr>
          <w:rFonts w:ascii="Arial" w:cs="Arial" w:eastAsia="Arial" w:hAnsi="Arial"/>
          <w:sz w:val="22"/>
          <w:szCs w:val="22"/>
          <w:color w:val="auto"/>
        </w:rPr>
      </w:pPr>
    </w:p>
    <w:p>
      <w:pPr>
        <w:ind w:right="20" w:firstLine="1305"/>
        <w:spacing w:after="0" w:line="246" w:lineRule="auto"/>
        <w:tabs>
          <w:tab w:leader="none" w:pos="1945" w:val="left"/>
        </w:tabs>
        <w:numPr>
          <w:ilvl w:val="1"/>
          <w:numId w:val="137"/>
        </w:numPr>
        <w:rPr>
          <w:rFonts w:ascii="Arial" w:cs="Arial" w:eastAsia="Arial" w:hAnsi="Arial"/>
          <w:sz w:val="21"/>
          <w:szCs w:val="21"/>
          <w:color w:val="auto"/>
        </w:rPr>
      </w:pPr>
      <w:r>
        <w:rPr>
          <w:rFonts w:ascii="Arial" w:cs="Arial" w:eastAsia="Arial" w:hAnsi="Arial"/>
          <w:sz w:val="21"/>
          <w:szCs w:val="21"/>
          <w:u w:val="single" w:color="auto"/>
          <w:color w:val="auto"/>
        </w:rPr>
        <w:t>Welfare Benefits</w:t>
      </w:r>
      <w:r>
        <w:rPr>
          <w:rFonts w:ascii="Arial" w:cs="Arial" w:eastAsia="Arial" w:hAnsi="Arial"/>
          <w:sz w:val="21"/>
          <w:szCs w:val="21"/>
          <w:color w:val="auto"/>
        </w:rPr>
        <w:t xml:space="preserve">. Subject to Section 12 below, for a period of six (6) months following the date of the Involuntary Termination (and an additional twelve (12)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Regulation Section 1.409A-1(a)(5).</w:t>
      </w:r>
    </w:p>
    <w:p>
      <w:pPr>
        <w:spacing w:after="0" w:line="180" w:lineRule="exact"/>
        <w:rPr>
          <w:rFonts w:ascii="Arial" w:cs="Arial" w:eastAsia="Arial" w:hAnsi="Arial"/>
          <w:sz w:val="21"/>
          <w:szCs w:val="21"/>
          <w:color w:val="auto"/>
        </w:rPr>
      </w:pPr>
    </w:p>
    <w:p>
      <w:pPr>
        <w:ind w:right="140" w:firstLine="1305"/>
        <w:spacing w:after="0" w:line="235" w:lineRule="auto"/>
        <w:tabs>
          <w:tab w:leader="none" w:pos="1945"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Outplacement Services</w:t>
      </w:r>
      <w:r>
        <w:rPr>
          <w:rFonts w:ascii="Arial" w:cs="Arial" w:eastAsia="Arial" w:hAnsi="Arial"/>
          <w:sz w:val="22"/>
          <w:szCs w:val="22"/>
          <w:color w:val="auto"/>
        </w:rPr>
        <w:t>. The Executive shall receive reasonable outplacement services, on an in-kind basis, suitable to his position and directly related to the Executive’s Involuntary Termination, for a period of eighteen (18) months following the date of the Involuntary Termination, in an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4" w:lineRule="exact"/>
        <w:rPr>
          <w:rFonts w:ascii="Arial" w:cs="Arial" w:eastAsia="Arial" w:hAnsi="Arial"/>
          <w:sz w:val="22"/>
          <w:szCs w:val="22"/>
          <w:color w:val="auto"/>
        </w:rPr>
      </w:pPr>
    </w:p>
    <w:p>
      <w:pPr>
        <w:ind w:firstLine="1305"/>
        <w:spacing w:after="0" w:line="273" w:lineRule="auto"/>
        <w:tabs>
          <w:tab w:leader="none" w:pos="1945" w:val="left"/>
        </w:tabs>
        <w:numPr>
          <w:ilvl w:val="1"/>
          <w:numId w:val="137"/>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eighteen (18)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planning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42" w:lineRule="exact"/>
        <w:rPr>
          <w:rFonts w:ascii="Arial" w:cs="Arial" w:eastAsia="Arial" w:hAnsi="Arial"/>
          <w:sz w:val="19"/>
          <w:szCs w:val="19"/>
          <w:color w:val="auto"/>
        </w:rPr>
      </w:pPr>
    </w:p>
    <w:p>
      <w:pPr>
        <w:ind w:right="20" w:firstLine="1305"/>
        <w:spacing w:after="0" w:line="238" w:lineRule="auto"/>
        <w:tabs>
          <w:tab w:leader="none" w:pos="1945"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Deferral of Payments</w:t>
      </w:r>
      <w:r>
        <w:rPr>
          <w:rFonts w:ascii="Arial" w:cs="Arial" w:eastAsia="Arial" w:hAnsi="Arial"/>
          <w:sz w:val="22"/>
          <w:szCs w:val="22"/>
          <w:color w:val="auto"/>
        </w:rPr>
        <w:t>. The Executive shall have the right to elect to defer the Pre-Change in Control Severance Payment to be received by the Executive pursuant to this Section 5 under the terms and conditions of the Sempra Energy 2005 Deferred Compensation Plan (the “</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Any such deferral election shall be made in accordance with Section 18(b) hereof.</w:t>
      </w:r>
    </w:p>
    <w:p>
      <w:pPr>
        <w:spacing w:after="0" w:line="179" w:lineRule="exact"/>
        <w:rPr>
          <w:sz w:val="20"/>
          <w:szCs w:val="20"/>
          <w:color w:val="auto"/>
        </w:rPr>
      </w:pPr>
    </w:p>
    <w:p>
      <w:pPr>
        <w:ind w:right="80" w:firstLine="1297"/>
        <w:spacing w:after="0" w:line="273" w:lineRule="auto"/>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9"/>
          <w:szCs w:val="19"/>
          <w:u w:val="single" w:color="auto"/>
          <w:color w:val="auto"/>
        </w:rPr>
        <w:t>Severance Benefits upon Involuntary Termination in Connection with and after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5 above, and except as provided in Section 19(i) hereof, in the event of the Involuntary Termination of the Executive on or within two (2) years following a Change in Control, in lieu of the payments described in Section 5 above, the Company shall pay the Executive, in one lump sum cash payment, an amount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Payment</w:t>
      </w:r>
      <w:r>
        <w:rPr>
          <w:rFonts w:ascii="Arial" w:cs="Arial" w:eastAsia="Arial" w:hAnsi="Arial"/>
          <w:sz w:val="19"/>
          <w:szCs w:val="19"/>
          <w:color w:val="auto"/>
        </w:rPr>
        <w:t xml:space="preserve">”) equal to the greater of: (X) 150% of the Executive’s Annual Base Salary as in effect immediately prior to the Change in Control or the Date of Termination, whichever is greater, and (Y) the Executive’s Annual Base Salary as in effect immediately prior to the Change in Control or on the Date of Termination, whichever is greater, plus the Executive’s Average Annual Bonus;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the event that the Involuntary Termination occurs prior to the fifth anniversary of the Effective Date, the Post-Change in Control Severance Payment shall be increased by twenty-five percent (25%). In addition to the Post-Change in Control Severance Payment, the Executive shall be entitled to the following additional benefits specified in subsections (a) through (e). Except as provided in Sections 6(f) and 6(g), the Post-Change in Control Severance Payment and the</w:t>
      </w:r>
    </w:p>
    <w:p>
      <w:pPr>
        <w:sectPr>
          <w:pgSz w:w="11900" w:h="16862" w:orient="portrait"/>
          <w:cols w:equalWidth="0" w:num="1">
            <w:col w:w="11400"/>
          </w:cols>
          <w:pgMar w:left="240" w:top="118" w:right="259" w:bottom="0" w:gutter="0" w:footer="0" w:header="0"/>
        </w:sectPr>
      </w:pPr>
    </w:p>
    <w:bookmarkStart w:id="91" w:name="page92"/>
    <w:bookmarkEnd w:id="91"/>
    <w:p>
      <w:pPr>
        <w:ind w:right="220"/>
        <w:spacing w:after="0" w:line="236" w:lineRule="auto"/>
        <w:rPr>
          <w:sz w:val="20"/>
          <w:szCs w:val="20"/>
          <w:color w:val="auto"/>
        </w:rPr>
      </w:pPr>
      <w:r>
        <w:rPr>
          <w:rFonts w:ascii="Arial" w:cs="Arial" w:eastAsia="Arial" w:hAnsi="Arial"/>
          <w:sz w:val="22"/>
          <w:szCs w:val="22"/>
          <w:color w:val="auto"/>
        </w:rPr>
        <w:t xml:space="preserve">payments under Section 6(a) shall be paid on such date as is determined by the Company within thirty (30) days after the date of the Involuntary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the Executive’s Involuntary Termination, the Post-Change in Control Severance Payment, the Additional Post-Change in Control Severance Payment under Section 6(a)(E), and the financial planning services and the related payments provided under Section 6(e) shall be paid as provided in Section 10 hereof.</w:t>
      </w:r>
    </w:p>
    <w:p>
      <w:pPr>
        <w:spacing w:after="0" w:line="175" w:lineRule="exact"/>
        <w:rPr>
          <w:sz w:val="20"/>
          <w:szCs w:val="20"/>
          <w:color w:val="auto"/>
        </w:rPr>
      </w:pPr>
    </w:p>
    <w:p>
      <w:pPr>
        <w:ind w:left="1960" w:hanging="655"/>
        <w:spacing w:after="0"/>
        <w:tabs>
          <w:tab w:leader="none" w:pos="1960" w:val="left"/>
        </w:tabs>
        <w:numPr>
          <w:ilvl w:val="1"/>
          <w:numId w:val="138"/>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firstLine="8"/>
        <w:spacing w:after="0" w:line="243" w:lineRule="auto"/>
        <w:tabs>
          <w:tab w:leader="none" w:pos="354"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(D) reimbursement for unreimbursed business expenses, if any, properly incurred by the Executive in the performance of his duties in accordance with policies established from time to time by the Board, and (E) an amount (the “</w:t>
      </w:r>
      <w:r>
        <w:rPr>
          <w:rFonts w:ascii="Arial" w:cs="Arial" w:eastAsia="Arial" w:hAnsi="Arial"/>
          <w:sz w:val="21"/>
          <w:szCs w:val="21"/>
          <w:u w:val="single" w:color="auto"/>
          <w:color w:val="auto"/>
        </w:rPr>
        <w:t>Additional Post-Change in Control Severance Payment</w:t>
      </w:r>
      <w:r>
        <w:rPr>
          <w:rFonts w:ascii="Arial" w:cs="Arial" w:eastAsia="Arial" w:hAnsi="Arial"/>
          <w:sz w:val="21"/>
          <w:szCs w:val="21"/>
          <w:color w:val="auto"/>
        </w:rPr>
        <w:t>”) equal to: (i) the greater of: (X) 50% of the Executive’s Annual Base Salary as in effect immediately prior to the Change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in the case of each amount described in clause (A), (B), (C) or (D) to the extent not theretofore paid. (The amounts specified in clauses (A), (B), (C), (D) and (E) shall be hereinafter referred to as the “</w:t>
      </w:r>
      <w:r>
        <w:rPr>
          <w:rFonts w:ascii="Arial" w:cs="Arial" w:eastAsia="Arial" w:hAnsi="Arial"/>
          <w:sz w:val="21"/>
          <w:szCs w:val="21"/>
          <w:u w:val="single" w:color="auto"/>
          <w:color w:val="auto"/>
        </w:rPr>
        <w:t>Post-Change in</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Control Accrued Obligations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ind w:right="40" w:firstLine="1305"/>
        <w:spacing w:after="0" w:line="272" w:lineRule="auto"/>
        <w:tabs>
          <w:tab w:leader="none" w:pos="1945"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Equity-Based Compensation</w:t>
      </w:r>
      <w:r>
        <w:rPr>
          <w:rFonts w:ascii="Arial" w:cs="Arial" w:eastAsia="Arial" w:hAnsi="Arial"/>
          <w:sz w:val="19"/>
          <w:szCs w:val="19"/>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stock option or stock appreciation rights awards granted on or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48" w:lineRule="exact"/>
        <w:rPr>
          <w:rFonts w:ascii="Arial" w:cs="Arial" w:eastAsia="Arial" w:hAnsi="Arial"/>
          <w:sz w:val="19"/>
          <w:szCs w:val="19"/>
          <w:color w:val="auto"/>
        </w:rPr>
      </w:pPr>
    </w:p>
    <w:p>
      <w:pPr>
        <w:ind w:right="40" w:firstLine="1305"/>
        <w:spacing w:after="0" w:line="274" w:lineRule="auto"/>
        <w:tabs>
          <w:tab w:leader="none" w:pos="1945"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twelve (12) months following the date of Involuntary Termination (and an additional twelve (12)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benefits shall be provided on substantially the same terms and conditions and at the same cost to the Executive as in effect immediately prior to the date of Involuntary Termination or the Change in Control Date, whichever is more favorable to the Executive. Such benefits shall be provided through insurance maintained by the Company under the Company benefit plans. Such benefits shall be provided in a manner that complies with Treasury Regulation Section 1.409A-1(a)(5).</w:t>
      </w:r>
    </w:p>
    <w:p>
      <w:pPr>
        <w:spacing w:after="0" w:line="145" w:lineRule="exact"/>
        <w:rPr>
          <w:rFonts w:ascii="Arial" w:cs="Arial" w:eastAsia="Arial" w:hAnsi="Arial"/>
          <w:sz w:val="19"/>
          <w:szCs w:val="19"/>
          <w:color w:val="auto"/>
        </w:rPr>
      </w:pPr>
    </w:p>
    <w:p>
      <w:pPr>
        <w:ind w:right="20" w:firstLine="1305"/>
        <w:spacing w:after="0" w:line="247" w:lineRule="auto"/>
        <w:tabs>
          <w:tab w:leader="none" w:pos="1945" w:val="left"/>
        </w:tabs>
        <w:numPr>
          <w:ilvl w:val="1"/>
          <w:numId w:val="139"/>
        </w:numPr>
        <w:rPr>
          <w:rFonts w:ascii="Arial" w:cs="Arial" w:eastAsia="Arial" w:hAnsi="Arial"/>
          <w:sz w:val="21"/>
          <w:szCs w:val="21"/>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The Executive shall receive reasonable outplacement services, on an in-kind basis, suitable to his position and directly related to the Executive’s Involuntary Termination, for a period of twenty-four (24)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8" w:lineRule="exact"/>
        <w:rPr>
          <w:rFonts w:ascii="Arial" w:cs="Arial" w:eastAsia="Arial" w:hAnsi="Arial"/>
          <w:sz w:val="21"/>
          <w:szCs w:val="21"/>
          <w:color w:val="auto"/>
        </w:rPr>
      </w:pPr>
    </w:p>
    <w:p>
      <w:pPr>
        <w:ind w:firstLine="1305"/>
        <w:spacing w:after="0" w:line="273" w:lineRule="auto"/>
        <w:tabs>
          <w:tab w:leader="none" w:pos="1945"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twenty-four (24)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391" w:lineRule="exact"/>
        <w:rPr>
          <w:rFonts w:ascii="Arial" w:cs="Arial" w:eastAsia="Arial" w:hAnsi="Arial"/>
          <w:sz w:val="19"/>
          <w:szCs w:val="19"/>
          <w:color w:val="auto"/>
        </w:rPr>
      </w:pPr>
    </w:p>
    <w:p>
      <w:pPr>
        <w:ind w:right="80" w:firstLine="1305"/>
        <w:spacing w:after="0" w:line="279" w:lineRule="auto"/>
        <w:tabs>
          <w:tab w:leader="none" w:pos="1945"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5 hereof, be entitled to the Post-Change in Control Severance Payment and the additional benefits described in this Section 6 as if such Involuntary Termination had occurred within two (2) years following the Change in Control. The amounts specified in</w:t>
      </w:r>
    </w:p>
    <w:p>
      <w:pPr>
        <w:sectPr>
          <w:pgSz w:w="11900" w:h="16838" w:orient="portrait"/>
          <w:cols w:equalWidth="0" w:num="1">
            <w:col w:w="11420"/>
          </w:cols>
          <w:pgMar w:left="240" w:top="118" w:right="239" w:bottom="0" w:gutter="0" w:footer="0" w:header="0"/>
        </w:sectPr>
      </w:pPr>
    </w:p>
    <w:bookmarkStart w:id="92" w:name="page93"/>
    <w:bookmarkEnd w:id="92"/>
    <w:p>
      <w:pPr>
        <w:spacing w:after="0" w:line="61"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Section 6 that are to be paid under this Section 6(f) shall be reduced by any amount previously paid under Section 5. The amounts to be paid under this Section 6(f) shall be paid within thirty (30) days after the Change in Control Date of such Change in Control.</w:t>
      </w:r>
    </w:p>
    <w:p>
      <w:pPr>
        <w:spacing w:after="0" w:line="90" w:lineRule="exact"/>
        <w:rPr>
          <w:sz w:val="20"/>
          <w:szCs w:val="20"/>
          <w:color w:val="auto"/>
        </w:rPr>
      </w:pPr>
    </w:p>
    <w:p>
      <w:pPr>
        <w:ind w:right="540" w:firstLine="1305"/>
        <w:spacing w:after="0" w:line="297" w:lineRule="auto"/>
        <w:tabs>
          <w:tab w:leader="none" w:pos="1945"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to be received by the Executive pursuant to this Section 6 under the terms and conditions of the Deferred Compensation Plan. Any such deferral election shall be made in accordance with Section 18(b) hereof.</w:t>
      </w:r>
    </w:p>
    <w:p>
      <w:pPr>
        <w:spacing w:after="0" w:line="128" w:lineRule="exact"/>
        <w:rPr>
          <w:sz w:val="20"/>
          <w:szCs w:val="20"/>
          <w:color w:val="auto"/>
        </w:rPr>
      </w:pPr>
    </w:p>
    <w:p>
      <w:pPr>
        <w:jc w:val="both"/>
        <w:ind w:right="60" w:firstLine="1297"/>
        <w:spacing w:after="0" w:line="289" w:lineRule="auto"/>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u w:val="single" w:color="auto"/>
          <w:color w:val="auto"/>
        </w:rPr>
        <w:t>Severance Benefits upon Termination by the Company for Cause or by the Executive Other than for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Good Reason</w:t>
      </w:r>
      <w:r>
        <w:rPr>
          <w:rFonts w:ascii="Arial" w:cs="Arial" w:eastAsia="Arial" w:hAnsi="Arial"/>
          <w:sz w:val="19"/>
          <w:szCs w:val="19"/>
          <w:color w:val="auto"/>
        </w:rPr>
        <w:t>. If the Executive’s employment shall be terminated for Cause, or if the Executive terminates employment other than for Good Reason, the Company shall have no further obligations to the Executive under this Agreement other than the Pre-Change in Control Accrued Obligations and any amounts or benefits described in Section 11 hereof.</w:t>
      </w:r>
    </w:p>
    <w:p>
      <w:pPr>
        <w:spacing w:after="0" w:line="129" w:lineRule="exact"/>
        <w:rPr>
          <w:sz w:val="20"/>
          <w:szCs w:val="20"/>
          <w:color w:val="auto"/>
        </w:rPr>
      </w:pPr>
    </w:p>
    <w:p>
      <w:pPr>
        <w:ind w:right="20" w:firstLine="1297"/>
        <w:spacing w:after="0" w:line="275" w:lineRule="auto"/>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9"/>
          <w:szCs w:val="19"/>
          <w:u w:val="single" w:color="auto"/>
          <w:color w:val="auto"/>
        </w:rPr>
        <w:t>Severance Benefits upon Termination due to Death or Disability</w:t>
      </w:r>
      <w:r>
        <w:rPr>
          <w:rFonts w:ascii="Arial" w:cs="Arial" w:eastAsia="Arial" w:hAnsi="Arial"/>
          <w:sz w:val="19"/>
          <w:szCs w:val="19"/>
          <w:color w:val="auto"/>
        </w:rPr>
        <w:t>. If the Executive has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from Service by reason of death or Disability, the Company shall pay the Executive or his estate, as the case may be, the Post-Change in Control Accrued Obligations (without regard to whether a Change in Control has occurred) and any amounts or benefits described in Section 11 hereof. Such payments shall be in addition to those rights and benefits to which the Executive or his estate may be entitled under the relevant Company plans or programs. Such payments shall be paid on such date as determined by the Company within thirty (30) days after the date of the Separation from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Separation from Service by reason of Disability, the Additional Post-Change in Control Severance Payment under Section 6(a)(E) shall be paid as provided in Section 10 hereof.</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u w:val="single" w:color="auto"/>
          <w:color w:val="auto"/>
        </w:rPr>
        <w:t>Limitation on Payments by the Company</w:t>
      </w:r>
      <w:r>
        <w:rPr>
          <w:rFonts w:ascii="Arial" w:cs="Arial" w:eastAsia="Arial" w:hAnsi="Arial"/>
          <w:sz w:val="19"/>
          <w:szCs w:val="19"/>
          <w:color w:val="auto"/>
        </w:rPr>
        <w:t>.</w:t>
      </w:r>
    </w:p>
    <w:p>
      <w:pPr>
        <w:spacing w:after="0" w:line="206" w:lineRule="exact"/>
        <w:rPr>
          <w:sz w:val="20"/>
          <w:szCs w:val="20"/>
          <w:color w:val="auto"/>
        </w:rPr>
      </w:pPr>
    </w:p>
    <w:p>
      <w:pPr>
        <w:ind w:right="100" w:firstLine="1305"/>
        <w:spacing w:after="0" w:line="245" w:lineRule="auto"/>
        <w:tabs>
          <w:tab w:leader="none" w:pos="1945" w:val="left"/>
        </w:tabs>
        <w:numPr>
          <w:ilvl w:val="0"/>
          <w:numId w:val="141"/>
        </w:numPr>
        <w:rPr>
          <w:rFonts w:ascii="Arial" w:cs="Arial" w:eastAsia="Arial" w:hAnsi="Arial"/>
          <w:sz w:val="21"/>
          <w:szCs w:val="21"/>
          <w:color w:val="auto"/>
        </w:rPr>
      </w:pPr>
      <w:r>
        <w:rPr>
          <w:rFonts w:ascii="Arial" w:cs="Arial" w:eastAsia="Arial" w:hAnsi="Arial"/>
          <w:sz w:val="21"/>
          <w:szCs w:val="21"/>
          <w:color w:val="auto"/>
        </w:rPr>
        <w:t>Anything in this Agreement to the contrary notwithstanding and except as set forth in this Section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21"/>
          <w:szCs w:val="21"/>
          <w:u w:val="single" w:color="auto"/>
          <w:color w:val="auto"/>
        </w:rPr>
        <w:t>Payment</w:t>
      </w:r>
      <w:r>
        <w:rPr>
          <w:rFonts w:ascii="Arial" w:cs="Arial" w:eastAsia="Arial" w:hAnsi="Arial"/>
          <w:sz w:val="21"/>
          <w:szCs w:val="21"/>
          <w:color w:val="auto"/>
        </w:rPr>
        <w:t>”) would be subject (in whole or in part) to the excise tax imposed by Section 4999 of the Code, (the “</w:t>
      </w:r>
      <w:r>
        <w:rPr>
          <w:rFonts w:ascii="Arial" w:cs="Arial" w:eastAsia="Arial" w:hAnsi="Arial"/>
          <w:sz w:val="21"/>
          <w:szCs w:val="21"/>
          <w:u w:val="single" w:color="auto"/>
          <w:color w:val="auto"/>
        </w:rPr>
        <w:t>Excise Tax</w:t>
      </w:r>
      <w:r>
        <w:rPr>
          <w:rFonts w:ascii="Arial" w:cs="Arial" w:eastAsia="Arial" w:hAnsi="Arial"/>
          <w:sz w:val="21"/>
          <w:szCs w:val="21"/>
          <w:color w:val="auto"/>
        </w:rPr>
        <w:t>”), then, subject to subsection (b), the Pre-Change in Control Severance Benefit or the Post-Change in Control Severance Payment (whichever is applicable) payable under this Agreement shall be reduced under this subsection (a) to the amount equal to the Reduced Payment. For such Payment payable under this Agreement, the “</w:t>
      </w:r>
      <w:r>
        <w:rPr>
          <w:rFonts w:ascii="Arial" w:cs="Arial" w:eastAsia="Arial" w:hAnsi="Arial"/>
          <w:sz w:val="21"/>
          <w:szCs w:val="21"/>
          <w:u w:val="single" w:color="auto"/>
          <w:color w:val="auto"/>
        </w:rPr>
        <w:t>Reduced Payment</w:t>
      </w:r>
      <w:r>
        <w:rPr>
          <w:rFonts w:ascii="Arial" w:cs="Arial" w:eastAsia="Arial" w:hAnsi="Arial"/>
          <w:sz w:val="21"/>
          <w:szCs w:val="21"/>
          <w:color w:val="auto"/>
        </w:rPr>
        <w:t>” shall be the amount equal to the greatest portion of the Payment (which may be zero) that, if paid, would result in no portion of any Payment being subject to the Excise Tax.</w:t>
      </w:r>
    </w:p>
    <w:p>
      <w:pPr>
        <w:spacing w:after="0" w:line="171" w:lineRule="exact"/>
        <w:rPr>
          <w:rFonts w:ascii="Arial" w:cs="Arial" w:eastAsia="Arial" w:hAnsi="Arial"/>
          <w:sz w:val="21"/>
          <w:szCs w:val="21"/>
          <w:color w:val="auto"/>
        </w:rPr>
      </w:pPr>
    </w:p>
    <w:p>
      <w:pPr>
        <w:ind w:firstLine="1305"/>
        <w:spacing w:after="0" w:line="251" w:lineRule="auto"/>
        <w:tabs>
          <w:tab w:leader="none" w:pos="194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Pre-Change in Control Severance Benefit or the Post-Change in Control Severance Payment (whichever is applicable) payable under this Agreement shall not be reduced under subsection (a) if:</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such reduction in such Payment is not sufficient to cause no portion of any Payment to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subject to the Excise Tax, or</w:t>
      </w:r>
    </w:p>
    <w:p>
      <w:pPr>
        <w:spacing w:after="0" w:line="188" w:lineRule="exact"/>
        <w:rPr>
          <w:rFonts w:ascii="Arial" w:cs="Arial" w:eastAsia="Arial" w:hAnsi="Arial"/>
          <w:sz w:val="19"/>
          <w:szCs w:val="19"/>
          <w:color w:val="auto"/>
        </w:rPr>
      </w:pPr>
    </w:p>
    <w:p>
      <w:pPr>
        <w:ind w:left="660" w:right="660" w:firstLine="1941"/>
        <w:spacing w:after="0" w:line="274" w:lineRule="auto"/>
        <w:tabs>
          <w:tab w:leader="none" w:pos="3253" w:val="left"/>
        </w:tabs>
        <w:numPr>
          <w:ilvl w:val="1"/>
          <w:numId w:val="141"/>
        </w:numPr>
        <w:rPr>
          <w:rFonts w:ascii="Arial" w:cs="Arial" w:eastAsia="Arial" w:hAnsi="Arial"/>
          <w:sz w:val="21"/>
          <w:szCs w:val="21"/>
          <w:color w:val="auto"/>
        </w:rPr>
      </w:pPr>
      <w:r>
        <w:rPr>
          <w:rFonts w:ascii="Arial" w:cs="Arial" w:eastAsia="Arial" w:hAnsi="Arial"/>
          <w:sz w:val="21"/>
          <w:szCs w:val="21"/>
          <w:color w:val="auto"/>
        </w:rPr>
        <w:t>the Net After-Tax Unreduced Payments (as defined below) would equal or exceed one hundred and five percent (105%) of the Net After-Tax Reduced Payments (as defined below).</w:t>
      </w:r>
    </w:p>
    <w:p>
      <w:pPr>
        <w:spacing w:after="0" w:line="151"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For purposes of determining the amount of any Reduced Payment under subsection (a),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reduction or disallowance of itemized deductions and personal exemptions under applicable tax law). The applicable federal, state and local income and employment taxes and the Excise Tax (to the extent applicable) are collectively referred to as the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137" w:lineRule="exact"/>
        <w:rPr>
          <w:sz w:val="20"/>
          <w:szCs w:val="20"/>
          <w:color w:val="auto"/>
        </w:rPr>
      </w:pPr>
    </w:p>
    <w:p>
      <w:pPr>
        <w:ind w:left="1960" w:hanging="655"/>
        <w:spacing w:after="0"/>
        <w:tabs>
          <w:tab w:leader="none" w:pos="19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following definitions shall apply for purposes of this Section 9:</w:t>
      </w:r>
    </w:p>
    <w:p>
      <w:pPr>
        <w:spacing w:after="0" w:line="192" w:lineRule="exact"/>
        <w:rPr>
          <w:rFonts w:ascii="Arial" w:cs="Arial" w:eastAsia="Arial" w:hAnsi="Arial"/>
          <w:sz w:val="22"/>
          <w:szCs w:val="22"/>
          <w:color w:val="auto"/>
        </w:rPr>
      </w:pPr>
    </w:p>
    <w:p>
      <w:pPr>
        <w:ind w:left="660" w:right="20" w:firstLine="1941"/>
        <w:spacing w:after="0"/>
        <w:tabs>
          <w:tab w:leader="none" w:pos="3253" w:val="left"/>
        </w:tabs>
        <w:numPr>
          <w:ilvl w:val="1"/>
          <w:numId w:val="142"/>
        </w:numPr>
        <w:rPr>
          <w:rFonts w:ascii="Arial" w:cs="Arial" w:eastAsia="Arial" w:hAnsi="Arial"/>
          <w:sz w:val="22"/>
          <w:szCs w:val="22"/>
          <w:color w:val="auto"/>
        </w:rPr>
      </w:pPr>
      <w:r>
        <w:rPr>
          <w:rFonts w:ascii="Arial" w:cs="Arial" w:eastAsia="Arial" w:hAnsi="Arial"/>
          <w:sz w:val="22"/>
          <w:szCs w:val="22"/>
          <w:color w:val="auto"/>
        </w:rPr>
        <w:t>“Net After-Tax Reduced Payments” shall mean the total amount of all Payments that the Executive would retain, on a Net After-Tax Basis, in the event that the Payments payable under this Agreement are reduced pursuant to subsection (a).</w:t>
      </w:r>
    </w:p>
    <w:p>
      <w:pPr>
        <w:spacing w:after="0" w:line="186" w:lineRule="exact"/>
        <w:rPr>
          <w:rFonts w:ascii="Arial" w:cs="Arial" w:eastAsia="Arial" w:hAnsi="Arial"/>
          <w:sz w:val="22"/>
          <w:szCs w:val="22"/>
          <w:color w:val="auto"/>
        </w:rPr>
      </w:pPr>
    </w:p>
    <w:p>
      <w:pPr>
        <w:ind w:left="660" w:right="280" w:firstLine="1941"/>
        <w:spacing w:after="0"/>
        <w:tabs>
          <w:tab w:leader="none" w:pos="3253" w:val="left"/>
        </w:tabs>
        <w:numPr>
          <w:ilvl w:val="1"/>
          <w:numId w:val="142"/>
        </w:numPr>
        <w:rPr>
          <w:rFonts w:ascii="Arial" w:cs="Arial" w:eastAsia="Arial" w:hAnsi="Arial"/>
          <w:sz w:val="22"/>
          <w:szCs w:val="22"/>
          <w:color w:val="auto"/>
        </w:rPr>
      </w:pPr>
      <w:r>
        <w:rPr>
          <w:rFonts w:ascii="Arial" w:cs="Arial" w:eastAsia="Arial" w:hAnsi="Arial"/>
          <w:sz w:val="22"/>
          <w:szCs w:val="22"/>
          <w:color w:val="auto"/>
        </w:rPr>
        <w:t>“Net After-Tax Unreduced Payments” shall mean the total amount of all Payments that the Executive would retain, on a Net After-Tax Basis, in the event that the Payments payable under this Agreement are not reduced pursuant to subsection (a).</w:t>
      </w:r>
    </w:p>
    <w:p>
      <w:pPr>
        <w:spacing w:after="0" w:line="172" w:lineRule="exact"/>
        <w:rPr>
          <w:rFonts w:ascii="Arial" w:cs="Arial" w:eastAsia="Arial" w:hAnsi="Arial"/>
          <w:sz w:val="22"/>
          <w:szCs w:val="22"/>
          <w:color w:val="auto"/>
        </w:rPr>
      </w:pPr>
    </w:p>
    <w:p>
      <w:pPr>
        <w:ind w:left="660" w:right="380" w:firstLine="1941"/>
        <w:spacing w:after="0"/>
        <w:tabs>
          <w:tab w:leader="none" w:pos="3253" w:val="left"/>
        </w:tabs>
        <w:numPr>
          <w:ilvl w:val="1"/>
          <w:numId w:val="142"/>
        </w:numPr>
        <w:rPr>
          <w:rFonts w:ascii="Arial" w:cs="Arial" w:eastAsia="Arial" w:hAnsi="Arial"/>
          <w:sz w:val="22"/>
          <w:szCs w:val="22"/>
          <w:color w:val="auto"/>
        </w:rPr>
      </w:pPr>
      <w:r>
        <w:rPr>
          <w:rFonts w:ascii="Arial" w:cs="Arial" w:eastAsia="Arial" w:hAnsi="Arial"/>
          <w:sz w:val="22"/>
          <w:szCs w:val="22"/>
          <w:color w:val="auto"/>
        </w:rPr>
        <w:t>“Net After-Tax Basis” shall mean, with respect to the Payments, either with or without reduction under subsection (a) (as applicable), the amount that would be retained by the Executive from such Payments after the payment of all Taxes.</w:t>
      </w:r>
    </w:p>
    <w:p>
      <w:pPr>
        <w:spacing w:after="0" w:line="172" w:lineRule="exact"/>
        <w:rPr>
          <w:rFonts w:ascii="Arial" w:cs="Arial" w:eastAsia="Arial" w:hAnsi="Arial"/>
          <w:sz w:val="22"/>
          <w:szCs w:val="22"/>
          <w:color w:val="auto"/>
        </w:rPr>
      </w:pPr>
    </w:p>
    <w:p>
      <w:pPr>
        <w:ind w:right="40" w:firstLine="1305"/>
        <w:spacing w:after="0" w:line="277" w:lineRule="auto"/>
        <w:tabs>
          <w:tab w:leader="none" w:pos="194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9 and the assumptions to be utilized in arriving at such determinations, shall be made by a nationally recognized accounting firm as may be agreed by the Company and the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w:t>
      </w:r>
    </w:p>
    <w:p>
      <w:pPr>
        <w:sectPr>
          <w:pgSz w:w="11900" w:h="16899" w:orient="portrait"/>
          <w:cols w:equalWidth="0" w:num="1">
            <w:col w:w="11360"/>
          </w:cols>
          <w:pgMar w:left="240" w:top="118" w:right="299" w:bottom="0" w:gutter="0" w:footer="0" w:header="0"/>
        </w:sectPr>
      </w:pPr>
    </w:p>
    <w:bookmarkStart w:id="93" w:name="page94"/>
    <w:bookmarkEnd w:id="93"/>
    <w:p>
      <w:pPr>
        <w:ind w:right="80"/>
        <w:spacing w:after="0" w:line="273" w:lineRule="auto"/>
        <w:rPr>
          <w:sz w:val="20"/>
          <w:szCs w:val="20"/>
          <w:color w:val="auto"/>
        </w:rPr>
      </w:pPr>
      <w:r>
        <w:rPr>
          <w:rFonts w:ascii="Arial" w:cs="Arial" w:eastAsia="Arial" w:hAnsi="Arial"/>
          <w:sz w:val="19"/>
          <w:szCs w:val="19"/>
          <w:color w:val="auto"/>
        </w:rPr>
        <w:t>purposes of determining whether and the extent to which the Payments will be subject to the Excise Tax, (i) no portion of the Payments the receipt or enjoyment of which the Executive shall have waived at such time and in such manner as not to constitute a “payment” within the meaning of Section 280G(b) of the Code shall be taken into account, (ii) no portion of the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Payments shall be taken into account which, in the opinion of the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Accounting Firm in accordance with the principles of Sections 280G(d)(3) and (4) of the Code.</w:t>
      </w:r>
    </w:p>
    <w:p>
      <w:pPr>
        <w:spacing w:after="0" w:line="149"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u w:val="single" w:color="auto"/>
          <w:color w:val="auto"/>
        </w:rPr>
        <w:t>Delayed Distribution under Section 409A of the Code</w:t>
      </w:r>
      <w:r>
        <w:rPr>
          <w:rFonts w:ascii="Arial" w:cs="Arial" w:eastAsia="Arial" w:hAnsi="Arial"/>
          <w:sz w:val="19"/>
          <w:szCs w:val="19"/>
          <w:color w:val="auto"/>
        </w:rPr>
        <w:t>. If the Executive is a Specified Employee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the Executive’s Involuntary Termination (or on the date of the Executive’s Separation from Service by reason of Disability), the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Service or (b) the date of the Executive’s death. Upon the expiration of the applicable six-month period under Section 409A(a)(2)(B)(i) of the Code, all payments deferred pursuant to this Section 10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9"/>
          <w:szCs w:val="19"/>
          <w:u w:val="single" w:color="auto"/>
          <w:color w:val="auto"/>
        </w:rPr>
        <w:t>Moody’s Rate</w:t>
      </w:r>
      <w:r>
        <w:rPr>
          <w:rFonts w:ascii="Arial" w:cs="Arial" w:eastAsia="Arial" w:hAnsi="Arial"/>
          <w:sz w:val="19"/>
          <w:szCs w:val="19"/>
          <w:color w:val="auto"/>
        </w:rPr>
        <w:t>” 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spacing w:after="0" w:line="156"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Nothing in this Agreement shall prevent or limit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or future 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 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 officer of the Company or any Affiliate. Such indemnification and D&amp;O insurance shall be provided in a manner that complies with Treasury Regulation Section 1.409A-1(b)(10).</w:t>
      </w:r>
    </w:p>
    <w:p>
      <w:pPr>
        <w:spacing w:after="0" w:line="388"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Full Settlement; Mitigation</w:t>
      </w:r>
      <w:r>
        <w:rPr>
          <w:rFonts w:ascii="Arial" w:cs="Arial" w:eastAsia="Arial" w:hAnsi="Arial"/>
          <w:sz w:val="19"/>
          <w:szCs w:val="19"/>
          <w:color w:val="auto"/>
        </w:rPr>
        <w:t>. The Company’s obligation to make the payments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3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06" w:lineRule="exact"/>
        <w:rPr>
          <w:sz w:val="20"/>
          <w:szCs w:val="20"/>
          <w:color w:val="auto"/>
        </w:rPr>
      </w:pPr>
    </w:p>
    <w:p>
      <w:pPr>
        <w:ind w:right="20" w:firstLine="1297"/>
        <w:spacing w:after="0" w:line="270" w:lineRule="auto"/>
        <w:rPr>
          <w:sz w:val="20"/>
          <w:szCs w:val="20"/>
          <w:color w:val="auto"/>
        </w:rPr>
      </w:pPr>
      <w:r>
        <w:rPr>
          <w:rFonts w:ascii="Arial" w:cs="Arial" w:eastAsia="Arial" w:hAnsi="Arial"/>
          <w:sz w:val="19"/>
          <w:szCs w:val="19"/>
          <w:color w:val="auto"/>
        </w:rPr>
        <w:t>Any disagreement, dispute, controversy or claim arising out of or relating to this Agreement or the interpretation of this Agreement or any arrangements relating to this Agreement or contemplated in this Agreement or the breach, termination or invalidity thereof shall be settled by final and binding arbitration administered by JAMS in San Diego, California in accordance with the then existing JAMS arbitration rules applicable to employment disputes (the “</w:t>
      </w:r>
      <w:r>
        <w:rPr>
          <w:rFonts w:ascii="Arial" w:cs="Arial" w:eastAsia="Arial" w:hAnsi="Arial"/>
          <w:sz w:val="19"/>
          <w:szCs w:val="19"/>
          <w:u w:val="single" w:color="auto"/>
          <w:color w:val="auto"/>
        </w:rPr>
        <w:t>JAMS Rules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notwithstanding any provision in such rules to the contrary, in all cases the parties shall be entitled to reasonable discovery. In the event of such an arbitration proceeding, the Executive and the Company shall select a mutually acceptable neutral arbitrator from among the JAMS panel of arbitrators. In the event the Executive and the Company cannot agree on an arbitrator, the arbitrator shall be selected in accordance with the then existing JAMS Rules. Neither the Executive nor the Company nor the arbitrator shall disclose the existence, content or results of any arbitration hereunder without the prior written consent of all parties, except to the extent necessary to enforce any arbitration award in a court of competent jurisdiction. Except as provided herein, the Federal Arbitration Act shall govern the interpretation of, enforcement of and all proceedings under this agreement to arbitrate. The arbitrator shall apply the substantive law (and the law of remedies, if applicable) of the state of California, or federal law, or both, as applicable, and the arbitrator is without jurisdiction to apply any different substantive law. The arbitrator shall have the authority to entertain a motion to dismiss and/or a motion for summary judgment by any party and shall apply the standards governing such motions under the Federal Rules of Civil Procedure. The arbitrator shall render an award and a written, reasoned opinion in support thereof. Judgment upon the award may be entered in any court having jurisdiction thereof. The Executive shall not be required to pay any arbitration fee or cost that is unique to arbitration or greater than any amount he would be required to pay to pursue his claims in a court of competent jurisdiction.</w:t>
      </w:r>
    </w:p>
    <w:p>
      <w:pPr>
        <w:sectPr>
          <w:pgSz w:w="11900" w:h="16838" w:orient="portrait"/>
          <w:cols w:equalWidth="0" w:num="1">
            <w:col w:w="11420"/>
          </w:cols>
          <w:pgMar w:left="240" w:top="118" w:right="239" w:bottom="0" w:gutter="0" w:footer="0" w:header="0"/>
        </w:sectPr>
      </w:pPr>
    </w:p>
    <w:bookmarkStart w:id="94" w:name="page95"/>
    <w:bookmarkEnd w:id="94"/>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u w:val="single" w:color="auto"/>
          <w:color w:val="auto"/>
        </w:rPr>
        <w:t>Executive’s Covenants</w:t>
      </w:r>
      <w:r>
        <w:rPr>
          <w:rFonts w:ascii="Arial" w:cs="Arial" w:eastAsia="Arial" w:hAnsi="Arial"/>
          <w:sz w:val="19"/>
          <w:szCs w:val="19"/>
          <w:color w:val="auto"/>
        </w:rPr>
        <w:t>.</w:t>
      </w:r>
    </w:p>
    <w:p>
      <w:pPr>
        <w:spacing w:after="0" w:line="199" w:lineRule="exact"/>
        <w:rPr>
          <w:sz w:val="20"/>
          <w:szCs w:val="20"/>
          <w:color w:val="auto"/>
        </w:rPr>
      </w:pPr>
    </w:p>
    <w:p>
      <w:pPr>
        <w:ind w:right="20" w:firstLine="1305"/>
        <w:spacing w:after="0" w:line="271" w:lineRule="auto"/>
        <w:tabs>
          <w:tab w:leader="none" w:pos="1945"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 Information secret and confidential (except for such information which is or becomes publicly available other than as a result of a breach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position is vacant, the Company’s then Chief Executive Officer);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unreasonably classify information as Proprietary Information.</w:t>
      </w:r>
    </w:p>
    <w:p>
      <w:pPr>
        <w:spacing w:after="0" w:line="158" w:lineRule="exact"/>
        <w:rPr>
          <w:rFonts w:ascii="Arial" w:cs="Arial" w:eastAsia="Arial" w:hAnsi="Arial"/>
          <w:sz w:val="19"/>
          <w:szCs w:val="19"/>
          <w:color w:val="auto"/>
        </w:rPr>
      </w:pPr>
    </w:p>
    <w:p>
      <w:pPr>
        <w:ind w:firstLine="1305"/>
        <w:spacing w:after="0" w:line="270" w:lineRule="auto"/>
        <w:tabs>
          <w:tab w:leader="none" w:pos="1945"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shall not constitute a solicitation or recruitment of employment in violation of this paragraph to discuss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w:t>
      </w:r>
    </w:p>
    <w:p>
      <w:pPr>
        <w:spacing w:after="0" w:line="397" w:lineRule="exact"/>
        <w:rPr>
          <w:rFonts w:ascii="Arial" w:cs="Arial" w:eastAsia="Arial" w:hAnsi="Arial"/>
          <w:sz w:val="19"/>
          <w:szCs w:val="19"/>
          <w:color w:val="auto"/>
        </w:rPr>
      </w:pPr>
    </w:p>
    <w:p>
      <w:pPr>
        <w:ind w:right="20" w:firstLine="1305"/>
        <w:spacing w:after="0" w:line="282" w:lineRule="auto"/>
        <w:tabs>
          <w:tab w:leader="none" w:pos="1945"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34" w:lineRule="exact"/>
        <w:rPr>
          <w:rFonts w:ascii="Arial" w:cs="Arial" w:eastAsia="Arial" w:hAnsi="Arial"/>
          <w:sz w:val="19"/>
          <w:szCs w:val="19"/>
          <w:color w:val="auto"/>
        </w:rPr>
      </w:pPr>
    </w:p>
    <w:p>
      <w:pPr>
        <w:ind w:right="20" w:firstLine="1305"/>
        <w:spacing w:after="0" w:line="271" w:lineRule="auto"/>
        <w:tabs>
          <w:tab w:leader="none" w:pos="1945"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Release; Lump Sum Payment</w:t>
      </w:r>
      <w:r>
        <w:rPr>
          <w:rFonts w:ascii="Arial" w:cs="Arial" w:eastAsia="Arial" w:hAnsi="Arial"/>
          <w:sz w:val="19"/>
          <w:szCs w:val="19"/>
          <w:color w:val="auto"/>
        </w:rPr>
        <w:t>. In the event of the Executive’s Involuntary Termination, if the Executive (i) agrees to the covenants described in Section 14(a) and Section 14(b) above, (ii) executes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of all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within fifty (50) days after the date of Involuntary Termination and does not revoke such Release in accordance with the terms thereof, and (iii) agrees to provide the consulting services described in Section 14(e) below, then in consideration for such covenants, the Company shall pay the Executive, in one cash lump sum, an amount (the “</w:t>
      </w:r>
      <w:r>
        <w:rPr>
          <w:rFonts w:ascii="Arial" w:cs="Arial" w:eastAsia="Arial" w:hAnsi="Arial"/>
          <w:sz w:val="19"/>
          <w:szCs w:val="19"/>
          <w:u w:val="single" w:color="auto"/>
          <w:color w:val="auto"/>
        </w:rPr>
        <w:t>Consulting Payment</w:t>
      </w:r>
      <w:r>
        <w:rPr>
          <w:rFonts w:ascii="Arial" w:cs="Arial" w:eastAsia="Arial" w:hAnsi="Arial"/>
          <w:sz w:val="19"/>
          <w:szCs w:val="19"/>
          <w:color w:val="auto"/>
        </w:rPr>
        <w:t>”) in cash equal to the greater of: (X) 150%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 as is determined by the</w:t>
      </w:r>
    </w:p>
    <w:p>
      <w:pPr>
        <w:spacing w:after="0" w:line="3" w:lineRule="exact"/>
        <w:rPr>
          <w:sz w:val="20"/>
          <w:szCs w:val="20"/>
          <w:color w:val="auto"/>
        </w:rPr>
      </w:pPr>
    </w:p>
    <w:p>
      <w:pPr>
        <w:ind w:right="300"/>
        <w:spacing w:after="0" w:line="215" w:lineRule="auto"/>
        <w:rPr>
          <w:sz w:val="20"/>
          <w:szCs w:val="20"/>
          <w:color w:val="auto"/>
        </w:rPr>
      </w:pPr>
      <w:r>
        <w:rPr>
          <w:rFonts w:ascii="Arial" w:cs="Arial" w:eastAsia="Arial" w:hAnsi="Arial"/>
          <w:sz w:val="22"/>
          <w:szCs w:val="22"/>
          <w:color w:val="auto"/>
        </w:rPr>
        <w:t>Company within the ten (10) day period commencing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after the date of the Executive’s Involuntary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the Executive’s Involuntary Termination,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Consulting Payment shall be paid as provided in Section 10 hereof. The Executive shall have the right to elect to defer the Consulting Payment under the terms and conditions of the Company’s Deferred Compensation Plan. Any such deferral election shall be made in accordance with Section 18(b) hereof.</w:t>
      </w:r>
    </w:p>
    <w:p>
      <w:pPr>
        <w:spacing w:after="0" w:line="190" w:lineRule="exact"/>
        <w:rPr>
          <w:sz w:val="20"/>
          <w:szCs w:val="20"/>
          <w:color w:val="auto"/>
        </w:rPr>
      </w:pPr>
    </w:p>
    <w:p>
      <w:pPr>
        <w:ind w:right="60" w:firstLine="1305"/>
        <w:spacing w:after="0" w:line="274" w:lineRule="auto"/>
        <w:tabs>
          <w:tab w:leader="none" w:pos="1945"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Consulting</w:t>
      </w:r>
      <w:r>
        <w:rPr>
          <w:rFonts w:ascii="Arial" w:cs="Arial" w:eastAsia="Arial" w:hAnsi="Arial"/>
          <w:sz w:val="19"/>
          <w:szCs w:val="19"/>
          <w:color w:val="auto"/>
        </w:rPr>
        <w:t>. If the Executive agrees to the covenants described in Section 14(d) above, then the Executive shall have the obligation to provide consulting services to the Company as an independent contractor, commencing on the Date of Termination and ending on the second anniversary of the Date of Termination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parties otherwise agree, the consulting services rendered by the Executive during the Consulting Period shall not exceed twenty (20) hours each month;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consulting services rendered by the Executive during the Consulting Period shall in no event exceed</w:t>
      </w:r>
      <w:r>
        <w:rPr>
          <w:rFonts w:ascii="Arial" w:cs="Arial" w:eastAsia="Arial" w:hAnsi="Arial"/>
          <w:sz w:val="19"/>
          <w:szCs w:val="19"/>
          <w:i w:val="1"/>
          <w:iCs w:val="1"/>
          <w:color w:val="auto"/>
        </w:rPr>
        <w:t xml:space="preserve"> </w:t>
      </w:r>
      <w:r>
        <w:rPr>
          <w:rFonts w:ascii="Arial" w:cs="Arial" w:eastAsia="Arial" w:hAnsi="Arial"/>
          <w:sz w:val="19"/>
          <w:szCs w:val="19"/>
          <w:color w:val="auto"/>
        </w:rPr>
        <w:t>twenty percent (20%) of the average level of services performed by the Executive for the Company over the thirty-six (36) month period immediately preceding the Executive’s Separation from Service (or the full period of services to the Company, if the</w:t>
      </w:r>
    </w:p>
    <w:p>
      <w:pPr>
        <w:sectPr>
          <w:pgSz w:w="11900" w:h="16838" w:orient="portrait"/>
          <w:cols w:equalWidth="0" w:num="1">
            <w:col w:w="11380"/>
          </w:cols>
          <w:pgMar w:left="240" w:top="112" w:right="279" w:bottom="0" w:gutter="0" w:footer="0" w:header="0"/>
        </w:sectPr>
      </w:pPr>
    </w:p>
    <w:bookmarkStart w:id="95" w:name="page96"/>
    <w:bookmarkEnd w:id="95"/>
    <w:p>
      <w:pPr>
        <w:ind w:right="180"/>
        <w:spacing w:after="0" w:line="252" w:lineRule="auto"/>
        <w:rPr>
          <w:sz w:val="20"/>
          <w:szCs w:val="20"/>
          <w:color w:val="auto"/>
        </w:rPr>
      </w:pPr>
      <w:r>
        <w:rPr>
          <w:rFonts w:ascii="Arial" w:cs="Arial" w:eastAsia="Arial" w:hAnsi="Arial"/>
          <w:sz w:val="21"/>
          <w:szCs w:val="21"/>
          <w:color w:val="auto"/>
        </w:rPr>
        <w:t>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u w:val="single" w:color="auto"/>
          <w:color w:val="auto"/>
        </w:rPr>
        <w:t>Legal Fees</w:t>
      </w:r>
      <w:r>
        <w:rPr>
          <w:rFonts w:ascii="Arial" w:cs="Arial" w:eastAsia="Arial" w:hAnsi="Arial"/>
          <w:sz w:val="19"/>
          <w:szCs w:val="19"/>
          <w:color w:val="auto"/>
        </w:rPr>
        <w:t>.</w:t>
      </w:r>
    </w:p>
    <w:p>
      <w:pPr>
        <w:spacing w:after="0" w:line="206" w:lineRule="exact"/>
        <w:rPr>
          <w:sz w:val="20"/>
          <w:szCs w:val="20"/>
          <w:color w:val="auto"/>
        </w:rPr>
      </w:pPr>
    </w:p>
    <w:p>
      <w:pPr>
        <w:ind w:right="80" w:firstLine="1305"/>
        <w:spacing w:after="0" w:line="249" w:lineRule="auto"/>
        <w:tabs>
          <w:tab w:leader="none" w:pos="1945"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Reimbursement of Legal Fees</w:t>
      </w:r>
      <w:r>
        <w:rPr>
          <w:rFonts w:ascii="Arial" w:cs="Arial" w:eastAsia="Arial" w:hAnsi="Arial"/>
          <w:sz w:val="21"/>
          <w:szCs w:val="21"/>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65" w:lineRule="exact"/>
        <w:rPr>
          <w:rFonts w:ascii="Arial" w:cs="Arial" w:eastAsia="Arial" w:hAnsi="Arial"/>
          <w:sz w:val="21"/>
          <w:szCs w:val="21"/>
          <w:color w:val="auto"/>
        </w:rPr>
      </w:pPr>
    </w:p>
    <w:p>
      <w:pPr>
        <w:ind w:firstLine="1305"/>
        <w:spacing w:after="0" w:line="272" w:lineRule="auto"/>
        <w:tabs>
          <w:tab w:leader="none" w:pos="1945"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Requirements for Reimbursement</w:t>
      </w:r>
      <w:r>
        <w:rPr>
          <w:rFonts w:ascii="Arial" w:cs="Arial" w:eastAsia="Arial" w:hAnsi="Arial"/>
          <w:sz w:val="19"/>
          <w:szCs w:val="19"/>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10 hereof.</w:t>
      </w:r>
    </w:p>
    <w:p>
      <w:pPr>
        <w:spacing w:after="0" w:line="3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06" w:lineRule="exact"/>
        <w:rPr>
          <w:sz w:val="20"/>
          <w:szCs w:val="20"/>
          <w:color w:val="auto"/>
        </w:rPr>
      </w:pPr>
    </w:p>
    <w:p>
      <w:pPr>
        <w:ind w:right="200" w:firstLine="1305"/>
        <w:spacing w:after="0" w:line="297" w:lineRule="auto"/>
        <w:tabs>
          <w:tab w:leader="none" w:pos="194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Assignment by the Executive</w:t>
      </w:r>
      <w:r>
        <w:rPr>
          <w:rFonts w:ascii="Arial" w:cs="Arial" w:eastAsia="Arial" w:hAnsi="Arial"/>
          <w:sz w:val="19"/>
          <w:szCs w:val="19"/>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20" w:lineRule="exact"/>
        <w:rPr>
          <w:rFonts w:ascii="Arial" w:cs="Arial" w:eastAsia="Arial" w:hAnsi="Arial"/>
          <w:sz w:val="19"/>
          <w:szCs w:val="19"/>
          <w:color w:val="auto"/>
        </w:rPr>
      </w:pPr>
    </w:p>
    <w:p>
      <w:pPr>
        <w:ind w:firstLine="1305"/>
        <w:spacing w:after="0" w:line="258" w:lineRule="auto"/>
        <w:tabs>
          <w:tab w:leader="none" w:pos="1945"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Successors and Assigns of Sempra Energy</w:t>
      </w:r>
      <w:r>
        <w:rPr>
          <w:rFonts w:ascii="Arial" w:cs="Arial" w:eastAsia="Arial" w:hAnsi="Arial"/>
          <w:sz w:val="21"/>
          <w:szCs w:val="21"/>
          <w:color w:val="auto"/>
        </w:rPr>
        <w:t>. This Agreement shall inure to the benefit of and be binding upon Sempra Energy, its successors and assigns. Sempra Energy may not assign this Agreement to any person or entity (except for a successor described in Section 16(c), (d) or (e) below) without the Executive’s written consent.</w:t>
      </w:r>
    </w:p>
    <w:p>
      <w:pPr>
        <w:spacing w:after="0" w:line="153" w:lineRule="exact"/>
        <w:rPr>
          <w:rFonts w:ascii="Arial" w:cs="Arial" w:eastAsia="Arial" w:hAnsi="Arial"/>
          <w:sz w:val="21"/>
          <w:szCs w:val="21"/>
          <w:color w:val="auto"/>
        </w:rPr>
      </w:pPr>
    </w:p>
    <w:p>
      <w:pPr>
        <w:ind w:right="20" w:firstLine="1305"/>
        <w:spacing w:after="0" w:line="279" w:lineRule="auto"/>
        <w:tabs>
          <w:tab w:leader="none" w:pos="194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 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50" w:lineRule="exact"/>
        <w:rPr>
          <w:rFonts w:ascii="Arial" w:cs="Arial" w:eastAsia="Arial" w:hAnsi="Arial"/>
          <w:sz w:val="19"/>
          <w:szCs w:val="19"/>
          <w:color w:val="auto"/>
        </w:rPr>
      </w:pPr>
    </w:p>
    <w:p>
      <w:pPr>
        <w:ind w:right="20" w:firstLine="1305"/>
        <w:spacing w:after="0" w:line="244" w:lineRule="auto"/>
        <w:tabs>
          <w:tab w:leader="none" w:pos="1945"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Sale of Subsidiary</w:t>
      </w:r>
      <w:r>
        <w:rPr>
          <w:rFonts w:ascii="Arial" w:cs="Arial" w:eastAsia="Arial" w:hAnsi="Arial"/>
          <w:sz w:val="21"/>
          <w:szCs w:val="21"/>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 to such subsidiary,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such subsidiary had not ceased to be part of the Sempra 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68" w:lineRule="exact"/>
        <w:rPr>
          <w:rFonts w:ascii="Arial" w:cs="Arial" w:eastAsia="Arial" w:hAnsi="Arial"/>
          <w:sz w:val="21"/>
          <w:szCs w:val="21"/>
          <w:color w:val="auto"/>
        </w:rPr>
      </w:pPr>
    </w:p>
    <w:p>
      <w:pPr>
        <w:ind w:firstLine="1305"/>
        <w:spacing w:after="0" w:line="273" w:lineRule="auto"/>
        <w:tabs>
          <w:tab w:leader="none" w:pos="194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Sale of Assets of Subsidiary</w:t>
      </w:r>
      <w:r>
        <w:rPr>
          <w:rFonts w:ascii="Arial" w:cs="Arial" w:eastAsia="Arial" w:hAnsi="Arial"/>
          <w:sz w:val="19"/>
          <w:szCs w:val="19"/>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9"/>
          <w:szCs w:val="19"/>
          <w:u w:val="single" w:color="auto"/>
          <w:color w:val="auto"/>
        </w:rPr>
        <w:t>Asset Purchaser</w:t>
      </w:r>
      <w:r>
        <w:rPr>
          <w:rFonts w:ascii="Arial" w:cs="Arial" w:eastAsia="Arial" w:hAnsi="Arial"/>
          <w:sz w:val="19"/>
          <w:szCs w:val="19"/>
          <w:color w:val="auto"/>
        </w:rPr>
        <w:t>”), in a transaction described in Treasury Regulation Section 1.409A-1(h)(4) (an “</w:t>
      </w:r>
      <w:r>
        <w:rPr>
          <w:rFonts w:ascii="Arial" w:cs="Arial" w:eastAsia="Arial" w:hAnsi="Arial"/>
          <w:sz w:val="19"/>
          <w:szCs w:val="19"/>
          <w:u w:val="single" w:color="auto"/>
          <w:color w:val="auto"/>
        </w:rPr>
        <w:t>Asset Sale</w:t>
      </w:r>
      <w:r>
        <w:rPr>
          <w:rFonts w:ascii="Arial" w:cs="Arial" w:eastAsia="Arial" w:hAnsi="Arial"/>
          <w:sz w:val="19"/>
          <w:szCs w:val="19"/>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w:t>
      </w:r>
    </w:p>
    <w:p>
      <w:pPr>
        <w:sectPr>
          <w:pgSz w:w="11900" w:h="16838" w:orient="portrait"/>
          <w:cols w:equalWidth="0" w:num="1">
            <w:col w:w="11400"/>
          </w:cols>
          <w:pgMar w:left="240" w:top="118" w:right="259" w:bottom="0" w:gutter="0" w:footer="0" w:header="0"/>
        </w:sectPr>
      </w:pPr>
    </w:p>
    <w:bookmarkStart w:id="96" w:name="page97"/>
    <w:bookmarkEnd w:id="96"/>
    <w:p>
      <w:pPr>
        <w:jc w:val="both"/>
        <w:ind w:right="520"/>
        <w:spacing w:after="0" w:line="298" w:lineRule="auto"/>
        <w:rPr>
          <w:sz w:val="20"/>
          <w:szCs w:val="20"/>
          <w:color w:val="auto"/>
        </w:rPr>
      </w:pPr>
      <w:r>
        <w:rPr>
          <w:rFonts w:ascii="Arial" w:cs="Arial" w:eastAsia="Arial" w:hAnsi="Arial"/>
          <w:sz w:val="19"/>
          <w:szCs w:val="19"/>
          <w:color w:val="auto"/>
        </w:rPr>
        <w:t>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19" w:lineRule="exact"/>
        <w:rPr>
          <w:sz w:val="20"/>
          <w:szCs w:val="20"/>
          <w:color w:val="auto"/>
        </w:rPr>
      </w:pPr>
    </w:p>
    <w:p>
      <w:pPr>
        <w:ind w:right="40" w:firstLine="1297"/>
        <w:spacing w:after="0" w:line="274"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u w:val="single" w:color="auto"/>
          <w:color w:val="auto"/>
        </w:rPr>
        <w:t>Administration Prior to Change in Control</w:t>
      </w:r>
      <w:r>
        <w:rPr>
          <w:rFonts w:ascii="Arial" w:cs="Arial" w:eastAsia="Arial" w:hAnsi="Arial"/>
          <w:sz w:val="19"/>
          <w:szCs w:val="19"/>
          <w:color w:val="auto"/>
        </w:rPr>
        <w:t>. Prior to a Change in Control,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full and complete authority to construe and interpret the provisions of this Agreement, to determine an individual’s entitlement to benefits under this Agreement, to make in its sole and absolute discretion all determinations 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5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u w:val="single" w:color="auto"/>
          <w:color w:val="auto"/>
        </w:rPr>
        <w:t>Section 409A of the Code.</w:t>
      </w:r>
    </w:p>
    <w:p>
      <w:pPr>
        <w:spacing w:after="0" w:line="199" w:lineRule="exact"/>
        <w:rPr>
          <w:sz w:val="20"/>
          <w:szCs w:val="20"/>
          <w:color w:val="auto"/>
        </w:rPr>
      </w:pPr>
    </w:p>
    <w:p>
      <w:pPr>
        <w:ind w:firstLine="1305"/>
        <w:spacing w:after="0" w:line="269" w:lineRule="auto"/>
        <w:tabs>
          <w:tab w:leader="none" w:pos="1945"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Compliance with and Exemption from Section 409A of the Code</w:t>
      </w:r>
      <w:r>
        <w:rPr>
          <w:rFonts w:ascii="Arial" w:cs="Arial" w:eastAsia="Arial" w:hAnsi="Arial"/>
          <w:sz w:val="19"/>
          <w:szCs w:val="19"/>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 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 Sections 409A(a)(2),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399" w:lineRule="exact"/>
        <w:rPr>
          <w:rFonts w:ascii="Arial" w:cs="Arial" w:eastAsia="Arial" w:hAnsi="Arial"/>
          <w:sz w:val="19"/>
          <w:szCs w:val="19"/>
          <w:color w:val="auto"/>
        </w:rPr>
      </w:pPr>
    </w:p>
    <w:p>
      <w:pPr>
        <w:jc w:val="both"/>
        <w:ind w:right="280" w:firstLine="1305"/>
        <w:spacing w:after="0" w:line="276" w:lineRule="auto"/>
        <w:tabs>
          <w:tab w:leader="none" w:pos="1945"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5(f), 6(g) and 14(d), the Executive may elect to defer the Pre-Change in Control Severance Payment, the Post-Change in Control Severance Payment and the Consulting Payment as follows.</w:t>
      </w:r>
    </w:p>
    <w:p>
      <w:pPr>
        <w:spacing w:after="0" w:line="1" w:lineRule="exact"/>
        <w:rPr>
          <w:rFonts w:ascii="Arial" w:cs="Arial" w:eastAsia="Arial" w:hAnsi="Arial"/>
          <w:sz w:val="19"/>
          <w:szCs w:val="19"/>
          <w:color w:val="auto"/>
        </w:rPr>
      </w:pPr>
    </w:p>
    <w:p>
      <w:pPr>
        <w:ind w:right="80" w:firstLine="158"/>
        <w:spacing w:after="0" w:line="244" w:lineRule="auto"/>
        <w:rPr>
          <w:rFonts w:ascii="Arial" w:cs="Arial" w:eastAsia="Arial" w:hAnsi="Arial"/>
          <w:sz w:val="19"/>
          <w:szCs w:val="19"/>
          <w:color w:val="auto"/>
        </w:rPr>
      </w:pPr>
      <w:r>
        <w:rPr>
          <w:rFonts w:ascii="Arial" w:cs="Arial" w:eastAsia="Arial" w:hAnsi="Arial"/>
          <w:sz w:val="21"/>
          <w:szCs w:val="21"/>
          <w:color w:val="auto"/>
        </w:rPr>
        <w:t>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 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99" w:lineRule="exact"/>
        <w:rPr>
          <w:sz w:val="20"/>
          <w:szCs w:val="20"/>
          <w:color w:val="auto"/>
        </w:rPr>
      </w:pPr>
    </w:p>
    <w:p>
      <w:pPr>
        <w:ind w:right="60" w:firstLine="1305"/>
        <w:spacing w:after="0" w:line="247" w:lineRule="auto"/>
        <w:tabs>
          <w:tab w:leader="none" w:pos="1945"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64" w:lineRule="exact"/>
        <w:rPr>
          <w:rFonts w:ascii="Arial" w:cs="Arial" w:eastAsia="Arial" w:hAnsi="Arial"/>
          <w:sz w:val="21"/>
          <w:szCs w:val="21"/>
          <w:color w:val="auto"/>
        </w:rPr>
      </w:pPr>
    </w:p>
    <w:p>
      <w:pPr>
        <w:ind w:right="180" w:firstLine="1305"/>
        <w:spacing w:after="0" w:line="287" w:lineRule="auto"/>
        <w:tabs>
          <w:tab w:leader="none" w:pos="1945"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ectPr>
          <w:pgSz w:w="11900" w:h="16838" w:orient="portrait"/>
          <w:cols w:equalWidth="0" w:num="1">
            <w:col w:w="11400"/>
          </w:cols>
          <w:pgMar w:left="240" w:top="118" w:right="259" w:bottom="0" w:gutter="0" w:footer="0" w:header="0"/>
        </w:sectPr>
      </w:pPr>
    </w:p>
    <w:bookmarkStart w:id="97" w:name="page98"/>
    <w:bookmarkEnd w:id="97"/>
    <w:p>
      <w:pPr>
        <w:ind w:right="580" w:firstLine="1305"/>
        <w:spacing w:after="0" w:line="251" w:lineRule="auto"/>
        <w:tabs>
          <w:tab w:leader="none" w:pos="1945"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60" w:lineRule="exact"/>
        <w:rPr>
          <w:rFonts w:ascii="Arial" w:cs="Arial" w:eastAsia="Arial" w:hAnsi="Arial"/>
          <w:sz w:val="22"/>
          <w:szCs w:val="22"/>
          <w:color w:val="auto"/>
        </w:rPr>
      </w:pPr>
    </w:p>
    <w:p>
      <w:pPr>
        <w:ind w:right="180" w:firstLine="1305"/>
        <w:spacing w:after="0" w:line="251" w:lineRule="auto"/>
        <w:tabs>
          <w:tab w:leader="none" w:pos="1945"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amounts payable under this Agreement such federal, state or local taxes as shall be required to be withheld pursuant to any applicable law or regulation.</w:t>
      </w:r>
    </w:p>
    <w:p>
      <w:pPr>
        <w:spacing w:after="0" w:line="173" w:lineRule="exact"/>
        <w:rPr>
          <w:rFonts w:ascii="Arial" w:cs="Arial" w:eastAsia="Arial" w:hAnsi="Arial"/>
          <w:sz w:val="22"/>
          <w:szCs w:val="22"/>
          <w:color w:val="auto"/>
        </w:rPr>
      </w:pPr>
    </w:p>
    <w:p>
      <w:pPr>
        <w:ind w:firstLine="1305"/>
        <w:spacing w:after="0" w:line="282" w:lineRule="auto"/>
        <w:tabs>
          <w:tab w:leader="none" w:pos="1945"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 1 hereof, or the right of the Company to terminate the Executive’s employment for Cause pursuant to Section 1 hereof shall not be deemed to be a waiver of such provision or right or any other provision or right of this Agreement.</w:t>
      </w:r>
    </w:p>
    <w:p>
      <w:pPr>
        <w:spacing w:after="0" w:line="134" w:lineRule="exact"/>
        <w:rPr>
          <w:rFonts w:ascii="Arial" w:cs="Arial" w:eastAsia="Arial" w:hAnsi="Arial"/>
          <w:sz w:val="19"/>
          <w:szCs w:val="19"/>
          <w:color w:val="auto"/>
        </w:rPr>
      </w:pPr>
    </w:p>
    <w:p>
      <w:pPr>
        <w:ind w:right="40" w:firstLine="1305"/>
        <w:spacing w:after="0" w:line="277" w:lineRule="auto"/>
        <w:tabs>
          <w:tab w:leader="none" w:pos="1945"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w:t>
      </w:r>
    </w:p>
    <w:p>
      <w:pPr>
        <w:spacing w:after="0" w:line="139" w:lineRule="exact"/>
        <w:rPr>
          <w:rFonts w:ascii="Arial" w:cs="Arial" w:eastAsia="Arial" w:hAnsi="Arial"/>
          <w:sz w:val="19"/>
          <w:szCs w:val="19"/>
          <w:color w:val="auto"/>
        </w:rPr>
      </w:pPr>
    </w:p>
    <w:p>
      <w:pPr>
        <w:ind w:right="40" w:firstLine="1305"/>
        <w:spacing w:after="0"/>
        <w:tabs>
          <w:tab w:leader="none" w:pos="1945"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No Right of Employment</w:t>
      </w:r>
      <w:r>
        <w:rPr>
          <w:rFonts w:ascii="Arial" w:cs="Arial" w:eastAsia="Arial" w:hAnsi="Arial"/>
          <w:sz w:val="22"/>
          <w:szCs w:val="22"/>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86" w:lineRule="exact"/>
        <w:rPr>
          <w:rFonts w:ascii="Arial" w:cs="Arial" w:eastAsia="Arial" w:hAnsi="Arial"/>
          <w:sz w:val="22"/>
          <w:szCs w:val="22"/>
          <w:color w:val="auto"/>
        </w:rPr>
      </w:pPr>
    </w:p>
    <w:p>
      <w:pPr>
        <w:jc w:val="both"/>
        <w:ind w:firstLine="1305"/>
        <w:spacing w:after="0"/>
        <w:tabs>
          <w:tab w:leader="none" w:pos="1945"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72" w:lineRule="exact"/>
        <w:rPr>
          <w:rFonts w:ascii="Arial" w:cs="Arial" w:eastAsia="Arial" w:hAnsi="Arial"/>
          <w:sz w:val="22"/>
          <w:szCs w:val="22"/>
          <w:color w:val="auto"/>
        </w:rPr>
      </w:pPr>
    </w:p>
    <w:p>
      <w:pPr>
        <w:ind w:right="20" w:firstLine="1305"/>
        <w:spacing w:after="0" w:line="245" w:lineRule="auto"/>
        <w:tabs>
          <w:tab w:leader="none" w:pos="1945"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Termination upon Sale of Assets of Subsidiary</w:t>
      </w:r>
      <w:r>
        <w:rPr>
          <w:rFonts w:ascii="Arial" w:cs="Arial" w:eastAsia="Arial" w:hAnsi="Arial"/>
          <w:sz w:val="21"/>
          <w:szCs w:val="21"/>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 Executive declines to accept such offer and the Executive fails to become employed by the Asset Purchaser on the date of the Asset Sale.</w:t>
      </w:r>
    </w:p>
    <w:p>
      <w:pPr>
        <w:spacing w:after="0" w:line="171" w:lineRule="exact"/>
        <w:rPr>
          <w:rFonts w:ascii="Arial" w:cs="Arial" w:eastAsia="Arial" w:hAnsi="Arial"/>
          <w:sz w:val="21"/>
          <w:szCs w:val="21"/>
          <w:color w:val="auto"/>
        </w:rPr>
      </w:pPr>
    </w:p>
    <w:p>
      <w:pPr>
        <w:ind w:right="40" w:firstLine="1305"/>
        <w:spacing w:after="0" w:line="275" w:lineRule="auto"/>
        <w:tabs>
          <w:tab w:leader="none" w:pos="1945"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of this Agreement shall commence on the Effective Date and shall continue until the third (3rd) anniversary of the Effective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follows such written notice or (B) the second (2nd) anniversary of the Change in Control Date.</w:t>
      </w:r>
    </w:p>
    <w:p>
      <w:pPr>
        <w:spacing w:after="0" w:line="158" w:lineRule="exact"/>
        <w:rPr>
          <w:rFonts w:ascii="Arial" w:cs="Arial" w:eastAsia="Arial" w:hAnsi="Arial"/>
          <w:sz w:val="19"/>
          <w:szCs w:val="19"/>
          <w:color w:val="auto"/>
        </w:rPr>
      </w:pPr>
    </w:p>
    <w:p>
      <w:pPr>
        <w:ind w:right="20" w:firstLine="1305"/>
        <w:spacing w:after="0" w:line="251" w:lineRule="auto"/>
        <w:tabs>
          <w:tab w:leader="none" w:pos="1945"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7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IN WITNESS WHEREOF, the Executive and, pursuant to due authorization from its Board of Directors, the Company have caused this Agreement to be executed as of the day and year first above written.</w:t>
      </w:r>
    </w:p>
    <w:p>
      <w:pPr>
        <w:spacing w:after="0" w:line="1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 Joyce Rowland</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HR, Diversity &amp; Inclusion</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Trevor Mihalik</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Controller and Chief Accounting Officer</w:t>
      </w:r>
    </w:p>
    <w:p>
      <w:pPr>
        <w:sectPr>
          <w:pgSz w:w="11900" w:h="16838" w:orient="portrait"/>
          <w:cols w:equalWidth="0" w:num="1">
            <w:col w:w="11400"/>
          </w:cols>
          <w:pgMar w:left="240" w:top="118" w:right="259" w:bottom="0" w:gutter="0" w:footer="0" w:header="0"/>
        </w:sectPr>
      </w:pPr>
    </w:p>
    <w:bookmarkStart w:id="98" w:name="page99"/>
    <w:bookmarkEnd w:id="98"/>
    <w:p>
      <w:pPr>
        <w:ind w:left="2700"/>
        <w:spacing w:after="0"/>
        <w:rPr>
          <w:sz w:val="20"/>
          <w:szCs w:val="20"/>
          <w:color w:val="auto"/>
        </w:rPr>
      </w:pPr>
      <w:r>
        <w:rPr>
          <w:rFonts w:ascii="Arial" w:cs="Arial" w:eastAsia="Arial" w:hAnsi="Arial"/>
          <w:sz w:val="19"/>
          <w:szCs w:val="19"/>
          <w:color w:val="auto"/>
        </w:rPr>
        <w:t>_____________________________________</w:t>
      </w:r>
    </w:p>
    <w:p>
      <w:pPr>
        <w:spacing w:after="0" w:line="4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9019"/>
          </w:cols>
          <w:pgMar w:left="1440" w:top="118"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___________, is made by and between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you and the Company have previously entered into that certain Severance Pay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20___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88"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WHEREAS, Section 14(d) of the Severance Pay Agreement provides for the payment of a benefit to you by the Company in consideration for certain covenants, including your execution and non-revocation of a general release of claims by you against the Company and its subsidiaries and affiliates.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shall terminate at the close of business on ____________, or earlier upon our mutual agreement.</w:t>
      </w:r>
    </w:p>
    <w:p>
      <w:pPr>
        <w:spacing w:after="0" w:line="173"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TWO: As a material inducement for the payment of the benefit under Section 14(d) of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74" w:lineRule="exact"/>
        <w:rPr>
          <w:sz w:val="20"/>
          <w:szCs w:val="20"/>
          <w:color w:val="auto"/>
        </w:rPr>
      </w:pPr>
    </w:p>
    <w:p>
      <w:pPr>
        <w:ind w:right="20" w:firstLine="1305"/>
        <w:spacing w:after="0" w:line="236" w:lineRule="auto"/>
        <w:tabs>
          <w:tab w:leader="none" w:pos="1945"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Releasee</w:t>
      </w:r>
      <w:r>
        <w:rPr>
          <w:rFonts w:ascii="Arial" w:cs="Arial" w:eastAsia="Arial" w:hAnsi="Arial"/>
          <w:sz w:val="22"/>
          <w:szCs w:val="22"/>
          <w:color w:val="auto"/>
        </w:rPr>
        <w:t>” or “</w:t>
      </w:r>
      <w:r>
        <w:rPr>
          <w:rFonts w:ascii="Arial" w:cs="Arial" w:eastAsia="Arial" w:hAnsi="Arial"/>
          <w:sz w:val="22"/>
          <w:szCs w:val="22"/>
          <w:u w:val="single" w:color="auto"/>
          <w:color w:val="auto"/>
        </w:rPr>
        <w:t>Releasees</w:t>
      </w:r>
      <w:r>
        <w:rPr>
          <w:rFonts w:ascii="Arial" w:cs="Arial" w:eastAsia="Arial" w:hAnsi="Arial"/>
          <w:sz w:val="22"/>
          <w:szCs w:val="22"/>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87" w:lineRule="exact"/>
        <w:rPr>
          <w:rFonts w:ascii="Arial" w:cs="Arial" w:eastAsia="Arial" w:hAnsi="Arial"/>
          <w:sz w:val="22"/>
          <w:szCs w:val="22"/>
          <w:color w:val="auto"/>
        </w:rPr>
      </w:pPr>
    </w:p>
    <w:p>
      <w:pPr>
        <w:ind w:right="40" w:firstLine="1305"/>
        <w:spacing w:after="0" w:line="268" w:lineRule="auto"/>
        <w:tabs>
          <w:tab w:leader="none" w:pos="1945"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except as limited by law or regulation such as the Age Discrimination in Employment Act (ADEA), in the future may have, own or hold against any of the Releasees;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word “Claim” or “Claims” shall not refer to any charges, complaints, claims, liabilities, obligations, promises, agreements, controversies, damages, actions, causes of action, suits, rights, demands, costs, losses, debts and expenses (including attorneys’ fees and costs actually incurred) arising under [</w:t>
      </w:r>
      <w:r>
        <w:rPr>
          <w:rFonts w:ascii="Arial" w:cs="Arial" w:eastAsia="Arial" w:hAnsi="Arial"/>
          <w:sz w:val="19"/>
          <w:szCs w:val="19"/>
          <w:i w:val="1"/>
          <w:iCs w:val="1"/>
          <w:color w:val="auto"/>
        </w:rPr>
        <w:t>identify severance, employee benefits, stock option, indemnification and D&amp;O and other</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 containing duties, rights obligations etc. of either party that are to remain operative</w:t>
      </w:r>
      <w:r>
        <w:rPr>
          <w:rFonts w:ascii="Arial" w:cs="Arial" w:eastAsia="Arial" w:hAnsi="Arial"/>
          <w:sz w:val="19"/>
          <w:szCs w:val="19"/>
          <w:color w:val="auto"/>
        </w:rPr>
        <w:t>]. Claims released pursuant to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by you and the Company include, but are not limited to, rights arising out of alleged violations of any contracts, express or implied, any tort, any claim that you failed to perform or negligently performed or breached your duties during employment at the Company, any legal restrictions on the Company’s right to terminate employees or any federal, state or other governmental statute, regulation, or ordinance, including, without limitation: (1) Title VII of the Civil Rights Act of 1964 (race, color, religion, sex and national origin discrimination); (2) 42 U.S.C. § 1981 (discrimination); (3) 29 U.S.C. §§ 621–634 (age discrimination); (4) 29 U.S.C. § 206(d)(l) (equal pay); (5) 42 U.S.C. §§ 12101, et seq. (disability); (6) the California Constitution, Article I, Section 8 (discrimination); (7) the California Fair Employment and Housing Act (discrimination, including race, color, national origin, ancestry, physical handicap, medical condition, marital status, religion, sex or age); (8) California Labor Code Section 1102.1 (sexual orientation discrimination); (9) the Executive Order 11246 (race, color, religion, sex and national origin discrimination);</w:t>
      </w:r>
    </w:p>
    <w:p>
      <w:pPr>
        <w:spacing w:after="0" w:line="2" w:lineRule="exact"/>
        <w:rPr>
          <w:rFonts w:ascii="Arial" w:cs="Arial" w:eastAsia="Arial" w:hAnsi="Arial"/>
          <w:sz w:val="19"/>
          <w:szCs w:val="19"/>
          <w:color w:val="auto"/>
        </w:rPr>
      </w:pPr>
    </w:p>
    <w:p>
      <w:pPr>
        <w:ind w:right="60" w:firstLine="8"/>
        <w:spacing w:after="0" w:line="232" w:lineRule="auto"/>
        <w:tabs>
          <w:tab w:leader="none" w:pos="41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Executive Order 11141 (age discrimination); (11) §§ 503 and 504 of the Rehabilitation Act of 1973 (handicap discrimination); (12) The Worker Adjustment and Retraining Act (WARN Act); (13) the California Labor Code (wages, hours, working conditions, benefits and other matters); (14) the Fair Labor Standards Act (wages, hours, working conditions and other matters); the Federal Employee Polygraph Protection Act (prohibits employer from requiring employee to take polygraph test as condition of employment); and (15) any federal, state or other governmental statute, regulation or ordinance which is similar to any of the statutes described in clauses (1) through (14).</w:t>
      </w:r>
    </w:p>
    <w:p>
      <w:pPr>
        <w:spacing w:after="0" w:line="189"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9"/>
          <w:szCs w:val="19"/>
          <w:color w:val="auto"/>
        </w:rPr>
        <w:t>THREE: You and the Company expressly waive and relinquish all rights and benefits afforded by any statute (including but not limited to Section 1542 of the Civil Code of the State of California)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Section 1542 of the Civil Code of the State of California states as follows:</w:t>
      </w:r>
    </w:p>
    <w:p>
      <w:pPr>
        <w:spacing w:after="0" w:line="148" w:lineRule="exact"/>
        <w:rPr>
          <w:sz w:val="20"/>
          <w:szCs w:val="20"/>
          <w:color w:val="auto"/>
        </w:rPr>
      </w:pPr>
    </w:p>
    <w:p>
      <w:pPr>
        <w:ind w:left="1300" w:right="1540"/>
        <w:spacing w:after="0" w:line="328"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FAVOR AT THE TIME OF EXECUTING THE</w:t>
      </w:r>
    </w:p>
    <w:p>
      <w:pPr>
        <w:sectPr>
          <w:pgSz w:w="11900" w:h="16838" w:orient="portrait"/>
          <w:cols w:equalWidth="0" w:num="1">
            <w:col w:w="11420"/>
          </w:cols>
          <w:pgMar w:left="240" w:top="604" w:right="239" w:bottom="0" w:gutter="0" w:footer="0" w:header="0"/>
        </w:sectPr>
      </w:pPr>
    </w:p>
    <w:bookmarkStart w:id="100" w:name="page101"/>
    <w:bookmarkEnd w:id="100"/>
    <w:p>
      <w:pPr>
        <w:ind w:left="1300" w:right="2100"/>
        <w:spacing w:after="0" w:line="251" w:lineRule="auto"/>
        <w:rPr>
          <w:sz w:val="20"/>
          <w:szCs w:val="20"/>
          <w:color w:val="auto"/>
        </w:rPr>
      </w:pPr>
      <w:r>
        <w:rPr>
          <w:rFonts w:ascii="Arial" w:cs="Arial" w:eastAsia="Arial" w:hAnsi="Arial"/>
          <w:sz w:val="22"/>
          <w:szCs w:val="22"/>
          <w:color w:val="auto"/>
        </w:rPr>
        <w:t>RELEASE, WHICH IF KNOWN BY HIM MUST HAVE MATERIALLY AFFECTED HIS SETTLEMENT WITH THE DEBTOR.”</w:t>
      </w:r>
    </w:p>
    <w:p>
      <w:pPr>
        <w:spacing w:after="0" w:line="174"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pacing w:after="0" w:line="18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38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38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NINE:</w:t>
      </w:r>
    </w:p>
    <w:p>
      <w:pPr>
        <w:spacing w:after="0" w:line="193" w:lineRule="exact"/>
        <w:rPr>
          <w:sz w:val="20"/>
          <w:szCs w:val="20"/>
          <w:color w:val="auto"/>
        </w:rPr>
      </w:pPr>
    </w:p>
    <w:p>
      <w:pPr>
        <w:ind w:right="40" w:firstLine="1953"/>
        <w:spacing w:after="0" w:line="235" w:lineRule="auto"/>
        <w:tabs>
          <w:tab w:leader="none" w:pos="2593"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88" w:lineRule="exact"/>
        <w:rPr>
          <w:rFonts w:ascii="Arial" w:cs="Arial" w:eastAsia="Arial" w:hAnsi="Arial"/>
          <w:sz w:val="22"/>
          <w:szCs w:val="22"/>
          <w:color w:val="auto"/>
        </w:rPr>
      </w:pPr>
    </w:p>
    <w:p>
      <w:pPr>
        <w:ind w:right="40" w:firstLine="1953"/>
        <w:spacing w:after="0" w:line="279" w:lineRule="auto"/>
        <w:tabs>
          <w:tab w:leader="none" w:pos="2593"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37" w:lineRule="exact"/>
        <w:rPr>
          <w:rFonts w:ascii="Arial" w:cs="Arial" w:eastAsia="Arial" w:hAnsi="Arial"/>
          <w:sz w:val="19"/>
          <w:szCs w:val="19"/>
          <w:color w:val="auto"/>
        </w:rPr>
      </w:pPr>
    </w:p>
    <w:p>
      <w:pPr>
        <w:ind w:right="80" w:firstLine="1953"/>
        <w:spacing w:after="0" w:line="282" w:lineRule="auto"/>
        <w:tabs>
          <w:tab w:leader="none" w:pos="2593" w:val="left"/>
        </w:tabs>
        <w:numPr>
          <w:ilvl w:val="0"/>
          <w:numId w:val="152"/>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8" w:lineRule="exact"/>
        <w:rPr>
          <w:sz w:val="20"/>
          <w:szCs w:val="20"/>
          <w:color w:val="auto"/>
        </w:rPr>
      </w:pPr>
    </w:p>
    <w:p>
      <w:pPr>
        <w:ind w:right="80" w:firstLine="1297"/>
        <w:spacing w:after="0" w:line="287" w:lineRule="auto"/>
        <w:rPr>
          <w:sz w:val="20"/>
          <w:szCs w:val="20"/>
          <w:color w:val="auto"/>
        </w:rPr>
      </w:pPr>
      <w:r>
        <w:rPr>
          <w:rFonts w:ascii="Arial" w:cs="Arial" w:eastAsia="Arial" w:hAnsi="Arial"/>
          <w:sz w:val="19"/>
          <w:szCs w:val="19"/>
          <w:color w:val="auto"/>
        </w:rPr>
        <w:t>TEN: This Agreement is made and entered into in California. This Agreement shall in all respects be interpreted, enforced and governed by and under the laws of the State of California and applicable Federal law. Any dispute about the validity, interpretation, effect or alleged violation of this Agreement (an “</w:t>
      </w:r>
      <w:r>
        <w:rPr>
          <w:rFonts w:ascii="Arial" w:cs="Arial" w:eastAsia="Arial" w:hAnsi="Arial"/>
          <w:sz w:val="19"/>
          <w:szCs w:val="19"/>
          <w:u w:val="single" w:color="auto"/>
          <w:color w:val="auto"/>
        </w:rPr>
        <w:t>arbitrable dispute</w:t>
      </w:r>
      <w:r>
        <w:rPr>
          <w:rFonts w:ascii="Arial" w:cs="Arial" w:eastAsia="Arial" w:hAnsi="Arial"/>
          <w:sz w:val="19"/>
          <w:szCs w:val="19"/>
          <w:color w:val="auto"/>
        </w:rPr>
        <w:t>”) must be submitted to arbitration in San Diego, California. Arbitration shall take place before an experienced employment arbitrator licensed to practice law in such state and</w:t>
      </w:r>
    </w:p>
    <w:p>
      <w:pPr>
        <w:sectPr>
          <w:pgSz w:w="11900" w:h="16838" w:orient="portrait"/>
          <w:cols w:equalWidth="0" w:num="1">
            <w:col w:w="11400"/>
          </w:cols>
          <w:pgMar w:left="240" w:top="118" w:right="259" w:bottom="0" w:gutter="0" w:footer="0" w:header="0"/>
        </w:sectPr>
      </w:pPr>
    </w:p>
    <w:bookmarkStart w:id="101" w:name="page102"/>
    <w:bookmarkEnd w:id="101"/>
    <w:p>
      <w:pPr>
        <w:spacing w:after="0" w:line="34"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selected in accordance with the then existing JAMS arbitration rules applicable to employment disputes;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any event, the arbitrator shall allow reasonable discovery. Arbitration shall be the exclusive remedy for any arbitrable dispute. The arbitrator in any arbitrable dispute shall not have authority to modify or change the Agreement in any respect. You and the Company shall each be responsible for payment of one-half (1/2) the amount of the arbitrator’s fee(s);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you be required to pay any fee or cost of arbitration that is unique to arbitration or exceeds the costs you would have incurred had any arbitrable dispute been pursued in a court of competent jurisdiction. The Company shall make up any shortfall. Should any party to this Agreement institute any legal action or administrative proceeding against the other with respect to any Claim waived by this Agreement or pursue any arbitrable dispute by any method other than arbitration, the prevailing party shall be entitled to recover from the non-prevailing party all damages, costs, expenses and attorneys’ fees incurred as a result of that action. The arbitrator’s decision and/or award shall be rendered in writing and will be fully enforceable and subject to an entry of judgment by the Superior Court of the State of California for the County of San Diego, or any other court of competent jurisdiction.</w:t>
      </w:r>
    </w:p>
    <w:p>
      <w:pPr>
        <w:spacing w:after="0" w:line="157" w:lineRule="exact"/>
        <w:rPr>
          <w:sz w:val="20"/>
          <w:szCs w:val="20"/>
          <w:color w:val="auto"/>
        </w:rPr>
      </w:pPr>
    </w:p>
    <w:p>
      <w:pPr>
        <w:ind w:right="160" w:firstLine="1297"/>
        <w:spacing w:after="0" w:line="272" w:lineRule="auto"/>
        <w:rPr>
          <w:sz w:val="20"/>
          <w:szCs w:val="20"/>
          <w:color w:val="auto"/>
        </w:rPr>
      </w:pPr>
      <w:r>
        <w:rPr>
          <w:rFonts w:ascii="Arial" w:cs="Arial" w:eastAsia="Arial" w:hAnsi="Arial"/>
          <w:sz w:val="19"/>
          <w:szCs w:val="19"/>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 14(d) of the Severance Pay Agreement, plus interest, and invite the Company to retain such monies and agree with you to cancel this Agreement and void the Company’s obligations under Section 14(d) of the Severance Pay Agreement. In the event the Company accepts this offer, the Company shall retain such monies and this Agreement shall be canceled and the Company shall have no obligation under Section 14(d) of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Section 14(d) of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62"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TWELVE: Any notices required to be given under this Agreement shall be delivered either personally or by first class United States mail, postage prepaid, addressed to the respective parties as follows: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88"/>
        </w:trPr>
        <w:tc>
          <w:tcPr>
            <w:tcW w:w="1320" w:type="dxa"/>
            <w:vAlign w:val="bottom"/>
          </w:tcPr>
          <w:p>
            <w:pPr>
              <w:spacing w:after="0"/>
              <w:rPr>
                <w:sz w:val="20"/>
                <w:szCs w:val="20"/>
                <w:color w:val="auto"/>
              </w:rPr>
            </w:pPr>
            <w:r>
              <w:rPr>
                <w:rFonts w:ascii="Arial" w:cs="Arial" w:eastAsia="Arial" w:hAnsi="Arial"/>
                <w:sz w:val="22"/>
                <w:szCs w:val="22"/>
                <w:color w:val="auto"/>
                <w:w w:val="98"/>
              </w:rPr>
              <w:t>To Company:</w:t>
            </w:r>
          </w:p>
        </w:tc>
        <w:tc>
          <w:tcPr>
            <w:tcW w:w="2520" w:type="dxa"/>
            <w:vAlign w:val="bottom"/>
          </w:tcPr>
          <w:p>
            <w:pPr>
              <w:ind w:left="140"/>
              <w:spacing w:after="0"/>
              <w:rPr>
                <w:sz w:val="20"/>
                <w:szCs w:val="20"/>
                <w:color w:val="auto"/>
              </w:rPr>
            </w:pPr>
            <w:r>
              <w:rPr>
                <w:rFonts w:ascii="Arial" w:cs="Arial" w:eastAsia="Arial" w:hAnsi="Arial"/>
                <w:sz w:val="22"/>
                <w:szCs w:val="22"/>
                <w:color w:val="auto"/>
              </w:rPr>
              <w:t>[TO COME]</w:t>
            </w:r>
          </w:p>
        </w:tc>
      </w:tr>
      <w:tr>
        <w:trPr>
          <w:trHeight w:val="446"/>
        </w:trPr>
        <w:tc>
          <w:tcPr>
            <w:tcW w:w="1320" w:type="dxa"/>
            <w:vAlign w:val="bottom"/>
          </w:tcPr>
          <w:p>
            <w:pPr>
              <w:spacing w:after="0"/>
              <w:rPr>
                <w:sz w:val="24"/>
                <w:szCs w:val="24"/>
                <w:color w:val="auto"/>
              </w:rPr>
            </w:pPr>
          </w:p>
        </w:tc>
        <w:tc>
          <w:tcPr>
            <w:tcW w:w="2520" w:type="dxa"/>
            <w:vAlign w:val="bottom"/>
          </w:tcPr>
          <w:p>
            <w:pPr>
              <w:ind w:left="140"/>
              <w:spacing w:after="0"/>
              <w:rPr>
                <w:sz w:val="20"/>
                <w:szCs w:val="20"/>
                <w:color w:val="auto"/>
              </w:rPr>
            </w:pPr>
            <w:r>
              <w:rPr>
                <w:rFonts w:ascii="Arial" w:cs="Arial" w:eastAsia="Arial" w:hAnsi="Arial"/>
                <w:sz w:val="22"/>
                <w:szCs w:val="22"/>
                <w:color w:val="auto"/>
              </w:rPr>
              <w:t>Attn: [TO COME]</w:t>
            </w:r>
          </w:p>
        </w:tc>
      </w:tr>
      <w:tr>
        <w:trPr>
          <w:trHeight w:val="414"/>
        </w:trPr>
        <w:tc>
          <w:tcPr>
            <w:tcW w:w="1320" w:type="dxa"/>
            <w:vAlign w:val="bottom"/>
          </w:tcPr>
          <w:p>
            <w:pPr>
              <w:spacing w:after="0"/>
              <w:rPr>
                <w:sz w:val="20"/>
                <w:szCs w:val="20"/>
                <w:color w:val="auto"/>
              </w:rPr>
            </w:pPr>
            <w:r>
              <w:rPr>
                <w:rFonts w:ascii="Arial" w:cs="Arial" w:eastAsia="Arial" w:hAnsi="Arial"/>
                <w:sz w:val="22"/>
                <w:szCs w:val="22"/>
                <w:color w:val="auto"/>
              </w:rPr>
              <w:t>To You:</w:t>
            </w:r>
          </w:p>
        </w:tc>
        <w:tc>
          <w:tcPr>
            <w:tcW w:w="2520" w:type="dxa"/>
            <w:vAlign w:val="bottom"/>
          </w:tcPr>
          <w:p>
            <w:pPr>
              <w:ind w:left="140"/>
              <w:spacing w:after="0"/>
              <w:rPr>
                <w:sz w:val="20"/>
                <w:szCs w:val="20"/>
                <w:color w:val="auto"/>
              </w:rPr>
            </w:pPr>
            <w:r>
              <w:rPr>
                <w:rFonts w:ascii="Arial" w:cs="Arial" w:eastAsia="Arial" w:hAnsi="Arial"/>
                <w:sz w:val="22"/>
                <w:szCs w:val="22"/>
                <w:color w:val="auto"/>
                <w:w w:val="87"/>
              </w:rPr>
              <w:t>______________________</w:t>
            </w:r>
          </w:p>
        </w:tc>
      </w:tr>
      <w:tr>
        <w:trPr>
          <w:trHeight w:val="230"/>
        </w:trPr>
        <w:tc>
          <w:tcPr>
            <w:tcW w:w="1320" w:type="dxa"/>
            <w:vAlign w:val="bottom"/>
          </w:tcPr>
          <w:p>
            <w:pPr>
              <w:spacing w:after="0"/>
              <w:rPr>
                <w:sz w:val="19"/>
                <w:szCs w:val="19"/>
                <w:color w:val="auto"/>
              </w:rPr>
            </w:pPr>
          </w:p>
        </w:tc>
        <w:tc>
          <w:tcPr>
            <w:tcW w:w="2520" w:type="dxa"/>
            <w:vAlign w:val="bottom"/>
          </w:tcPr>
          <w:p>
            <w:pPr>
              <w:ind w:left="140"/>
              <w:spacing w:after="0" w:line="229" w:lineRule="exact"/>
              <w:rPr>
                <w:sz w:val="20"/>
                <w:szCs w:val="20"/>
                <w:color w:val="auto"/>
              </w:rPr>
            </w:pPr>
            <w:r>
              <w:rPr>
                <w:rFonts w:ascii="Arial" w:cs="Arial" w:eastAsia="Arial" w:hAnsi="Arial"/>
                <w:sz w:val="22"/>
                <w:szCs w:val="22"/>
                <w:color w:val="auto"/>
                <w:w w:val="87"/>
              </w:rPr>
              <w:t>______________________</w:t>
            </w:r>
          </w:p>
        </w:tc>
      </w:tr>
      <w:tr>
        <w:trPr>
          <w:trHeight w:val="275"/>
        </w:trPr>
        <w:tc>
          <w:tcPr>
            <w:tcW w:w="132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Arial" w:cs="Arial" w:eastAsia="Arial" w:hAnsi="Arial"/>
                <w:sz w:val="22"/>
                <w:szCs w:val="22"/>
                <w:color w:val="auto"/>
                <w:w w:val="87"/>
              </w:rPr>
              <w:t>______________________</w:t>
            </w:r>
          </w:p>
        </w:tc>
      </w:tr>
    </w:tbl>
    <w:p>
      <w:pPr>
        <w:spacing w:after="0" w:line="185" w:lineRule="exact"/>
        <w:rPr>
          <w:sz w:val="20"/>
          <w:szCs w:val="20"/>
          <w:color w:val="auto"/>
        </w:rPr>
      </w:pPr>
    </w:p>
    <w:p>
      <w:pPr>
        <w:ind w:right="60" w:firstLine="1297"/>
        <w:spacing w:after="0" w:line="246" w:lineRule="auto"/>
        <w:rPr>
          <w:sz w:val="20"/>
          <w:szCs w:val="20"/>
          <w:color w:val="auto"/>
        </w:rPr>
      </w:pPr>
      <w:r>
        <w:rPr>
          <w:rFonts w:ascii="Arial" w:cs="Arial" w:eastAsia="Arial" w:hAnsi="Arial"/>
          <w:sz w:val="21"/>
          <w:szCs w:val="21"/>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 14(d) of the Severance Pay Agreement.</w:t>
      </w:r>
    </w:p>
    <w:p>
      <w:pPr>
        <w:spacing w:after="0" w:line="181"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SEVENTEEN: This Agreement may be executed in counterparts.</w:t>
      </w:r>
    </w:p>
    <w:p>
      <w:pPr>
        <w:spacing w:after="0" w:line="206" w:lineRule="exact"/>
        <w:rPr>
          <w:sz w:val="20"/>
          <w:szCs w:val="20"/>
          <w:color w:val="auto"/>
        </w:rPr>
      </w:pPr>
    </w:p>
    <w:p>
      <w:pPr>
        <w:ind w:right="100"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You acknowledge that you first received this Agreement on [date].</w:t>
      </w:r>
    </w:p>
    <w:p>
      <w:pPr>
        <w:sectPr>
          <w:pgSz w:w="11900" w:h="16872" w:orient="portrait"/>
          <w:cols w:equalWidth="0" w:num="1">
            <w:col w:w="11420"/>
          </w:cols>
          <w:pgMar w:left="240" w:top="118" w:right="239" w:bottom="0" w:gutter="0" w:footer="0" w:header="0"/>
        </w:sectPr>
      </w:pPr>
    </w:p>
    <w:bookmarkStart w:id="102" w:name="page103"/>
    <w:bookmarkEnd w:id="102"/>
    <w:p>
      <w:pPr>
        <w:ind w:left="3340"/>
        <w:spacing w:after="0"/>
        <w:rPr>
          <w:sz w:val="20"/>
          <w:szCs w:val="20"/>
          <w:color w:val="auto"/>
        </w:rPr>
      </w:pPr>
      <w:r>
        <w:rPr>
          <w:rFonts w:ascii="Arial" w:cs="Arial" w:eastAsia="Arial" w:hAnsi="Arial"/>
          <w:sz w:val="19"/>
          <w:szCs w:val="19"/>
          <w:color w:val="auto"/>
        </w:rPr>
        <w:t>_________________________</w:t>
      </w:r>
    </w:p>
    <w:p>
      <w:pPr>
        <w:sectPr>
          <w:pgSz w:w="11900" w:h="16838" w:orient="portrait"/>
          <w:cols w:equalWidth="0" w:num="1">
            <w:col w:w="9019"/>
          </w:cols>
          <w:pgMar w:left="1440" w:top="118" w:right="1440" w:bottom="1440" w:gutter="0" w:footer="0" w:header="0"/>
        </w:sectPr>
      </w:pPr>
    </w:p>
    <w:bookmarkStart w:id="103" w:name="page104"/>
    <w:bookmarkEnd w:id="103"/>
    <w:p>
      <w:pPr>
        <w:spacing w:after="0" w:line="108"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10.4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jc w:val="center"/>
        <w:spacing w:after="0"/>
        <w:rPr>
          <w:sz w:val="20"/>
          <w:szCs w:val="20"/>
          <w:color w:val="auto"/>
        </w:rPr>
      </w:pPr>
      <w:r>
        <w:rPr>
          <w:rFonts w:ascii="Arial" w:cs="Arial" w:eastAsia="Arial" w:hAnsi="Arial"/>
          <w:sz w:val="22"/>
          <w:szCs w:val="22"/>
          <w:b w:val="1"/>
          <w:bCs w:val="1"/>
          <w:color w:val="auto"/>
        </w:rPr>
        <w:t>SEVERANCE PAY AGREEMENT</w:t>
      </w:r>
    </w:p>
    <w:p>
      <w:pPr>
        <w:spacing w:after="0" w:line="182" w:lineRule="exact"/>
        <w:rPr>
          <w:sz w:val="20"/>
          <w:szCs w:val="20"/>
          <w:color w:val="auto"/>
        </w:rPr>
      </w:pPr>
    </w:p>
    <w:p>
      <w:pPr>
        <w:ind w:right="740" w:firstLine="1297"/>
        <w:spacing w:after="0" w:line="335" w:lineRule="auto"/>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May 31, 2012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by and</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SEMPRA ENERGY, a California corporation (“</w:t>
      </w:r>
      <w:r>
        <w:rPr>
          <w:rFonts w:ascii="Arial" w:cs="Arial" w:eastAsia="Arial" w:hAnsi="Arial"/>
          <w:sz w:val="19"/>
          <w:szCs w:val="19"/>
          <w:u w:val="single" w:color="auto"/>
          <w:color w:val="auto"/>
        </w:rPr>
        <w:t>Sempra Energy</w:t>
      </w:r>
      <w:r>
        <w:rPr>
          <w:rFonts w:ascii="Arial" w:cs="Arial" w:eastAsia="Arial" w:hAnsi="Arial"/>
          <w:sz w:val="19"/>
          <w:szCs w:val="19"/>
          <w:color w:val="auto"/>
        </w:rPr>
        <w:t>”), and ANNE S. SMITH (the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92" w:lineRule="exact"/>
        <w:rPr>
          <w:sz w:val="20"/>
          <w:szCs w:val="20"/>
          <w:color w:val="auto"/>
        </w:rPr>
      </w:pPr>
    </w:p>
    <w:p>
      <w:pPr>
        <w:ind w:right="30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currently employed by Sempra Energy or a direct or indirect subsidiary of Sempra</w:t>
      </w:r>
      <w:r>
        <w:rPr>
          <w:rFonts w:ascii="Arial" w:cs="Arial" w:eastAsia="Arial" w:hAnsi="Arial"/>
          <w:sz w:val="22"/>
          <w:szCs w:val="22"/>
          <w:b w:val="1"/>
          <w:bCs w:val="1"/>
          <w:color w:val="auto"/>
        </w:rPr>
        <w:t xml:space="preserve"> </w:t>
      </w:r>
      <w:r>
        <w:rPr>
          <w:rFonts w:ascii="Arial" w:cs="Arial" w:eastAsia="Arial" w:hAnsi="Arial"/>
          <w:sz w:val="22"/>
          <w:szCs w:val="22"/>
          <w:color w:val="auto"/>
        </w:rPr>
        <w:t>Energy (Sempra Energy and its subsidiaries are hereinafter collectively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as President &amp; CEO – Southern California Gas Company; and</w:t>
      </w:r>
    </w:p>
    <w:p>
      <w:pPr>
        <w:spacing w:after="0" w:line="177" w:lineRule="exact"/>
        <w:rPr>
          <w:sz w:val="20"/>
          <w:szCs w:val="20"/>
          <w:color w:val="auto"/>
        </w:rPr>
      </w:pPr>
    </w:p>
    <w:p>
      <w:pPr>
        <w:ind w:left="1300" w:right="1360"/>
        <w:spacing w:after="0" w:line="50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Sempra Energy and the Executive desire to enter into this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Board of Directors of Sempra Energy (the “</w:t>
      </w:r>
      <w:r>
        <w:rPr>
          <w:rFonts w:ascii="Arial" w:cs="Arial" w:eastAsia="Arial" w:hAnsi="Arial"/>
          <w:sz w:val="19"/>
          <w:szCs w:val="19"/>
          <w:u w:val="single" w:color="auto"/>
          <w:color w:val="auto"/>
        </w:rPr>
        <w:t>Board</w:t>
      </w:r>
      <w:r>
        <w:rPr>
          <w:rFonts w:ascii="Arial" w:cs="Arial" w:eastAsia="Arial" w:hAnsi="Arial"/>
          <w:sz w:val="19"/>
          <w:szCs w:val="19"/>
          <w:color w:val="auto"/>
        </w:rPr>
        <w:t>”) has authorized this Agreement.</w:t>
      </w:r>
    </w:p>
    <w:p>
      <w:pPr>
        <w:spacing w:after="0" w:line="1"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herein contained,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hereby agree as follows:</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capitalized terms have the meanings set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has the meaning assigned thereto in Section 2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Post-Change in Control Severance Payment</w:t>
      </w:r>
      <w:r>
        <w:rPr>
          <w:rFonts w:ascii="Arial" w:cs="Arial" w:eastAsia="Arial" w:hAnsi="Arial"/>
          <w:sz w:val="19"/>
          <w:szCs w:val="19"/>
          <w:color w:val="auto"/>
        </w:rPr>
        <w:t>” has the meaning assigned thereto in Section 6(a) hereof.</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Executive’s annual base salary from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Purchaser</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right="20"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from the Company earned by the Executive with respect to the three (3) fiscal years of the Company immediately preceding the Date of Termination (the “</w:t>
      </w:r>
      <w:r>
        <w:rPr>
          <w:rFonts w:ascii="Arial" w:cs="Arial" w:eastAsia="Arial" w:hAnsi="Arial"/>
          <w:sz w:val="19"/>
          <w:szCs w:val="19"/>
          <w:u w:val="single" w:color="auto"/>
          <w:color w:val="auto"/>
        </w:rPr>
        <w:t>Bonus Fiscal Years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Executive was employed by the Company during all or any portion of one or two of the Bonus Fiscal</w:t>
      </w:r>
      <w:r>
        <w:rPr>
          <w:rFonts w:ascii="Arial" w:cs="Arial" w:eastAsia="Arial" w:hAnsi="Arial"/>
          <w:sz w:val="19"/>
          <w:szCs w:val="19"/>
          <w:i w:val="1"/>
          <w:iCs w:val="1"/>
          <w:color w:val="auto"/>
        </w:rPr>
        <w:t xml:space="preserve"> </w:t>
      </w:r>
      <w:r>
        <w:rPr>
          <w:rFonts w:ascii="Arial" w:cs="Arial" w:eastAsia="Arial" w:hAnsi="Arial"/>
          <w:sz w:val="19"/>
          <w:szCs w:val="19"/>
          <w:color w:val="auto"/>
        </w:rPr>
        <w:t>Years (but not three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xml:space="preserve">” means the average of the annual bonuses (if any) from the Company earned by the Executive with respect to the Bonus Fiscal Years during all or any portion of which the Executive was employed by the Company;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Executive was not employed by the Company during all or any portion of any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zero.</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has the meaning set forth in Rule 13d-3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right="20" w:firstLine="1305"/>
        <w:spacing w:after="0" w:line="276" w:lineRule="auto"/>
        <w:tabs>
          <w:tab w:leader="none" w:pos="1945" w:val="left"/>
        </w:tabs>
        <w:numPr>
          <w:ilvl w:val="1"/>
          <w:numId w:val="153"/>
        </w:numPr>
        <w:rPr>
          <w:rFonts w:ascii="Arial" w:cs="Arial" w:eastAsia="Arial" w:hAnsi="Arial"/>
          <w:sz w:val="19"/>
          <w:szCs w:val="19"/>
          <w:color w:val="auto"/>
        </w:rPr>
      </w:pPr>
      <w:r>
        <w:rPr>
          <w:rFonts w:ascii="Arial" w:cs="Arial" w:eastAsia="Arial" w:hAnsi="Arial"/>
          <w:sz w:val="19"/>
          <w:szCs w:val="19"/>
          <w:color w:val="auto"/>
        </w:rPr>
        <w:t>Prior to a Change in Control, (i) the willful failure by the Executive to substantially perform the Executive’s duties with the Company (other than any such failure resulting from the Executive’s incapacity due to physical or mental illness,</w:t>
      </w:r>
    </w:p>
    <w:p>
      <w:pPr>
        <w:spacing w:after="0" w:line="1" w:lineRule="exact"/>
        <w:rPr>
          <w:rFonts w:ascii="Arial" w:cs="Arial" w:eastAsia="Arial" w:hAnsi="Arial"/>
          <w:sz w:val="19"/>
          <w:szCs w:val="19"/>
          <w:color w:val="auto"/>
        </w:rPr>
      </w:pPr>
    </w:p>
    <w:p>
      <w:pPr>
        <w:ind w:right="20" w:firstLine="8"/>
        <w:spacing w:after="0" w:line="275" w:lineRule="auto"/>
        <w:tabs>
          <w:tab w:leader="none" w:pos="31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w:t>
      </w:r>
    </w:p>
    <w:p>
      <w:pPr>
        <w:spacing w:after="0" w:line="141" w:lineRule="exact"/>
        <w:rPr>
          <w:rFonts w:ascii="Arial" w:cs="Arial" w:eastAsia="Arial" w:hAnsi="Arial"/>
          <w:sz w:val="19"/>
          <w:szCs w:val="19"/>
          <w:color w:val="auto"/>
        </w:rPr>
      </w:pPr>
    </w:p>
    <w:p>
      <w:pPr>
        <w:ind w:right="20" w:firstLine="1305"/>
        <w:spacing w:after="0" w:line="269" w:lineRule="auto"/>
        <w:tabs>
          <w:tab w:leader="none" w:pos="1945" w:val="left"/>
        </w:tabs>
        <w:numPr>
          <w:ilvl w:val="1"/>
          <w:numId w:val="154"/>
        </w:numPr>
        <w:rPr>
          <w:rFonts w:ascii="Arial" w:cs="Arial" w:eastAsia="Arial" w:hAnsi="Arial"/>
          <w:sz w:val="19"/>
          <w:szCs w:val="19"/>
          <w:color w:val="auto"/>
        </w:rPr>
      </w:pPr>
      <w:r>
        <w:rPr>
          <w:rFonts w:ascii="Arial" w:cs="Arial" w:eastAsia="Arial" w:hAnsi="Arial"/>
          <w:sz w:val="19"/>
          <w:szCs w:val="19"/>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3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w:t>
      </w:r>
    </w:p>
    <w:p>
      <w:pPr>
        <w:spacing w:after="0" w:line="1" w:lineRule="exact"/>
        <w:rPr>
          <w:rFonts w:ascii="Arial" w:cs="Arial" w:eastAsia="Arial" w:hAnsi="Arial"/>
          <w:sz w:val="19"/>
          <w:szCs w:val="19"/>
          <w:color w:val="auto"/>
        </w:rPr>
      </w:pPr>
    </w:p>
    <w:p>
      <w:pPr>
        <w:ind w:right="180" w:firstLine="8"/>
        <w:spacing w:after="0" w:line="308" w:lineRule="auto"/>
        <w:tabs>
          <w:tab w:leader="none" w:pos="30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unless and until the Executive shall have been provided with reasonable notice of and, if possible, a reasonable opportunity to cure the facts and circumstances claimed to provide a basis for termination of the Executive’s employment for Cause.</w:t>
      </w:r>
    </w:p>
    <w:p>
      <w:pPr>
        <w:spacing w:after="0" w:line="123" w:lineRule="exact"/>
        <w:rPr>
          <w:sz w:val="20"/>
          <w:szCs w:val="20"/>
          <w:color w:val="auto"/>
        </w:rPr>
      </w:pPr>
    </w:p>
    <w:p>
      <w:pPr>
        <w:ind w:right="4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w:t>
      </w:r>
    </w:p>
    <w:p>
      <w:pPr>
        <w:sectPr>
          <w:pgSz w:w="11900" w:h="16946" w:orient="portrait"/>
          <w:cols w:equalWidth="0" w:num="1">
            <w:col w:w="11420"/>
          </w:cols>
          <w:pgMar w:left="240" w:top="116" w:right="239" w:bottom="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Energy occurs (each, as defined in subsection (a) below), except as otherwise provided in subsections (b), (c) and (d) below:</w:t>
      </w:r>
    </w:p>
    <w:p>
      <w:pPr>
        <w:spacing w:after="0" w:line="228" w:lineRule="exact"/>
        <w:rPr>
          <w:sz w:val="20"/>
          <w:szCs w:val="20"/>
          <w:color w:val="auto"/>
        </w:rPr>
      </w:pPr>
    </w:p>
    <w:p>
      <w:pPr>
        <w:ind w:right="20" w:firstLine="1305"/>
        <w:spacing w:after="0" w:line="297" w:lineRule="auto"/>
        <w:tabs>
          <w:tab w:leader="none" w:pos="194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20" w:lineRule="exact"/>
        <w:rPr>
          <w:rFonts w:ascii="Arial" w:cs="Arial" w:eastAsia="Arial" w:hAnsi="Arial"/>
          <w:sz w:val="19"/>
          <w:szCs w:val="19"/>
          <w:color w:val="auto"/>
        </w:rPr>
      </w:pPr>
    </w:p>
    <w:p>
      <w:pPr>
        <w:ind w:left="2600" w:hanging="647"/>
        <w:spacing w:after="0"/>
        <w:tabs>
          <w:tab w:leader="none" w:pos="260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227" w:lineRule="exact"/>
        <w:rPr>
          <w:rFonts w:ascii="Arial" w:cs="Arial" w:eastAsia="Arial" w:hAnsi="Arial"/>
          <w:sz w:val="19"/>
          <w:szCs w:val="19"/>
          <w:color w:val="auto"/>
        </w:rPr>
      </w:pPr>
    </w:p>
    <w:p>
      <w:pPr>
        <w:ind w:right="100" w:firstLine="2601"/>
        <w:spacing w:after="0" w:line="297" w:lineRule="auto"/>
        <w:tabs>
          <w:tab w:leader="none" w:pos="3241" w:val="left"/>
        </w:tabs>
        <w:numPr>
          <w:ilvl w:val="2"/>
          <w:numId w:val="156"/>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acquires (or has acquired during the twelve (12) month period ending on the date of the most recent acquisition by such person or persons) ownership of stock of Sempra Energy possessing thirty percent (30%) or more of the total voting power of the stock of Sempra Energy, or</w:t>
      </w:r>
    </w:p>
    <w:p>
      <w:pPr>
        <w:spacing w:after="0" w:line="134" w:lineRule="exact"/>
        <w:rPr>
          <w:rFonts w:ascii="Arial" w:cs="Arial" w:eastAsia="Arial" w:hAnsi="Arial"/>
          <w:sz w:val="19"/>
          <w:szCs w:val="19"/>
          <w:color w:val="auto"/>
        </w:rPr>
      </w:pPr>
    </w:p>
    <w:p>
      <w:pPr>
        <w:jc w:val="both"/>
        <w:ind w:right="380" w:firstLine="2601"/>
        <w:spacing w:after="0"/>
        <w:tabs>
          <w:tab w:leader="none" w:pos="3241" w:val="left"/>
        </w:tabs>
        <w:numPr>
          <w:ilvl w:val="2"/>
          <w:numId w:val="156"/>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172" w:lineRule="exact"/>
        <w:rPr>
          <w:rFonts w:ascii="Arial" w:cs="Arial" w:eastAsia="Arial" w:hAnsi="Arial"/>
          <w:sz w:val="22"/>
          <w:szCs w:val="22"/>
          <w:color w:val="auto"/>
        </w:rPr>
      </w:pPr>
    </w:p>
    <w:p>
      <w:pPr>
        <w:ind w:right="100" w:firstLine="1953"/>
        <w:spacing w:after="0" w:line="236" w:lineRule="auto"/>
        <w:tabs>
          <w:tab w:leader="none" w:pos="2593"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a substantial portion of assets of Sempra Energy</w:t>
      </w:r>
      <w:r>
        <w:rPr>
          <w:rFonts w:ascii="Arial" w:cs="Arial" w:eastAsia="Arial" w:hAnsi="Arial"/>
          <w:sz w:val="22"/>
          <w:szCs w:val="22"/>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74" w:lineRule="exact"/>
        <w:rPr>
          <w:rFonts w:ascii="Arial" w:cs="Arial" w:eastAsia="Arial" w:hAnsi="Arial"/>
          <w:sz w:val="22"/>
          <w:szCs w:val="22"/>
          <w:color w:val="auto"/>
        </w:rPr>
      </w:pPr>
    </w:p>
    <w:p>
      <w:pPr>
        <w:ind w:right="440" w:firstLine="1305"/>
        <w:spacing w:after="0" w:line="251" w:lineRule="auto"/>
        <w:tabs>
          <w:tab w:leader="none" w:pos="194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Sempra Energy</w:t>
      </w:r>
      <w:r>
        <w:rPr>
          <w:rFonts w:ascii="Arial" w:cs="Arial" w:eastAsia="Arial" w:hAnsi="Arial"/>
          <w:sz w:val="22"/>
          <w:szCs w:val="22"/>
          <w:color w:val="auto"/>
        </w:rPr>
        <w:t>” or “</w:t>
      </w:r>
      <w:r>
        <w:rPr>
          <w:rFonts w:ascii="Arial" w:cs="Arial" w:eastAsia="Arial" w:hAnsi="Arial"/>
          <w:sz w:val="22"/>
          <w:szCs w:val="22"/>
          <w:u w:val="single" w:color="auto"/>
          <w:color w:val="auto"/>
        </w:rPr>
        <w:t>a change in the effective control of Sempra Energy</w:t>
      </w:r>
      <w:r>
        <w:rPr>
          <w:rFonts w:ascii="Arial" w:cs="Arial" w:eastAsia="Arial" w:hAnsi="Arial"/>
          <w:sz w:val="22"/>
          <w:szCs w:val="22"/>
          <w:color w:val="auto"/>
        </w:rPr>
        <w:t>” shall not occur under clause (a)(i) or (a)(ii) by reason of any of the following:</w:t>
      </w:r>
    </w:p>
    <w:p>
      <w:pPr>
        <w:spacing w:after="0" w:line="173" w:lineRule="exact"/>
        <w:rPr>
          <w:rFonts w:ascii="Arial" w:cs="Arial" w:eastAsia="Arial" w:hAnsi="Arial"/>
          <w:sz w:val="22"/>
          <w:szCs w:val="22"/>
          <w:color w:val="auto"/>
        </w:rPr>
      </w:pPr>
    </w:p>
    <w:p>
      <w:pPr>
        <w:ind w:right="100" w:firstLine="1953"/>
        <w:spacing w:after="0" w:line="251" w:lineRule="auto"/>
        <w:tabs>
          <w:tab w:leader="none" w:pos="2593" w:val="left"/>
        </w:tabs>
        <w:numPr>
          <w:ilvl w:val="1"/>
          <w:numId w:val="157"/>
        </w:numPr>
        <w:rPr>
          <w:rFonts w:ascii="Arial" w:cs="Arial" w:eastAsia="Arial" w:hAnsi="Arial"/>
          <w:sz w:val="22"/>
          <w:szCs w:val="22"/>
          <w:color w:val="auto"/>
        </w:rPr>
      </w:pPr>
      <w:r>
        <w:rPr>
          <w:rFonts w:ascii="Arial" w:cs="Arial" w:eastAsia="Arial" w:hAnsi="Arial"/>
          <w:sz w:val="22"/>
          <w:szCs w:val="22"/>
          <w:color w:val="auto"/>
        </w:rPr>
        <w:t>an acquisition of ownership of stock of Sempra Energy directly from Sempra Energy or its Affiliates other than in connection with the acquisition by Sempra Energy or its Affiliates of a business,</w:t>
      </w:r>
    </w:p>
    <w:p>
      <w:pPr>
        <w:spacing w:after="0" w:line="159" w:lineRule="exact"/>
        <w:rPr>
          <w:rFonts w:ascii="Arial" w:cs="Arial" w:eastAsia="Arial" w:hAnsi="Arial"/>
          <w:sz w:val="22"/>
          <w:szCs w:val="22"/>
          <w:color w:val="auto"/>
        </w:rPr>
      </w:pPr>
    </w:p>
    <w:p>
      <w:pPr>
        <w:ind w:right="80" w:firstLine="1953"/>
        <w:spacing w:after="0" w:line="235" w:lineRule="auto"/>
        <w:tabs>
          <w:tab w:leader="none" w:pos="2593" w:val="left"/>
        </w:tabs>
        <w:numPr>
          <w:ilvl w:val="1"/>
          <w:numId w:val="157"/>
        </w:numPr>
        <w:rPr>
          <w:rFonts w:ascii="Arial" w:cs="Arial" w:eastAsia="Arial" w:hAnsi="Arial"/>
          <w:sz w:val="22"/>
          <w:szCs w:val="22"/>
          <w:color w:val="auto"/>
        </w:rPr>
      </w:pPr>
      <w:r>
        <w:rPr>
          <w:rFonts w:ascii="Arial" w:cs="Arial" w:eastAsia="Arial" w:hAnsi="Arial"/>
          <w:sz w:val="22"/>
          <w:szCs w:val="22"/>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74" w:lineRule="exact"/>
        <w:rPr>
          <w:rFonts w:ascii="Arial" w:cs="Arial" w:eastAsia="Arial" w:hAnsi="Arial"/>
          <w:sz w:val="22"/>
          <w:szCs w:val="22"/>
          <w:color w:val="auto"/>
        </w:rPr>
      </w:pPr>
    </w:p>
    <w:p>
      <w:pPr>
        <w:ind w:firstLine="1953"/>
        <w:spacing w:after="0" w:line="249" w:lineRule="auto"/>
        <w:tabs>
          <w:tab w:leader="none" w:pos="2593" w:val="left"/>
        </w:tabs>
        <w:numPr>
          <w:ilvl w:val="1"/>
          <w:numId w:val="157"/>
        </w:numPr>
        <w:rPr>
          <w:rFonts w:ascii="Arial" w:cs="Arial" w:eastAsia="Arial" w:hAnsi="Arial"/>
          <w:sz w:val="21"/>
          <w:szCs w:val="21"/>
          <w:color w:val="auto"/>
        </w:rPr>
      </w:pPr>
      <w:r>
        <w:rPr>
          <w:rFonts w:ascii="Arial" w:cs="Arial" w:eastAsia="Arial" w:hAnsi="Arial"/>
          <w:sz w:val="21"/>
          <w:szCs w:val="21"/>
          <w:color w:val="auto"/>
        </w:rPr>
        <w:t>a merger or consolidation effected to implement a recapitalization of Sempra Energy (or similar transaction) in which no Person is or becomes the Beneficial Owner,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78" w:lineRule="exact"/>
        <w:rPr>
          <w:rFonts w:ascii="Arial" w:cs="Arial" w:eastAsia="Arial" w:hAnsi="Arial"/>
          <w:sz w:val="21"/>
          <w:szCs w:val="21"/>
          <w:color w:val="auto"/>
        </w:rPr>
      </w:pPr>
    </w:p>
    <w:p>
      <w:pPr>
        <w:jc w:val="both"/>
        <w:ind w:right="20" w:firstLine="1305"/>
        <w:spacing w:after="0" w:line="252" w:lineRule="auto"/>
        <w:tabs>
          <w:tab w:leader="none" w:pos="1945" w:val="left"/>
        </w:tabs>
        <w:numPr>
          <w:ilvl w:val="0"/>
          <w:numId w:val="158"/>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the ownership of a substantial portion of assets of Sempra Energy</w:t>
      </w:r>
      <w:r>
        <w:rPr>
          <w:rFonts w:ascii="Arial" w:cs="Arial" w:eastAsia="Arial" w:hAnsi="Arial"/>
          <w:sz w:val="21"/>
          <w:szCs w:val="21"/>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60" w:lineRule="exact"/>
        <w:rPr>
          <w:rFonts w:ascii="Arial" w:cs="Arial" w:eastAsia="Arial" w:hAnsi="Arial"/>
          <w:sz w:val="21"/>
          <w:szCs w:val="21"/>
          <w:color w:val="auto"/>
        </w:rPr>
      </w:pPr>
    </w:p>
    <w:p>
      <w:pPr>
        <w:ind w:right="120" w:firstLine="1305"/>
        <w:spacing w:after="0" w:line="238" w:lineRule="auto"/>
        <w:tabs>
          <w:tab w:leader="none" w:pos="194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This definition of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limited to the definition of a “change in control event” relating to Sempra Energy under Treasury Regulation Section 1.409A-3(i)(5).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only occur if there is a “change in control event” relating to Sempra Energy under Treasury Regulation Section 1.409A-3(i)(5) with respect to the Executive.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date on which a Change in Control occurs.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Period</w:t>
      </w:r>
      <w:r>
        <w:rPr>
          <w:rFonts w:ascii="Arial" w:cs="Arial" w:eastAsia="Arial" w:hAnsi="Arial"/>
          <w:sz w:val="22"/>
          <w:szCs w:val="22"/>
          <w:color w:val="auto"/>
        </w:rPr>
        <w:t>” has the meaning assigned thereto in Section 14(e)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has the meaning assigned thereto in Section 5(f) hereof.</w:t>
      </w:r>
    </w:p>
    <w:p>
      <w:pPr>
        <w:spacing w:after="0" w:line="206" w:lineRule="exact"/>
        <w:rPr>
          <w:sz w:val="20"/>
          <w:szCs w:val="20"/>
          <w:color w:val="auto"/>
        </w:rPr>
      </w:pPr>
    </w:p>
    <w:p>
      <w:pPr>
        <w:ind w:right="14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has the meaning set forth in the Company’s long-term disability plan or its successor;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Board may not terminate the Executive’s employment hereunder by reason of Disability unless (i) at the time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termination there is no reasonable expectation that the Executive will return to work within the next ninety (90) day period and (ii) such termination is permitted by all applicable disability laws.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applicable rulings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ectPr>
          <w:pgSz w:w="11900" w:h="16838" w:orient="portrait"/>
          <w:cols w:equalWidth="0" w:num="1">
            <w:col w:w="11400"/>
          </w:cols>
          <w:pgMar w:left="240" w:top="118" w:right="259" w:bottom="0" w:gutter="0" w:footer="0" w:header="0"/>
        </w:sectPr>
      </w:pPr>
    </w:p>
    <w:bookmarkStart w:id="105" w:name="page106"/>
    <w:bookmarkEnd w:id="105"/>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has the meaning assigned thereto in Section 9(a) hereof.</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193" w:lineRule="exact"/>
        <w:rPr>
          <w:sz w:val="20"/>
          <w:szCs w:val="20"/>
          <w:color w:val="auto"/>
        </w:rPr>
      </w:pPr>
    </w:p>
    <w:p>
      <w:pPr>
        <w:jc w:val="both"/>
        <w:ind w:left="-1200" w:right="100" w:firstLine="1305"/>
        <w:spacing w:after="0"/>
        <w:tabs>
          <w:tab w:leader="none" w:pos="74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ind w:left="-1200" w:right="340" w:firstLine="1953"/>
        <w:spacing w:after="0"/>
        <w:tabs>
          <w:tab w:leader="none" w:pos="1393"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72" w:lineRule="exact"/>
        <w:rPr>
          <w:rFonts w:ascii="Arial" w:cs="Arial" w:eastAsia="Arial" w:hAnsi="Arial"/>
          <w:sz w:val="22"/>
          <w:szCs w:val="22"/>
          <w:color w:val="auto"/>
        </w:rPr>
      </w:pPr>
    </w:p>
    <w:p>
      <w:pPr>
        <w:ind w:left="-1200" w:right="60" w:firstLine="1953"/>
        <w:spacing w:after="0"/>
        <w:tabs>
          <w:tab w:leader="none" w:pos="1393" w:val="left"/>
        </w:tabs>
        <w:numPr>
          <w:ilvl w:val="1"/>
          <w:numId w:val="159"/>
        </w:numPr>
        <w:rPr>
          <w:rFonts w:ascii="Arial" w:cs="Arial" w:eastAsia="Arial" w:hAnsi="Arial"/>
          <w:sz w:val="22"/>
          <w:szCs w:val="22"/>
          <w:color w:val="auto"/>
        </w:rPr>
      </w:pPr>
      <w:r>
        <w:rPr>
          <w:rFonts w:ascii="Arial" w:cs="Arial" w:eastAsia="Arial" w:hAnsi="Arial"/>
          <w:sz w:val="22"/>
          <w:szCs w:val="22"/>
          <w:color w:val="auto"/>
        </w:rPr>
        <w:t>a material reduction in the Executive’s overall standing and responsibilities within the Company, but not including (A) a mere change in title or (B) a transfer within the Company, which, in the case of both (A) and (B), does not adversely affect the Executive’s overall status within the Company;</w:t>
      </w:r>
    </w:p>
    <w:p>
      <w:pPr>
        <w:spacing w:after="0" w:line="172" w:lineRule="exact"/>
        <w:rPr>
          <w:rFonts w:ascii="Arial" w:cs="Arial" w:eastAsia="Arial" w:hAnsi="Arial"/>
          <w:sz w:val="22"/>
          <w:szCs w:val="22"/>
          <w:color w:val="auto"/>
        </w:rPr>
      </w:pPr>
    </w:p>
    <w:p>
      <w:pPr>
        <w:ind w:left="-1200" w:right="340" w:firstLine="1953"/>
        <w:spacing w:after="0" w:line="238" w:lineRule="auto"/>
        <w:tabs>
          <w:tab w:leader="none" w:pos="1393" w:val="left"/>
        </w:tabs>
        <w:numPr>
          <w:ilvl w:val="1"/>
          <w:numId w:val="159"/>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85" w:lineRule="exact"/>
        <w:rPr>
          <w:rFonts w:ascii="Arial" w:cs="Arial" w:eastAsia="Arial" w:hAnsi="Arial"/>
          <w:sz w:val="22"/>
          <w:szCs w:val="22"/>
          <w:color w:val="auto"/>
        </w:rPr>
      </w:pPr>
    </w:p>
    <w:p>
      <w:pPr>
        <w:ind w:left="-1200" w:right="80" w:firstLine="1953"/>
        <w:spacing w:after="0"/>
        <w:tabs>
          <w:tab w:leader="none" w:pos="1393"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jc w:val="both"/>
        <w:ind w:left="-1200" w:firstLine="1953"/>
        <w:spacing w:after="0"/>
        <w:tabs>
          <w:tab w:leader="none" w:pos="1393" w:val="left"/>
        </w:tabs>
        <w:numPr>
          <w:ilvl w:val="1"/>
          <w:numId w:val="159"/>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2" w:lineRule="exact"/>
        <w:rPr>
          <w:rFonts w:ascii="Arial" w:cs="Arial" w:eastAsia="Arial" w:hAnsi="Arial"/>
          <w:sz w:val="22"/>
          <w:szCs w:val="22"/>
          <w:color w:val="auto"/>
        </w:rPr>
      </w:pPr>
    </w:p>
    <w:p>
      <w:pPr>
        <w:ind w:left="1400" w:hanging="647"/>
        <w:spacing w:after="0"/>
        <w:tabs>
          <w:tab w:leader="none" w:pos="1400" w:val="left"/>
        </w:tabs>
        <w:numPr>
          <w:ilvl w:val="1"/>
          <w:numId w:val="159"/>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left="-1200" w:right="80" w:firstLine="1953"/>
        <w:spacing w:after="0" w:line="251" w:lineRule="auto"/>
        <w:tabs>
          <w:tab w:leader="none" w:pos="1393"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59" w:lineRule="exact"/>
        <w:rPr>
          <w:rFonts w:ascii="Arial" w:cs="Arial" w:eastAsia="Arial" w:hAnsi="Arial"/>
          <w:sz w:val="22"/>
          <w:szCs w:val="22"/>
          <w:color w:val="auto"/>
        </w:rPr>
      </w:pPr>
    </w:p>
    <w:p>
      <w:pPr>
        <w:ind w:left="1400" w:hanging="647"/>
        <w:spacing w:after="0"/>
        <w:tabs>
          <w:tab w:leader="none" w:pos="140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192" w:lineRule="exact"/>
        <w:rPr>
          <w:rFonts w:ascii="Arial" w:cs="Arial" w:eastAsia="Arial" w:hAnsi="Arial"/>
          <w:sz w:val="22"/>
          <w:szCs w:val="22"/>
          <w:color w:val="auto"/>
        </w:rPr>
      </w:pPr>
    </w:p>
    <w:p>
      <w:pPr>
        <w:ind w:left="-1200" w:right="60" w:firstLine="1305"/>
        <w:spacing w:after="0"/>
        <w:tabs>
          <w:tab w:leader="none" w:pos="74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3 hereof):</w:t>
      </w:r>
    </w:p>
    <w:p>
      <w:pPr>
        <w:spacing w:after="0" w:line="186" w:lineRule="exact"/>
        <w:rPr>
          <w:rFonts w:ascii="Arial" w:cs="Arial" w:eastAsia="Arial" w:hAnsi="Arial"/>
          <w:sz w:val="22"/>
          <w:szCs w:val="22"/>
          <w:color w:val="auto"/>
        </w:rPr>
      </w:pPr>
    </w:p>
    <w:p>
      <w:pPr>
        <w:ind w:left="-1200" w:right="260" w:firstLine="1953"/>
        <w:spacing w:after="0" w:line="251" w:lineRule="auto"/>
        <w:tabs>
          <w:tab w:leader="none" w:pos="1393" w:val="left"/>
        </w:tabs>
        <w:numPr>
          <w:ilvl w:val="1"/>
          <w:numId w:val="159"/>
        </w:numPr>
        <w:rPr>
          <w:rFonts w:ascii="Arial" w:cs="Arial" w:eastAsia="Arial" w:hAnsi="Arial"/>
          <w:sz w:val="22"/>
          <w:szCs w:val="22"/>
          <w:color w:val="auto"/>
        </w:rPr>
      </w:pPr>
      <w:r>
        <w:rPr>
          <w:rFonts w:ascii="Arial" w:cs="Arial" w:eastAsia="Arial" w:hAnsi="Arial"/>
          <w:sz w:val="22"/>
          <w:szCs w:val="22"/>
          <w:color w:val="auto"/>
        </w:rPr>
        <w:t>an adverse change in the Executive’s title, authority, duties, responsibilities or reporting lines as in effect immediately prior to the Change in Control;</w:t>
      </w:r>
    </w:p>
    <w:p>
      <w:pPr>
        <w:spacing w:after="0" w:line="159" w:lineRule="exact"/>
        <w:rPr>
          <w:rFonts w:ascii="Arial" w:cs="Arial" w:eastAsia="Arial" w:hAnsi="Arial"/>
          <w:sz w:val="22"/>
          <w:szCs w:val="22"/>
          <w:color w:val="auto"/>
        </w:rPr>
      </w:pPr>
    </w:p>
    <w:p>
      <w:pPr>
        <w:ind w:left="-1200" w:right="20" w:firstLine="1953"/>
        <w:spacing w:after="0" w:line="245" w:lineRule="auto"/>
        <w:tabs>
          <w:tab w:leader="none" w:pos="1393" w:val="left"/>
        </w:tabs>
        <w:numPr>
          <w:ilvl w:val="1"/>
          <w:numId w:val="159"/>
        </w:numPr>
        <w:rPr>
          <w:rFonts w:ascii="Arial" w:cs="Arial" w:eastAsia="Arial" w:hAnsi="Arial"/>
          <w:sz w:val="21"/>
          <w:szCs w:val="21"/>
          <w:color w:val="auto"/>
        </w:rPr>
      </w:pPr>
      <w:r>
        <w:rPr>
          <w:rFonts w:ascii="Arial" w:cs="Arial" w:eastAsia="Arial" w:hAnsi="Arial"/>
          <w:sz w:val="21"/>
          <w:szCs w:val="21"/>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71" w:lineRule="exact"/>
        <w:rPr>
          <w:rFonts w:ascii="Arial" w:cs="Arial" w:eastAsia="Arial" w:hAnsi="Arial"/>
          <w:sz w:val="21"/>
          <w:szCs w:val="21"/>
          <w:color w:val="auto"/>
        </w:rPr>
      </w:pPr>
    </w:p>
    <w:p>
      <w:pPr>
        <w:ind w:left="-1200" w:right="40" w:firstLine="1953"/>
        <w:spacing w:after="0" w:line="234" w:lineRule="auto"/>
        <w:tabs>
          <w:tab w:leader="none" w:pos="1393"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immediately prior to the Change in Control Date (the “</w:t>
      </w:r>
      <w:r>
        <w:rPr>
          <w:rFonts w:ascii="Arial" w:cs="Arial" w:eastAsia="Arial" w:hAnsi="Arial"/>
          <w:sz w:val="22"/>
          <w:szCs w:val="22"/>
          <w:u w:val="single" w:color="auto"/>
          <w:color w:val="auto"/>
        </w:rPr>
        <w:t>Principal Location</w:t>
      </w:r>
      <w:r>
        <w:rPr>
          <w:rFonts w:ascii="Arial" w:cs="Arial" w:eastAsia="Arial" w:hAnsi="Arial"/>
          <w:sz w:val="22"/>
          <w:szCs w:val="22"/>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91" w:lineRule="exact"/>
        <w:rPr>
          <w:rFonts w:ascii="Arial" w:cs="Arial" w:eastAsia="Arial" w:hAnsi="Arial"/>
          <w:sz w:val="22"/>
          <w:szCs w:val="22"/>
          <w:color w:val="auto"/>
        </w:rPr>
      </w:pPr>
    </w:p>
    <w:p>
      <w:pPr>
        <w:ind w:left="-1200" w:right="80" w:firstLine="1953"/>
        <w:spacing w:after="0"/>
        <w:tabs>
          <w:tab w:leader="none" w:pos="1393"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jc w:val="both"/>
        <w:ind w:left="-1200" w:firstLine="1953"/>
        <w:spacing w:after="0"/>
        <w:tabs>
          <w:tab w:leader="none" w:pos="1393" w:val="left"/>
        </w:tabs>
        <w:numPr>
          <w:ilvl w:val="1"/>
          <w:numId w:val="159"/>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86" w:lineRule="exact"/>
        <w:rPr>
          <w:rFonts w:ascii="Arial" w:cs="Arial" w:eastAsia="Arial" w:hAnsi="Arial"/>
          <w:sz w:val="22"/>
          <w:szCs w:val="22"/>
          <w:color w:val="auto"/>
        </w:rPr>
      </w:pPr>
    </w:p>
    <w:p>
      <w:pPr>
        <w:ind w:left="1400" w:hanging="647"/>
        <w:spacing w:after="0"/>
        <w:tabs>
          <w:tab w:leader="none" w:pos="1400" w:val="left"/>
        </w:tabs>
        <w:numPr>
          <w:ilvl w:val="1"/>
          <w:numId w:val="159"/>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ectPr>
          <w:pgSz w:w="11900" w:h="16838" w:orient="portrait"/>
          <w:cols w:equalWidth="0" w:num="1">
            <w:col w:w="10200"/>
          </w:cols>
          <w:pgMar w:left="1440" w:top="118" w:right="259" w:bottom="0" w:gutter="0" w:footer="0" w:header="0"/>
        </w:sectPr>
      </w:pPr>
    </w:p>
    <w:bookmarkStart w:id="106" w:name="page107"/>
    <w:bookmarkEnd w:id="106"/>
    <w:p>
      <w:pPr>
        <w:ind w:right="100" w:firstLine="1953"/>
        <w:spacing w:after="0" w:line="251" w:lineRule="auto"/>
        <w:tabs>
          <w:tab w:leader="none" w:pos="2593"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11 of this Agreement requires it to provide; or</w:t>
      </w:r>
    </w:p>
    <w:p>
      <w:pPr>
        <w:spacing w:after="0" w:line="160" w:lineRule="exact"/>
        <w:rPr>
          <w:rFonts w:ascii="Arial" w:cs="Arial" w:eastAsia="Arial" w:hAnsi="Arial"/>
          <w:sz w:val="22"/>
          <w:szCs w:val="22"/>
          <w:color w:val="auto"/>
        </w:rPr>
      </w:pPr>
    </w:p>
    <w:p>
      <w:pPr>
        <w:ind w:left="2600" w:hanging="647"/>
        <w:spacing w:after="0"/>
        <w:tabs>
          <w:tab w:leader="none" w:pos="26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206"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8" w:lineRule="exact"/>
        <w:rPr>
          <w:sz w:val="20"/>
          <w:szCs w:val="20"/>
          <w:color w:val="auto"/>
        </w:rPr>
      </w:pPr>
    </w:p>
    <w:p>
      <w:pPr>
        <w:ind w:left="60" w:right="700" w:firstLine="1243"/>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Plans</w:t>
      </w:r>
      <w:r>
        <w:rPr>
          <w:rFonts w:ascii="Arial" w:cs="Arial" w:eastAsia="Arial" w:hAnsi="Arial"/>
          <w:sz w:val="22"/>
          <w:szCs w:val="22"/>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86" w:lineRule="exact"/>
        <w:rPr>
          <w:sz w:val="20"/>
          <w:szCs w:val="20"/>
          <w:color w:val="auto"/>
        </w:rPr>
      </w:pPr>
    </w:p>
    <w:p>
      <w:pPr>
        <w:ind w:right="2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(a) the Executive’s Separation from Service by reason of a termination of employment by the Company other than for Cause, death, or Disability, or (b) the Executive’s Separation from Service by reason of resignation of employment with the Company for Good Reason.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has the meaning assigned thereto in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assigned thereto in Section 3(a)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thereto in Section 9(a)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has the meaning assigned thereto in Section 3(b) hereof.</w:t>
      </w:r>
    </w:p>
    <w:p>
      <w:pPr>
        <w:spacing w:after="0" w:line="206" w:lineRule="exact"/>
        <w:rPr>
          <w:sz w:val="20"/>
          <w:szCs w:val="20"/>
          <w:color w:val="auto"/>
        </w:rPr>
      </w:pPr>
    </w:p>
    <w:p>
      <w:pPr>
        <w:ind w:right="1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Accrued Obligations</w:t>
      </w:r>
      <w:r>
        <w:rPr>
          <w:rFonts w:ascii="Arial" w:cs="Arial" w:eastAsia="Arial" w:hAnsi="Arial"/>
          <w:sz w:val="22"/>
          <w:szCs w:val="22"/>
          <w:color w:val="auto"/>
        </w:rPr>
        <w:t>” has the meaning assigned thereto in Section 6(a)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Severance Payment</w:t>
      </w:r>
      <w:r>
        <w:rPr>
          <w:rFonts w:ascii="Arial" w:cs="Arial" w:eastAsia="Arial" w:hAnsi="Arial"/>
          <w:sz w:val="22"/>
          <w:szCs w:val="22"/>
          <w:color w:val="auto"/>
        </w:rPr>
        <w:t>” has the meaning assigned thereto in Section 6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Accrued Obligations</w:t>
      </w:r>
      <w:r>
        <w:rPr>
          <w:rFonts w:ascii="Arial" w:cs="Arial" w:eastAsia="Arial" w:hAnsi="Arial"/>
          <w:sz w:val="22"/>
          <w:szCs w:val="22"/>
          <w:color w:val="auto"/>
        </w:rPr>
        <w:t>” has the meaning assigned thereto in Section 5(a)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Severance Payment</w:t>
      </w:r>
      <w:r>
        <w:rPr>
          <w:rFonts w:ascii="Arial" w:cs="Arial" w:eastAsia="Arial" w:hAnsi="Arial"/>
          <w:sz w:val="22"/>
          <w:szCs w:val="22"/>
          <w:color w:val="auto"/>
        </w:rPr>
        <w:t>” has the meaning assigned thereto in Section 5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has the meaning assigned thereto in Section 14(a)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has the meaning assigned thereto in Section 14(d) hereof.</w:t>
      </w:r>
    </w:p>
    <w:p>
      <w:pPr>
        <w:spacing w:after="0" w:line="206" w:lineRule="exact"/>
        <w:rPr>
          <w:sz w:val="20"/>
          <w:szCs w:val="20"/>
          <w:color w:val="auto"/>
        </w:rPr>
      </w:pPr>
    </w:p>
    <w:p>
      <w:pPr>
        <w:ind w:right="4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409A Payments</w:t>
      </w:r>
      <w:r>
        <w:rPr>
          <w:rFonts w:ascii="Arial" w:cs="Arial" w:eastAsia="Arial" w:hAnsi="Arial"/>
          <w:sz w:val="21"/>
          <w:szCs w:val="21"/>
          <w:color w:val="auto"/>
        </w:rPr>
        <w:t>” means any of the following: (a) the Payment in Lieu of Notice; (b) the Pre-Change in Control Severance Payment; (c) the Post-Change in Control Severance Payment; (d) the Additional Post-Change in Control Severance Payment; (e) the Consulting Payment; (f) the payment under Section 6(b) (but only to the extent such payment or portion thereof is subject to Section 409A of the Code); (g) the financial planning services and the related payments provided under Sections 5(e) and 6(f); and (h) the legal fees and expenses reimbursed under Section 15.</w:t>
      </w:r>
    </w:p>
    <w:p>
      <w:pPr>
        <w:spacing w:after="0" w:line="179"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05" w:lineRule="exact"/>
        <w:rPr>
          <w:sz w:val="20"/>
          <w:szCs w:val="20"/>
          <w:color w:val="auto"/>
        </w:rPr>
      </w:pPr>
    </w:p>
    <w:p>
      <w:pPr>
        <w:ind w:right="1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with respect to the Executive (or another Service Provider), means the Executive’s (or such Service Provider’s) (a) termination of employment or (b) other termination or reduction in services, provided that such termination or reduction in clause (a) or (b) constitutes a “separation from service,” as defined in Treasury Regulation Section 1.409A-1(h), with respect to the Service Recipient.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w:t>
      </w:r>
      <w:r>
        <w:rPr>
          <w:rFonts w:ascii="Arial" w:cs="Arial" w:eastAsia="Arial" w:hAnsi="Arial"/>
          <w:sz w:val="22"/>
          <w:szCs w:val="22"/>
          <w:color w:val="auto"/>
        </w:rPr>
        <w:t>” has the meaning assigned thereto in Section 6(b)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Provider</w:t>
      </w:r>
      <w:r>
        <w:rPr>
          <w:rFonts w:ascii="Arial" w:cs="Arial" w:eastAsia="Arial" w:hAnsi="Arial"/>
          <w:sz w:val="19"/>
          <w:szCs w:val="19"/>
          <w:color w:val="auto"/>
        </w:rPr>
        <w:t>” means the Executive or any other “service provider,” as defined in Treasury Regulation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1.409A-1(f).</w:t>
      </w:r>
    </w:p>
    <w:p>
      <w:pPr>
        <w:sectPr>
          <w:pgSz w:w="11900" w:h="16838" w:orient="portrait"/>
          <w:cols w:equalWidth="0" w:num="1">
            <w:col w:w="11420"/>
          </w:cols>
          <w:pgMar w:left="240" w:top="118" w:right="239" w:bottom="0" w:gutter="0" w:footer="0" w:header="0"/>
        </w:sectPr>
      </w:pPr>
    </w:p>
    <w:bookmarkStart w:id="107" w:name="page108"/>
    <w:bookmarkEnd w:id="107"/>
    <w:p>
      <w:pPr>
        <w:ind w:right="20" w:firstLine="12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Recipient</w:t>
      </w:r>
      <w:r>
        <w:rPr>
          <w:rFonts w:ascii="Arial" w:cs="Arial" w:eastAsia="Arial" w:hAnsi="Arial"/>
          <w:sz w:val="21"/>
          <w:szCs w:val="21"/>
          <w:color w:val="auto"/>
        </w:rPr>
        <w:t>,” with respect to the Executive, means Sempra Energy (if the Executive is employed by Sempra Energy), or the subsidiary of Sempra Energy employing the Executive, whichever is applicable, and all persons considered part of the “service recipient,” as defined in Treasury Regulation Section 1.409A-1(g), as determined from time to time. As provided in Treasury Regulation Section 1.409A-1(g), the “</w:t>
      </w:r>
      <w:r>
        <w:rPr>
          <w:rFonts w:ascii="Arial" w:cs="Arial" w:eastAsia="Arial" w:hAnsi="Arial"/>
          <w:sz w:val="21"/>
          <w:szCs w:val="21"/>
          <w:u w:val="single" w:color="auto"/>
          <w:color w:val="auto"/>
        </w:rPr>
        <w:t>Service Recipient</w:t>
      </w:r>
      <w:r>
        <w:rPr>
          <w:rFonts w:ascii="Arial" w:cs="Arial" w:eastAsia="Arial" w:hAnsi="Arial"/>
          <w:sz w:val="21"/>
          <w:szCs w:val="21"/>
          <w:color w:val="auto"/>
        </w:rPr>
        <w: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78"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w:t>
      </w:r>
      <w:r>
        <w:rPr>
          <w:rFonts w:ascii="Arial" w:cs="Arial" w:eastAsia="Arial" w:hAnsi="Arial"/>
          <w:sz w:val="19"/>
          <w:szCs w:val="19"/>
          <w:color w:val="auto"/>
        </w:rPr>
        <w:t>” means a Service Provider who, as of the date of the Service Provider’s Separation from Service is a “</w:t>
      </w:r>
      <w:r>
        <w:rPr>
          <w:rFonts w:ascii="Arial" w:cs="Arial" w:eastAsia="Arial" w:hAnsi="Arial"/>
          <w:sz w:val="19"/>
          <w:szCs w:val="19"/>
          <w:u w:val="single" w:color="auto"/>
          <w:color w:val="auto"/>
        </w:rPr>
        <w:t>Key Employee</w:t>
      </w:r>
      <w:r>
        <w:rPr>
          <w:rFonts w:ascii="Arial" w:cs="Arial" w:eastAsia="Arial" w:hAnsi="Arial"/>
          <w:sz w:val="19"/>
          <w:szCs w:val="19"/>
          <w:color w:val="auto"/>
        </w:rPr>
        <w:t>” of the Service Recipient any stock of which is publicly traded on an established securities market or otherwise. For purposes of this definition,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if the Service Provider meets the requirements of Section 416(i)(1)(A)(i), (ii) or (iii) of the Code (applied in accordance with the Treasury Regulations thereunder and disregarding Section 416(i)(5) of the Code) at any time during the Testing Year. If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(as defined above) as of a Specified Employee Identification Date, the Service Provider shall be treated as “</w:t>
      </w:r>
      <w:r>
        <w:rPr>
          <w:rFonts w:ascii="Arial" w:cs="Arial" w:eastAsia="Arial" w:hAnsi="Arial"/>
          <w:sz w:val="19"/>
          <w:szCs w:val="19"/>
          <w:u w:val="single" w:color="auto"/>
          <w:color w:val="auto"/>
        </w:rPr>
        <w:t>Key Employee</w:t>
      </w:r>
      <w:r>
        <w:rPr>
          <w:rFonts w:ascii="Arial" w:cs="Arial" w:eastAsia="Arial" w:hAnsi="Arial"/>
          <w:sz w:val="19"/>
          <w:szCs w:val="19"/>
          <w:color w:val="auto"/>
        </w:rPr>
        <w:t>” for the entire twelve (12) month period beginning on the Specified Employee Effective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 1.415(c)-2(d), were not using any of the elective special timing rules provided in Treasury Regulation Section</w:t>
      </w:r>
    </w:p>
    <w:p>
      <w:pPr>
        <w:ind w:right="60"/>
        <w:spacing w:after="0" w:line="234" w:lineRule="auto"/>
        <w:rPr>
          <w:sz w:val="20"/>
          <w:szCs w:val="20"/>
          <w:color w:val="auto"/>
        </w:rPr>
      </w:pPr>
      <w:r>
        <w:rPr>
          <w:rFonts w:ascii="Arial" w:cs="Arial" w:eastAsia="Arial" w:hAnsi="Arial"/>
          <w:sz w:val="22"/>
          <w:szCs w:val="22"/>
          <w:color w:val="auto"/>
        </w:rPr>
        <w:t>1.415(c)-2(e), and were not using any of the elective special rules provided in Treasury Regulation Section 1.415(c)-2(g)), from the Service Recipient for such Testing Year. The “Specified Employees” shall be determined in accordance with Section 409A(a)(2) (B)(i) of the Code and Treasury Regulation Section 1.409A-1(i).</w:t>
      </w:r>
    </w:p>
    <w:p>
      <w:pPr>
        <w:spacing w:after="0" w:line="187" w:lineRule="exact"/>
        <w:rPr>
          <w:sz w:val="20"/>
          <w:szCs w:val="20"/>
          <w:color w:val="auto"/>
        </w:rPr>
      </w:pPr>
    </w:p>
    <w:p>
      <w:pPr>
        <w:jc w:val="both"/>
        <w:ind w:right="3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Effective Date</w:t>
      </w:r>
      <w:r>
        <w:rPr>
          <w:rFonts w:ascii="Arial" w:cs="Arial" w:eastAsia="Arial" w:hAnsi="Arial"/>
          <w:sz w:val="22"/>
          <w:szCs w:val="22"/>
          <w:color w:val="auto"/>
        </w:rPr>
        <w:t>” means the first day of the fourth month following the Specified Employee Identification Date. The Specified Employee Effective Date may be changed by Sempra Energy, in its discretion, in accordance with Treasury Regulation Section 1.409A-1(i)(4).</w:t>
      </w:r>
    </w:p>
    <w:p>
      <w:pPr>
        <w:spacing w:after="0" w:line="186" w:lineRule="exact"/>
        <w:rPr>
          <w:sz w:val="20"/>
          <w:szCs w:val="20"/>
          <w:color w:val="auto"/>
        </w:rPr>
      </w:pPr>
    </w:p>
    <w:p>
      <w:pPr>
        <w:ind w:right="2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for purposes of Treasury Regulation Section 1.409A-1(i)(3), shall mean December 31. The “</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shall apply to all “nonqualified deferred compensation plans” (as defined in Treasury Regulation Section 1.409A-1(a)) of the Service Recipient and all affected Service Providers. The “</w:t>
      </w:r>
      <w:r>
        <w:rPr>
          <w:rFonts w:ascii="Arial" w:cs="Arial" w:eastAsia="Arial" w:hAnsi="Arial"/>
          <w:sz w:val="22"/>
          <w:szCs w:val="22"/>
          <w:u w:val="single" w:color="auto"/>
          <w:color w:val="auto"/>
        </w:rPr>
        <w:t>Specified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 Identification Date</w:t>
      </w:r>
      <w:r>
        <w:rPr>
          <w:rFonts w:ascii="Arial" w:cs="Arial" w:eastAsia="Arial" w:hAnsi="Arial"/>
          <w:sz w:val="22"/>
          <w:szCs w:val="22"/>
          <w:color w:val="auto"/>
        </w:rPr>
        <w:t>” may be changed by Sempra Energy, in its discretion, in accordance with Treasury Regulation Section 1.409A-1(i)(3).</w:t>
      </w:r>
    </w:p>
    <w:p>
      <w:pPr>
        <w:spacing w:after="0" w:line="188"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Year</w:t>
      </w:r>
      <w:r>
        <w:rPr>
          <w:rFonts w:ascii="Arial" w:cs="Arial" w:eastAsia="Arial" w:hAnsi="Arial"/>
          <w:sz w:val="22"/>
          <w:szCs w:val="22"/>
          <w:color w:val="auto"/>
        </w:rPr>
        <w:t>” shall mean the twelve (12) month period ending on the Specified Employee Identification Date, as determined from time to time.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Underpayment</w:t>
      </w:r>
      <w:r>
        <w:rPr>
          <w:rFonts w:ascii="Arial" w:cs="Arial" w:eastAsia="Arial" w:hAnsi="Arial"/>
          <w:sz w:val="22"/>
          <w:szCs w:val="22"/>
          <w:color w:val="auto"/>
        </w:rPr>
        <w:t>” has the meaning assigned thereto in Section 9(b) hereof.</w:t>
      </w:r>
    </w:p>
    <w:p>
      <w:pPr>
        <w:spacing w:after="0" w:line="206"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For purposes of this Agreement, references to any “</w:t>
      </w:r>
      <w:r>
        <w:rPr>
          <w:rFonts w:ascii="Arial" w:cs="Arial" w:eastAsia="Arial" w:hAnsi="Arial"/>
          <w:sz w:val="22"/>
          <w:szCs w:val="22"/>
          <w:u w:val="single" w:color="auto"/>
          <w:color w:val="auto"/>
        </w:rPr>
        <w:t>Treasury Regulation</w:t>
      </w:r>
      <w:r>
        <w:rPr>
          <w:rFonts w:ascii="Arial" w:cs="Arial" w:eastAsia="Arial" w:hAnsi="Arial"/>
          <w:sz w:val="22"/>
          <w:szCs w:val="22"/>
          <w:color w:val="auto"/>
        </w:rPr>
        <w:t>” shall mean such Treasury Regulation as in effect on the date hereof.</w:t>
      </w:r>
    </w:p>
    <w:p>
      <w:pPr>
        <w:spacing w:after="0" w:line="160" w:lineRule="exact"/>
        <w:rPr>
          <w:sz w:val="20"/>
          <w:szCs w:val="20"/>
          <w:color w:val="auto"/>
        </w:rPr>
      </w:pPr>
    </w:p>
    <w:p>
      <w:pPr>
        <w:ind w:firstLine="1297"/>
        <w:spacing w:after="0" w:line="275" w:lineRule="auto"/>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9"/>
          <w:szCs w:val="19"/>
          <w:u w:val="single" w:color="auto"/>
          <w:color w:val="auto"/>
        </w:rPr>
        <w:t>Sarbanes-Oxley Act of 2002</w:t>
      </w:r>
      <w:r>
        <w:rPr>
          <w:rFonts w:ascii="Arial" w:cs="Arial" w:eastAsia="Arial" w:hAnsi="Arial"/>
          <w:sz w:val="19"/>
          <w:szCs w:val="19"/>
          <w:color w:val="auto"/>
        </w:rPr>
        <w:t>. Notwithstanding anything herein to the contrary, if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in its good faith judgment, that any provision of this Agreement is likely to be interpreted as a personal loan prohibited by the Sarbanes-Oxley Act of 2002 and the rules and regulations promulgated thereunder (the “</w:t>
      </w:r>
      <w:r>
        <w:rPr>
          <w:rFonts w:ascii="Arial" w:cs="Arial" w:eastAsia="Arial" w:hAnsi="Arial"/>
          <w:sz w:val="19"/>
          <w:szCs w:val="19"/>
          <w:u w:val="single" w:color="auto"/>
          <w:color w:val="auto"/>
        </w:rPr>
        <w:t>Act</w:t>
      </w:r>
      <w:r>
        <w:rPr>
          <w:rFonts w:ascii="Arial" w:cs="Arial" w:eastAsia="Arial" w:hAnsi="Arial"/>
          <w:sz w:val="19"/>
          <w:szCs w:val="19"/>
          <w:color w:val="auto"/>
        </w:rPr>
        <w:t>”), then such provision shall be modified as necessary or appropriate so as to not violate the Act; and if this cannot be accomplished, then the Company shall use its reasonable efforts to provide the Executive with similar, but lawful, substitute benefit(s) at a cost to the Company not to significantly exceed the amount the Company would have otherwise paid to provide such benefit(s) to the Executive. In addition, if the Executive is required to forfeit or to make any repayment of any compensation or benefit(s) to the Company under the Act or any other law, such forfeiture or repayment shall not constitute Good Reason.</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u w:val="single" w:color="auto"/>
          <w:color w:val="auto"/>
        </w:rPr>
        <w:t>Notice and Date of Termination</w:t>
      </w:r>
      <w:r>
        <w:rPr>
          <w:rFonts w:ascii="Arial" w:cs="Arial" w:eastAsia="Arial" w:hAnsi="Arial"/>
          <w:sz w:val="19"/>
          <w:szCs w:val="19"/>
          <w:color w:val="auto"/>
        </w:rPr>
        <w:t>.</w:t>
      </w:r>
    </w:p>
    <w:p>
      <w:pPr>
        <w:spacing w:after="0" w:line="199" w:lineRule="exact"/>
        <w:rPr>
          <w:sz w:val="20"/>
          <w:szCs w:val="20"/>
          <w:color w:val="auto"/>
        </w:rPr>
      </w:pPr>
    </w:p>
    <w:p>
      <w:pPr>
        <w:ind w:right="120" w:firstLine="1305"/>
        <w:spacing w:after="0" w:line="279" w:lineRule="auto"/>
        <w:tabs>
          <w:tab w:leader="none" w:pos="1945"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37" w:lineRule="exact"/>
        <w:rPr>
          <w:rFonts w:ascii="Arial" w:cs="Arial" w:eastAsia="Arial" w:hAnsi="Arial"/>
          <w:sz w:val="19"/>
          <w:szCs w:val="19"/>
          <w:color w:val="auto"/>
        </w:rPr>
      </w:pPr>
    </w:p>
    <w:p>
      <w:pPr>
        <w:ind w:right="40" w:firstLine="1305"/>
        <w:spacing w:after="0" w:line="272" w:lineRule="auto"/>
        <w:tabs>
          <w:tab w:leader="none" w:pos="1945"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date of the Executive’s termination of employment with the Company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be determined as follows: (i) if the Executive has a Separation from Service by reason of the Company terminating his or her employment, either with or without Cause,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19"/>
          <w:szCs w:val="19"/>
          <w:u w:val="single" w:color="auto"/>
          <w:color w:val="auto"/>
        </w:rPr>
        <w:t>Payment in Lieu of Notice</w:t>
      </w:r>
      <w:r>
        <w:rPr>
          <w:rFonts w:ascii="Arial" w:cs="Arial" w:eastAsia="Arial" w:hAnsi="Arial"/>
          <w:sz w:val="19"/>
          <w:szCs w:val="19"/>
          <w:color w:val="auto"/>
        </w:rPr>
        <w:t xml:space="preserve">”) equal to two (2) weeks of the Executive’s Annual Base Salary in effect on the Date of Termination), and (ii) if the basis for the Executive’s Involuntary Termination is his resignation for Good Reason, the Date of Termination shall be determined by the Executive and specified in the Notice of Termination, but shall not in any event be less than fifteen (15) days nor more than sixty (60) days after the date such Notice of Termination is given. The Payment in Lieu of Notice shall be paid on such date as is determined by the Company within thirty (30) days after the date of the Executive’s Separation from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his or her Separation from Service, such Payment in Lieu of Notice shall be paid as provided in Section 10 hereof.</w:t>
      </w:r>
    </w:p>
    <w:p>
      <w:pPr>
        <w:sectPr>
          <w:pgSz w:w="11900" w:h="16838" w:orient="portrait"/>
          <w:cols w:equalWidth="0" w:num="1">
            <w:col w:w="11420"/>
          </w:cols>
          <w:pgMar w:left="240" w:top="118" w:right="239" w:bottom="0" w:gutter="0" w:footer="0" w:header="0"/>
        </w:sectPr>
      </w:pPr>
    </w:p>
    <w:bookmarkStart w:id="108" w:name="page109"/>
    <w:bookmarkEnd w:id="108"/>
    <w:p>
      <w:pPr>
        <w:spacing w:after="0" w:line="29" w:lineRule="exact"/>
        <w:rPr>
          <w:sz w:val="20"/>
          <w:szCs w:val="20"/>
          <w:color w:val="auto"/>
        </w:rPr>
      </w:pPr>
    </w:p>
    <w:p>
      <w:pPr>
        <w:ind w:right="100" w:firstLine="1297"/>
        <w:spacing w:after="0" w:line="301"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membership on the Board, the board of directors of any of the Company’s Affiliates, any committees of the Board and any committees of the board of directors of any of the Company’s Affiliates, if applicable, shall be automatically terminated.</w:t>
      </w:r>
    </w:p>
    <w:p>
      <w:pPr>
        <w:spacing w:after="0" w:line="116" w:lineRule="exact"/>
        <w:rPr>
          <w:sz w:val="20"/>
          <w:szCs w:val="20"/>
          <w:color w:val="auto"/>
        </w:rPr>
      </w:pPr>
    </w:p>
    <w:p>
      <w:pPr>
        <w:ind w:right="80" w:firstLine="1297"/>
        <w:spacing w:after="0" w:line="269"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u w:val="single" w:color="auto"/>
          <w:color w:val="auto"/>
        </w:rPr>
        <w:t>Severance Benefits upon Involuntary Termination Prior to Change in Control</w:t>
      </w:r>
      <w:r>
        <w:rPr>
          <w:rFonts w:ascii="Arial" w:cs="Arial" w:eastAsia="Arial" w:hAnsi="Arial"/>
          <w:sz w:val="19"/>
          <w:szCs w:val="19"/>
          <w:color w:val="auto"/>
        </w:rPr>
        <w:t>. Except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6 and Section 19(i) hereof, in the event of the Involuntary Termination of the Executive prior to a Change in Control, the Company shall pay the Executive, in one lump sum cash payment, an amount (the “</w:t>
      </w:r>
      <w:r>
        <w:rPr>
          <w:rFonts w:ascii="Arial" w:cs="Arial" w:eastAsia="Arial" w:hAnsi="Arial"/>
          <w:sz w:val="19"/>
          <w:szCs w:val="19"/>
          <w:u w:val="single" w:color="auto"/>
          <w:color w:val="auto"/>
        </w:rPr>
        <w:t>Pre-Change in Control Severance Payment</w:t>
      </w:r>
      <w:r>
        <w:rPr>
          <w:rFonts w:ascii="Arial" w:cs="Arial" w:eastAsia="Arial" w:hAnsi="Arial"/>
          <w:sz w:val="19"/>
          <w:szCs w:val="19"/>
          <w:color w:val="auto"/>
        </w:rPr>
        <w:t>”) equal to one-half (0.5) times the greater of: (X) 170%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Except as provided in Section 5(f), the Pre-Change in Control Severance Payment and the payment under Section 5(a) shall be paid on such date as is determined by the Company within thirty</w:t>
      </w:r>
    </w:p>
    <w:p>
      <w:pPr>
        <w:spacing w:after="0" w:line="4" w:lineRule="exact"/>
        <w:rPr>
          <w:sz w:val="20"/>
          <w:szCs w:val="20"/>
          <w:color w:val="auto"/>
        </w:rPr>
      </w:pPr>
    </w:p>
    <w:p>
      <w:pPr>
        <w:ind w:firstLine="8"/>
        <w:spacing w:after="0" w:line="249" w:lineRule="auto"/>
        <w:tabs>
          <w:tab w:leader="none" w:pos="414"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days after the date of the Involuntary Termination;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the Executive’s Involuntary Termination, the Pre-Change in Control Severance Payment and the financial planning services and the related payments provided under Section 5(e) shall be paid as provided in Section 10 hereof.</w:t>
      </w:r>
    </w:p>
    <w:p>
      <w:pPr>
        <w:spacing w:after="0" w:line="175" w:lineRule="exact"/>
        <w:rPr>
          <w:rFonts w:ascii="Arial" w:cs="Arial" w:eastAsia="Arial" w:hAnsi="Arial"/>
          <w:sz w:val="21"/>
          <w:szCs w:val="21"/>
          <w:color w:val="auto"/>
        </w:rPr>
      </w:pPr>
    </w:p>
    <w:p>
      <w:pPr>
        <w:ind w:left="1960" w:hanging="655"/>
        <w:spacing w:after="0"/>
        <w:tabs>
          <w:tab w:leader="none" w:pos="1960" w:val="left"/>
        </w:tabs>
        <w:numPr>
          <w:ilvl w:val="1"/>
          <w:numId w:val="162"/>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right="60"/>
        <w:spacing w:after="0" w:line="275" w:lineRule="auto"/>
        <w:rPr>
          <w:rFonts w:ascii="Arial" w:cs="Arial" w:eastAsia="Arial" w:hAnsi="Arial"/>
          <w:sz w:val="19"/>
          <w:szCs w:val="19"/>
          <w:color w:val="auto"/>
        </w:rPr>
      </w:pPr>
      <w:r>
        <w:rPr>
          <w:rFonts w:ascii="Arial" w:cs="Arial" w:eastAsia="Arial" w:hAnsi="Arial"/>
          <w:sz w:val="19"/>
          <w:szCs w:val="19"/>
          <w:color w:val="auto"/>
        </w:rPr>
        <w:t>(A)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 (The amounts specified in clauses (A), (B), (C) and (D) shall be hereinafter referred to as the “</w:t>
      </w:r>
      <w:r>
        <w:rPr>
          <w:rFonts w:ascii="Arial" w:cs="Arial" w:eastAsia="Arial" w:hAnsi="Arial"/>
          <w:sz w:val="19"/>
          <w:szCs w:val="19"/>
          <w:u w:val="single" w:color="auto"/>
          <w:color w:val="auto"/>
        </w:rPr>
        <w:t>Pre-Change in Control Accrued Obligations</w:t>
      </w:r>
      <w:r>
        <w:rPr>
          <w:rFonts w:ascii="Arial" w:cs="Arial" w:eastAsia="Arial" w:hAnsi="Arial"/>
          <w:sz w:val="19"/>
          <w:szCs w:val="19"/>
          <w:color w:val="auto"/>
        </w:rPr>
        <w:t>”).</w:t>
      </w:r>
    </w:p>
    <w:p>
      <w:pPr>
        <w:spacing w:after="0" w:line="141" w:lineRule="exact"/>
        <w:rPr>
          <w:rFonts w:ascii="Arial" w:cs="Arial" w:eastAsia="Arial" w:hAnsi="Arial"/>
          <w:sz w:val="19"/>
          <w:szCs w:val="19"/>
          <w:color w:val="auto"/>
        </w:rPr>
      </w:pPr>
    </w:p>
    <w:p>
      <w:pPr>
        <w:ind w:right="20" w:firstLine="1305"/>
        <w:spacing w:after="0" w:line="251" w:lineRule="auto"/>
        <w:tabs>
          <w:tab w:leader="none" w:pos="1945"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Equity Based Compensation</w:t>
      </w:r>
      <w:r>
        <w:rPr>
          <w:rFonts w:ascii="Arial" w:cs="Arial" w:eastAsia="Arial" w:hAnsi="Arial"/>
          <w:sz w:val="22"/>
          <w:szCs w:val="22"/>
          <w:color w:val="auto"/>
        </w:rPr>
        <w:t>. The Executive shall retain all rights to any equity-based compensation awards to the extent set forth in the applicable plan and/or award agreement.</w:t>
      </w:r>
    </w:p>
    <w:p>
      <w:pPr>
        <w:spacing w:after="0" w:line="159" w:lineRule="exact"/>
        <w:rPr>
          <w:rFonts w:ascii="Arial" w:cs="Arial" w:eastAsia="Arial" w:hAnsi="Arial"/>
          <w:sz w:val="22"/>
          <w:szCs w:val="22"/>
          <w:color w:val="auto"/>
        </w:rPr>
      </w:pPr>
    </w:p>
    <w:p>
      <w:pPr>
        <w:ind w:right="60" w:firstLine="1305"/>
        <w:spacing w:after="0" w:line="246" w:lineRule="auto"/>
        <w:tabs>
          <w:tab w:leader="none" w:pos="1945" w:val="left"/>
        </w:tabs>
        <w:numPr>
          <w:ilvl w:val="1"/>
          <w:numId w:val="162"/>
        </w:numPr>
        <w:rPr>
          <w:rFonts w:ascii="Arial" w:cs="Arial" w:eastAsia="Arial" w:hAnsi="Arial"/>
          <w:sz w:val="21"/>
          <w:szCs w:val="21"/>
          <w:color w:val="auto"/>
        </w:rPr>
      </w:pPr>
      <w:r>
        <w:rPr>
          <w:rFonts w:ascii="Arial" w:cs="Arial" w:eastAsia="Arial" w:hAnsi="Arial"/>
          <w:sz w:val="21"/>
          <w:szCs w:val="21"/>
          <w:u w:val="single" w:color="auto"/>
          <w:color w:val="auto"/>
        </w:rPr>
        <w:t>Welfare Benefits</w:t>
      </w:r>
      <w:r>
        <w:rPr>
          <w:rFonts w:ascii="Arial" w:cs="Arial" w:eastAsia="Arial" w:hAnsi="Arial"/>
          <w:sz w:val="21"/>
          <w:szCs w:val="21"/>
          <w:color w:val="auto"/>
        </w:rPr>
        <w:t xml:space="preserve">. Subject to Section 12 below, for a period of six (6) months following the date of the Involuntary Termination (and an additional twelve (12)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Regulation Section 1.409A-1(a)(5).</w:t>
      </w:r>
    </w:p>
    <w:p>
      <w:pPr>
        <w:spacing w:after="0" w:line="180" w:lineRule="exact"/>
        <w:rPr>
          <w:rFonts w:ascii="Arial" w:cs="Arial" w:eastAsia="Arial" w:hAnsi="Arial"/>
          <w:sz w:val="21"/>
          <w:szCs w:val="21"/>
          <w:color w:val="auto"/>
        </w:rPr>
      </w:pPr>
    </w:p>
    <w:p>
      <w:pPr>
        <w:ind w:right="100" w:firstLine="1305"/>
        <w:spacing w:after="0" w:line="235" w:lineRule="auto"/>
        <w:tabs>
          <w:tab w:leader="none" w:pos="1945"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Outplacement Services</w:t>
      </w:r>
      <w:r>
        <w:rPr>
          <w:rFonts w:ascii="Arial" w:cs="Arial" w:eastAsia="Arial" w:hAnsi="Arial"/>
          <w:sz w:val="22"/>
          <w:szCs w:val="22"/>
          <w:color w:val="auto"/>
        </w:rPr>
        <w:t>. The Executive shall receive reasonable outplacement services, on an in-kind basis, suitable to his position and directly related to the Executive’s Involuntary Termination, for a period of eighteen (18) months following the date of the Involuntary Termination, in an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4" w:lineRule="exact"/>
        <w:rPr>
          <w:rFonts w:ascii="Arial" w:cs="Arial" w:eastAsia="Arial" w:hAnsi="Arial"/>
          <w:sz w:val="22"/>
          <w:szCs w:val="22"/>
          <w:color w:val="auto"/>
        </w:rPr>
      </w:pPr>
    </w:p>
    <w:p>
      <w:pPr>
        <w:ind w:right="60" w:firstLine="1305"/>
        <w:spacing w:after="0" w:line="273" w:lineRule="auto"/>
        <w:tabs>
          <w:tab w:leader="none" w:pos="1945" w:val="left"/>
        </w:tabs>
        <w:numPr>
          <w:ilvl w:val="1"/>
          <w:numId w:val="162"/>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eighteen (18)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planning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42" w:lineRule="exact"/>
        <w:rPr>
          <w:rFonts w:ascii="Arial" w:cs="Arial" w:eastAsia="Arial" w:hAnsi="Arial"/>
          <w:sz w:val="19"/>
          <w:szCs w:val="19"/>
          <w:color w:val="auto"/>
        </w:rPr>
      </w:pPr>
    </w:p>
    <w:p>
      <w:pPr>
        <w:jc w:val="both"/>
        <w:ind w:right="400" w:firstLine="1305"/>
        <w:spacing w:after="0" w:line="238" w:lineRule="auto"/>
        <w:tabs>
          <w:tab w:leader="none" w:pos="1945"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Deferral of Payments</w:t>
      </w:r>
      <w:r>
        <w:rPr>
          <w:rFonts w:ascii="Arial" w:cs="Arial" w:eastAsia="Arial" w:hAnsi="Arial"/>
          <w:sz w:val="22"/>
          <w:szCs w:val="22"/>
          <w:color w:val="auto"/>
        </w:rPr>
        <w:t>. The Executive shall have the right to elect to defer the Pre-Change in Control Severance Payment to be received by the Executive pursuant to this Section 5 under the terms and conditions of the Sempra Energy Employee and Director Savings Plan (the “</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Any such deferral election shall be made in accordance with Section 18(b) hereof.</w:t>
      </w:r>
    </w:p>
    <w:p>
      <w:pPr>
        <w:spacing w:after="0" w:line="179" w:lineRule="exact"/>
        <w:rPr>
          <w:sz w:val="20"/>
          <w:szCs w:val="20"/>
          <w:color w:val="auto"/>
        </w:rPr>
      </w:pPr>
    </w:p>
    <w:p>
      <w:pPr>
        <w:ind w:right="120" w:firstLine="1297"/>
        <w:spacing w:after="0" w:line="275" w:lineRule="auto"/>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9"/>
          <w:szCs w:val="19"/>
          <w:u w:val="single" w:color="auto"/>
          <w:color w:val="auto"/>
        </w:rPr>
        <w:t>Severance Benefits upon Involuntary Termination in Connection with and after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5 above, and except as provided in Section 19(i) hereof, in the event of the Involuntary Termination of the Executive on or within two (2) years following a Change in Control, in lieu of the payments described in Section 5 above, the Company shall pay the Executive, in one lump sum cash payment, an amount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Payment</w:t>
      </w:r>
      <w:r>
        <w:rPr>
          <w:rFonts w:ascii="Arial" w:cs="Arial" w:eastAsia="Arial" w:hAnsi="Arial"/>
          <w:sz w:val="19"/>
          <w:szCs w:val="19"/>
          <w:color w:val="auto"/>
        </w:rPr>
        <w:t>”) equal to the greater of: (X) 170% of the Executive’s Annual Base Salary as in effect immediately prior to the Change in Control or the Date of Termination, whichever is greater, and (Y) the Executive’s Annual Base Salary as in effect immediately prior to the Change in Control or on the Date of Termination, whichever is greater, plus the Executive’s Average Annual Bonus. In addition to the Post-Change in Control Severance Payment, the Executive shall be entitled to the following additional benefits specified in subsections (a) through (f). Except as provided in Sections 6(g) and 6(h), the Post-Change in</w:t>
      </w:r>
    </w:p>
    <w:p>
      <w:pPr>
        <w:sectPr>
          <w:pgSz w:w="11900" w:h="16868" w:orient="portrait"/>
          <w:cols w:equalWidth="0" w:num="1">
            <w:col w:w="11400"/>
          </w:cols>
          <w:pgMar w:left="240" w:top="111" w:right="259" w:bottom="0" w:gutter="0" w:footer="0" w:header="0"/>
        </w:sectPr>
      </w:pPr>
    </w:p>
    <w:bookmarkStart w:id="109" w:name="page110"/>
    <w:bookmarkEnd w:id="109"/>
    <w:p>
      <w:pPr>
        <w:ind w:right="160"/>
        <w:spacing w:after="0" w:line="279" w:lineRule="auto"/>
        <w:rPr>
          <w:sz w:val="20"/>
          <w:szCs w:val="20"/>
          <w:color w:val="auto"/>
        </w:rPr>
      </w:pPr>
      <w:r>
        <w:rPr>
          <w:rFonts w:ascii="Arial" w:cs="Arial" w:eastAsia="Arial" w:hAnsi="Arial"/>
          <w:sz w:val="19"/>
          <w:szCs w:val="19"/>
          <w:color w:val="auto"/>
        </w:rPr>
        <w:t xml:space="preserve">Control Severance Payment and the payments under Sections 6(a) and (b) shall be paid on such date as is determined by the Company within thirty (30) days after the date of the Involuntary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Involuntary Termination, the Post-Change in Control Severance Payment, the Additional Post-Change in Control Severance Payment under Section 6(a)(E), the payment under Section 6(b) (but only to the extent such payment or portion thereof is subject to Section 409A of the Code), and the financial planning services and the related payments provided under Section 6(f) shall be paid as provided in Section 10 hereof.</w:t>
      </w:r>
    </w:p>
    <w:p>
      <w:pPr>
        <w:spacing w:after="0" w:line="138" w:lineRule="exact"/>
        <w:rPr>
          <w:sz w:val="20"/>
          <w:szCs w:val="20"/>
          <w:color w:val="auto"/>
        </w:rPr>
      </w:pPr>
    </w:p>
    <w:p>
      <w:pPr>
        <w:ind w:left="1960" w:hanging="655"/>
        <w:spacing w:after="0"/>
        <w:tabs>
          <w:tab w:leader="none" w:pos="1960" w:val="left"/>
        </w:tabs>
        <w:numPr>
          <w:ilvl w:val="1"/>
          <w:numId w:val="163"/>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pay the Executive a lump sum amount in cash equal to the sum of</w:t>
      </w:r>
    </w:p>
    <w:p>
      <w:pPr>
        <w:spacing w:after="0" w:line="42" w:lineRule="exact"/>
        <w:rPr>
          <w:rFonts w:ascii="Arial" w:cs="Arial" w:eastAsia="Arial" w:hAnsi="Arial"/>
          <w:sz w:val="19"/>
          <w:szCs w:val="19"/>
          <w:color w:val="auto"/>
        </w:rPr>
      </w:pPr>
    </w:p>
    <w:p>
      <w:pPr>
        <w:ind w:firstLine="8"/>
        <w:spacing w:after="0" w:line="243" w:lineRule="auto"/>
        <w:tabs>
          <w:tab w:leader="none" w:pos="354"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(D) reimbursement for unreimbursed business expenses, if any, properly incurred by the Executive in the performance of his duties in accordance with policies established from time to time by the Board, and (E) an amount (the “</w:t>
      </w:r>
      <w:r>
        <w:rPr>
          <w:rFonts w:ascii="Arial" w:cs="Arial" w:eastAsia="Arial" w:hAnsi="Arial"/>
          <w:sz w:val="21"/>
          <w:szCs w:val="21"/>
          <w:u w:val="single" w:color="auto"/>
          <w:color w:val="auto"/>
        </w:rPr>
        <w:t>Additional Post-Change in Control Severance Payment</w:t>
      </w:r>
      <w:r>
        <w:rPr>
          <w:rFonts w:ascii="Arial" w:cs="Arial" w:eastAsia="Arial" w:hAnsi="Arial"/>
          <w:sz w:val="21"/>
          <w:szCs w:val="21"/>
          <w:color w:val="auto"/>
        </w:rPr>
        <w:t>”) equal to: (i) the greater of: (X) 70% of the Executive’s Annual Base Salary as in effect immediately prior to the Change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in the case of each amount described in clause (A), (B), (C) or (D) to the extent not theretofore paid. (The amounts specified in clauses (A), (B), (C), (D) and (E) shall be hereinafter referred to as the “</w:t>
      </w:r>
      <w:r>
        <w:rPr>
          <w:rFonts w:ascii="Arial" w:cs="Arial" w:eastAsia="Arial" w:hAnsi="Arial"/>
          <w:sz w:val="21"/>
          <w:szCs w:val="21"/>
          <w:u w:val="single" w:color="auto"/>
          <w:color w:val="auto"/>
        </w:rPr>
        <w:t>Post-Change in</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Control Accrued Obligations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right="260" w:firstLine="1305"/>
        <w:spacing w:after="0" w:line="273" w:lineRule="auto"/>
        <w:tabs>
          <w:tab w:leader="none" w:pos="1945" w:val="left"/>
        </w:tabs>
        <w:numPr>
          <w:ilvl w:val="1"/>
          <w:numId w:val="164"/>
        </w:numPr>
        <w:rPr>
          <w:rFonts w:ascii="Arial" w:cs="Arial" w:eastAsia="Arial" w:hAnsi="Arial"/>
          <w:sz w:val="19"/>
          <w:szCs w:val="19"/>
          <w:color w:val="auto"/>
        </w:rPr>
      </w:pPr>
      <w:r>
        <w:rPr>
          <w:rFonts w:ascii="Arial" w:cs="Arial" w:eastAsia="Arial" w:hAnsi="Arial"/>
          <w:sz w:val="19"/>
          <w:szCs w:val="19"/>
          <w:u w:val="single" w:color="auto"/>
          <w:color w:val="auto"/>
        </w:rPr>
        <w:t>Pension Supplement</w:t>
      </w:r>
      <w:r>
        <w:rPr>
          <w:rFonts w:ascii="Arial" w:cs="Arial" w:eastAsia="Arial" w:hAnsi="Arial"/>
          <w:sz w:val="19"/>
          <w:szCs w:val="19"/>
          <w:color w:val="auto"/>
        </w:rPr>
        <w:t>. The Executive shall be entitled to receive a Supplemental Retirement Benefit under the Sempra Energy Supplemental Executive Retirement Plan, as in effect from time to time (“</w:t>
      </w:r>
      <w:r>
        <w:rPr>
          <w:rFonts w:ascii="Arial" w:cs="Arial" w:eastAsia="Arial" w:hAnsi="Arial"/>
          <w:sz w:val="19"/>
          <w:szCs w:val="19"/>
          <w:u w:val="single" w:color="auto"/>
          <w:color w:val="auto"/>
        </w:rPr>
        <w:t>SERP</w:t>
      </w:r>
      <w:r>
        <w:rPr>
          <w:rFonts w:ascii="Arial" w:cs="Arial" w:eastAsia="Arial" w:hAnsi="Arial"/>
          <w:sz w:val="19"/>
          <w:szCs w:val="19"/>
          <w:color w:val="auto"/>
        </w:rPr>
        <w:t>”), determined in accordance with this Section 6(b), in the event that the Executive is a “Participant” (as defined in the SERP) as of the Date of Termination.</w:t>
      </w:r>
    </w:p>
    <w:p>
      <w:pPr>
        <w:spacing w:after="0" w:line="1" w:lineRule="exact"/>
        <w:rPr>
          <w:rFonts w:ascii="Arial" w:cs="Arial" w:eastAsia="Arial" w:hAnsi="Arial"/>
          <w:sz w:val="19"/>
          <w:szCs w:val="19"/>
          <w:color w:val="auto"/>
        </w:rPr>
      </w:pPr>
    </w:p>
    <w:p>
      <w:pPr>
        <w:ind w:right="20" w:firstLine="54"/>
        <w:spacing w:after="0" w:line="269" w:lineRule="auto"/>
        <w:rPr>
          <w:rFonts w:ascii="Arial" w:cs="Arial" w:eastAsia="Arial" w:hAnsi="Arial"/>
          <w:sz w:val="19"/>
          <w:szCs w:val="19"/>
          <w:color w:val="auto"/>
        </w:rPr>
      </w:pPr>
      <w:r>
        <w:rPr>
          <w:rFonts w:ascii="Arial" w:cs="Arial" w:eastAsia="Arial" w:hAnsi="Arial"/>
          <w:sz w:val="19"/>
          <w:szCs w:val="19"/>
          <w:color w:val="auto"/>
        </w:rPr>
        <w:t>Such Supplemental Retirement Benefit shall be determined by crediting the Executive with additional months of Service (if any) equal to the number of full calendar months from the Date of Termination to the date on which the Executive would have attained age 62. The Executive shall be entitled to receive such Supplemental Retirement Benefit without regard to whether the Executive has attained age 55 or completed five years of “Service” (as defined in the SERP) as of the Date of Termination. The Executive shall be treated as qualified for “Retirement” (as defined in the SERP) as of the Date of Termination, and the Executive’s Vesting Factor with respect to the Supplemental Retirement Benefit shall be 100%. The Executive’s Supplemental Retirement Benefit shall be calculated based on the Executive’s actual age as of the date of commencement of payment of such Supplemental Retirement Benefit (the “</w:t>
      </w:r>
      <w:r>
        <w:rPr>
          <w:rFonts w:ascii="Arial" w:cs="Arial" w:eastAsia="Arial" w:hAnsi="Arial"/>
          <w:sz w:val="19"/>
          <w:szCs w:val="19"/>
          <w:u w:val="single" w:color="auto"/>
          <w:color w:val="auto"/>
        </w:rPr>
        <w:t>SERP Distribution Date</w:t>
      </w:r>
      <w:r>
        <w:rPr>
          <w:rFonts w:ascii="Arial" w:cs="Arial" w:eastAsia="Arial" w:hAnsi="Arial"/>
          <w:sz w:val="19"/>
          <w:szCs w:val="19"/>
          <w:color w:val="auto"/>
        </w:rPr>
        <w:t>”), and by applying the applicable early retirement factors under the SERP, if the Executive has not attained age 62 but has attained age 55 as of the SERP Distribution Date. If the Executive has not attained age 55 as of the SERP Distribution Date, the Executive’s Supplemental Retirement Benefit shall be calculated by applying the applicable early retirement factor under the SERP for age 55, and the Supplemental Retirement Benefit otherwise payable at age 55 shall be actuarially adjusted to the Executive’s actual age as of the SERP Distribution Date using the following actuarial assumptions: (i) the applicable mortality table promulgated by the Internal Revenue Service under Section 417(e)(3) of the Code, as in effect on the first day of the calendar year in which the SERP Distribution Date occurs, and (ii) the applicable interest rate promulgated by the Internal Revenue Service under Section 417(a)(3) of the Code for the November next preceding the first day of the calendar year in which the SERP Distribution Date occurs. The Executive’s Supplemental Retirement Benefit shall be determined in accordance with this Section 6(b), notwithstanding any contrary provisions of the SERP and, to the extent subject to Section 409A of the Code, shall be paid in accordance with Treasury Regulation Section 1.409A-3(c)(1). The Supplemental Retirement Benefit paid to or on behalf of the Executive in accordance with this Section 6(b) shall be in full satisfaction of any and all of the benefits payable to or on behalf of the Executive under the SERP.</w:t>
      </w:r>
    </w:p>
    <w:p>
      <w:pPr>
        <w:spacing w:after="0" w:line="393" w:lineRule="exact"/>
        <w:rPr>
          <w:rFonts w:ascii="Arial" w:cs="Arial" w:eastAsia="Arial" w:hAnsi="Arial"/>
          <w:sz w:val="19"/>
          <w:szCs w:val="19"/>
          <w:color w:val="auto"/>
        </w:rPr>
      </w:pPr>
    </w:p>
    <w:p>
      <w:pPr>
        <w:ind w:right="20" w:firstLine="1305"/>
        <w:spacing w:after="0" w:line="272" w:lineRule="auto"/>
        <w:tabs>
          <w:tab w:leader="none" w:pos="1945" w:val="left"/>
        </w:tabs>
        <w:numPr>
          <w:ilvl w:val="1"/>
          <w:numId w:val="164"/>
        </w:numPr>
        <w:rPr>
          <w:rFonts w:ascii="Arial" w:cs="Arial" w:eastAsia="Arial" w:hAnsi="Arial"/>
          <w:sz w:val="19"/>
          <w:szCs w:val="19"/>
          <w:color w:val="auto"/>
        </w:rPr>
      </w:pPr>
      <w:r>
        <w:rPr>
          <w:rFonts w:ascii="Arial" w:cs="Arial" w:eastAsia="Arial" w:hAnsi="Arial"/>
          <w:sz w:val="19"/>
          <w:szCs w:val="19"/>
          <w:u w:val="single" w:color="auto"/>
          <w:color w:val="auto"/>
        </w:rPr>
        <w:t>Equity-Based Compensation</w:t>
      </w:r>
      <w:r>
        <w:rPr>
          <w:rFonts w:ascii="Arial" w:cs="Arial" w:eastAsia="Arial" w:hAnsi="Arial"/>
          <w:sz w:val="19"/>
          <w:szCs w:val="19"/>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stock option or stock appreciation rights awards granted on or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48" w:lineRule="exact"/>
        <w:rPr>
          <w:rFonts w:ascii="Arial" w:cs="Arial" w:eastAsia="Arial" w:hAnsi="Arial"/>
          <w:sz w:val="19"/>
          <w:szCs w:val="19"/>
          <w:color w:val="auto"/>
        </w:rPr>
      </w:pPr>
    </w:p>
    <w:p>
      <w:pPr>
        <w:ind w:right="100" w:firstLine="1305"/>
        <w:spacing w:after="0" w:line="274" w:lineRule="auto"/>
        <w:tabs>
          <w:tab w:leader="none" w:pos="1945" w:val="left"/>
        </w:tabs>
        <w:numPr>
          <w:ilvl w:val="1"/>
          <w:numId w:val="164"/>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twelve (12) months following the date of Involuntary Termination (and an additional twelve (12)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benefits shall be provided on substantially the same terms and conditions and at the same cost to the Executive as in effect immediately prior to the date of Involuntary Termination or the Change in Control Date, whichever is more favorable to the Executive. Such benefits shall be provided through insurance maintained by the Company under the Company benefit plans. Such benefits shall be provided in a manner that complies with Treasury Regulation Section 1.409A-1(a)(5).</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w:t>
      </w:r>
    </w:p>
    <w:p>
      <w:pPr>
        <w:sectPr>
          <w:pgSz w:w="11900" w:h="16838" w:orient="portrait"/>
          <w:cols w:equalWidth="0" w:num="1">
            <w:col w:w="11420"/>
          </w:cols>
          <w:pgMar w:left="240" w:top="118" w:right="239" w:bottom="0" w:gutter="0" w:footer="0" w:header="0"/>
        </w:sectPr>
      </w:pPr>
    </w:p>
    <w:bookmarkStart w:id="110" w:name="page111"/>
    <w:bookmarkEnd w:id="110"/>
    <w:p>
      <w:pPr>
        <w:ind w:firstLine="1945"/>
        <w:spacing w:after="0" w:line="247" w:lineRule="auto"/>
        <w:rPr>
          <w:sz w:val="20"/>
          <w:szCs w:val="20"/>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The Executive shall receive reasonable outplacement services, on an in-kind basis, suitable to his position and directly related to the Executive’s Involuntary Termination, for a period of twenty-four (24)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65" w:lineRule="exact"/>
        <w:rPr>
          <w:sz w:val="20"/>
          <w:szCs w:val="20"/>
          <w:color w:val="auto"/>
        </w:rPr>
      </w:pPr>
    </w:p>
    <w:p>
      <w:pPr>
        <w:ind w:firstLine="1305"/>
        <w:spacing w:after="0" w:line="273" w:lineRule="auto"/>
        <w:tabs>
          <w:tab w:leader="none" w:pos="1945"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twenty-four (24)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services during any taxable year of the Executive only to the extent the cost to the Company for such taxable year does not exceed $25,000.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40" w:firstLine="1305"/>
        <w:spacing w:after="0" w:line="275" w:lineRule="auto"/>
        <w:tabs>
          <w:tab w:leader="none" w:pos="1945"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5 hereof, be entitled to the Post-Change in Control Severance Payment and the additional benefits described in this Section 6 as if such Involuntary Termination had occurred within two (2) years following the Change in Control. The amounts specified in Section 6 that are to be paid under this Section 6(g) shall be reduced by any amount previously paid under Section 5. The amounts to be paid under this Section 6(g) shall be paid within thirty (30) days after the Change in Control Date of such Change in Control.</w:t>
      </w:r>
    </w:p>
    <w:p>
      <w:pPr>
        <w:spacing w:after="0" w:line="144" w:lineRule="exact"/>
        <w:rPr>
          <w:rFonts w:ascii="Arial" w:cs="Arial" w:eastAsia="Arial" w:hAnsi="Arial"/>
          <w:sz w:val="19"/>
          <w:szCs w:val="19"/>
          <w:color w:val="auto"/>
        </w:rPr>
      </w:pPr>
    </w:p>
    <w:p>
      <w:pPr>
        <w:ind w:right="540" w:firstLine="1305"/>
        <w:spacing w:after="0" w:line="297" w:lineRule="auto"/>
        <w:tabs>
          <w:tab w:leader="none" w:pos="1945"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to be received by the Executive pursuant to this Section 6 under the terms and conditions of the Deferred Compensation Plan. Any such deferral election shall be made in accordance with Section 18(b) hereof.</w:t>
      </w:r>
    </w:p>
    <w:p>
      <w:pPr>
        <w:spacing w:after="0" w:line="121" w:lineRule="exact"/>
        <w:rPr>
          <w:sz w:val="20"/>
          <w:szCs w:val="20"/>
          <w:color w:val="auto"/>
        </w:rPr>
      </w:pPr>
    </w:p>
    <w:p>
      <w:pPr>
        <w:ind w:firstLine="1297"/>
        <w:spacing w:after="0" w:line="252" w:lineRule="auto"/>
        <w:rPr>
          <w:sz w:val="20"/>
          <w:szCs w:val="20"/>
          <w:color w:val="auto"/>
        </w:rPr>
      </w:pPr>
      <w:r>
        <w:rPr>
          <w:rFonts w:ascii="Arial" w:cs="Arial" w:eastAsia="Arial" w:hAnsi="Arial"/>
          <w:sz w:val="21"/>
          <w:szCs w:val="21"/>
          <w:b w:val="1"/>
          <w:bCs w:val="1"/>
          <w:color w:val="auto"/>
        </w:rPr>
        <w:t xml:space="preserve">Section 7. </w:t>
      </w:r>
      <w:r>
        <w:rPr>
          <w:rFonts w:ascii="Arial" w:cs="Arial" w:eastAsia="Arial" w:hAnsi="Arial"/>
          <w:sz w:val="21"/>
          <w:szCs w:val="21"/>
          <w:u w:val="single" w:color="auto"/>
          <w:color w:val="auto"/>
        </w:rPr>
        <w:t>Severance Benefits upon Termination by the Company for Cause or by the Executive Other than for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Good Reason</w:t>
      </w:r>
      <w:r>
        <w:rPr>
          <w:rFonts w:ascii="Arial" w:cs="Arial" w:eastAsia="Arial" w:hAnsi="Arial"/>
          <w:sz w:val="21"/>
          <w:szCs w:val="21"/>
          <w:color w:val="auto"/>
        </w:rPr>
        <w:t>. If the Executive’s employment shall be terminated for Cause, or if the Executive terminates employment other than for Good Reason, the Company shall have no further obligations to the Executive under this Agreement other than the Pre-Change in Control Accrued Obligations and any amounts or benefits described in Section 11 hereof.</w:t>
      </w:r>
    </w:p>
    <w:p>
      <w:pPr>
        <w:spacing w:after="0" w:line="168" w:lineRule="exact"/>
        <w:rPr>
          <w:sz w:val="20"/>
          <w:szCs w:val="20"/>
          <w:color w:val="auto"/>
        </w:rPr>
      </w:pPr>
    </w:p>
    <w:p>
      <w:pPr>
        <w:ind w:right="40" w:firstLine="1297"/>
        <w:spacing w:after="0" w:line="276" w:lineRule="auto"/>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9"/>
          <w:szCs w:val="19"/>
          <w:u w:val="single" w:color="auto"/>
          <w:color w:val="auto"/>
        </w:rPr>
        <w:t>Severance Benefits upon Termination due to Death or Disability</w:t>
      </w:r>
      <w:r>
        <w:rPr>
          <w:rFonts w:ascii="Arial" w:cs="Arial" w:eastAsia="Arial" w:hAnsi="Arial"/>
          <w:sz w:val="19"/>
          <w:szCs w:val="19"/>
          <w:color w:val="auto"/>
        </w:rPr>
        <w:t>. If the Executive has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from Service by reason of death or Disability, the Company shall pay the Executive or his estate, as the case may be, the Post-Change in Control Accrued Obligations (without regard to whether a Change in Control has occurred) and any amounts or benefits described in Section 11 hereof. Such payments shall be in addition to those rights and benefits to which the Executive or his estate may be entitled under the relevant Company plans or programs. Such payments shall be paid on such date as determined by the Company within thirty (30) days after the date of the Separation from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the Executive’s Separation from Service by reason of Disability, the Additional Post-Change in Control Severance Payment under Section 6(a)(E) shall be paid as provided in Section 10 hereof.</w:t>
      </w:r>
    </w:p>
    <w:p>
      <w:pPr>
        <w:spacing w:after="0" w:line="14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u w:val="single" w:color="auto"/>
          <w:color w:val="auto"/>
        </w:rPr>
        <w:t>Limitations on Payments by the Company</w:t>
      </w:r>
      <w:r>
        <w:rPr>
          <w:rFonts w:ascii="Arial" w:cs="Arial" w:eastAsia="Arial" w:hAnsi="Arial"/>
          <w:sz w:val="19"/>
          <w:szCs w:val="19"/>
          <w:color w:val="auto"/>
        </w:rPr>
        <w:t>.</w:t>
      </w:r>
    </w:p>
    <w:p>
      <w:pPr>
        <w:spacing w:after="0" w:line="193" w:lineRule="exact"/>
        <w:rPr>
          <w:sz w:val="20"/>
          <w:szCs w:val="20"/>
          <w:color w:val="auto"/>
        </w:rPr>
      </w:pPr>
    </w:p>
    <w:p>
      <w:pPr>
        <w:ind w:firstLine="1305"/>
        <w:spacing w:after="0" w:line="233" w:lineRule="auto"/>
        <w:tabs>
          <w:tab w:leader="none" w:pos="1945"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and except as set forth in this Section 9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22"/>
          <w:szCs w:val="22"/>
          <w:u w:val="single" w:color="auto"/>
          <w:color w:val="auto"/>
        </w:rPr>
        <w:t>Payment</w:t>
      </w:r>
      <w:r>
        <w:rPr>
          <w:rFonts w:ascii="Arial" w:cs="Arial" w:eastAsia="Arial" w:hAnsi="Arial"/>
          <w:sz w:val="22"/>
          <w:szCs w:val="22"/>
          <w:color w:val="auto"/>
        </w:rPr>
        <w:t>”) would be subject (in whole or in part) to the excise tax imposed by Section 4999 of the Code, (the “</w:t>
      </w:r>
      <w:r>
        <w:rPr>
          <w:rFonts w:ascii="Arial" w:cs="Arial" w:eastAsia="Arial" w:hAnsi="Arial"/>
          <w:sz w:val="22"/>
          <w:szCs w:val="22"/>
          <w:u w:val="single" w:color="auto"/>
          <w:color w:val="auto"/>
        </w:rPr>
        <w:t>Excise Tax</w:t>
      </w:r>
      <w:r>
        <w:rPr>
          <w:rFonts w:ascii="Arial" w:cs="Arial" w:eastAsia="Arial" w:hAnsi="Arial"/>
          <w:sz w:val="22"/>
          <w:szCs w:val="22"/>
          <w:color w:val="auto"/>
        </w:rPr>
        <w:t>”), then, subject to subsection (b), the Pre-Change in Control Severance Benefit or the Post-Change in Control Severance Payment (whichever is applicable) payable under this Agreement shall be reduced under this subsection (a) to the amount equal to the Reduced Payment. For such Payment payable under this Agreement, the “</w:t>
      </w:r>
      <w:r>
        <w:rPr>
          <w:rFonts w:ascii="Arial" w:cs="Arial" w:eastAsia="Arial" w:hAnsi="Arial"/>
          <w:sz w:val="22"/>
          <w:szCs w:val="22"/>
          <w:u w:val="single" w:color="auto"/>
          <w:color w:val="auto"/>
        </w:rPr>
        <w:t>Reduced Payment</w:t>
      </w:r>
      <w:r>
        <w:rPr>
          <w:rFonts w:ascii="Arial" w:cs="Arial" w:eastAsia="Arial" w:hAnsi="Arial"/>
          <w:sz w:val="22"/>
          <w:szCs w:val="22"/>
          <w:color w:val="auto"/>
        </w:rPr>
        <w:t>” shall be the amount equal to the greatest portion of the Payment (which may be zero) that, if paid, would result in no portion of any Payment being subject to the Excise Tax.</w:t>
      </w:r>
    </w:p>
    <w:p>
      <w:pPr>
        <w:spacing w:after="0" w:line="193" w:lineRule="exact"/>
        <w:rPr>
          <w:rFonts w:ascii="Arial" w:cs="Arial" w:eastAsia="Arial" w:hAnsi="Arial"/>
          <w:sz w:val="22"/>
          <w:szCs w:val="22"/>
          <w:color w:val="auto"/>
        </w:rPr>
      </w:pPr>
    </w:p>
    <w:p>
      <w:pPr>
        <w:ind w:right="60" w:firstLine="1305"/>
        <w:spacing w:after="0" w:line="251" w:lineRule="auto"/>
        <w:tabs>
          <w:tab w:leader="none" w:pos="1945"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Pre-Change in Control Severance Benefit or the Post-Change in Control Severance Payment (whichever is applicable) payable under this Agreement shall not be reduced under subsection (a) if:</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such reduction in such Payment is not sufficient to cause no portion of any Payment to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subject to the Excise Tax, or</w:t>
      </w:r>
    </w:p>
    <w:p>
      <w:pPr>
        <w:spacing w:after="0" w:line="174" w:lineRule="exact"/>
        <w:rPr>
          <w:rFonts w:ascii="Arial" w:cs="Arial" w:eastAsia="Arial" w:hAnsi="Arial"/>
          <w:sz w:val="19"/>
          <w:szCs w:val="19"/>
          <w:color w:val="auto"/>
        </w:rPr>
      </w:pPr>
    </w:p>
    <w:p>
      <w:pPr>
        <w:ind w:left="660" w:right="720" w:firstLine="1941"/>
        <w:spacing w:after="0" w:line="274" w:lineRule="auto"/>
        <w:tabs>
          <w:tab w:leader="none" w:pos="3253" w:val="left"/>
        </w:tabs>
        <w:numPr>
          <w:ilvl w:val="1"/>
          <w:numId w:val="166"/>
        </w:numPr>
        <w:rPr>
          <w:rFonts w:ascii="Arial" w:cs="Arial" w:eastAsia="Arial" w:hAnsi="Arial"/>
          <w:sz w:val="21"/>
          <w:szCs w:val="21"/>
          <w:color w:val="auto"/>
        </w:rPr>
      </w:pPr>
      <w:r>
        <w:rPr>
          <w:rFonts w:ascii="Arial" w:cs="Arial" w:eastAsia="Arial" w:hAnsi="Arial"/>
          <w:sz w:val="21"/>
          <w:szCs w:val="21"/>
          <w:color w:val="auto"/>
        </w:rPr>
        <w:t>the Net After-Tax Unreduced Payments (as defined below) would equal or exceed one hundred and five percent (105%) of the Net After-Tax Reduced Payments (as defined below).</w:t>
      </w:r>
    </w:p>
    <w:p>
      <w:pPr>
        <w:sectPr>
          <w:pgSz w:w="11900" w:h="16838" w:orient="portrait"/>
          <w:cols w:equalWidth="0" w:num="1">
            <w:col w:w="11420"/>
          </w:cols>
          <w:pgMar w:left="240" w:top="118" w:right="239" w:bottom="168" w:gutter="0" w:footer="0" w:header="0"/>
        </w:sectPr>
      </w:pPr>
    </w:p>
    <w:bookmarkStart w:id="111" w:name="page112"/>
    <w:bookmarkEnd w:id="111"/>
    <w:p>
      <w:pPr>
        <w:ind w:right="200"/>
        <w:spacing w:after="0" w:line="279" w:lineRule="auto"/>
        <w:rPr>
          <w:sz w:val="20"/>
          <w:szCs w:val="20"/>
          <w:color w:val="auto"/>
        </w:rPr>
      </w:pPr>
      <w:r>
        <w:rPr>
          <w:rFonts w:ascii="Arial" w:cs="Arial" w:eastAsia="Arial" w:hAnsi="Arial"/>
          <w:sz w:val="19"/>
          <w:szCs w:val="19"/>
          <w:color w:val="auto"/>
        </w:rPr>
        <w:t>For purposes of determining the amount of any Reduced Payment under subsection (a),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reduction or disallowance of itemized deductions and personal exemptions under applicable tax law). The applicable federal, state and local income and employment taxes and the Excise Tax (to the extent applicable) are collectively referred to as the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138" w:lineRule="exact"/>
        <w:rPr>
          <w:sz w:val="20"/>
          <w:szCs w:val="20"/>
          <w:color w:val="auto"/>
        </w:rPr>
      </w:pPr>
    </w:p>
    <w:p>
      <w:pPr>
        <w:ind w:left="1960" w:hanging="655"/>
        <w:spacing w:after="0"/>
        <w:tabs>
          <w:tab w:leader="none" w:pos="196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following definitions shall apply for purposes of this Section 9:</w:t>
      </w:r>
    </w:p>
    <w:p>
      <w:pPr>
        <w:spacing w:after="0" w:line="206" w:lineRule="exact"/>
        <w:rPr>
          <w:rFonts w:ascii="Arial" w:cs="Arial" w:eastAsia="Arial" w:hAnsi="Arial"/>
          <w:sz w:val="22"/>
          <w:szCs w:val="22"/>
          <w:color w:val="auto"/>
        </w:rPr>
      </w:pPr>
    </w:p>
    <w:p>
      <w:pPr>
        <w:ind w:left="660" w:right="80" w:firstLine="1941"/>
        <w:spacing w:after="0"/>
        <w:tabs>
          <w:tab w:leader="none" w:pos="3253" w:val="left"/>
        </w:tabs>
        <w:numPr>
          <w:ilvl w:val="1"/>
          <w:numId w:val="167"/>
        </w:numPr>
        <w:rPr>
          <w:rFonts w:ascii="Arial" w:cs="Arial" w:eastAsia="Arial" w:hAnsi="Arial"/>
          <w:sz w:val="22"/>
          <w:szCs w:val="22"/>
          <w:color w:val="auto"/>
        </w:rPr>
      </w:pPr>
      <w:r>
        <w:rPr>
          <w:rFonts w:ascii="Arial" w:cs="Arial" w:eastAsia="Arial" w:hAnsi="Arial"/>
          <w:sz w:val="22"/>
          <w:szCs w:val="22"/>
          <w:color w:val="auto"/>
        </w:rPr>
        <w:t>“Net After-Tax Reduced Payments” shall mean the total amount of all Payments that the Executive would retain, on a Net After-Tax Basis, in the event that the Payments payable under this Agreement are reduced pursuant to subsection (a).</w:t>
      </w:r>
    </w:p>
    <w:p>
      <w:pPr>
        <w:spacing w:after="0" w:line="172" w:lineRule="exact"/>
        <w:rPr>
          <w:rFonts w:ascii="Arial" w:cs="Arial" w:eastAsia="Arial" w:hAnsi="Arial"/>
          <w:sz w:val="22"/>
          <w:szCs w:val="22"/>
          <w:color w:val="auto"/>
        </w:rPr>
      </w:pPr>
    </w:p>
    <w:p>
      <w:pPr>
        <w:ind w:left="660" w:right="340" w:firstLine="1941"/>
        <w:spacing w:after="0"/>
        <w:tabs>
          <w:tab w:leader="none" w:pos="3253" w:val="left"/>
        </w:tabs>
        <w:numPr>
          <w:ilvl w:val="1"/>
          <w:numId w:val="167"/>
        </w:numPr>
        <w:rPr>
          <w:rFonts w:ascii="Arial" w:cs="Arial" w:eastAsia="Arial" w:hAnsi="Arial"/>
          <w:sz w:val="22"/>
          <w:szCs w:val="22"/>
          <w:color w:val="auto"/>
        </w:rPr>
      </w:pPr>
      <w:r>
        <w:rPr>
          <w:rFonts w:ascii="Arial" w:cs="Arial" w:eastAsia="Arial" w:hAnsi="Arial"/>
          <w:sz w:val="22"/>
          <w:szCs w:val="22"/>
          <w:color w:val="auto"/>
        </w:rPr>
        <w:t>“Net After-Tax Unreduced Payments” shall mean the total amount of all Payments that the Executive would retain, on a Net After-Tax Basis, in the event that the Payments payable under this Agreement are not reduced pursuant to subsection (a).</w:t>
      </w:r>
    </w:p>
    <w:p>
      <w:pPr>
        <w:spacing w:after="0" w:line="172" w:lineRule="exact"/>
        <w:rPr>
          <w:rFonts w:ascii="Arial" w:cs="Arial" w:eastAsia="Arial" w:hAnsi="Arial"/>
          <w:sz w:val="22"/>
          <w:szCs w:val="22"/>
          <w:color w:val="auto"/>
        </w:rPr>
      </w:pPr>
    </w:p>
    <w:p>
      <w:pPr>
        <w:ind w:left="660" w:right="440" w:firstLine="1941"/>
        <w:spacing w:after="0"/>
        <w:tabs>
          <w:tab w:leader="none" w:pos="3253" w:val="left"/>
        </w:tabs>
        <w:numPr>
          <w:ilvl w:val="1"/>
          <w:numId w:val="167"/>
        </w:numPr>
        <w:rPr>
          <w:rFonts w:ascii="Arial" w:cs="Arial" w:eastAsia="Arial" w:hAnsi="Arial"/>
          <w:sz w:val="22"/>
          <w:szCs w:val="22"/>
          <w:color w:val="auto"/>
        </w:rPr>
      </w:pPr>
      <w:r>
        <w:rPr>
          <w:rFonts w:ascii="Arial" w:cs="Arial" w:eastAsia="Arial" w:hAnsi="Arial"/>
          <w:sz w:val="22"/>
          <w:szCs w:val="22"/>
          <w:color w:val="auto"/>
        </w:rPr>
        <w:t>“Net After-Tax Basis” shall mean, with respect to the Payments, either with or without reduction under subsection (a) (as applicable), the amount that would be retained by the Executive from such Payments after the payment of all Taxes.</w:t>
      </w:r>
    </w:p>
    <w:p>
      <w:pPr>
        <w:spacing w:after="0" w:line="186" w:lineRule="exact"/>
        <w:rPr>
          <w:rFonts w:ascii="Arial" w:cs="Arial" w:eastAsia="Arial" w:hAnsi="Arial"/>
          <w:sz w:val="22"/>
          <w:szCs w:val="22"/>
          <w:color w:val="auto"/>
        </w:rPr>
      </w:pPr>
    </w:p>
    <w:p>
      <w:pPr>
        <w:ind w:right="80" w:firstLine="1305"/>
        <w:spacing w:after="0" w:line="270" w:lineRule="auto"/>
        <w:tabs>
          <w:tab w:leader="none" w:pos="1945"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9 and the assumptions to be utilized in arriving at such determinations, shall be made by a nationally recognized accounting firm as may be agreed by the Company and the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 purposes of determining whether and the extent to which the Payments will be subject to the Excise Tax, (i) no portion of the Payments the receipt or enjoyment of which the Executive shall have waived at such time and in such manner as not to constitute a “payment” within the meaning of Section 280G(b) of the Code shall be taken into account, (ii) no portion of the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Payments shall be taken into account which, in the opinion of the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Accounting Firm in accordance with the principles of Sections 280G(d)(3) and (4) of the Code.</w:t>
      </w:r>
    </w:p>
    <w:p>
      <w:pPr>
        <w:spacing w:after="0" w:line="200" w:lineRule="exact"/>
        <w:rPr>
          <w:sz w:val="20"/>
          <w:szCs w:val="20"/>
          <w:color w:val="auto"/>
        </w:rPr>
      </w:pPr>
    </w:p>
    <w:p>
      <w:pPr>
        <w:spacing w:after="0" w:line="202"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u w:val="single" w:color="auto"/>
          <w:color w:val="auto"/>
        </w:rPr>
        <w:t>Delayed Distribution under Section 409A of the Code</w:t>
      </w:r>
      <w:r>
        <w:rPr>
          <w:rFonts w:ascii="Arial" w:cs="Arial" w:eastAsia="Arial" w:hAnsi="Arial"/>
          <w:sz w:val="19"/>
          <w:szCs w:val="19"/>
          <w:color w:val="auto"/>
        </w:rPr>
        <w:t>. If the Executive is a Specified Employee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the Executive’s Involuntary Termination (or on the date of the Executive’s Separation from Service by reason of Disability), the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Service or (b) the date of the Executive’s death. Upon the expiration of the applicable six-month period under Section 409A(a)(2)(B)(i) of the Code, all payments deferred pursuant to this Section 10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9"/>
          <w:szCs w:val="19"/>
          <w:u w:val="single" w:color="auto"/>
          <w:color w:val="auto"/>
        </w:rPr>
        <w:t>Moody’s Rate</w:t>
      </w:r>
      <w:r>
        <w:rPr>
          <w:rFonts w:ascii="Arial" w:cs="Arial" w:eastAsia="Arial" w:hAnsi="Arial"/>
          <w:sz w:val="19"/>
          <w:szCs w:val="19"/>
          <w:color w:val="auto"/>
        </w:rPr>
        <w:t>” 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spacing w:after="0" w:line="148" w:lineRule="exact"/>
        <w:rPr>
          <w:sz w:val="20"/>
          <w:szCs w:val="20"/>
          <w:color w:val="auto"/>
        </w:rPr>
      </w:pPr>
    </w:p>
    <w:p>
      <w:pPr>
        <w:ind w:right="120" w:firstLine="1297"/>
        <w:spacing w:after="0" w:line="271" w:lineRule="auto"/>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Nothing in this Agreement shall prevent or limit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or future 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 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 officer of the Company or any Affiliate. Such indemnification and D&amp;O insurance shall be provided in a manner that complies with Treasury Regulation Section 1.409A-1(b)(10).</w:t>
      </w: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Section 12.</w:t>
      </w:r>
    </w:p>
    <w:p>
      <w:pPr>
        <w:sectPr>
          <w:pgSz w:w="11900" w:h="16838" w:orient="portrait"/>
          <w:cols w:equalWidth="0" w:num="1">
            <w:col w:w="11420"/>
          </w:cols>
          <w:pgMar w:left="240" w:top="118" w:right="239" w:bottom="0" w:gutter="0" w:footer="0" w:header="0"/>
        </w:sectPr>
      </w:pPr>
    </w:p>
    <w:bookmarkStart w:id="112" w:name="page113"/>
    <w:bookmarkEnd w:id="112"/>
    <w:p>
      <w:pPr>
        <w:ind w:right="60" w:firstLine="2593"/>
        <w:spacing w:after="0" w:line="277" w:lineRule="auto"/>
        <w:rPr>
          <w:sz w:val="20"/>
          <w:szCs w:val="20"/>
          <w:color w:val="auto"/>
        </w:rPr>
      </w:pPr>
      <w:r>
        <w:rPr>
          <w:rFonts w:ascii="Arial" w:cs="Arial" w:eastAsia="Arial" w:hAnsi="Arial"/>
          <w:sz w:val="19"/>
          <w:szCs w:val="19"/>
          <w:u w:val="single" w:color="auto"/>
          <w:color w:val="auto"/>
        </w:rPr>
        <w:t>Full Settlement; Mitigation</w:t>
      </w:r>
      <w:r>
        <w:rPr>
          <w:rFonts w:ascii="Arial" w:cs="Arial" w:eastAsia="Arial" w:hAnsi="Arial"/>
          <w:sz w:val="19"/>
          <w:szCs w:val="19"/>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4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06" w:lineRule="exact"/>
        <w:rPr>
          <w:sz w:val="20"/>
          <w:szCs w:val="20"/>
          <w:color w:val="auto"/>
        </w:rPr>
      </w:pPr>
    </w:p>
    <w:p>
      <w:pPr>
        <w:ind w:right="20" w:firstLine="1297"/>
        <w:spacing w:after="0" w:line="270" w:lineRule="auto"/>
        <w:rPr>
          <w:sz w:val="20"/>
          <w:szCs w:val="20"/>
          <w:color w:val="auto"/>
        </w:rPr>
      </w:pPr>
      <w:r>
        <w:rPr>
          <w:rFonts w:ascii="Arial" w:cs="Arial" w:eastAsia="Arial" w:hAnsi="Arial"/>
          <w:sz w:val="19"/>
          <w:szCs w:val="19"/>
          <w:color w:val="auto"/>
        </w:rPr>
        <w:t>Any disagreement, dispute, controversy or claim arising out of or relating to this Agreement or the interpretation of this Agreement or any arrangements relating to this Agreement or contemplated in this Agreement or the breach, termination or invalidity thereof shall be settled by final and binding arbitration administered by JAMS in San Diego, California in accordance with the then existing JAMS arbitration rules applicable to employment disputes (the “</w:t>
      </w:r>
      <w:r>
        <w:rPr>
          <w:rFonts w:ascii="Arial" w:cs="Arial" w:eastAsia="Arial" w:hAnsi="Arial"/>
          <w:sz w:val="19"/>
          <w:szCs w:val="19"/>
          <w:u w:val="single" w:color="auto"/>
          <w:color w:val="auto"/>
        </w:rPr>
        <w:t>JAMS Rules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notwithstanding any provision in such rules to the contrary, in all cases the parties shall be entitled to reasonable discovery. In the event of such an arbitration proceeding, the Executive and the Company shall select a mutually acceptable neutral arbitrator from among the JAMS panel of arbitrators. In the event the Executive and the Company cannot agree on an arbitrator, the arbitrator shall be selected in accordance with the then existing JAMS Rules. Neither the Executive nor the Company nor the arbitrator shall disclose the existence, content or results of any arbitration hereunder without the prior written consent of all parties, except to the extent necessary to enforce any arbitration award in a court of competent jurisdiction. Except as provided herein, the Federal Arbitration Act shall govern the interpretation of, enforcement of and all proceedings under this agreement to arbitrate. The arbitrator shall apply the substantive law (and the law of remedies, if applicable) of the state of California, or federal law, or both, as applicable, and the arbitrator is without jurisdiction to apply any different substantive law. The arbitrator shall have the authority to entertain a motion to dismiss and/or a motion for summary judgment by any party and shall apply the standards governing such motions under the Federal Rules of Civil Procedure. The arbitrator shall render an award and a written, reasoned opinion in support thereof. Judgment upon the award may be entered in any court having jurisdiction thereof. The Executive shall not be required to pay any arbitration fee or cost that is unique to arbitration or greater than any amount he would be required to pay to pursue his claims in a court of competent jurisdiction.</w:t>
      </w:r>
    </w:p>
    <w:p>
      <w:pPr>
        <w:spacing w:after="0" w:line="200" w:lineRule="exact"/>
        <w:rPr>
          <w:sz w:val="20"/>
          <w:szCs w:val="20"/>
          <w:color w:val="auto"/>
        </w:rPr>
      </w:pPr>
    </w:p>
    <w:p>
      <w:pPr>
        <w:spacing w:after="0" w:line="20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u w:val="single" w:color="auto"/>
          <w:color w:val="auto"/>
        </w:rPr>
        <w:t>Executive’s Covenants</w:t>
      </w:r>
      <w:r>
        <w:rPr>
          <w:rFonts w:ascii="Arial" w:cs="Arial" w:eastAsia="Arial" w:hAnsi="Arial"/>
          <w:sz w:val="19"/>
          <w:szCs w:val="19"/>
          <w:color w:val="auto"/>
        </w:rPr>
        <w:t>.</w:t>
      </w:r>
    </w:p>
    <w:p>
      <w:pPr>
        <w:spacing w:after="0" w:line="199" w:lineRule="exact"/>
        <w:rPr>
          <w:sz w:val="20"/>
          <w:szCs w:val="20"/>
          <w:color w:val="auto"/>
        </w:rPr>
      </w:pPr>
    </w:p>
    <w:p>
      <w:pPr>
        <w:ind w:firstLine="1305"/>
        <w:spacing w:after="0" w:line="271" w:lineRule="auto"/>
        <w:tabs>
          <w:tab w:leader="none" w:pos="1945"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 Information secret and confidential (except for such information which is or becomes publicly available other than as a result of a breach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position is vacant, the Company’s then Chief Executive Officer);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unreasonably classify information as Proprietary Information.</w:t>
      </w:r>
    </w:p>
    <w:p>
      <w:pPr>
        <w:spacing w:after="0" w:line="144" w:lineRule="exact"/>
        <w:rPr>
          <w:rFonts w:ascii="Arial" w:cs="Arial" w:eastAsia="Arial" w:hAnsi="Arial"/>
          <w:sz w:val="19"/>
          <w:szCs w:val="19"/>
          <w:color w:val="auto"/>
        </w:rPr>
      </w:pPr>
    </w:p>
    <w:p>
      <w:pPr>
        <w:ind w:right="40" w:firstLine="1305"/>
        <w:spacing w:after="0" w:line="270" w:lineRule="auto"/>
        <w:tabs>
          <w:tab w:leader="none" w:pos="1945"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shall not constitute a solicitation or recruitment of employment in violation of this paragraph to discuss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w:t>
      </w:r>
    </w:p>
    <w:p>
      <w:pPr>
        <w:sectPr>
          <w:pgSz w:w="11900" w:h="16838" w:orient="portrait"/>
          <w:cols w:equalWidth="0" w:num="1">
            <w:col w:w="11420"/>
          </w:cols>
          <w:pgMar w:left="240" w:top="118" w:right="239" w:bottom="238" w:gutter="0" w:footer="0" w:header="0"/>
        </w:sectPr>
      </w:pPr>
    </w:p>
    <w:bookmarkStart w:id="113" w:name="page114"/>
    <w:bookmarkEnd w:id="113"/>
    <w:p>
      <w:pPr>
        <w:spacing w:after="0" w:line="79" w:lineRule="exact"/>
        <w:rPr>
          <w:sz w:val="20"/>
          <w:szCs w:val="20"/>
          <w:color w:val="auto"/>
        </w:rPr>
      </w:pPr>
    </w:p>
    <w:p>
      <w:pPr>
        <w:ind w:right="40" w:firstLine="1305"/>
        <w:spacing w:after="0" w:line="282" w:lineRule="auto"/>
        <w:tabs>
          <w:tab w:leader="none" w:pos="1945"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34" w:lineRule="exact"/>
        <w:rPr>
          <w:rFonts w:ascii="Arial" w:cs="Arial" w:eastAsia="Arial" w:hAnsi="Arial"/>
          <w:sz w:val="19"/>
          <w:szCs w:val="19"/>
          <w:color w:val="auto"/>
        </w:rPr>
      </w:pPr>
    </w:p>
    <w:p>
      <w:pPr>
        <w:ind w:firstLine="1305"/>
        <w:spacing w:after="0" w:line="271" w:lineRule="auto"/>
        <w:tabs>
          <w:tab w:leader="none" w:pos="1945"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Release; Lump Sum Payment</w:t>
      </w:r>
      <w:r>
        <w:rPr>
          <w:rFonts w:ascii="Arial" w:cs="Arial" w:eastAsia="Arial" w:hAnsi="Arial"/>
          <w:sz w:val="19"/>
          <w:szCs w:val="19"/>
          <w:color w:val="auto"/>
        </w:rPr>
        <w:t>. In the event of the Executive’s Involuntary Termination, if the Executive (i) agrees to the covenants described in Section 14(a) and Section 14(b) above, (ii) executes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of all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within fifty (50) days after the date of Involuntary Termination and does not revoke such Release in accordance with the terms thereof, and (iii) agrees to provide the consulting services described in Section 14(e) below, then in consideration for such covenants, the Company shall pay the Executive, in one cash lump sum, an amount (the “</w:t>
      </w:r>
      <w:r>
        <w:rPr>
          <w:rFonts w:ascii="Arial" w:cs="Arial" w:eastAsia="Arial" w:hAnsi="Arial"/>
          <w:sz w:val="19"/>
          <w:szCs w:val="19"/>
          <w:u w:val="single" w:color="auto"/>
          <w:color w:val="auto"/>
        </w:rPr>
        <w:t>Consulting Payment</w:t>
      </w:r>
      <w:r>
        <w:rPr>
          <w:rFonts w:ascii="Arial" w:cs="Arial" w:eastAsia="Arial" w:hAnsi="Arial"/>
          <w:sz w:val="19"/>
          <w:szCs w:val="19"/>
          <w:color w:val="auto"/>
        </w:rPr>
        <w:t>”) in cash equal to the greater of: (X) 170%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 as is determined by the</w:t>
      </w:r>
    </w:p>
    <w:p>
      <w:pPr>
        <w:spacing w:after="0" w:line="3" w:lineRule="exact"/>
        <w:rPr>
          <w:sz w:val="20"/>
          <w:szCs w:val="20"/>
          <w:color w:val="auto"/>
        </w:rPr>
      </w:pPr>
    </w:p>
    <w:p>
      <w:pPr>
        <w:ind w:right="320"/>
        <w:spacing w:after="0" w:line="215" w:lineRule="auto"/>
        <w:rPr>
          <w:sz w:val="20"/>
          <w:szCs w:val="20"/>
          <w:color w:val="auto"/>
        </w:rPr>
      </w:pPr>
      <w:r>
        <w:rPr>
          <w:rFonts w:ascii="Arial" w:cs="Arial" w:eastAsia="Arial" w:hAnsi="Arial"/>
          <w:sz w:val="22"/>
          <w:szCs w:val="22"/>
          <w:color w:val="auto"/>
        </w:rPr>
        <w:t>Company within the ten (10) day period commencing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after the date of the Executive’s Involuntary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the Executive’s Involuntary Termination,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Consulting Payment shall be paid as provided in Section 10 hereof. The Executive shall have the right to elect to defer the Consulting Payment under the terms and conditions of the Company’s Deferred Compensation Plan. Any such deferral election shall be made in accordance with Section 18(b) hereof.</w:t>
      </w:r>
    </w:p>
    <w:p>
      <w:pPr>
        <w:spacing w:after="0" w:line="190" w:lineRule="exact"/>
        <w:rPr>
          <w:sz w:val="20"/>
          <w:szCs w:val="20"/>
          <w:color w:val="auto"/>
        </w:rPr>
      </w:pPr>
    </w:p>
    <w:p>
      <w:pPr>
        <w:ind w:right="40" w:firstLine="1305"/>
        <w:spacing w:after="0" w:line="272" w:lineRule="auto"/>
        <w:tabs>
          <w:tab w:leader="none" w:pos="1945"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Consulting</w:t>
      </w:r>
      <w:r>
        <w:rPr>
          <w:rFonts w:ascii="Arial" w:cs="Arial" w:eastAsia="Arial" w:hAnsi="Arial"/>
          <w:sz w:val="19"/>
          <w:szCs w:val="19"/>
          <w:color w:val="auto"/>
        </w:rPr>
        <w:t>. If the Executive agrees to the covenants described in Section 14(d) above, then the Executive shall have the obligation to provide consulting services to the Company as an independent contractor, commencing on the Date of Termination and ending on the second anniversary of the Date of Termination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parties otherwise agree, the consulting services rendered by the Executive during the Consulting Period shall not exceed twenty (20) hours each month;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consulting services rendered by the Executive during the Consulting Period shall in no event exceed</w:t>
      </w:r>
      <w:r>
        <w:rPr>
          <w:rFonts w:ascii="Arial" w:cs="Arial" w:eastAsia="Arial" w:hAnsi="Arial"/>
          <w:sz w:val="19"/>
          <w:szCs w:val="19"/>
          <w:i w:val="1"/>
          <w:iCs w:val="1"/>
          <w:color w:val="auto"/>
        </w:rPr>
        <w:t xml:space="preserve"> </w:t>
      </w:r>
      <w:r>
        <w:rPr>
          <w:rFonts w:ascii="Arial" w:cs="Arial" w:eastAsia="Arial" w:hAnsi="Arial"/>
          <w:sz w:val="19"/>
          <w:szCs w:val="19"/>
          <w:color w:val="auto"/>
        </w:rPr>
        <w:t>twenty percent (20%) of the average level of services performed by the Executive for the Company over the thirty-six (36) month period immediately preceding the Executive’s Separation from Service (or the full period of services to the Company, if the 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4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u w:val="single" w:color="auto"/>
          <w:color w:val="auto"/>
        </w:rPr>
        <w:t>Legal Fees</w:t>
      </w:r>
      <w:r>
        <w:rPr>
          <w:rFonts w:ascii="Arial" w:cs="Arial" w:eastAsia="Arial" w:hAnsi="Arial"/>
          <w:sz w:val="19"/>
          <w:szCs w:val="19"/>
          <w:color w:val="auto"/>
        </w:rPr>
        <w:t>.</w:t>
      </w:r>
    </w:p>
    <w:p>
      <w:pPr>
        <w:spacing w:after="0" w:line="193" w:lineRule="exact"/>
        <w:rPr>
          <w:sz w:val="20"/>
          <w:szCs w:val="20"/>
          <w:color w:val="auto"/>
        </w:rPr>
      </w:pPr>
    </w:p>
    <w:p>
      <w:pPr>
        <w:ind w:right="80" w:firstLine="1305"/>
        <w:spacing w:after="0" w:line="249" w:lineRule="auto"/>
        <w:tabs>
          <w:tab w:leader="none" w:pos="1945"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Reimbursement of Legal Fees</w:t>
      </w:r>
      <w:r>
        <w:rPr>
          <w:rFonts w:ascii="Arial" w:cs="Arial" w:eastAsia="Arial" w:hAnsi="Arial"/>
          <w:sz w:val="21"/>
          <w:szCs w:val="21"/>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78" w:lineRule="exact"/>
        <w:rPr>
          <w:rFonts w:ascii="Arial" w:cs="Arial" w:eastAsia="Arial" w:hAnsi="Arial"/>
          <w:sz w:val="21"/>
          <w:szCs w:val="21"/>
          <w:color w:val="auto"/>
        </w:rPr>
      </w:pPr>
    </w:p>
    <w:p>
      <w:pPr>
        <w:ind w:firstLine="1305"/>
        <w:spacing w:after="0" w:line="272" w:lineRule="auto"/>
        <w:tabs>
          <w:tab w:leader="none" w:pos="1945"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Requirements for Reimbursement</w:t>
      </w:r>
      <w:r>
        <w:rPr>
          <w:rFonts w:ascii="Arial" w:cs="Arial" w:eastAsia="Arial" w:hAnsi="Arial"/>
          <w:sz w:val="19"/>
          <w:szCs w:val="19"/>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10 hereof.</w:t>
      </w:r>
    </w:p>
    <w:p>
      <w:pPr>
        <w:spacing w:after="0" w:line="3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93" w:lineRule="exact"/>
        <w:rPr>
          <w:sz w:val="20"/>
          <w:szCs w:val="20"/>
          <w:color w:val="auto"/>
        </w:rPr>
      </w:pPr>
    </w:p>
    <w:p>
      <w:pPr>
        <w:ind w:right="160" w:firstLine="1305"/>
        <w:spacing w:after="0" w:line="258" w:lineRule="auto"/>
        <w:tabs>
          <w:tab w:leader="none" w:pos="1945"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Assignment by the Executive</w:t>
      </w:r>
      <w:r>
        <w:rPr>
          <w:rFonts w:ascii="Arial" w:cs="Arial" w:eastAsia="Arial" w:hAnsi="Arial"/>
          <w:sz w:val="21"/>
          <w:szCs w:val="21"/>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66" w:lineRule="exact"/>
        <w:rPr>
          <w:rFonts w:ascii="Arial" w:cs="Arial" w:eastAsia="Arial" w:hAnsi="Arial"/>
          <w:sz w:val="21"/>
          <w:szCs w:val="21"/>
          <w:color w:val="auto"/>
        </w:rPr>
      </w:pPr>
    </w:p>
    <w:p>
      <w:pPr>
        <w:ind w:firstLine="1305"/>
        <w:spacing w:after="0" w:line="258" w:lineRule="auto"/>
        <w:tabs>
          <w:tab w:leader="none" w:pos="1945"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Successors and Assigns of Sempra Energy</w:t>
      </w:r>
      <w:r>
        <w:rPr>
          <w:rFonts w:ascii="Arial" w:cs="Arial" w:eastAsia="Arial" w:hAnsi="Arial"/>
          <w:sz w:val="21"/>
          <w:szCs w:val="21"/>
          <w:color w:val="auto"/>
        </w:rPr>
        <w:t>. This Agreement shall inure to the benefit of and be binding upon Sempra Energy, its successors and assigns. Sempra Energy may not assign this Agreement to any person or entity (except for a successor described in Section 16(c), (d) or (e) below) without the Executive’s written consent.</w:t>
      </w:r>
    </w:p>
    <w:p>
      <w:pPr>
        <w:spacing w:after="0" w:line="153" w:lineRule="exact"/>
        <w:rPr>
          <w:rFonts w:ascii="Arial" w:cs="Arial" w:eastAsia="Arial" w:hAnsi="Arial"/>
          <w:sz w:val="21"/>
          <w:szCs w:val="21"/>
          <w:color w:val="auto"/>
        </w:rPr>
      </w:pPr>
    </w:p>
    <w:p>
      <w:pPr>
        <w:ind w:right="20" w:firstLine="1305"/>
        <w:spacing w:after="0" w:line="297" w:lineRule="auto"/>
        <w:tabs>
          <w:tab w:leader="none" w:pos="1945"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w:t>
      </w:r>
    </w:p>
    <w:p>
      <w:pPr>
        <w:sectPr>
          <w:pgSz w:w="11900" w:h="16917" w:orient="portrait"/>
          <w:cols w:equalWidth="0" w:num="1">
            <w:col w:w="11400"/>
          </w:cols>
          <w:pgMar w:left="240" w:top="118" w:right="259" w:bottom="0" w:gutter="0" w:footer="0" w:header="0"/>
        </w:sectPr>
      </w:pPr>
    </w:p>
    <w:bookmarkStart w:id="114" w:name="page115"/>
    <w:bookmarkEnd w:id="114"/>
    <w:p>
      <w:pPr>
        <w:ind w:right="140"/>
        <w:spacing w:after="0" w:line="298" w:lineRule="auto"/>
        <w:rPr>
          <w:sz w:val="20"/>
          <w:szCs w:val="20"/>
          <w:color w:val="auto"/>
        </w:rPr>
      </w:pPr>
      <w:r>
        <w:rPr>
          <w:rFonts w:ascii="Arial" w:cs="Arial" w:eastAsia="Arial" w:hAnsi="Arial"/>
          <w:sz w:val="19"/>
          <w:szCs w:val="19"/>
          <w:color w:val="auto"/>
        </w:rPr>
        <w:t>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18" w:lineRule="exact"/>
        <w:rPr>
          <w:sz w:val="20"/>
          <w:szCs w:val="20"/>
          <w:color w:val="auto"/>
        </w:rPr>
      </w:pPr>
    </w:p>
    <w:p>
      <w:pPr>
        <w:ind w:right="20" w:firstLine="1305"/>
        <w:spacing w:after="0" w:line="244" w:lineRule="auto"/>
        <w:tabs>
          <w:tab w:leader="none" w:pos="1945"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Sale of Subsidiary</w:t>
      </w:r>
      <w:r>
        <w:rPr>
          <w:rFonts w:ascii="Arial" w:cs="Arial" w:eastAsia="Arial" w:hAnsi="Arial"/>
          <w:sz w:val="21"/>
          <w:szCs w:val="21"/>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 to such subsidiary,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such subsidiary had not ceased to be part of the Sempra 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82" w:lineRule="exact"/>
        <w:rPr>
          <w:rFonts w:ascii="Arial" w:cs="Arial" w:eastAsia="Arial" w:hAnsi="Arial"/>
          <w:sz w:val="21"/>
          <w:szCs w:val="21"/>
          <w:color w:val="auto"/>
        </w:rPr>
      </w:pPr>
    </w:p>
    <w:p>
      <w:pPr>
        <w:ind w:firstLine="1305"/>
        <w:spacing w:after="0" w:line="272" w:lineRule="auto"/>
        <w:tabs>
          <w:tab w:leader="none" w:pos="1945"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Sale of Assets of Subsidiary</w:t>
      </w:r>
      <w:r>
        <w:rPr>
          <w:rFonts w:ascii="Arial" w:cs="Arial" w:eastAsia="Arial" w:hAnsi="Arial"/>
          <w:sz w:val="19"/>
          <w:szCs w:val="19"/>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9"/>
          <w:szCs w:val="19"/>
          <w:u w:val="single" w:color="auto"/>
          <w:color w:val="auto"/>
        </w:rPr>
        <w:t>Asset Purchaser</w:t>
      </w:r>
      <w:r>
        <w:rPr>
          <w:rFonts w:ascii="Arial" w:cs="Arial" w:eastAsia="Arial" w:hAnsi="Arial"/>
          <w:sz w:val="19"/>
          <w:szCs w:val="19"/>
          <w:color w:val="auto"/>
        </w:rPr>
        <w:t>”), in a transaction described in Treasury Regulation Section 1.409A-1(h)(4) (an “</w:t>
      </w:r>
      <w:r>
        <w:rPr>
          <w:rFonts w:ascii="Arial" w:cs="Arial" w:eastAsia="Arial" w:hAnsi="Arial"/>
          <w:sz w:val="19"/>
          <w:szCs w:val="19"/>
          <w:u w:val="single" w:color="auto"/>
          <w:color w:val="auto"/>
        </w:rPr>
        <w:t>Asset Sale</w:t>
      </w:r>
      <w:r>
        <w:rPr>
          <w:rFonts w:ascii="Arial" w:cs="Arial" w:eastAsia="Arial" w:hAnsi="Arial"/>
          <w:sz w:val="19"/>
          <w:szCs w:val="19"/>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 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44" w:lineRule="exact"/>
        <w:rPr>
          <w:sz w:val="20"/>
          <w:szCs w:val="20"/>
          <w:color w:val="auto"/>
        </w:rPr>
      </w:pPr>
    </w:p>
    <w:p>
      <w:pPr>
        <w:ind w:right="40" w:firstLine="1297"/>
        <w:spacing w:after="0" w:line="274"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u w:val="single" w:color="auto"/>
          <w:color w:val="auto"/>
        </w:rPr>
        <w:t>Administration Prior to Change in Control</w:t>
      </w:r>
      <w:r>
        <w:rPr>
          <w:rFonts w:ascii="Arial" w:cs="Arial" w:eastAsia="Arial" w:hAnsi="Arial"/>
          <w:sz w:val="19"/>
          <w:szCs w:val="19"/>
          <w:color w:val="auto"/>
        </w:rPr>
        <w:t>. Prior to a Change in Control,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full and complete authority to construe and interpret the provisions of this Agreement, to determine an individual’s entitlement to benefits under this Agreement, to make in its sole and absolute discretion all determinations 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u w:val="single" w:color="auto"/>
          <w:color w:val="auto"/>
        </w:rPr>
        <w:t>Section 409A of the Code.</w:t>
      </w:r>
    </w:p>
    <w:p>
      <w:pPr>
        <w:spacing w:after="0" w:line="206" w:lineRule="exact"/>
        <w:rPr>
          <w:sz w:val="20"/>
          <w:szCs w:val="20"/>
          <w:color w:val="auto"/>
        </w:rPr>
      </w:pPr>
    </w:p>
    <w:p>
      <w:pPr>
        <w:ind w:right="20" w:firstLine="1305"/>
        <w:spacing w:after="0" w:line="269" w:lineRule="auto"/>
        <w:tabs>
          <w:tab w:leader="none" w:pos="1945"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Compliance with and Exemption from Section 409A of the Code</w:t>
      </w:r>
      <w:r>
        <w:rPr>
          <w:rFonts w:ascii="Arial" w:cs="Arial" w:eastAsia="Arial" w:hAnsi="Arial"/>
          <w:sz w:val="19"/>
          <w:szCs w:val="19"/>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 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w:t>
      </w:r>
    </w:p>
    <w:p>
      <w:pPr>
        <w:sectPr>
          <w:pgSz w:w="11900" w:h="16838" w:orient="portrait"/>
          <w:cols w:equalWidth="0" w:num="1">
            <w:col w:w="11400"/>
          </w:cols>
          <w:pgMar w:left="240" w:top="118" w:right="259" w:bottom="0" w:gutter="0" w:footer="0" w:header="0"/>
        </w:sectPr>
      </w:pPr>
    </w:p>
    <w:bookmarkStart w:id="115" w:name="page116"/>
    <w:bookmarkEnd w:id="115"/>
    <w:p>
      <w:pPr>
        <w:ind w:right="120"/>
        <w:spacing w:after="0" w:line="238" w:lineRule="auto"/>
        <w:rPr>
          <w:sz w:val="20"/>
          <w:szCs w:val="20"/>
          <w:color w:val="auto"/>
        </w:rPr>
      </w:pPr>
      <w:r>
        <w:rPr>
          <w:rFonts w:ascii="Arial" w:cs="Arial" w:eastAsia="Arial" w:hAnsi="Arial"/>
          <w:sz w:val="22"/>
          <w:szCs w:val="22"/>
          <w:color w:val="auto"/>
        </w:rPr>
        <w:t>Sections 409A(a)(2),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172" w:lineRule="exact"/>
        <w:rPr>
          <w:sz w:val="20"/>
          <w:szCs w:val="20"/>
          <w:color w:val="auto"/>
        </w:rPr>
      </w:pPr>
    </w:p>
    <w:p>
      <w:pPr>
        <w:ind w:right="240" w:firstLine="1305"/>
        <w:spacing w:after="0" w:line="276" w:lineRule="auto"/>
        <w:tabs>
          <w:tab w:leader="none" w:pos="1945"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5(f), 6(h) and 14(d), the Executive may elect to defer the Pre-Change in Control Severance Payment, the Post-Change in Control Severance Payment and the Consulting Payment as follows.</w:t>
      </w:r>
    </w:p>
    <w:p>
      <w:pPr>
        <w:spacing w:after="0" w:line="1" w:lineRule="exact"/>
        <w:rPr>
          <w:rFonts w:ascii="Arial" w:cs="Arial" w:eastAsia="Arial" w:hAnsi="Arial"/>
          <w:sz w:val="19"/>
          <w:szCs w:val="19"/>
          <w:color w:val="auto"/>
        </w:rPr>
      </w:pPr>
    </w:p>
    <w:p>
      <w:pPr>
        <w:ind w:right="100" w:firstLine="158"/>
        <w:spacing w:after="0" w:line="244" w:lineRule="auto"/>
        <w:rPr>
          <w:rFonts w:ascii="Arial" w:cs="Arial" w:eastAsia="Arial" w:hAnsi="Arial"/>
          <w:sz w:val="19"/>
          <w:szCs w:val="19"/>
          <w:color w:val="auto"/>
        </w:rPr>
      </w:pPr>
      <w:r>
        <w:rPr>
          <w:rFonts w:ascii="Arial" w:cs="Arial" w:eastAsia="Arial" w:hAnsi="Arial"/>
          <w:sz w:val="21"/>
          <w:szCs w:val="21"/>
          <w:color w:val="auto"/>
        </w:rPr>
        <w:t>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 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99" w:lineRule="exact"/>
        <w:rPr>
          <w:sz w:val="20"/>
          <w:szCs w:val="20"/>
          <w:color w:val="auto"/>
        </w:rPr>
      </w:pPr>
    </w:p>
    <w:p>
      <w:pPr>
        <w:ind w:right="80" w:firstLine="1305"/>
        <w:spacing w:after="0" w:line="247" w:lineRule="auto"/>
        <w:tabs>
          <w:tab w:leader="none" w:pos="1945" w:val="left"/>
        </w:tabs>
        <w:numPr>
          <w:ilvl w:val="0"/>
          <w:numId w:val="176"/>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64" w:lineRule="exact"/>
        <w:rPr>
          <w:rFonts w:ascii="Arial" w:cs="Arial" w:eastAsia="Arial" w:hAnsi="Arial"/>
          <w:sz w:val="21"/>
          <w:szCs w:val="21"/>
          <w:color w:val="auto"/>
        </w:rPr>
      </w:pPr>
    </w:p>
    <w:p>
      <w:pPr>
        <w:ind w:right="200" w:firstLine="1305"/>
        <w:spacing w:after="0" w:line="287" w:lineRule="auto"/>
        <w:tabs>
          <w:tab w:leader="none" w:pos="1945"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pacing w:after="0" w:line="143" w:lineRule="exact"/>
        <w:rPr>
          <w:rFonts w:ascii="Arial" w:cs="Arial" w:eastAsia="Arial" w:hAnsi="Arial"/>
          <w:sz w:val="19"/>
          <w:szCs w:val="19"/>
          <w:color w:val="auto"/>
        </w:rPr>
      </w:pPr>
    </w:p>
    <w:p>
      <w:pPr>
        <w:ind w:right="600" w:firstLine="1305"/>
        <w:spacing w:after="0" w:line="251" w:lineRule="auto"/>
        <w:tabs>
          <w:tab w:leader="none" w:pos="1945"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59" w:lineRule="exact"/>
        <w:rPr>
          <w:rFonts w:ascii="Arial" w:cs="Arial" w:eastAsia="Arial" w:hAnsi="Arial"/>
          <w:sz w:val="22"/>
          <w:szCs w:val="22"/>
          <w:color w:val="auto"/>
        </w:rPr>
      </w:pPr>
    </w:p>
    <w:p>
      <w:pPr>
        <w:ind w:right="200" w:firstLine="1305"/>
        <w:spacing w:after="0" w:line="251" w:lineRule="auto"/>
        <w:tabs>
          <w:tab w:leader="none" w:pos="1945"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amounts payable under this Agreement such federal, state or local taxes as shall be required to be withheld pursuant to any applicable law or regulation.</w:t>
      </w:r>
    </w:p>
    <w:p>
      <w:pPr>
        <w:spacing w:after="0" w:line="159" w:lineRule="exact"/>
        <w:rPr>
          <w:rFonts w:ascii="Arial" w:cs="Arial" w:eastAsia="Arial" w:hAnsi="Arial"/>
          <w:sz w:val="22"/>
          <w:szCs w:val="22"/>
          <w:color w:val="auto"/>
        </w:rPr>
      </w:pPr>
    </w:p>
    <w:p>
      <w:pPr>
        <w:ind w:right="140" w:firstLine="1305"/>
        <w:spacing w:after="0" w:line="273" w:lineRule="auto"/>
        <w:tabs>
          <w:tab w:leader="none" w:pos="1945"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w:t>
      </w:r>
    </w:p>
    <w:p>
      <w:pPr>
        <w:spacing w:after="0" w:line="1" w:lineRule="exact"/>
        <w:rPr>
          <w:rFonts w:ascii="Arial" w:cs="Arial" w:eastAsia="Arial" w:hAnsi="Arial"/>
          <w:sz w:val="19"/>
          <w:szCs w:val="19"/>
          <w:color w:val="auto"/>
        </w:rPr>
      </w:pPr>
    </w:p>
    <w:p>
      <w:pPr>
        <w:ind w:right="100"/>
        <w:spacing w:after="0" w:line="256" w:lineRule="auto"/>
        <w:rPr>
          <w:rFonts w:ascii="Arial" w:cs="Arial" w:eastAsia="Arial" w:hAnsi="Arial"/>
          <w:sz w:val="19"/>
          <w:szCs w:val="19"/>
          <w:color w:val="auto"/>
        </w:rPr>
      </w:pPr>
      <w:r>
        <w:rPr>
          <w:rFonts w:ascii="Arial" w:cs="Arial" w:eastAsia="Arial" w:hAnsi="Arial"/>
          <w:sz w:val="21"/>
          <w:szCs w:val="21"/>
          <w:color w:val="auto"/>
        </w:rPr>
        <w:t>1 hereof, or the right of the Company to terminate the Executive’s employment for Cause pursuant to Section 1 hereof shall not be deemed to be a waiver of such provision or right or any other provision or right of this Agreement.</w:t>
      </w:r>
    </w:p>
    <w:p>
      <w:pPr>
        <w:spacing w:after="0" w:line="169" w:lineRule="exact"/>
        <w:rPr>
          <w:rFonts w:ascii="Arial" w:cs="Arial" w:eastAsia="Arial" w:hAnsi="Arial"/>
          <w:sz w:val="19"/>
          <w:szCs w:val="19"/>
          <w:color w:val="auto"/>
        </w:rPr>
      </w:pPr>
    </w:p>
    <w:p>
      <w:pPr>
        <w:ind w:firstLine="1305"/>
        <w:spacing w:after="0" w:line="277" w:lineRule="auto"/>
        <w:tabs>
          <w:tab w:leader="none" w:pos="1945"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w:t>
      </w:r>
    </w:p>
    <w:p>
      <w:pPr>
        <w:spacing w:after="0" w:line="139" w:lineRule="exact"/>
        <w:rPr>
          <w:rFonts w:ascii="Arial" w:cs="Arial" w:eastAsia="Arial" w:hAnsi="Arial"/>
          <w:sz w:val="19"/>
          <w:szCs w:val="19"/>
          <w:color w:val="auto"/>
        </w:rPr>
      </w:pPr>
    </w:p>
    <w:p>
      <w:pPr>
        <w:ind w:right="220" w:firstLine="1305"/>
        <w:spacing w:after="0"/>
        <w:tabs>
          <w:tab w:leader="none" w:pos="1945"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No Right of Employment</w:t>
      </w:r>
      <w:r>
        <w:rPr>
          <w:rFonts w:ascii="Arial" w:cs="Arial" w:eastAsia="Arial" w:hAnsi="Arial"/>
          <w:sz w:val="22"/>
          <w:szCs w:val="22"/>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72" w:lineRule="exact"/>
        <w:rPr>
          <w:rFonts w:ascii="Arial" w:cs="Arial" w:eastAsia="Arial" w:hAnsi="Arial"/>
          <w:sz w:val="22"/>
          <w:szCs w:val="22"/>
          <w:color w:val="auto"/>
        </w:rPr>
      </w:pPr>
    </w:p>
    <w:p>
      <w:pPr>
        <w:jc w:val="both"/>
        <w:ind w:right="20" w:firstLine="1305"/>
        <w:spacing w:after="0"/>
        <w:tabs>
          <w:tab w:leader="none" w:pos="1945"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86" w:lineRule="exact"/>
        <w:rPr>
          <w:rFonts w:ascii="Arial" w:cs="Arial" w:eastAsia="Arial" w:hAnsi="Arial"/>
          <w:sz w:val="22"/>
          <w:szCs w:val="22"/>
          <w:color w:val="auto"/>
        </w:rPr>
      </w:pPr>
    </w:p>
    <w:p>
      <w:pPr>
        <w:ind w:right="100" w:firstLine="1305"/>
        <w:spacing w:after="0" w:line="245" w:lineRule="auto"/>
        <w:tabs>
          <w:tab w:leader="none" w:pos="1945" w:val="left"/>
        </w:tabs>
        <w:numPr>
          <w:ilvl w:val="0"/>
          <w:numId w:val="176"/>
        </w:numPr>
        <w:rPr>
          <w:rFonts w:ascii="Arial" w:cs="Arial" w:eastAsia="Arial" w:hAnsi="Arial"/>
          <w:sz w:val="21"/>
          <w:szCs w:val="21"/>
          <w:color w:val="auto"/>
        </w:rPr>
      </w:pPr>
      <w:r>
        <w:rPr>
          <w:rFonts w:ascii="Arial" w:cs="Arial" w:eastAsia="Arial" w:hAnsi="Arial"/>
          <w:sz w:val="21"/>
          <w:szCs w:val="21"/>
          <w:u w:val="single" w:color="auto"/>
          <w:color w:val="auto"/>
        </w:rPr>
        <w:t>Termination upon Sale of Assets of Subsidiary</w:t>
      </w:r>
      <w:r>
        <w:rPr>
          <w:rFonts w:ascii="Arial" w:cs="Arial" w:eastAsia="Arial" w:hAnsi="Arial"/>
          <w:sz w:val="21"/>
          <w:szCs w:val="21"/>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 Executive declines to accept such offer and the Executive fails to become employed by the Asset Purchaser on the date of the Asset Sale.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w:t>
      </w:r>
    </w:p>
    <w:p>
      <w:pPr>
        <w:sectPr>
          <w:pgSz w:w="11900" w:h="16838" w:orient="portrait"/>
          <w:cols w:equalWidth="0" w:num="1">
            <w:col w:w="11420"/>
          </w:cols>
          <w:pgMar w:left="240" w:top="118" w:right="239" w:bottom="0" w:gutter="0" w:footer="0" w:header="0"/>
        </w:sectPr>
      </w:pPr>
    </w:p>
    <w:bookmarkStart w:id="116" w:name="page117"/>
    <w:bookmarkEnd w:id="116"/>
    <w:p>
      <w:pPr>
        <w:ind w:right="20" w:firstLine="1945"/>
        <w:spacing w:after="0" w:line="275" w:lineRule="auto"/>
        <w:rPr>
          <w:sz w:val="20"/>
          <w:szCs w:val="20"/>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of this Agreement shall commence on the Effective Date and shall continue until the third (3rd) anniversary of the Effective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follows such written notice or (B) the second (2nd) anniversary of the Change in Control Date.</w:t>
      </w:r>
    </w:p>
    <w:p>
      <w:pPr>
        <w:spacing w:after="0" w:line="145" w:lineRule="exact"/>
        <w:rPr>
          <w:sz w:val="20"/>
          <w:szCs w:val="20"/>
          <w:color w:val="auto"/>
        </w:rPr>
      </w:pPr>
    </w:p>
    <w:p>
      <w:pPr>
        <w:ind w:firstLine="1305"/>
        <w:spacing w:after="0" w:line="251" w:lineRule="auto"/>
        <w:tabs>
          <w:tab w:leader="none" w:pos="1945"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11380"/>
          </w:cols>
          <w:pgMar w:left="240" w:top="118" w:right="279" w:bottom="1440" w:gutter="0" w:footer="0" w:header="0"/>
        </w:sectPr>
      </w:pPr>
    </w:p>
    <w:bookmarkStart w:id="117" w:name="page118"/>
    <w:bookmarkEnd w:id="117"/>
    <w:p>
      <w:pPr>
        <w:ind w:firstLine="648"/>
        <w:spacing w:after="0" w:line="251" w:lineRule="auto"/>
        <w:rPr>
          <w:sz w:val="20"/>
          <w:szCs w:val="20"/>
          <w:color w:val="auto"/>
        </w:rPr>
      </w:pPr>
      <w:r>
        <w:rPr>
          <w:rFonts w:ascii="Arial" w:cs="Arial" w:eastAsia="Arial" w:hAnsi="Arial"/>
          <w:sz w:val="22"/>
          <w:szCs w:val="22"/>
          <w:color w:val="auto"/>
        </w:rPr>
        <w:t>IN WITNESS WHEREOF, the Executive and, pursuant to due authorization from its Board of Directors, the Company have caused this Agreement to be executed as of the day and year first 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 Joyce Rowland</w:t>
      </w:r>
    </w:p>
    <w:p>
      <w:pPr>
        <w:ind w:left="3900"/>
        <w:spacing w:after="0" w:line="238" w:lineRule="auto"/>
        <w:rPr>
          <w:sz w:val="20"/>
          <w:szCs w:val="20"/>
          <w:color w:val="auto"/>
        </w:rPr>
      </w:pPr>
      <w:r>
        <w:rPr>
          <w:rFonts w:ascii="Arial" w:cs="Arial" w:eastAsia="Arial" w:hAnsi="Arial"/>
          <w:sz w:val="22"/>
          <w:szCs w:val="22"/>
          <w:color w:val="auto"/>
        </w:rPr>
        <w:t>Senior Vice President - Human Resources,</w:t>
      </w:r>
    </w:p>
    <w:p>
      <w:pPr>
        <w:ind w:left="3900"/>
        <w:spacing w:after="0"/>
        <w:rPr>
          <w:sz w:val="20"/>
          <w:szCs w:val="20"/>
          <w:color w:val="auto"/>
        </w:rPr>
      </w:pPr>
      <w:r>
        <w:rPr>
          <w:rFonts w:ascii="Arial" w:cs="Arial" w:eastAsia="Arial" w:hAnsi="Arial"/>
          <w:sz w:val="22"/>
          <w:szCs w:val="22"/>
          <w:color w:val="auto"/>
        </w:rPr>
        <w:t>Diversity &amp; Inclusion</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Anne S. Smith</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President &amp; CEO, Southern California Gas Company</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0980"/>
          </w:cols>
          <w:pgMar w:left="240" w:top="118" w:right="67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___________, is made by and between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you and the Company have previously entered into that certain Severance Pay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20___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88"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WHEREAS, Section 14(d) of the Severance Pay Agreement provides for the payment of a benefit to you by the Company in consideration for certain covenants, including your execution and non-revocation of a general release of claims by you against the Company and its subsidiaries and affiliates.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shall terminate at the close of business on ____________, or earlier upon our mutual agreement.</w:t>
      </w:r>
    </w:p>
    <w:p>
      <w:pPr>
        <w:spacing w:after="0" w:line="173"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TWO: As a material inducement for the payment of the benefit under Section 14(d) of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74" w:lineRule="exact"/>
        <w:rPr>
          <w:sz w:val="20"/>
          <w:szCs w:val="20"/>
          <w:color w:val="auto"/>
        </w:rPr>
      </w:pPr>
    </w:p>
    <w:p>
      <w:pPr>
        <w:ind w:right="20" w:firstLine="1305"/>
        <w:spacing w:after="0" w:line="236" w:lineRule="auto"/>
        <w:tabs>
          <w:tab w:leader="none" w:pos="1945" w:val="left"/>
        </w:tabs>
        <w:numPr>
          <w:ilvl w:val="1"/>
          <w:numId w:val="178"/>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Releasee</w:t>
      </w:r>
      <w:r>
        <w:rPr>
          <w:rFonts w:ascii="Arial" w:cs="Arial" w:eastAsia="Arial" w:hAnsi="Arial"/>
          <w:sz w:val="22"/>
          <w:szCs w:val="22"/>
          <w:color w:val="auto"/>
        </w:rPr>
        <w:t>” or “</w:t>
      </w:r>
      <w:r>
        <w:rPr>
          <w:rFonts w:ascii="Arial" w:cs="Arial" w:eastAsia="Arial" w:hAnsi="Arial"/>
          <w:sz w:val="22"/>
          <w:szCs w:val="22"/>
          <w:u w:val="single" w:color="auto"/>
          <w:color w:val="auto"/>
        </w:rPr>
        <w:t>Releasees</w:t>
      </w:r>
      <w:r>
        <w:rPr>
          <w:rFonts w:ascii="Arial" w:cs="Arial" w:eastAsia="Arial" w:hAnsi="Arial"/>
          <w:sz w:val="22"/>
          <w:szCs w:val="22"/>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87" w:lineRule="exact"/>
        <w:rPr>
          <w:rFonts w:ascii="Arial" w:cs="Arial" w:eastAsia="Arial" w:hAnsi="Arial"/>
          <w:sz w:val="22"/>
          <w:szCs w:val="22"/>
          <w:color w:val="auto"/>
        </w:rPr>
      </w:pPr>
    </w:p>
    <w:p>
      <w:pPr>
        <w:ind w:right="40" w:firstLine="1305"/>
        <w:spacing w:after="0" w:line="268" w:lineRule="auto"/>
        <w:tabs>
          <w:tab w:leader="none" w:pos="1945" w:val="left"/>
        </w:tabs>
        <w:numPr>
          <w:ilvl w:val="1"/>
          <w:numId w:val="178"/>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except as limited by law or regulation such as the Age Discrimination in Employment Act (ADEA), in the future may have, own or hold against any of the Releasees;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word “Claim” or “Claims” shall not refer to any charges, complaints, claims, liabilities, obligations, promises, agreements, controversies, damages, actions, causes of action, suits, rights, demands, costs, losses, debts and expenses (including attorneys’ fees and costs actually incurred) arising under [</w:t>
      </w:r>
      <w:r>
        <w:rPr>
          <w:rFonts w:ascii="Arial" w:cs="Arial" w:eastAsia="Arial" w:hAnsi="Arial"/>
          <w:sz w:val="19"/>
          <w:szCs w:val="19"/>
          <w:i w:val="1"/>
          <w:iCs w:val="1"/>
          <w:color w:val="auto"/>
        </w:rPr>
        <w:t>identify severance, employee benefits, stock option, indemnification and D&amp;O and other</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 containing duties, rights obligations etc. of either party that are to remain operative</w:t>
      </w:r>
      <w:r>
        <w:rPr>
          <w:rFonts w:ascii="Arial" w:cs="Arial" w:eastAsia="Arial" w:hAnsi="Arial"/>
          <w:sz w:val="19"/>
          <w:szCs w:val="19"/>
          <w:color w:val="auto"/>
        </w:rPr>
        <w:t>]. Claims released pursuant to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by you and the Company include, but are not limited to, rights arising out of alleged violations of any contracts, express or implied, any tort, any claim that you failed to perform or negligently performed or breached your duties during employment at the Company, any legal restrictions on the Company’s right to terminate employees or any federal, state or other governmental statute, regulation, or ordinance, including, without limitation: (1) Title VII of the Civil Rights Act of 1964 (race, color, religion, sex and national origin discrimination); (2) 42 U.S.C. § 1981 (discrimination); (3) 29 U.S.C. §§ 621–634 (age discrimination); (4) 29 U.S.C. § 206(d)(l) (equal pay); (5) 42 U.S.C. §§ 12101, et seq. (disability); (6) the California Constitution, Article I, Section 8 (discrimination); (7) the California Fair Employment and Housing Act (discrimination, including race, color, national origin, ancestry, physical handicap, medical condition, marital status, religion, sex or age); (8) California Labor Code Section 1102.1 (sexual orientation discrimination); (9) the Executive Order 11246 (race, color, religion, sex and national origin discrimination);</w:t>
      </w:r>
    </w:p>
    <w:p>
      <w:pPr>
        <w:spacing w:after="0" w:line="2" w:lineRule="exact"/>
        <w:rPr>
          <w:rFonts w:ascii="Arial" w:cs="Arial" w:eastAsia="Arial" w:hAnsi="Arial"/>
          <w:sz w:val="19"/>
          <w:szCs w:val="19"/>
          <w:color w:val="auto"/>
        </w:rPr>
      </w:pPr>
    </w:p>
    <w:p>
      <w:pPr>
        <w:ind w:right="60" w:firstLine="8"/>
        <w:spacing w:after="0" w:line="232" w:lineRule="auto"/>
        <w:tabs>
          <w:tab w:leader="none" w:pos="41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Executive Order 11141 (age discrimination); (11) §§ 503 and 504 of the Rehabilitation Act of 1973 (handicap discrimination); (12) The Worker Adjustment and Retraining Act (WARN Act); (13) the California Labor Code (wages, hours, working conditions, benefits and other matters); (14) the Fair Labor Standards Act (wages, hours, working conditions and other matters); the Federal Employee Polygraph Protection Act (prohibits employer from requiring employee to take polygraph test as condition of employment); and (15) any federal, state or other governmental statute, regulation or ordinance which is similar to any of the statutes described in clauses (1) through (14).</w:t>
      </w:r>
    </w:p>
    <w:p>
      <w:pPr>
        <w:spacing w:after="0" w:line="189"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9"/>
          <w:szCs w:val="19"/>
          <w:color w:val="auto"/>
        </w:rPr>
        <w:t>THREE: You and the Company expressly waive and relinquish all rights and benefits afforded by any statute (including but not limited to Section 1542 of the Civil Code of the State of California)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Section 1542 of the Civil Code of the State of California states as follows:</w:t>
      </w:r>
    </w:p>
    <w:p>
      <w:pPr>
        <w:spacing w:after="0" w:line="148" w:lineRule="exact"/>
        <w:rPr>
          <w:sz w:val="20"/>
          <w:szCs w:val="20"/>
          <w:color w:val="auto"/>
        </w:rPr>
      </w:pPr>
    </w:p>
    <w:p>
      <w:pPr>
        <w:ind w:left="1300" w:right="1540"/>
        <w:spacing w:after="0" w:line="328"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FAVOR AT THE TIME OF EXECUTING THE</w:t>
      </w:r>
    </w:p>
    <w:p>
      <w:pPr>
        <w:sectPr>
          <w:pgSz w:w="11900" w:h="16838" w:orient="portrait"/>
          <w:cols w:equalWidth="0" w:num="1">
            <w:col w:w="11420"/>
          </w:cols>
          <w:pgMar w:left="240" w:top="604" w:right="239" w:bottom="0" w:gutter="0" w:footer="0" w:header="0"/>
        </w:sectPr>
      </w:pPr>
    </w:p>
    <w:bookmarkStart w:id="119" w:name="page120"/>
    <w:bookmarkEnd w:id="119"/>
    <w:p>
      <w:pPr>
        <w:ind w:left="1300" w:right="2100"/>
        <w:spacing w:after="0" w:line="251" w:lineRule="auto"/>
        <w:rPr>
          <w:sz w:val="20"/>
          <w:szCs w:val="20"/>
          <w:color w:val="auto"/>
        </w:rPr>
      </w:pPr>
      <w:r>
        <w:rPr>
          <w:rFonts w:ascii="Arial" w:cs="Arial" w:eastAsia="Arial" w:hAnsi="Arial"/>
          <w:sz w:val="22"/>
          <w:szCs w:val="22"/>
          <w:color w:val="auto"/>
        </w:rPr>
        <w:t>RELEASE, WHICH IF KNOWN BY HIM MUST HAVE MATERIALLY AFFECTED HIS SETTLEMENT WITH THE DEBTOR.”</w:t>
      </w:r>
    </w:p>
    <w:p>
      <w:pPr>
        <w:spacing w:after="0" w:line="174"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pacing w:after="0" w:line="18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38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38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NINE:</w:t>
      </w:r>
    </w:p>
    <w:p>
      <w:pPr>
        <w:spacing w:after="0" w:line="193" w:lineRule="exact"/>
        <w:rPr>
          <w:sz w:val="20"/>
          <w:szCs w:val="20"/>
          <w:color w:val="auto"/>
        </w:rPr>
      </w:pPr>
    </w:p>
    <w:p>
      <w:pPr>
        <w:ind w:right="40" w:firstLine="1953"/>
        <w:spacing w:after="0" w:line="235" w:lineRule="auto"/>
        <w:tabs>
          <w:tab w:leader="none" w:pos="2593"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88" w:lineRule="exact"/>
        <w:rPr>
          <w:rFonts w:ascii="Arial" w:cs="Arial" w:eastAsia="Arial" w:hAnsi="Arial"/>
          <w:sz w:val="22"/>
          <w:szCs w:val="22"/>
          <w:color w:val="auto"/>
        </w:rPr>
      </w:pPr>
    </w:p>
    <w:p>
      <w:pPr>
        <w:ind w:right="40" w:firstLine="1953"/>
        <w:spacing w:after="0" w:line="279" w:lineRule="auto"/>
        <w:tabs>
          <w:tab w:leader="none" w:pos="2593"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37" w:lineRule="exact"/>
        <w:rPr>
          <w:rFonts w:ascii="Arial" w:cs="Arial" w:eastAsia="Arial" w:hAnsi="Arial"/>
          <w:sz w:val="19"/>
          <w:szCs w:val="19"/>
          <w:color w:val="auto"/>
        </w:rPr>
      </w:pPr>
    </w:p>
    <w:p>
      <w:pPr>
        <w:ind w:right="80" w:firstLine="1953"/>
        <w:spacing w:after="0" w:line="282" w:lineRule="auto"/>
        <w:tabs>
          <w:tab w:leader="none" w:pos="2593" w:val="left"/>
        </w:tabs>
        <w:numPr>
          <w:ilvl w:val="0"/>
          <w:numId w:val="180"/>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8" w:lineRule="exact"/>
        <w:rPr>
          <w:sz w:val="20"/>
          <w:szCs w:val="20"/>
          <w:color w:val="auto"/>
        </w:rPr>
      </w:pPr>
    </w:p>
    <w:p>
      <w:pPr>
        <w:ind w:right="80" w:firstLine="1297"/>
        <w:spacing w:after="0" w:line="287" w:lineRule="auto"/>
        <w:rPr>
          <w:sz w:val="20"/>
          <w:szCs w:val="20"/>
          <w:color w:val="auto"/>
        </w:rPr>
      </w:pPr>
      <w:r>
        <w:rPr>
          <w:rFonts w:ascii="Arial" w:cs="Arial" w:eastAsia="Arial" w:hAnsi="Arial"/>
          <w:sz w:val="19"/>
          <w:szCs w:val="19"/>
          <w:color w:val="auto"/>
        </w:rPr>
        <w:t>TEN: This Agreement is made and entered into in California. This Agreement shall in all respects be interpreted, enforced and governed by and under the laws of the State of California and applicable Federal law. Any dispute about the validity, interpretation, effect or alleged violation of this Agreement (an “</w:t>
      </w:r>
      <w:r>
        <w:rPr>
          <w:rFonts w:ascii="Arial" w:cs="Arial" w:eastAsia="Arial" w:hAnsi="Arial"/>
          <w:sz w:val="19"/>
          <w:szCs w:val="19"/>
          <w:u w:val="single" w:color="auto"/>
          <w:color w:val="auto"/>
        </w:rPr>
        <w:t>arbitrable dispute</w:t>
      </w:r>
      <w:r>
        <w:rPr>
          <w:rFonts w:ascii="Arial" w:cs="Arial" w:eastAsia="Arial" w:hAnsi="Arial"/>
          <w:sz w:val="19"/>
          <w:szCs w:val="19"/>
          <w:color w:val="auto"/>
        </w:rPr>
        <w:t>”) must be submitted to arbitration in San Diego, California. Arbitration shall take place before an experienced employment arbitrator licensed to practice law in such state and</w:t>
      </w:r>
    </w:p>
    <w:p>
      <w:pPr>
        <w:sectPr>
          <w:pgSz w:w="11900" w:h="16838" w:orient="portrait"/>
          <w:cols w:equalWidth="0" w:num="1">
            <w:col w:w="11400"/>
          </w:cols>
          <w:pgMar w:left="240" w:top="118" w:right="259" w:bottom="0" w:gutter="0" w:footer="0" w:header="0"/>
        </w:sectPr>
      </w:pPr>
    </w:p>
    <w:bookmarkStart w:id="120" w:name="page121"/>
    <w:bookmarkEnd w:id="120"/>
    <w:p>
      <w:pPr>
        <w:spacing w:after="0" w:line="34"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selected in accordance with the then existing JAMS arbitration rules applicable to employment disputes;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any event, the arbitrator shall allow reasonable discovery. Arbitration shall be the exclusive remedy for any arbitrable dispute. The arbitrator in any arbitrable dispute shall not have authority to modify or change the Agreement in any respect. You and the Company shall each be responsible for payment of one-half (1/2) the amount of the arbitrator’s fee(s);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you be required to pay any fee or cost of arbitration that is unique to arbitration or exceeds the costs you would have incurred had any arbitrable dispute been pursued in a court of competent jurisdiction. The Company shall make up any shortfall. Should any party to this Agreement institute any legal action or administrative proceeding against the other with respect to any Claim waived by this Agreement or pursue any arbitrable dispute by any method other than arbitration, the prevailing party shall be entitled to recover from the non-prevailing party all damages, costs, expenses and attorneys’ fees incurred as a result of that action. The arbitrator’s decision and/or award shall be rendered in writing and will be fully enforceable and subject to an entry of judgment by the Superior Court of the State of California for the County of San Diego, or any other court of competent jurisdiction.</w:t>
      </w:r>
    </w:p>
    <w:p>
      <w:pPr>
        <w:spacing w:after="0" w:line="157" w:lineRule="exact"/>
        <w:rPr>
          <w:sz w:val="20"/>
          <w:szCs w:val="20"/>
          <w:color w:val="auto"/>
        </w:rPr>
      </w:pPr>
    </w:p>
    <w:p>
      <w:pPr>
        <w:ind w:right="160" w:firstLine="1297"/>
        <w:spacing w:after="0" w:line="272" w:lineRule="auto"/>
        <w:rPr>
          <w:sz w:val="20"/>
          <w:szCs w:val="20"/>
          <w:color w:val="auto"/>
        </w:rPr>
      </w:pPr>
      <w:r>
        <w:rPr>
          <w:rFonts w:ascii="Arial" w:cs="Arial" w:eastAsia="Arial" w:hAnsi="Arial"/>
          <w:sz w:val="19"/>
          <w:szCs w:val="19"/>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 14(d) of the Severance Pay Agreement, plus interest, and invite the Company to retain such monies and agree with you to cancel this Agreement and void the Company’s obligations under Section 14(d) of the Severance Pay Agreement. In the event the Company accepts this offer, the Company shall retain such monies and this Agreement shall be canceled and the Company shall have no obligation under Section 14(d) of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Section 14(d) of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62"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TWELVE: Any notices required to be given under this Agreement shall be delivered either personally or by first class United States mail, postage prepaid, addressed to the respective parties as follows: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88"/>
        </w:trPr>
        <w:tc>
          <w:tcPr>
            <w:tcW w:w="1320" w:type="dxa"/>
            <w:vAlign w:val="bottom"/>
          </w:tcPr>
          <w:p>
            <w:pPr>
              <w:spacing w:after="0"/>
              <w:rPr>
                <w:sz w:val="20"/>
                <w:szCs w:val="20"/>
                <w:color w:val="auto"/>
              </w:rPr>
            </w:pPr>
            <w:r>
              <w:rPr>
                <w:rFonts w:ascii="Arial" w:cs="Arial" w:eastAsia="Arial" w:hAnsi="Arial"/>
                <w:sz w:val="22"/>
                <w:szCs w:val="22"/>
                <w:color w:val="auto"/>
                <w:w w:val="98"/>
              </w:rPr>
              <w:t>To Company:</w:t>
            </w:r>
          </w:p>
        </w:tc>
        <w:tc>
          <w:tcPr>
            <w:tcW w:w="2520" w:type="dxa"/>
            <w:vAlign w:val="bottom"/>
          </w:tcPr>
          <w:p>
            <w:pPr>
              <w:ind w:left="140"/>
              <w:spacing w:after="0"/>
              <w:rPr>
                <w:sz w:val="20"/>
                <w:szCs w:val="20"/>
                <w:color w:val="auto"/>
              </w:rPr>
            </w:pPr>
            <w:r>
              <w:rPr>
                <w:rFonts w:ascii="Arial" w:cs="Arial" w:eastAsia="Arial" w:hAnsi="Arial"/>
                <w:sz w:val="22"/>
                <w:szCs w:val="22"/>
                <w:color w:val="auto"/>
              </w:rPr>
              <w:t>[TO COME]</w:t>
            </w:r>
          </w:p>
        </w:tc>
      </w:tr>
      <w:tr>
        <w:trPr>
          <w:trHeight w:val="446"/>
        </w:trPr>
        <w:tc>
          <w:tcPr>
            <w:tcW w:w="1320" w:type="dxa"/>
            <w:vAlign w:val="bottom"/>
          </w:tcPr>
          <w:p>
            <w:pPr>
              <w:spacing w:after="0"/>
              <w:rPr>
                <w:sz w:val="24"/>
                <w:szCs w:val="24"/>
                <w:color w:val="auto"/>
              </w:rPr>
            </w:pPr>
          </w:p>
        </w:tc>
        <w:tc>
          <w:tcPr>
            <w:tcW w:w="2520" w:type="dxa"/>
            <w:vAlign w:val="bottom"/>
          </w:tcPr>
          <w:p>
            <w:pPr>
              <w:ind w:left="140"/>
              <w:spacing w:after="0"/>
              <w:rPr>
                <w:sz w:val="20"/>
                <w:szCs w:val="20"/>
                <w:color w:val="auto"/>
              </w:rPr>
            </w:pPr>
            <w:r>
              <w:rPr>
                <w:rFonts w:ascii="Arial" w:cs="Arial" w:eastAsia="Arial" w:hAnsi="Arial"/>
                <w:sz w:val="22"/>
                <w:szCs w:val="22"/>
                <w:color w:val="auto"/>
              </w:rPr>
              <w:t>Attn: [TO COME]</w:t>
            </w:r>
          </w:p>
        </w:tc>
      </w:tr>
      <w:tr>
        <w:trPr>
          <w:trHeight w:val="414"/>
        </w:trPr>
        <w:tc>
          <w:tcPr>
            <w:tcW w:w="1320" w:type="dxa"/>
            <w:vAlign w:val="bottom"/>
          </w:tcPr>
          <w:p>
            <w:pPr>
              <w:spacing w:after="0"/>
              <w:rPr>
                <w:sz w:val="20"/>
                <w:szCs w:val="20"/>
                <w:color w:val="auto"/>
              </w:rPr>
            </w:pPr>
            <w:r>
              <w:rPr>
                <w:rFonts w:ascii="Arial" w:cs="Arial" w:eastAsia="Arial" w:hAnsi="Arial"/>
                <w:sz w:val="22"/>
                <w:szCs w:val="22"/>
                <w:color w:val="auto"/>
              </w:rPr>
              <w:t>To You:</w:t>
            </w:r>
          </w:p>
        </w:tc>
        <w:tc>
          <w:tcPr>
            <w:tcW w:w="2520" w:type="dxa"/>
            <w:vAlign w:val="bottom"/>
          </w:tcPr>
          <w:p>
            <w:pPr>
              <w:ind w:left="140"/>
              <w:spacing w:after="0"/>
              <w:rPr>
                <w:sz w:val="20"/>
                <w:szCs w:val="20"/>
                <w:color w:val="auto"/>
              </w:rPr>
            </w:pPr>
            <w:r>
              <w:rPr>
                <w:rFonts w:ascii="Arial" w:cs="Arial" w:eastAsia="Arial" w:hAnsi="Arial"/>
                <w:sz w:val="22"/>
                <w:szCs w:val="22"/>
                <w:color w:val="auto"/>
                <w:w w:val="87"/>
              </w:rPr>
              <w:t>______________________</w:t>
            </w:r>
          </w:p>
        </w:tc>
      </w:tr>
      <w:tr>
        <w:trPr>
          <w:trHeight w:val="230"/>
        </w:trPr>
        <w:tc>
          <w:tcPr>
            <w:tcW w:w="1320" w:type="dxa"/>
            <w:vAlign w:val="bottom"/>
          </w:tcPr>
          <w:p>
            <w:pPr>
              <w:spacing w:after="0"/>
              <w:rPr>
                <w:sz w:val="19"/>
                <w:szCs w:val="19"/>
                <w:color w:val="auto"/>
              </w:rPr>
            </w:pPr>
          </w:p>
        </w:tc>
        <w:tc>
          <w:tcPr>
            <w:tcW w:w="2520" w:type="dxa"/>
            <w:vAlign w:val="bottom"/>
          </w:tcPr>
          <w:p>
            <w:pPr>
              <w:ind w:left="140"/>
              <w:spacing w:after="0" w:line="229" w:lineRule="exact"/>
              <w:rPr>
                <w:sz w:val="20"/>
                <w:szCs w:val="20"/>
                <w:color w:val="auto"/>
              </w:rPr>
            </w:pPr>
            <w:r>
              <w:rPr>
                <w:rFonts w:ascii="Arial" w:cs="Arial" w:eastAsia="Arial" w:hAnsi="Arial"/>
                <w:sz w:val="22"/>
                <w:szCs w:val="22"/>
                <w:color w:val="auto"/>
                <w:w w:val="87"/>
              </w:rPr>
              <w:t>______________________</w:t>
            </w:r>
          </w:p>
        </w:tc>
      </w:tr>
      <w:tr>
        <w:trPr>
          <w:trHeight w:val="275"/>
        </w:trPr>
        <w:tc>
          <w:tcPr>
            <w:tcW w:w="132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Arial" w:cs="Arial" w:eastAsia="Arial" w:hAnsi="Arial"/>
                <w:sz w:val="22"/>
                <w:szCs w:val="22"/>
                <w:color w:val="auto"/>
                <w:w w:val="87"/>
              </w:rPr>
              <w:t>______________________</w:t>
            </w:r>
          </w:p>
        </w:tc>
      </w:tr>
    </w:tbl>
    <w:p>
      <w:pPr>
        <w:spacing w:after="0" w:line="185" w:lineRule="exact"/>
        <w:rPr>
          <w:sz w:val="20"/>
          <w:szCs w:val="20"/>
          <w:color w:val="auto"/>
        </w:rPr>
      </w:pPr>
    </w:p>
    <w:p>
      <w:pPr>
        <w:ind w:right="60" w:firstLine="1297"/>
        <w:spacing w:after="0" w:line="246" w:lineRule="auto"/>
        <w:rPr>
          <w:sz w:val="20"/>
          <w:szCs w:val="20"/>
          <w:color w:val="auto"/>
        </w:rPr>
      </w:pPr>
      <w:r>
        <w:rPr>
          <w:rFonts w:ascii="Arial" w:cs="Arial" w:eastAsia="Arial" w:hAnsi="Arial"/>
          <w:sz w:val="21"/>
          <w:szCs w:val="21"/>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 14(d) of the Severance Pay Agreement.</w:t>
      </w:r>
    </w:p>
    <w:p>
      <w:pPr>
        <w:spacing w:after="0" w:line="181"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SEVENTEEN: This Agreement may be executed in counterparts.</w:t>
      </w:r>
    </w:p>
    <w:p>
      <w:pPr>
        <w:spacing w:after="0" w:line="206" w:lineRule="exact"/>
        <w:rPr>
          <w:sz w:val="20"/>
          <w:szCs w:val="20"/>
          <w:color w:val="auto"/>
        </w:rPr>
      </w:pPr>
    </w:p>
    <w:p>
      <w:pPr>
        <w:ind w:right="100"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You acknowledge that you first received this Agreement on [date].</w:t>
      </w:r>
    </w:p>
    <w:p>
      <w:pPr>
        <w:sectPr>
          <w:pgSz w:w="11900" w:h="16872" w:orient="portrait"/>
          <w:cols w:equalWidth="0" w:num="1">
            <w:col w:w="11420"/>
          </w:cols>
          <w:pgMar w:left="240" w:top="118" w:right="239" w:bottom="0" w:gutter="0" w:footer="0" w:header="0"/>
        </w:sectPr>
      </w:pPr>
    </w:p>
    <w:bookmarkStart w:id="121" w:name="page122"/>
    <w:bookmarkEnd w:id="121"/>
    <w:p>
      <w:pPr>
        <w:ind w:left="3340"/>
        <w:spacing w:after="0"/>
        <w:rPr>
          <w:sz w:val="20"/>
          <w:szCs w:val="20"/>
          <w:color w:val="auto"/>
        </w:rPr>
      </w:pPr>
      <w:r>
        <w:rPr>
          <w:rFonts w:ascii="Arial" w:cs="Arial" w:eastAsia="Arial" w:hAnsi="Arial"/>
          <w:sz w:val="19"/>
          <w:szCs w:val="19"/>
          <w:color w:val="auto"/>
        </w:rPr>
        <w:t>_________________________</w:t>
      </w:r>
    </w:p>
    <w:p>
      <w:pPr>
        <w:sectPr>
          <w:pgSz w:w="11900" w:h="16838" w:orient="portrait"/>
          <w:cols w:equalWidth="0" w:num="1">
            <w:col w:w="9019"/>
          </w:cols>
          <w:pgMar w:left="1440" w:top="118" w:right="1440" w:bottom="1440" w:gutter="0" w:footer="0" w:header="0"/>
        </w:sectPr>
      </w:pPr>
    </w:p>
    <w:bookmarkStart w:id="122" w:name="page123"/>
    <w:bookmarkEnd w:id="122"/>
    <w:p>
      <w:pPr>
        <w:jc w:val="center"/>
        <w:ind w:right="140"/>
        <w:spacing w:after="0"/>
        <w:rPr>
          <w:sz w:val="20"/>
          <w:szCs w:val="20"/>
          <w:color w:val="auto"/>
        </w:rPr>
      </w:pPr>
      <w:r>
        <w:rPr>
          <w:rFonts w:ascii="Arial" w:cs="Arial" w:eastAsia="Arial" w:hAnsi="Arial"/>
          <w:sz w:val="18"/>
          <w:szCs w:val="18"/>
          <w:b w:val="1"/>
          <w:bCs w:val="1"/>
          <w:color w:val="auto"/>
        </w:rPr>
        <w:t>EXHIBIT 12.1</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SEMPRA ENERGY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2220" w:type="dxa"/>
            <w:vAlign w:val="bottom"/>
            <w:vMerge w:val="restart"/>
          </w:tcPr>
          <w:p>
            <w:pPr>
              <w:spacing w:after="0"/>
              <w:rPr>
                <w:sz w:val="20"/>
                <w:szCs w:val="20"/>
                <w:color w:val="auto"/>
              </w:rPr>
            </w:pPr>
            <w:r>
              <w:rPr>
                <w:rFonts w:ascii="Arial" w:cs="Arial" w:eastAsia="Arial" w:hAnsi="Arial"/>
                <w:sz w:val="18"/>
                <w:szCs w:val="18"/>
                <w:color w:val="auto"/>
              </w:rPr>
              <w:t>Fixed charges and</w:t>
            </w:r>
          </w:p>
        </w:tc>
        <w:tc>
          <w:tcPr>
            <w:tcW w:w="340" w:type="dxa"/>
            <w:vAlign w:val="bottom"/>
          </w:tcPr>
          <w:p>
            <w:pPr>
              <w:spacing w:after="0"/>
              <w:rPr>
                <w:sz w:val="17"/>
                <w:szCs w:val="17"/>
                <w:color w:val="auto"/>
              </w:rPr>
            </w:pPr>
          </w:p>
        </w:tc>
        <w:tc>
          <w:tcPr>
            <w:tcW w:w="9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2007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30"/>
              <w:spacing w:after="0" w:line="203" w:lineRule="exact"/>
              <w:rPr>
                <w:sz w:val="20"/>
                <w:szCs w:val="20"/>
                <w:color w:val="auto"/>
              </w:rPr>
            </w:pPr>
            <w:r>
              <w:rPr>
                <w:rFonts w:ascii="Arial" w:cs="Arial" w:eastAsia="Arial" w:hAnsi="Arial"/>
                <w:sz w:val="18"/>
                <w:szCs w:val="18"/>
                <w:color w:val="auto"/>
                <w:w w:val="99"/>
              </w:rPr>
              <w:t>2008(1)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30"/>
              <w:spacing w:after="0" w:line="203" w:lineRule="exact"/>
              <w:rPr>
                <w:sz w:val="20"/>
                <w:szCs w:val="20"/>
                <w:color w:val="auto"/>
              </w:rPr>
            </w:pPr>
            <w:r>
              <w:rPr>
                <w:rFonts w:ascii="Arial" w:cs="Arial" w:eastAsia="Arial" w:hAnsi="Arial"/>
                <w:sz w:val="18"/>
                <w:szCs w:val="18"/>
                <w:color w:val="auto"/>
                <w:w w:val="99"/>
              </w:rPr>
              <w:t>2009(1)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30"/>
              <w:spacing w:after="0" w:line="203" w:lineRule="exact"/>
              <w:rPr>
                <w:sz w:val="20"/>
                <w:szCs w:val="20"/>
                <w:color w:val="auto"/>
              </w:rPr>
            </w:pPr>
            <w:r>
              <w:rPr>
                <w:rFonts w:ascii="Arial" w:cs="Arial" w:eastAsia="Arial" w:hAnsi="Arial"/>
                <w:sz w:val="18"/>
                <w:szCs w:val="18"/>
                <w:color w:val="auto"/>
                <w:w w:val="99"/>
              </w:rPr>
              <w:t>2010(1)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30"/>
              <w:spacing w:after="0" w:line="203" w:lineRule="exact"/>
              <w:rPr>
                <w:sz w:val="20"/>
                <w:szCs w:val="20"/>
                <w:color w:val="auto"/>
              </w:rPr>
            </w:pPr>
            <w:r>
              <w:rPr>
                <w:rFonts w:ascii="Arial" w:cs="Arial" w:eastAsia="Arial" w:hAnsi="Arial"/>
                <w:sz w:val="18"/>
                <w:szCs w:val="18"/>
                <w:color w:val="auto"/>
                <w:w w:val="99"/>
              </w:rPr>
              <w:t>2011(1)</w:t>
            </w:r>
          </w:p>
        </w:tc>
        <w:tc>
          <w:tcPr>
            <w:tcW w:w="1500" w:type="dxa"/>
            <w:vAlign w:val="bottom"/>
            <w:gridSpan w:val="2"/>
          </w:tcPr>
          <w:p>
            <w:pPr>
              <w:jc w:val="right"/>
              <w:ind w:right="290"/>
              <w:spacing w:after="0" w:line="203"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95"/>
        </w:trPr>
        <w:tc>
          <w:tcPr>
            <w:tcW w:w="2220" w:type="dxa"/>
            <w:vAlign w:val="bottom"/>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2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379</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353</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455</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492</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549</w:t>
            </w:r>
          </w:p>
        </w:tc>
        <w:tc>
          <w:tcPr>
            <w:tcW w:w="1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Interest portion of</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annual rentals</w:t>
            </w: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Preferred dividends of</w:t>
            </w: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340" w:type="dxa"/>
            <w:vAlign w:val="bottom"/>
            <w:vMerge w:val="restart"/>
          </w:tcPr>
          <w:p>
            <w:pPr>
              <w:spacing w:after="0"/>
              <w:rPr>
                <w:sz w:val="17"/>
                <w:szCs w:val="17"/>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2220" w:type="dxa"/>
            <w:vAlign w:val="bottom"/>
          </w:tcPr>
          <w:p>
            <w:pPr>
              <w:ind w:left="260"/>
              <w:spacing w:after="0" w:line="190" w:lineRule="exact"/>
              <w:rPr>
                <w:sz w:val="20"/>
                <w:szCs w:val="20"/>
                <w:color w:val="auto"/>
              </w:rPr>
            </w:pPr>
            <w:r>
              <w:rPr>
                <w:rFonts w:ascii="Arial" w:cs="Arial" w:eastAsia="Arial" w:hAnsi="Arial"/>
                <w:sz w:val="18"/>
                <w:szCs w:val="18"/>
                <w:color w:val="auto"/>
              </w:rPr>
              <w:t>subsidiaries (2)</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240"/>
              <w:spacing w:after="0"/>
              <w:rPr>
                <w:sz w:val="20"/>
                <w:szCs w:val="20"/>
                <w:color w:val="auto"/>
              </w:rPr>
            </w:pPr>
            <w:r>
              <w:rPr>
                <w:rFonts w:ascii="Arial" w:cs="Arial" w:eastAsia="Arial" w:hAnsi="Arial"/>
                <w:sz w:val="18"/>
                <w:szCs w:val="18"/>
                <w:color w:val="auto"/>
              </w:rPr>
              <w:t>Total fixed charges</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for purpose of</w:t>
            </w: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2220" w:type="dxa"/>
            <w:vAlign w:val="bottom"/>
          </w:tcPr>
          <w:p>
            <w:pPr>
              <w:ind w:left="260"/>
              <w:spacing w:after="0" w:line="190" w:lineRule="exact"/>
              <w:rPr>
                <w:sz w:val="20"/>
                <w:szCs w:val="20"/>
                <w:color w:val="auto"/>
              </w:rPr>
            </w:pPr>
            <w:r>
              <w:rPr>
                <w:rFonts w:ascii="Arial" w:cs="Arial" w:eastAsia="Arial" w:hAnsi="Arial"/>
                <w:sz w:val="18"/>
                <w:szCs w:val="18"/>
                <w:color w:val="auto"/>
              </w:rPr>
              <w:t>ratio</w:t>
            </w: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line="195" w:lineRule="exact"/>
              <w:rPr>
                <w:sz w:val="20"/>
                <w:szCs w:val="20"/>
                <w:color w:val="auto"/>
              </w:rPr>
            </w:pPr>
            <w:r>
              <w:rPr>
                <w:rFonts w:ascii="Arial" w:cs="Arial" w:eastAsia="Arial" w:hAnsi="Arial"/>
                <w:sz w:val="18"/>
                <w:szCs w:val="18"/>
                <w:color w:val="auto"/>
              </w:rPr>
              <w:t>Total fixed charges</w:t>
            </w: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and preferred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dividends for</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2220" w:type="dxa"/>
            <w:vAlign w:val="bottom"/>
          </w:tcPr>
          <w:p>
            <w:pPr>
              <w:ind w:left="260"/>
              <w:spacing w:after="0" w:line="163" w:lineRule="exact"/>
              <w:rPr>
                <w:sz w:val="20"/>
                <w:szCs w:val="20"/>
                <w:color w:val="auto"/>
              </w:rPr>
            </w:pPr>
            <w:r>
              <w:rPr>
                <w:rFonts w:ascii="Arial" w:cs="Arial" w:eastAsia="Arial" w:hAnsi="Arial"/>
                <w:sz w:val="18"/>
                <w:szCs w:val="18"/>
                <w:color w:val="auto"/>
              </w:rPr>
              <w:t>purpose of ratio</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399</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369</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470</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506</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561</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2220" w:type="dxa"/>
            <w:vAlign w:val="bottom"/>
          </w:tcPr>
          <w:p>
            <w:pPr>
              <w:spacing w:after="0"/>
              <w:rPr>
                <w:sz w:val="20"/>
                <w:szCs w:val="20"/>
                <w:color w:val="auto"/>
              </w:rPr>
            </w:pPr>
            <w:r>
              <w:rPr>
                <w:rFonts w:ascii="Arial" w:cs="Arial" w:eastAsia="Arial" w:hAnsi="Arial"/>
                <w:sz w:val="18"/>
                <w:szCs w:val="18"/>
                <w:color w:val="auto"/>
              </w:rPr>
              <w:t>Pretax income from</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continuing</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operations before</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adjustment for</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income or loss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from equity</w:t>
            </w: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1,538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977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1,079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1,747</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Total fixed charges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520"/>
              <w:spacing w:after="0" w:line="202" w:lineRule="exact"/>
              <w:rPr>
                <w:sz w:val="20"/>
                <w:szCs w:val="20"/>
                <w:color w:val="auto"/>
              </w:rPr>
            </w:pPr>
            <w:r>
              <w:rPr>
                <w:rFonts w:ascii="Arial" w:cs="Arial" w:eastAsia="Arial" w:hAnsi="Arial"/>
                <w:sz w:val="18"/>
                <w:szCs w:val="18"/>
                <w:color w:val="auto"/>
              </w:rPr>
              <w:t>(from above)</w:t>
            </w: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561</w:t>
            </w:r>
          </w:p>
        </w:tc>
        <w:tc>
          <w:tcPr>
            <w:tcW w:w="1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Distributed income</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520"/>
              <w:spacing w:after="0" w:line="202" w:lineRule="exact"/>
              <w:rPr>
                <w:sz w:val="20"/>
                <w:szCs w:val="20"/>
                <w:color w:val="auto"/>
              </w:rPr>
            </w:pPr>
            <w:r>
              <w:rPr>
                <w:rFonts w:ascii="Arial" w:cs="Arial" w:eastAsia="Arial" w:hAnsi="Arial"/>
                <w:sz w:val="18"/>
                <w:szCs w:val="18"/>
                <w:color w:val="auto"/>
              </w:rPr>
              <w:t>of equity</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20"/>
              <w:spacing w:after="0"/>
              <w:rPr>
                <w:sz w:val="20"/>
                <w:szCs w:val="20"/>
                <w:color w:val="auto"/>
              </w:rPr>
            </w:pPr>
            <w:r>
              <w:rPr>
                <w:rFonts w:ascii="Arial" w:cs="Arial" w:eastAsia="Arial" w:hAnsi="Arial"/>
                <w:sz w:val="18"/>
                <w:szCs w:val="18"/>
                <w:color w:val="auto"/>
              </w:rPr>
              <w:t>investees</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Interest capitalized</w:t>
            </w: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w:t>
            </w:r>
          </w:p>
        </w:tc>
        <w:tc>
          <w:tcPr>
            <w:tcW w:w="1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520"/>
              <w:spacing w:after="0" w:line="202" w:lineRule="exact"/>
              <w:rPr>
                <w:sz w:val="20"/>
                <w:szCs w:val="20"/>
                <w:color w:val="auto"/>
              </w:rPr>
            </w:pPr>
            <w:r>
              <w:rPr>
                <w:rFonts w:ascii="Arial" w:cs="Arial" w:eastAsia="Arial" w:hAnsi="Arial"/>
                <w:sz w:val="18"/>
                <w:szCs w:val="18"/>
                <w:color w:val="auto"/>
              </w:rPr>
              <w:t>of subsidiaries</w:t>
            </w: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15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2220" w:type="dxa"/>
            <w:vAlign w:val="bottom"/>
          </w:tcPr>
          <w:p>
            <w:pPr>
              <w:ind w:left="520"/>
              <w:spacing w:after="0" w:line="190"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line="196" w:lineRule="exact"/>
              <w:rPr>
                <w:sz w:val="20"/>
                <w:szCs w:val="20"/>
                <w:color w:val="auto"/>
              </w:rPr>
            </w:pPr>
            <w:r>
              <w:rPr>
                <w:rFonts w:ascii="Arial" w:cs="Arial" w:eastAsia="Arial" w:hAnsi="Arial"/>
                <w:sz w:val="18"/>
                <w:szCs w:val="18"/>
                <w:color w:val="auto"/>
              </w:rPr>
              <w:t>Total earnings for</w:t>
            </w: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6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182" w:lineRule="exact"/>
              <w:rPr>
                <w:sz w:val="20"/>
                <w:szCs w:val="20"/>
                <w:color w:val="auto"/>
              </w:rPr>
            </w:pPr>
            <w:r>
              <w:rPr>
                <w:rFonts w:ascii="Arial" w:cs="Arial" w:eastAsia="Arial" w:hAnsi="Arial"/>
                <w:sz w:val="18"/>
                <w:szCs w:val="18"/>
                <w:color w:val="auto"/>
              </w:rPr>
              <w:t>purpose of ratio</w:t>
            </w:r>
          </w:p>
        </w:tc>
        <w:tc>
          <w:tcPr>
            <w:tcW w:w="34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1,846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1,401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1,854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1,760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2,367</w:t>
            </w:r>
          </w:p>
        </w:tc>
        <w:tc>
          <w:tcPr>
            <w:tcW w:w="150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combined fixed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4.22</w:t>
            </w:r>
          </w:p>
        </w:tc>
        <w:tc>
          <w:tcPr>
            <w:tcW w:w="15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63"/>
        </w:trPr>
        <w:tc>
          <w:tcPr>
            <w:tcW w:w="222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4.22</w:t>
            </w:r>
          </w:p>
        </w:tc>
        <w:tc>
          <w:tcPr>
            <w:tcW w:w="15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63"/>
        </w:trPr>
        <w:tc>
          <w:tcPr>
            <w:tcW w:w="2220" w:type="dxa"/>
            <w:vAlign w:val="bottom"/>
          </w:tcPr>
          <w:p>
            <w:pPr>
              <w:ind w:left="260"/>
              <w:spacing w:after="0" w:line="143" w:lineRule="exact"/>
              <w:rPr>
                <w:sz w:val="20"/>
                <w:szCs w:val="20"/>
                <w:color w:val="auto"/>
              </w:rPr>
            </w:pPr>
            <w:r>
              <w:rPr>
                <w:rFonts w:ascii="Arial" w:cs="Arial" w:eastAsia="Arial" w:hAnsi="Arial"/>
                <w:sz w:val="16"/>
                <w:szCs w:val="16"/>
                <w:color w:val="auto"/>
              </w:rPr>
              <w:t>fixed charges</w:t>
            </w: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right="300" w:hanging="499"/>
        <w:spacing w:after="0" w:line="234" w:lineRule="auto"/>
        <w:tabs>
          <w:tab w:leader="none" w:pos="5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As adjusted for the retrospective effect of a change in accounting principle. This change had no impact at December 31, 2007 or for the year then ended.</w:t>
      </w:r>
    </w:p>
    <w:p>
      <w:pPr>
        <w:spacing w:after="0" w:line="1" w:lineRule="exact"/>
        <w:rPr>
          <w:rFonts w:ascii="Arial" w:cs="Arial" w:eastAsia="Arial" w:hAnsi="Arial"/>
          <w:sz w:val="18"/>
          <w:szCs w:val="18"/>
          <w:color w:val="auto"/>
        </w:rPr>
      </w:pPr>
    </w:p>
    <w:p>
      <w:pPr>
        <w:ind w:left="520" w:right="520" w:hanging="499"/>
        <w:spacing w:after="0" w:line="246" w:lineRule="auto"/>
        <w:tabs>
          <w:tab w:leader="none" w:pos="5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280"/>
          </w:cols>
          <w:pgMar w:left="380" w:top="1089" w:right="23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Fixed Charges and</w:t>
      </w:r>
    </w:p>
    <w:p>
      <w:pPr>
        <w:ind w:left="260"/>
        <w:spacing w:after="0" w:line="234" w:lineRule="auto"/>
        <w:rPr>
          <w:sz w:val="20"/>
          <w:szCs w:val="20"/>
          <w:color w:val="auto"/>
        </w:rPr>
      </w:pPr>
      <w:r>
        <w:rPr>
          <w:rFonts w:ascii="Arial" w:cs="Arial" w:eastAsia="Arial" w:hAnsi="Arial"/>
          <w:sz w:val="18"/>
          <w:szCs w:val="18"/>
          <w:color w:val="auto"/>
        </w:rPr>
        <w:t>Preferred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jc w:val="right"/>
        <w:ind w:right="160"/>
        <w:spacing w:after="0" w:line="242" w:lineRule="auto"/>
        <w:rPr>
          <w:sz w:val="20"/>
          <w:szCs w:val="20"/>
          <w:color w:val="auto"/>
        </w:rPr>
      </w:pPr>
      <w:r>
        <w:rPr>
          <w:rFonts w:ascii="Arial" w:cs="Arial" w:eastAsia="Arial" w:hAnsi="Arial"/>
          <w:sz w:val="18"/>
          <w:szCs w:val="18"/>
          <w:color w:val="auto"/>
        </w:rPr>
        <w:t>Interest portion of annual rentals</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Total fixed charges Preferred stock</w:t>
      </w:r>
    </w:p>
    <w:p>
      <w:pPr>
        <w:spacing w:after="0" w:line="1" w:lineRule="exact"/>
        <w:rPr>
          <w:sz w:val="20"/>
          <w:szCs w:val="20"/>
          <w:color w:val="auto"/>
        </w:rPr>
      </w:pPr>
    </w:p>
    <w:p>
      <w:pPr>
        <w:jc w:val="right"/>
        <w:ind w:right="280"/>
        <w:spacing w:after="0" w:line="234" w:lineRule="auto"/>
        <w:rPr>
          <w:sz w:val="20"/>
          <w:szCs w:val="20"/>
          <w:color w:val="auto"/>
        </w:rPr>
      </w:pPr>
      <w:r>
        <w:rPr>
          <w:rFonts w:ascii="Arial" w:cs="Arial" w:eastAsia="Arial" w:hAnsi="Arial"/>
          <w:sz w:val="18"/>
          <w:szCs w:val="18"/>
          <w:color w:val="auto"/>
        </w:rPr>
        <w:t>dividends (1) Combined fixed charges and</w:t>
      </w:r>
    </w:p>
    <w:p>
      <w:pPr>
        <w:spacing w:after="0" w:line="2" w:lineRule="exact"/>
        <w:rPr>
          <w:sz w:val="20"/>
          <w:szCs w:val="20"/>
          <w:color w:val="auto"/>
        </w:rPr>
      </w:pPr>
    </w:p>
    <w:p>
      <w:pPr>
        <w:ind w:left="260" w:right="60"/>
        <w:spacing w:after="0" w:line="254" w:lineRule="auto"/>
        <w:rPr>
          <w:sz w:val="20"/>
          <w:szCs w:val="20"/>
          <w:color w:val="auto"/>
        </w:rPr>
      </w:pPr>
      <w:r>
        <w:rPr>
          <w:rFonts w:ascii="Arial" w:cs="Arial" w:eastAsia="Arial" w:hAnsi="Arial"/>
          <w:sz w:val="17"/>
          <w:szCs w:val="17"/>
          <w:color w:val="auto"/>
        </w:rPr>
        <w:t>preferred stock dividends for purpose of ratio</w:t>
      </w:r>
    </w:p>
    <w:p>
      <w:pPr>
        <w:spacing w:after="0" w:line="235" w:lineRule="auto"/>
        <w:rPr>
          <w:sz w:val="20"/>
          <w:szCs w:val="20"/>
          <w:color w:val="auto"/>
        </w:rPr>
      </w:pPr>
      <w:r>
        <w:rPr>
          <w:rFonts w:ascii="Arial" w:cs="Arial" w:eastAsia="Arial" w:hAnsi="Arial"/>
          <w:sz w:val="18"/>
          <w:szCs w:val="18"/>
          <w:color w:val="auto"/>
        </w:rPr>
        <w:t>Earnings:</w:t>
      </w:r>
    </w:p>
    <w:p>
      <w:pPr>
        <w:spacing w:after="0" w:line="1" w:lineRule="exact"/>
        <w:rPr>
          <w:sz w:val="20"/>
          <w:szCs w:val="20"/>
          <w:color w:val="auto"/>
        </w:rPr>
      </w:pPr>
    </w:p>
    <w:p>
      <w:pPr>
        <w:ind w:left="260" w:hanging="258"/>
        <w:spacing w:after="0" w:line="234" w:lineRule="auto"/>
        <w:rPr>
          <w:sz w:val="20"/>
          <w:szCs w:val="20"/>
          <w:color w:val="auto"/>
        </w:rPr>
      </w:pPr>
      <w:r>
        <w:rPr>
          <w:rFonts w:ascii="Arial" w:cs="Arial" w:eastAsia="Arial" w:hAnsi="Arial"/>
          <w:sz w:val="18"/>
          <w:szCs w:val="18"/>
          <w:color w:val="auto"/>
        </w:rPr>
        <w:t>Pretax income from continuing operations</w:t>
      </w:r>
    </w:p>
    <w:p>
      <w:pPr>
        <w:spacing w:after="0" w:line="2" w:lineRule="exact"/>
        <w:rPr>
          <w:sz w:val="20"/>
          <w:szCs w:val="20"/>
          <w:color w:val="auto"/>
        </w:rPr>
      </w:pPr>
    </w:p>
    <w:p>
      <w:pPr>
        <w:ind w:left="260" w:right="60" w:hanging="258"/>
        <w:spacing w:after="0" w:line="248" w:lineRule="auto"/>
        <w:rPr>
          <w:sz w:val="20"/>
          <w:szCs w:val="20"/>
          <w:color w:val="auto"/>
        </w:rPr>
      </w:pPr>
      <w:r>
        <w:rPr>
          <w:rFonts w:ascii="Arial" w:cs="Arial" w:eastAsia="Arial" w:hAnsi="Arial"/>
          <w:sz w:val="17"/>
          <w:szCs w:val="17"/>
          <w:color w:val="auto"/>
        </w:rPr>
        <w:t>Total fixed charges (from above)</w:t>
      </w:r>
    </w:p>
    <w:p>
      <w:pPr>
        <w:spacing w:after="0" w:line="1" w:lineRule="exact"/>
        <w:rPr>
          <w:sz w:val="20"/>
          <w:szCs w:val="20"/>
          <w:color w:val="auto"/>
        </w:rPr>
      </w:pPr>
    </w:p>
    <w:p>
      <w:pPr>
        <w:jc w:val="right"/>
        <w:ind w:right="460"/>
        <w:spacing w:after="0" w:line="246" w:lineRule="auto"/>
        <w:rPr>
          <w:sz w:val="20"/>
          <w:szCs w:val="20"/>
          <w:color w:val="auto"/>
        </w:rPr>
      </w:pPr>
      <w:r>
        <w:rPr>
          <w:rFonts w:ascii="Arial" w:cs="Arial" w:eastAsia="Arial" w:hAnsi="Arial"/>
          <w:sz w:val="18"/>
          <w:szCs w:val="18"/>
          <w:color w:val="auto"/>
        </w:rPr>
        <w:t>Less: Interest capitalized</w:t>
      </w:r>
    </w:p>
    <w:p>
      <w:pPr>
        <w:spacing w:after="0" w:line="21" w:lineRule="exact"/>
        <w:rPr>
          <w:sz w:val="20"/>
          <w:szCs w:val="20"/>
          <w:color w:val="auto"/>
        </w:rPr>
      </w:pPr>
    </w:p>
    <w:p>
      <w:pPr>
        <w:ind w:left="260" w:right="60" w:hanging="258"/>
        <w:spacing w:after="0" w:line="248" w:lineRule="auto"/>
        <w:rPr>
          <w:sz w:val="20"/>
          <w:szCs w:val="20"/>
          <w:color w:val="auto"/>
        </w:rPr>
      </w:pPr>
      <w:r>
        <w:rPr>
          <w:rFonts w:ascii="Arial" w:cs="Arial" w:eastAsia="Arial" w:hAnsi="Arial"/>
          <w:sz w:val="17"/>
          <w:szCs w:val="17"/>
          <w:color w:val="auto"/>
        </w:rPr>
        <w:t>Total earnings for purpose of ratio</w:t>
      </w:r>
    </w:p>
    <w:p>
      <w:pPr>
        <w:spacing w:after="0" w:line="1" w:lineRule="exact"/>
        <w:rPr>
          <w:sz w:val="20"/>
          <w:szCs w:val="20"/>
          <w:color w:val="auto"/>
        </w:rPr>
      </w:pPr>
    </w:p>
    <w:p>
      <w:pPr>
        <w:ind w:left="260" w:hanging="258"/>
        <w:spacing w:after="0" w:line="238" w:lineRule="auto"/>
        <w:rPr>
          <w:sz w:val="20"/>
          <w:szCs w:val="20"/>
          <w:color w:val="auto"/>
        </w:rPr>
      </w:pPr>
      <w:r>
        <w:rPr>
          <w:rFonts w:ascii="Arial" w:cs="Arial" w:eastAsia="Arial" w:hAnsi="Arial"/>
          <w:sz w:val="18"/>
          <w:szCs w:val="18"/>
          <w:color w:val="auto"/>
        </w:rPr>
        <w:t>Ratio of earnings to combined fixed charges and preferred stock dividends</w:t>
      </w:r>
    </w:p>
    <w:p>
      <w:pPr>
        <w:spacing w:after="0" w:line="203" w:lineRule="exact"/>
        <w:rPr>
          <w:sz w:val="20"/>
          <w:szCs w:val="20"/>
          <w:color w:val="auto"/>
        </w:rPr>
      </w:pPr>
    </w:p>
    <w:p>
      <w:pPr>
        <w:ind w:left="260" w:hanging="258"/>
        <w:spacing w:after="0" w:line="246" w:lineRule="auto"/>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240"/>
        <w:spacing w:after="0"/>
        <w:rPr>
          <w:sz w:val="20"/>
          <w:szCs w:val="20"/>
          <w:color w:val="auto"/>
        </w:rPr>
      </w:pPr>
      <w:r>
        <w:rPr>
          <w:rFonts w:ascii="Arial" w:cs="Arial" w:eastAsia="Arial" w:hAnsi="Arial"/>
          <w:sz w:val="18"/>
          <w:szCs w:val="18"/>
          <w:b w:val="1"/>
          <w:bCs w:val="1"/>
          <w:color w:val="auto"/>
        </w:rPr>
        <w:t>EXHIBIT 12.2</w:t>
      </w:r>
    </w:p>
    <w:p>
      <w:pPr>
        <w:spacing w:after="0" w:line="13" w:lineRule="exact"/>
        <w:rPr>
          <w:sz w:val="20"/>
          <w:szCs w:val="20"/>
          <w:color w:val="auto"/>
        </w:rPr>
      </w:pPr>
    </w:p>
    <w:p>
      <w:pPr>
        <w:jc w:val="center"/>
        <w:ind w:right="2240"/>
        <w:spacing w:after="0"/>
        <w:rPr>
          <w:sz w:val="20"/>
          <w:szCs w:val="20"/>
          <w:color w:val="auto"/>
        </w:rPr>
      </w:pPr>
      <w:r>
        <w:rPr>
          <w:rFonts w:ascii="Arial" w:cs="Arial" w:eastAsia="Arial" w:hAnsi="Arial"/>
          <w:sz w:val="18"/>
          <w:szCs w:val="18"/>
          <w:b w:val="1"/>
          <w:bCs w:val="1"/>
          <w:color w:val="auto"/>
        </w:rPr>
        <w:t>SAN DIEGO GAS &amp; ELECTRIC COMPANY</w:t>
      </w:r>
    </w:p>
    <w:p>
      <w:pPr>
        <w:jc w:val="center"/>
        <w:ind w:right="22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22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224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June 30,</w:t>
            </w:r>
          </w:p>
        </w:tc>
      </w:tr>
      <w:tr>
        <w:trPr>
          <w:trHeight w:val="203"/>
        </w:trPr>
        <w:tc>
          <w:tcPr>
            <w:tcW w:w="11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2007</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2008</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2009</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2011</w:t>
            </w:r>
          </w:p>
        </w:tc>
        <w:tc>
          <w:tcPr>
            <w:tcW w:w="3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2012</w:t>
            </w:r>
          </w:p>
        </w:tc>
      </w:tr>
      <w:tr>
        <w:trPr>
          <w:trHeight w:val="803"/>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7"/>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153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193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378"/>
        </w:trPr>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194</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378"/>
        </w:trPr>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762"/>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11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115</w:t>
            </w:r>
          </w:p>
        </w:tc>
        <w:tc>
          <w:tcPr>
            <w:tcW w:w="7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115</w:t>
            </w:r>
          </w:p>
        </w:tc>
        <w:tc>
          <w:tcPr>
            <w:tcW w:w="7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126</w:t>
            </w:r>
          </w:p>
        </w:tc>
        <w:tc>
          <w:tcPr>
            <w:tcW w:w="7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161</w:t>
            </w:r>
          </w:p>
        </w:tc>
        <w:tc>
          <w:tcPr>
            <w:tcW w:w="7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201</w:t>
            </w:r>
          </w:p>
        </w:tc>
        <w:tc>
          <w:tcPr>
            <w:tcW w:w="7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110</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7"/>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406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550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531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326</w:t>
            </w:r>
          </w:p>
        </w:tc>
      </w:tr>
      <w:tr>
        <w:trPr>
          <w:trHeight w:val="405"/>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194</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378"/>
        </w:trPr>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195"/>
        </w:trPr>
        <w:tc>
          <w:tcPr>
            <w:tcW w:w="11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11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511</w:t>
            </w:r>
          </w:p>
        </w:tc>
        <w:tc>
          <w:tcPr>
            <w:tcW w:w="7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546</w:t>
            </w:r>
          </w:p>
        </w:tc>
        <w:tc>
          <w:tcPr>
            <w:tcW w:w="7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665</w:t>
            </w:r>
          </w:p>
        </w:tc>
        <w:tc>
          <w:tcPr>
            <w:tcW w:w="7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684</w:t>
            </w:r>
          </w:p>
        </w:tc>
        <w:tc>
          <w:tcPr>
            <w:tcW w:w="7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885</w:t>
            </w:r>
          </w:p>
        </w:tc>
        <w:tc>
          <w:tcPr>
            <w:tcW w:w="7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433</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953"/>
        </w:trPr>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4.44</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5.28</w:t>
            </w:r>
          </w:p>
        </w:tc>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4.40</w:t>
            </w:r>
          </w:p>
        </w:tc>
        <w:tc>
          <w:tcPr>
            <w:tcW w:w="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61"/>
        </w:trPr>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5.06</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5.59</w:t>
            </w:r>
          </w:p>
        </w:tc>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4.44</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4.56</w:t>
            </w:r>
          </w:p>
        </w:tc>
        <w:tc>
          <w:tcPr>
            <w:tcW w:w="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4.05</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1560" w:space="540"/>
            <w:col w:w="9180"/>
          </w:cols>
          <w:pgMar w:left="380" w:top="1089" w:right="239" w:bottom="1440" w:gutter="0" w:footer="0" w:header="0"/>
        </w:sectPr>
      </w:pPr>
    </w:p>
    <w:p>
      <w:pPr>
        <w:ind w:left="520" w:right="220" w:hanging="505"/>
        <w:spacing w:after="0" w:line="246" w:lineRule="auto"/>
        <w:tabs>
          <w:tab w:leader="none" w:pos="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0"/>
          </w:cols>
          <w:pgMar w:left="380" w:top="1089" w:right="239" w:bottom="1440" w:gutter="0" w:footer="0" w:header="0"/>
          <w:type w:val="continuous"/>
        </w:sectPr>
      </w:pPr>
    </w:p>
    <w:bookmarkStart w:id="124" w:name="page125"/>
    <w:bookmarkEnd w:id="124"/>
    <w:p>
      <w:pPr>
        <w:jc w:val="center"/>
        <w:ind w:right="140"/>
        <w:spacing w:after="0"/>
        <w:rPr>
          <w:sz w:val="20"/>
          <w:szCs w:val="20"/>
          <w:color w:val="auto"/>
        </w:rPr>
      </w:pPr>
      <w:r>
        <w:rPr>
          <w:rFonts w:ascii="Arial" w:cs="Arial" w:eastAsia="Arial" w:hAnsi="Arial"/>
          <w:sz w:val="18"/>
          <w:szCs w:val="18"/>
          <w:b w:val="1"/>
          <w:bCs w:val="1"/>
          <w:color w:val="auto"/>
        </w:rPr>
        <w:t>EXHIBIT 12.3</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SOUTHERN CALIFORNIA GAS COMPANY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2007</w:t>
            </w:r>
          </w:p>
        </w:tc>
        <w:tc>
          <w:tcPr>
            <w:tcW w:w="3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2008</w:t>
            </w:r>
          </w:p>
        </w:tc>
        <w:tc>
          <w:tcPr>
            <w:tcW w:w="3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2011</w:t>
            </w:r>
          </w:p>
        </w:tc>
        <w:tc>
          <w:tcPr>
            <w:tcW w:w="3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Fixed Charges:</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w:t>
            </w: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65</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74</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72</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77</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Interest portion of</w:t>
            </w:r>
          </w:p>
        </w:tc>
        <w:tc>
          <w:tcPr>
            <w:tcW w:w="38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1840" w:type="dxa"/>
            <w:vAlign w:val="bottom"/>
          </w:tcPr>
          <w:p>
            <w:pPr>
              <w:ind w:left="260"/>
              <w:spacing w:after="0" w:line="190" w:lineRule="exact"/>
              <w:rPr>
                <w:sz w:val="20"/>
                <w:szCs w:val="20"/>
                <w:color w:val="auto"/>
              </w:rPr>
            </w:pPr>
            <w:r>
              <w:rPr>
                <w:rFonts w:ascii="Arial" w:cs="Arial" w:eastAsia="Arial" w:hAnsi="Arial"/>
                <w:sz w:val="18"/>
                <w:szCs w:val="18"/>
                <w:color w:val="auto"/>
              </w:rPr>
              <w:t>annual rentals</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40" w:type="dxa"/>
            <w:vAlign w:val="bottom"/>
          </w:tcPr>
          <w:p>
            <w:pPr>
              <w:spacing w:after="0"/>
              <w:rPr>
                <w:sz w:val="20"/>
                <w:szCs w:val="20"/>
                <w:color w:val="auto"/>
              </w:rPr>
            </w:pPr>
            <w:r>
              <w:rPr>
                <w:rFonts w:ascii="Arial" w:cs="Arial" w:eastAsia="Arial" w:hAnsi="Arial"/>
                <w:sz w:val="18"/>
                <w:szCs w:val="18"/>
                <w:color w:val="auto"/>
              </w:rPr>
              <w:t>Total fixed charges</w:t>
            </w:r>
          </w:p>
        </w:tc>
        <w:tc>
          <w:tcPr>
            <w:tcW w:w="3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Preferred stock</w:t>
            </w:r>
          </w:p>
        </w:tc>
        <w:tc>
          <w:tcPr>
            <w:tcW w:w="38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1840" w:type="dxa"/>
            <w:vAlign w:val="bottom"/>
          </w:tcPr>
          <w:p>
            <w:pPr>
              <w:ind w:left="260"/>
              <w:spacing w:after="0" w:line="190" w:lineRule="exact"/>
              <w:rPr>
                <w:sz w:val="20"/>
                <w:szCs w:val="20"/>
                <w:color w:val="auto"/>
              </w:rPr>
            </w:pPr>
            <w:r>
              <w:rPr>
                <w:rFonts w:ascii="Arial" w:cs="Arial" w:eastAsia="Arial" w:hAnsi="Arial"/>
                <w:sz w:val="18"/>
                <w:szCs w:val="18"/>
                <w:color w:val="auto"/>
              </w:rPr>
              <w:t>dividends (1)</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line="195" w:lineRule="exact"/>
              <w:rPr>
                <w:sz w:val="20"/>
                <w:szCs w:val="20"/>
                <w:color w:val="auto"/>
              </w:rPr>
            </w:pPr>
            <w:r>
              <w:rPr>
                <w:rFonts w:ascii="Arial" w:cs="Arial" w:eastAsia="Arial" w:hAnsi="Arial"/>
                <w:sz w:val="18"/>
                <w:szCs w:val="18"/>
                <w:color w:val="auto"/>
              </w:rPr>
              <w:t>Combined fixed</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dividends for</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77</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69</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77</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76</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80</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63"/>
        </w:trPr>
        <w:tc>
          <w:tcPr>
            <w:tcW w:w="1840" w:type="dxa"/>
            <w:vAlign w:val="bottom"/>
          </w:tcPr>
          <w:p>
            <w:pPr>
              <w:ind w:left="260"/>
              <w:spacing w:after="0" w:line="143" w:lineRule="exact"/>
              <w:rPr>
                <w:sz w:val="20"/>
                <w:szCs w:val="20"/>
                <w:color w:val="auto"/>
              </w:rPr>
            </w:pPr>
            <w:r>
              <w:rPr>
                <w:rFonts w:ascii="Arial" w:cs="Arial" w:eastAsia="Arial" w:hAnsi="Arial"/>
                <w:sz w:val="16"/>
                <w:szCs w:val="16"/>
                <w:color w:val="auto"/>
              </w:rPr>
              <w:t>purpose of ratio</w:t>
            </w:r>
          </w:p>
        </w:tc>
        <w:tc>
          <w:tcPr>
            <w:tcW w:w="3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Pretax income from</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continuing</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operations</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391</w:t>
            </w: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385</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418</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463</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431</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Add: Total fixed</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charges (from</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above)</w:t>
            </w:r>
          </w:p>
        </w:tc>
        <w:tc>
          <w:tcPr>
            <w:tcW w:w="38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75</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75</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78</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38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1840" w:type="dxa"/>
            <w:vAlign w:val="bottom"/>
          </w:tcPr>
          <w:p>
            <w:pPr>
              <w:ind w:left="260"/>
              <w:spacing w:after="0" w:line="190" w:lineRule="exact"/>
              <w:rPr>
                <w:sz w:val="20"/>
                <w:szCs w:val="20"/>
                <w:color w:val="auto"/>
              </w:rPr>
            </w:pPr>
            <w:r>
              <w:rPr>
                <w:rFonts w:ascii="Arial" w:cs="Arial" w:eastAsia="Arial" w:hAnsi="Arial"/>
                <w:sz w:val="18"/>
                <w:szCs w:val="18"/>
                <w:color w:val="auto"/>
              </w:rPr>
              <w:t>capitalized</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line="195" w:lineRule="exact"/>
              <w:rPr>
                <w:sz w:val="20"/>
                <w:szCs w:val="20"/>
                <w:color w:val="auto"/>
              </w:rPr>
            </w:pPr>
            <w:r>
              <w:rPr>
                <w:rFonts w:ascii="Arial" w:cs="Arial" w:eastAsia="Arial" w:hAnsi="Arial"/>
                <w:sz w:val="18"/>
                <w:szCs w:val="18"/>
                <w:color w:val="auto"/>
              </w:rPr>
              <w:t>Total earnings for</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465</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452</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492</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536</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508</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63"/>
        </w:trPr>
        <w:tc>
          <w:tcPr>
            <w:tcW w:w="1840" w:type="dxa"/>
            <w:vAlign w:val="bottom"/>
          </w:tcPr>
          <w:p>
            <w:pPr>
              <w:ind w:left="260"/>
              <w:spacing w:after="0" w:line="143" w:lineRule="exact"/>
              <w:rPr>
                <w:sz w:val="20"/>
                <w:szCs w:val="20"/>
                <w:color w:val="auto"/>
              </w:rPr>
            </w:pPr>
            <w:r>
              <w:rPr>
                <w:rFonts w:ascii="Arial" w:cs="Arial" w:eastAsia="Arial" w:hAnsi="Arial"/>
                <w:sz w:val="16"/>
                <w:szCs w:val="16"/>
                <w:color w:val="auto"/>
              </w:rPr>
              <w:t>purpose of ratio</w:t>
            </w:r>
          </w:p>
        </w:tc>
        <w:tc>
          <w:tcPr>
            <w:tcW w:w="3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combined fixed</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8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6.04</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6.39</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7.05</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6.35</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163"/>
        </w:trPr>
        <w:tc>
          <w:tcPr>
            <w:tcW w:w="184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8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6.20</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6.75</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6.56</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7.24</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6.51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63"/>
        </w:trPr>
        <w:tc>
          <w:tcPr>
            <w:tcW w:w="1840" w:type="dxa"/>
            <w:vAlign w:val="bottom"/>
          </w:tcPr>
          <w:p>
            <w:pPr>
              <w:ind w:left="260"/>
              <w:spacing w:after="0" w:line="143" w:lineRule="exact"/>
              <w:rPr>
                <w:sz w:val="20"/>
                <w:szCs w:val="20"/>
                <w:color w:val="auto"/>
              </w:rPr>
            </w:pPr>
            <w:r>
              <w:rPr>
                <w:rFonts w:ascii="Arial" w:cs="Arial" w:eastAsia="Arial" w:hAnsi="Arial"/>
                <w:sz w:val="16"/>
                <w:szCs w:val="16"/>
                <w:color w:val="auto"/>
              </w:rPr>
              <w:t>fixed charges</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160" w:hanging="518"/>
        <w:spacing w:after="0" w:line="246" w:lineRule="auto"/>
        <w:tabs>
          <w:tab w:leader="none" w:pos="5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0"/>
          </w:cols>
          <w:pgMar w:left="380" w:top="1089" w:right="239" w:bottom="1440" w:gutter="0" w:footer="0" w:header="0"/>
        </w:sectPr>
      </w:pPr>
    </w:p>
    <w:bookmarkStart w:id="125" w:name="page126"/>
    <w:bookmarkEnd w:id="125"/>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8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2, 2012</w:t>
      </w:r>
    </w:p>
    <w:p>
      <w:pPr>
        <w:spacing w:after="0" w:line="267"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26" w:name="page127"/>
    <w:bookmarkEnd w:id="126"/>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Joseph A. Householder, certify that:</w:t>
      </w:r>
    </w:p>
    <w:p>
      <w:pPr>
        <w:spacing w:after="0" w:line="260" w:lineRule="exact"/>
        <w:rPr>
          <w:sz w:val="20"/>
          <w:szCs w:val="20"/>
          <w:color w:val="auto"/>
        </w:rPr>
      </w:pPr>
    </w:p>
    <w:p>
      <w:pPr>
        <w:ind w:left="340" w:hanging="332"/>
        <w:spacing w:after="0"/>
        <w:tabs>
          <w:tab w:leader="none" w:pos="3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2, 2012</w:t>
      </w:r>
    </w:p>
    <w:p>
      <w:pPr>
        <w:spacing w:after="0" w:line="267"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-123190</wp:posOffset>
            </wp:positionV>
            <wp:extent cx="26498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27" w:name="page128"/>
    <w:bookmarkEnd w:id="127"/>
    <w:p>
      <w:pPr>
        <w:ind w:left="10120"/>
        <w:spacing w:after="0"/>
        <w:rPr>
          <w:sz w:val="20"/>
          <w:szCs w:val="20"/>
          <w:color w:val="auto"/>
        </w:rPr>
      </w:pPr>
      <w:r>
        <w:rPr>
          <w:rFonts w:ascii="Arial" w:cs="Arial" w:eastAsia="Arial" w:hAnsi="Arial"/>
          <w:sz w:val="21"/>
          <w:szCs w:val="21"/>
          <w:color w:val="auto"/>
        </w:rPr>
        <w:t>EXHIBIT 31.3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Jessie J. Knight, Jr., certify that:</w:t>
      </w:r>
    </w:p>
    <w:p>
      <w:pPr>
        <w:spacing w:after="0" w:line="260" w:lineRule="exact"/>
        <w:rPr>
          <w:sz w:val="20"/>
          <w:szCs w:val="20"/>
          <w:color w:val="auto"/>
        </w:rPr>
      </w:pPr>
    </w:p>
    <w:p>
      <w:pPr>
        <w:ind w:left="340" w:hanging="332"/>
        <w:spacing w:after="0"/>
        <w:tabs>
          <w:tab w:leader="none" w:pos="34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2, 2012</w:t>
      </w:r>
    </w:p>
    <w:p>
      <w:pPr>
        <w:spacing w:after="0" w:line="267"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r>
        <w:rPr>
          <w:rFonts w:ascii="Arial" w:cs="Arial" w:eastAsia="Arial" w:hAnsi="Arial"/>
          <w:sz w:val="17"/>
          <w:szCs w:val="17"/>
          <w:i w:val="1"/>
          <w:iCs w:val="1"/>
          <w:color w:val="auto"/>
        </w:rPr>
        <w:t>.</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-123190</wp:posOffset>
            </wp:positionV>
            <wp:extent cx="2752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28" w:name="page129"/>
    <w:bookmarkEnd w:id="128"/>
    <w:p>
      <w:pPr>
        <w:ind w:left="10120"/>
        <w:spacing w:after="0"/>
        <w:rPr>
          <w:sz w:val="20"/>
          <w:szCs w:val="20"/>
          <w:color w:val="auto"/>
        </w:rPr>
      </w:pPr>
      <w:r>
        <w:rPr>
          <w:rFonts w:ascii="Arial" w:cs="Arial" w:eastAsia="Arial" w:hAnsi="Arial"/>
          <w:sz w:val="21"/>
          <w:szCs w:val="21"/>
          <w:color w:val="auto"/>
        </w:rPr>
        <w:t>EXHIBIT 31.4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8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2, 2012</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29" w:name="page130"/>
    <w:bookmarkEnd w:id="129"/>
    <w:p>
      <w:pPr>
        <w:ind w:left="10120"/>
        <w:spacing w:after="0"/>
        <w:rPr>
          <w:sz w:val="20"/>
          <w:szCs w:val="20"/>
          <w:color w:val="auto"/>
        </w:rPr>
      </w:pPr>
      <w:r>
        <w:rPr>
          <w:rFonts w:ascii="Arial" w:cs="Arial" w:eastAsia="Arial" w:hAnsi="Arial"/>
          <w:sz w:val="21"/>
          <w:szCs w:val="21"/>
          <w:color w:val="auto"/>
        </w:rPr>
        <w:t>EXHIBIT 31.5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Anne S. Smith, certify that:</w:t>
      </w:r>
    </w:p>
    <w:p>
      <w:pPr>
        <w:spacing w:after="0" w:line="260" w:lineRule="exact"/>
        <w:rPr>
          <w:sz w:val="20"/>
          <w:szCs w:val="20"/>
          <w:color w:val="auto"/>
        </w:rPr>
      </w:pPr>
    </w:p>
    <w:p>
      <w:pPr>
        <w:ind w:left="340" w:hanging="332"/>
        <w:spacing w:after="0"/>
        <w:tabs>
          <w:tab w:leader="none" w:pos="34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2, 2012</w:t>
      </w:r>
    </w:p>
    <w:p>
      <w:pPr>
        <w:spacing w:after="0" w:line="267"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/S/ Anne S. Smith</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30" w:name="page131"/>
    <w:bookmarkEnd w:id="130"/>
    <w:p>
      <w:pPr>
        <w:ind w:left="10120"/>
        <w:spacing w:after="0"/>
        <w:rPr>
          <w:sz w:val="20"/>
          <w:szCs w:val="20"/>
          <w:color w:val="auto"/>
        </w:rPr>
      </w:pPr>
      <w:r>
        <w:rPr>
          <w:rFonts w:ascii="Arial" w:cs="Arial" w:eastAsia="Arial" w:hAnsi="Arial"/>
          <w:sz w:val="21"/>
          <w:szCs w:val="21"/>
          <w:color w:val="auto"/>
        </w:rPr>
        <w:t>EXHIBIT 31.6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2, 2012</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2, 2012</w:t>
      </w:r>
    </w:p>
    <w:p>
      <w:pPr>
        <w:spacing w:after="0" w:line="362"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-130810</wp:posOffset>
            </wp:positionV>
            <wp:extent cx="23926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2, 2012</w:t>
      </w:r>
    </w:p>
    <w:p>
      <w:pPr>
        <w:spacing w:after="0" w:line="362"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-123190</wp:posOffset>
            </wp:positionV>
            <wp:extent cx="24955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San Diego Gas &amp; Electric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92"/>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2, 2012</w:t>
      </w:r>
    </w:p>
    <w:p>
      <w:pPr>
        <w:spacing w:after="0" w:line="362"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-123190</wp:posOffset>
            </wp:positionV>
            <wp:extent cx="25469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color w:val="auto"/>
        </w:rPr>
        <w:t>Exhibit 32.4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San Diego Gas &amp; Electric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2, 2012</w:t>
      </w:r>
    </w:p>
    <w:p>
      <w:pPr>
        <w:spacing w:after="0" w:line="362"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color w:val="auto"/>
        </w:rPr>
        <w:t>Exhibit 32.5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Southern California Gas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2, 2012</w:t>
      </w:r>
    </w:p>
    <w:p>
      <w:pPr>
        <w:spacing w:after="0" w:line="362"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/S/ Anne S. Smith</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color w:val="auto"/>
        </w:rPr>
        <w:t>Exhibit 32.6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Southern California Gas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2, 2012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011C"/>
    <w:multiLevelType w:val="hybridMultilevel"/>
    <w:lvl w:ilvl="0">
      <w:lvlJc w:val="left"/>
      <w:lvlText w:val="[%1]"/>
      <w:numFmt w:val="upperLetter"/>
      <w:start w:val="24"/>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1)"/>
      <w:numFmt w:val="decimal"/>
      <w:start w:val="1"/>
    </w:lvl>
  </w:abstractNum>
  <w:abstractNum w:abstractNumId="4">
    <w:nsid w:val="6A5F7029"/>
    <w:multiLevelType w:val="hybridMultilevel"/>
    <w:lvl w:ilvl="0">
      <w:lvlJc w:val="left"/>
      <w:lvlText w:val="(%1)"/>
      <w:numFmt w:val="decimal"/>
      <w:start w:val="1"/>
    </w:lvl>
  </w:abstractNum>
  <w:abstractNum w:abstractNumId="5">
    <w:nsid w:val="7D5E18F8"/>
    <w:multiLevelType w:val="hybridMultilevel"/>
    <w:lvl w:ilvl="0">
      <w:lvlJc w:val="left"/>
      <w:lvlText w:val="(%1)"/>
      <w:numFmt w:val="decimal"/>
      <w:start w:val="1"/>
    </w:lvl>
  </w:abstractNum>
  <w:abstractNum w:abstractNumId="6">
    <w:nsid w:val="5F3534A4"/>
    <w:multiLevelType w:val="hybridMultilevel"/>
    <w:lvl w:ilvl="0">
      <w:lvlJc w:val="left"/>
      <w:lvlText w:val="(%1)"/>
      <w:numFmt w:val="decimal"/>
      <w:start w:val="1"/>
    </w:lvl>
  </w:abstractNum>
  <w:abstractNum w:abstractNumId="7">
    <w:nsid w:val="73A1821B"/>
    <w:multiLevelType w:val="hybridMultilevel"/>
    <w:lvl w:ilvl="0">
      <w:lvlJc w:val="left"/>
      <w:lvlText w:val="(%1)"/>
      <w:numFmt w:val="decimal"/>
      <w:start w:val="1"/>
    </w:lvl>
  </w:abstractNum>
  <w:abstractNum w:abstractNumId="8">
    <w:nsid w:val="7DE67713"/>
    <w:multiLevelType w:val="hybridMultilevel"/>
    <w:lvl w:ilvl="0">
      <w:lvlJc w:val="left"/>
      <w:lvlText w:val="(%1)"/>
      <w:numFmt w:val="decimal"/>
      <w:start w:val="1"/>
    </w:lvl>
  </w:abstractNum>
  <w:abstractNum w:abstractNumId="9">
    <w:nsid w:val="555C55B5"/>
    <w:multiLevelType w:val="hybridMultilevel"/>
    <w:lvl w:ilvl="0">
      <w:lvlJc w:val="left"/>
      <w:lvlText w:val="(%1)"/>
      <w:numFmt w:val="decimal"/>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amp;"/>
      <w:numFmt w:val="bullet"/>
      <w:start w:val="1"/>
    </w:lvl>
  </w:abstractNum>
  <w:abstractNum w:abstractNumId="12">
    <w:nsid w:val="6A3DD3E8"/>
    <w:multiLevelType w:val="hybridMultilevel"/>
    <w:lvl w:ilvl="0">
      <w:lvlJc w:val="left"/>
      <w:lvlText w:val="(%1)"/>
      <w:numFmt w:val="decimal"/>
      <w:start w:val="1"/>
    </w:lvl>
  </w:abstractNum>
  <w:abstractNum w:abstractNumId="13">
    <w:nsid w:val="71C91298"/>
    <w:multiLevelType w:val="hybridMultilevel"/>
    <w:lvl w:ilvl="0">
      <w:lvlJc w:val="left"/>
      <w:lvlText w:val="§"/>
      <w:numFmt w:val="bullet"/>
      <w:start w:val="1"/>
    </w:lvl>
  </w:abstractNum>
  <w:abstractNum w:abstractNumId="14">
    <w:nsid w:val="9DAF632"/>
    <w:multiLevelType w:val="hybridMultilevel"/>
    <w:lvl w:ilvl="0">
      <w:lvlJc w:val="left"/>
      <w:lvlText w:val="(%1)"/>
      <w:numFmt w:val="decimal"/>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1)"/>
      <w:numFmt w:val="decimal"/>
      <w:start w:val="1"/>
    </w:lvl>
  </w:abstractNum>
  <w:abstractNum w:abstractNumId="18">
    <w:nsid w:val="1D545C4D"/>
    <w:multiLevelType w:val="hybridMultilevel"/>
    <w:lvl w:ilvl="0">
      <w:lvlJc w:val="left"/>
      <w:lvlText w:val="(%1)"/>
      <w:numFmt w:val="decimal"/>
      <w:start w:val="1"/>
    </w:lvl>
  </w:abstractNum>
  <w:abstractNum w:abstractNumId="19">
    <w:nsid w:val="59ADEA3D"/>
    <w:multiLevelType w:val="hybridMultilevel"/>
    <w:lvl w:ilvl="0">
      <w:lvlJc w:val="left"/>
      <w:lvlText w:val="(%1)"/>
      <w:numFmt w:val="decimal"/>
      <w:start w:val="1"/>
    </w:lvl>
  </w:abstractNum>
  <w:abstractNum w:abstractNumId="20">
    <w:nsid w:val="288F1A34"/>
    <w:multiLevelType w:val="hybridMultilevel"/>
    <w:lvl w:ilvl="0">
      <w:lvlJc w:val="left"/>
      <w:lvlText w:val="(%1)"/>
      <w:numFmt w:val="decimal"/>
      <w:start w:val="1"/>
    </w:lvl>
  </w:abstractNum>
  <w:abstractNum w:abstractNumId="21">
    <w:nsid w:val="2A155DBC"/>
    <w:multiLevelType w:val="hybridMultilevel"/>
    <w:lvl w:ilvl="0">
      <w:lvlJc w:val="left"/>
      <w:lvlText w:val="(%1)"/>
      <w:numFmt w:val="decimal"/>
      <w:start w:val="1"/>
    </w:lvl>
  </w:abstractNum>
  <w:abstractNum w:abstractNumId="22">
    <w:nsid w:val="1D9F6E5F"/>
    <w:multiLevelType w:val="hybridMultilevel"/>
    <w:lvl w:ilvl="0">
      <w:lvlJc w:val="left"/>
      <w:lvlText w:val="(%1)"/>
      <w:numFmt w:val="decimal"/>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1)"/>
      <w:numFmt w:val="decimal"/>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1)"/>
      <w:numFmt w:val="decimal"/>
      <w:start w:val="1"/>
    </w:lvl>
  </w:abstractNum>
  <w:abstractNum w:abstractNumId="33">
    <w:nsid w:val="3C5991AA"/>
    <w:multiLevelType w:val="hybridMultilevel"/>
    <w:lvl w:ilvl="0">
      <w:lvlJc w:val="left"/>
      <w:lvlText w:val="(%1)"/>
      <w:numFmt w:val="decimal"/>
      <w:start w:val="1"/>
    </w:lvl>
  </w:abstractNum>
  <w:abstractNum w:abstractNumId="34">
    <w:nsid w:val="4BD8591A"/>
    <w:multiLevelType w:val="hybridMultilevel"/>
    <w:lvl w:ilvl="0">
      <w:lvlJc w:val="left"/>
      <w:lvlText w:val="(%1)"/>
      <w:numFmt w:val="decimal"/>
      <w:start w:val="1"/>
    </w:lvl>
  </w:abstractNum>
  <w:abstractNum w:abstractNumId="35">
    <w:nsid w:val="78DF6A55"/>
    <w:multiLevelType w:val="hybridMultilevel"/>
    <w:lvl w:ilvl="0">
      <w:lvlJc w:val="left"/>
      <w:lvlText w:val="(%1)"/>
      <w:numFmt w:val="decimal"/>
      <w:start w:val="1"/>
    </w:lvl>
  </w:abstractNum>
  <w:abstractNum w:abstractNumId="36">
    <w:nsid w:val="39B7AAA2"/>
    <w:multiLevelType w:val="hybridMultilevel"/>
    <w:lvl w:ilvl="0">
      <w:lvlJc w:val="left"/>
      <w:lvlText w:val="(%1)"/>
      <w:numFmt w:val="decimal"/>
      <w:start w:val="1"/>
    </w:lvl>
  </w:abstractNum>
  <w:abstractNum w:abstractNumId="37">
    <w:nsid w:val="2B0D8DBE"/>
    <w:multiLevelType w:val="hybridMultilevel"/>
    <w:lvl w:ilvl="0">
      <w:lvlJc w:val="left"/>
      <w:lvlText w:val="(%1)"/>
      <w:numFmt w:val="decimal"/>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1)"/>
      <w:numFmt w:val="decimal"/>
      <w:start w:val="1"/>
    </w:lvl>
  </w:abstractNum>
  <w:abstractNum w:abstractNumId="40">
    <w:nsid w:val="69E373"/>
    <w:multiLevelType w:val="hybridMultilevel"/>
    <w:lvl w:ilvl="0">
      <w:lvlJc w:val="left"/>
      <w:lvlText w:val="(%1)"/>
      <w:numFmt w:val="decimal"/>
      <w:start w:val="1"/>
    </w:lvl>
  </w:abstractNum>
  <w:abstractNum w:abstractNumId="41">
    <w:nsid w:val="2C27173B"/>
    <w:multiLevelType w:val="hybridMultilevel"/>
    <w:lvl w:ilvl="0">
      <w:lvlJc w:val="left"/>
      <w:lvlText w:val="(%1)"/>
      <w:numFmt w:val="decimal"/>
      <w:start w:val="3"/>
    </w:lvl>
  </w:abstractNum>
  <w:abstractNum w:abstractNumId="42">
    <w:nsid w:val="4C9B0904"/>
    <w:multiLevelType w:val="hybridMultilevel"/>
    <w:lvl w:ilvl="0">
      <w:lvlJc w:val="left"/>
      <w:lvlText w:val="%1."/>
      <w:numFmt w:val="decimal"/>
      <w:start w:val="1"/>
    </w:lvl>
  </w:abstractNum>
  <w:abstractNum w:abstractNumId="43">
    <w:nsid w:val="6AA7B75C"/>
    <w:multiLevelType w:val="hybridMultilevel"/>
    <w:lvl w:ilvl="0">
      <w:lvlJc w:val="left"/>
      <w:lvlText w:val="(%1)"/>
      <w:numFmt w:val="decimal"/>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
      <w:numFmt w:val="bullet"/>
      <w:start w:val="1"/>
    </w:lvl>
  </w:abstractNum>
  <w:abstractNum w:abstractNumId="47">
    <w:nsid w:val="3DB012B3"/>
    <w:multiLevelType w:val="hybridMultilevel"/>
    <w:lvl w:ilvl="0">
      <w:lvlJc w:val="left"/>
      <w:lvlText w:val="(%1)"/>
      <w:numFmt w:val="decimal"/>
      <w:start w:val="1"/>
    </w:lvl>
  </w:abstractNum>
  <w:abstractNum w:abstractNumId="48">
    <w:nsid w:val="2708C9AF"/>
    <w:multiLevelType w:val="hybridMultilevel"/>
    <w:lvl w:ilvl="0">
      <w:lvlJc w:val="left"/>
      <w:lvlText w:val="§"/>
      <w:numFmt w:val="bullet"/>
      <w:start w:val="1"/>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1)"/>
      <w:numFmt w:val="decimal"/>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
      <w:numFmt w:val="bullet"/>
      <w:start w:val="1"/>
    </w:lvl>
  </w:abstractNum>
  <w:abstractNum w:abstractNumId="53">
    <w:nsid w:val="34FD6B4F"/>
    <w:multiLevelType w:val="hybridMultilevel"/>
    <w:lvl w:ilvl="0">
      <w:lvlJc w:val="left"/>
      <w:lvlText w:val="§"/>
      <w:numFmt w:val="bullet"/>
      <w:start w:val="1"/>
    </w:lvl>
  </w:abstractNum>
  <w:abstractNum w:abstractNumId="54">
    <w:nsid w:val="5915FF32"/>
    <w:multiLevelType w:val="hybridMultilevel"/>
    <w:lvl w:ilvl="0">
      <w:lvlJc w:val="left"/>
      <w:lvlText w:val="§"/>
      <w:numFmt w:val="bullet"/>
      <w:start w:val="1"/>
    </w:lvl>
  </w:abstractNum>
  <w:abstractNum w:abstractNumId="55">
    <w:nsid w:val="56438D15"/>
    <w:multiLevelType w:val="hybridMultilevel"/>
    <w:lvl w:ilvl="0">
      <w:lvlJc w:val="left"/>
      <w:lvlText w:val="§"/>
      <w:numFmt w:val="bullet"/>
      <w:start w:val="1"/>
    </w:lvl>
  </w:abstractNum>
  <w:abstractNum w:abstractNumId="56">
    <w:nsid w:val="519E3149"/>
    <w:multiLevelType w:val="hybridMultilevel"/>
    <w:lvl w:ilvl="0">
      <w:lvlJc w:val="left"/>
      <w:lvlText w:val="§"/>
      <w:numFmt w:val="bullet"/>
      <w:start w:val="1"/>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
      <w:numFmt w:val="bullet"/>
      <w:start w:val="1"/>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
      <w:numFmt w:val="bullet"/>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
      <w:numFmt w:val="bullet"/>
      <w:start w:val="1"/>
    </w:lvl>
  </w:abstractNum>
  <w:abstractNum w:abstractNumId="67">
    <w:nsid w:val="5399C654"/>
    <w:multiLevelType w:val="hybridMultilevel"/>
    <w:lvl w:ilvl="0">
      <w:lvlJc w:val="left"/>
      <w:lvlText w:val="§"/>
      <w:numFmt w:val="bullet"/>
      <w:start w:val="1"/>
    </w:lvl>
  </w:abstractNum>
  <w:abstractNum w:abstractNumId="68">
    <w:nsid w:val="20EE1348"/>
    <w:multiLevelType w:val="hybridMultilevel"/>
    <w:lvl w:ilvl="0">
      <w:lvlJc w:val="left"/>
      <w:lvlText w:val="§"/>
      <w:numFmt w:val="bullet"/>
      <w:start w:val="1"/>
    </w:lvl>
  </w:abstractNum>
  <w:abstractNum w:abstractNumId="69">
    <w:nsid w:val="4427069A"/>
    <w:multiLevelType w:val="hybridMultilevel"/>
    <w:lvl w:ilvl="0">
      <w:lvlJc w:val="left"/>
      <w:lvlText w:val="§"/>
      <w:numFmt w:val="bullet"/>
      <w:start w:val="1"/>
    </w:lvl>
  </w:abstractNum>
  <w:abstractNum w:abstractNumId="70">
    <w:nsid w:val="B37E80A"/>
    <w:multiLevelType w:val="hybridMultilevel"/>
    <w:lvl w:ilvl="0">
      <w:lvlJc w:val="left"/>
      <w:lvlText w:val="§"/>
      <w:numFmt w:val="bullet"/>
      <w:start w:val="1"/>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
      <w:numFmt w:val="bullet"/>
      <w:start w:val="1"/>
    </w:lvl>
  </w:abstractNum>
  <w:abstractNum w:abstractNumId="73">
    <w:nsid w:val="57D2F10E"/>
    <w:multiLevelType w:val="hybridMultilevel"/>
    <w:lvl w:ilvl="0">
      <w:lvlJc w:val="left"/>
      <w:lvlText w:val="§"/>
      <w:numFmt w:val="bullet"/>
      <w:start w:val="1"/>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
      <w:numFmt w:val="bullet"/>
      <w:start w:val="1"/>
    </w:lvl>
  </w:abstractNum>
  <w:abstractNum w:abstractNumId="76">
    <w:nsid w:val="2E48F044"/>
    <w:multiLevelType w:val="hybridMultilevel"/>
    <w:lvl w:ilvl="0">
      <w:lvlJc w:val="left"/>
      <w:lvlText w:val="§"/>
      <w:numFmt w:val="bullet"/>
      <w:start w:val="1"/>
    </w:lvl>
  </w:abstractNum>
  <w:abstractNum w:abstractNumId="77">
    <w:nsid w:val="49D0FEAC"/>
    <w:multiLevelType w:val="hybridMultilevel"/>
    <w:lvl w:ilvl="0">
      <w:lvlJc w:val="left"/>
      <w:lvlText w:val="(%1)"/>
      <w:numFmt w:val="decimal"/>
      <w:start w:val="1"/>
    </w:lvl>
  </w:abstractNum>
  <w:abstractNum w:abstractNumId="78">
    <w:nsid w:val="4BEE5A5B"/>
    <w:multiLevelType w:val="hybridMultilevel"/>
    <w:lvl w:ilvl="0">
      <w:lvlJc w:val="left"/>
      <w:lvlText w:val="§"/>
      <w:numFmt w:val="bullet"/>
      <w:start w:val="1"/>
    </w:lvl>
  </w:abstractNum>
  <w:abstractNum w:abstractNumId="79">
    <w:nsid w:val="5551B9F3"/>
    <w:multiLevelType w:val="hybridMultilevel"/>
    <w:lvl w:ilvl="0">
      <w:lvlJc w:val="left"/>
      <w:lvlText w:val="§"/>
      <w:numFmt w:val="bullet"/>
      <w:start w:val="1"/>
    </w:lvl>
  </w:abstractNum>
  <w:abstractNum w:abstractNumId="80">
    <w:nsid w:val="24F6AB8E"/>
    <w:multiLevelType w:val="hybridMultilevel"/>
    <w:lvl w:ilvl="0">
      <w:lvlJc w:val="left"/>
      <w:lvlText w:val="§"/>
      <w:numFmt w:val="bullet"/>
      <w:start w:val="1"/>
    </w:lvl>
  </w:abstractNum>
  <w:abstractNum w:abstractNumId="81">
    <w:nsid w:val="634C574C"/>
    <w:multiLevelType w:val="hybridMultilevel"/>
    <w:lvl w:ilvl="0">
      <w:lvlJc w:val="left"/>
      <w:lvlText w:val="(%1)"/>
      <w:numFmt w:val="decimal"/>
      <w:start w:val="1"/>
    </w:lvl>
  </w:abstractNum>
  <w:abstractNum w:abstractNumId="82">
    <w:nsid w:val="24E99DD7"/>
    <w:multiLevelType w:val="hybridMultilevel"/>
    <w:lvl w:ilvl="0">
      <w:lvlJc w:val="left"/>
      <w:lvlText w:val="(%1)"/>
      <w:numFmt w:val="decimal"/>
      <w:start w:val="1"/>
    </w:lvl>
  </w:abstractNum>
  <w:abstractNum w:abstractNumId="83">
    <w:nsid w:val="2A31B62D"/>
    <w:multiLevelType w:val="hybridMultilevel"/>
    <w:lvl w:ilvl="0">
      <w:lvlJc w:val="left"/>
      <w:lvlText w:val="(%1)"/>
      <w:numFmt w:val="decimal"/>
      <w:start w:val="1"/>
    </w:lvl>
  </w:abstractNum>
  <w:abstractNum w:abstractNumId="84">
    <w:nsid w:val="1849C29B"/>
    <w:multiLevelType w:val="hybridMultilevel"/>
    <w:lvl w:ilvl="0">
      <w:lvlJc w:val="left"/>
      <w:lvlText w:val="(%1)"/>
      <w:numFmt w:val="decimal"/>
      <w:start w:val="1"/>
    </w:lvl>
  </w:abstractNum>
  <w:abstractNum w:abstractNumId="85">
    <w:nsid w:val="7DFF9D09"/>
    <w:multiLevelType w:val="hybridMultilevel"/>
    <w:lvl w:ilvl="0">
      <w:lvlJc w:val="left"/>
      <w:lvlText w:val="§"/>
      <w:numFmt w:val="bullet"/>
      <w:start w:val="1"/>
    </w:lvl>
  </w:abstractNum>
  <w:abstractNum w:abstractNumId="86">
    <w:nsid w:val="754342"/>
    <w:multiLevelType w:val="hybridMultilevel"/>
    <w:lvl w:ilvl="0">
      <w:lvlJc w:val="left"/>
      <w:lvlText w:val="§"/>
      <w:numFmt w:val="bullet"/>
      <w:start w:val="1"/>
    </w:lvl>
  </w:abstractNum>
  <w:abstractNum w:abstractNumId="87">
    <w:nsid w:val="69E7F3E5"/>
    <w:multiLevelType w:val="hybridMultilevel"/>
    <w:lvl w:ilvl="0">
      <w:lvlJc w:val="left"/>
      <w:lvlText w:val="§"/>
      <w:numFmt w:val="bullet"/>
      <w:start w:val="1"/>
    </w:lvl>
  </w:abstractNum>
  <w:abstractNum w:abstractNumId="88">
    <w:nsid w:val="2A6DE806"/>
    <w:multiLevelType w:val="hybridMultilevel"/>
    <w:lvl w:ilvl="0">
      <w:lvlJc w:val="left"/>
      <w:lvlText w:val="§"/>
      <w:numFmt w:val="bullet"/>
      <w:start w:val="1"/>
    </w:lvl>
  </w:abstractNum>
  <w:abstractNum w:abstractNumId="89">
    <w:nsid w:val="1816F8C4"/>
    <w:multiLevelType w:val="hybridMultilevel"/>
    <w:lvl w:ilvl="0">
      <w:lvlJc w:val="left"/>
      <w:lvlText w:val="§"/>
      <w:numFmt w:val="bullet"/>
      <w:start w:val="1"/>
    </w:lvl>
  </w:abstractNum>
  <w:abstractNum w:abstractNumId="90">
    <w:nsid w:val="37DF2233"/>
    <w:multiLevelType w:val="hybridMultilevel"/>
    <w:lvl w:ilvl="0">
      <w:lvlJc w:val="left"/>
      <w:lvlText w:val="§"/>
      <w:numFmt w:val="bullet"/>
      <w:start w:val="1"/>
    </w:lvl>
  </w:abstractNum>
  <w:abstractNum w:abstractNumId="91">
    <w:nsid w:val="7AB49DAF"/>
    <w:multiLevelType w:val="hybridMultilevel"/>
    <w:lvl w:ilvl="0">
      <w:lvlJc w:val="left"/>
      <w:lvlText w:val="§"/>
      <w:numFmt w:val="bullet"/>
      <w:start w:val="1"/>
    </w:lvl>
  </w:abstractNum>
  <w:abstractNum w:abstractNumId="92">
    <w:nsid w:val="759F82CD"/>
    <w:multiLevelType w:val="hybridMultilevel"/>
    <w:lvl w:ilvl="0">
      <w:lvlJc w:val="left"/>
      <w:lvlText w:val="§"/>
      <w:numFmt w:val="bullet"/>
      <w:start w:val="1"/>
    </w:lvl>
  </w:abstractNum>
  <w:abstractNum w:abstractNumId="93">
    <w:nsid w:val="61E74EA3"/>
    <w:multiLevelType w:val="hybridMultilevel"/>
    <w:lvl w:ilvl="0">
      <w:lvlJc w:val="left"/>
      <w:lvlText w:val="§"/>
      <w:numFmt w:val="bullet"/>
      <w:start w:val="1"/>
    </w:lvl>
  </w:abstractNum>
  <w:abstractNum w:abstractNumId="94">
    <w:nsid w:val="597B4D84"/>
    <w:multiLevelType w:val="hybridMultilevel"/>
    <w:lvl w:ilvl="0">
      <w:lvlJc w:val="left"/>
      <w:lvlText w:val="§"/>
      <w:numFmt w:val="bullet"/>
      <w:start w:val="1"/>
    </w:lvl>
  </w:abstractNum>
  <w:abstractNum w:abstractNumId="95">
    <w:nsid w:val="F819E7F"/>
    <w:multiLevelType w:val="hybridMultilevel"/>
    <w:lvl w:ilvl="0">
      <w:lvlJc w:val="left"/>
      <w:lvlText w:val="§"/>
      <w:numFmt w:val="bullet"/>
      <w:start w:val="1"/>
    </w:lvl>
  </w:abstractNum>
  <w:abstractNum w:abstractNumId="96">
    <w:nsid w:val="57C7D42D"/>
    <w:multiLevelType w:val="hybridMultilevel"/>
    <w:lvl w:ilvl="0">
      <w:lvlJc w:val="left"/>
      <w:lvlText w:val="§"/>
      <w:numFmt w:val="bullet"/>
      <w:start w:val="1"/>
    </w:lvl>
  </w:abstractNum>
  <w:abstractNum w:abstractNumId="97">
    <w:nsid w:val="312167AD"/>
    <w:multiLevelType w:val="hybridMultilevel"/>
    <w:lvl w:ilvl="0">
      <w:lvlJc w:val="left"/>
      <w:lvlText w:val="§"/>
      <w:numFmt w:val="bullet"/>
      <w:start w:val="1"/>
    </w:lvl>
  </w:abstractNum>
  <w:abstractNum w:abstractNumId="98">
    <w:nsid w:val="631B64D4"/>
    <w:multiLevelType w:val="hybridMultilevel"/>
    <w:lvl w:ilvl="0">
      <w:lvlJc w:val="left"/>
      <w:lvlText w:val="§"/>
      <w:numFmt w:val="bullet"/>
      <w:start w:val="1"/>
    </w:lvl>
  </w:abstractNum>
  <w:abstractNum w:abstractNumId="99">
    <w:nsid w:val="78B5E776"/>
    <w:multiLevelType w:val="hybridMultilevel"/>
    <w:lvl w:ilvl="0">
      <w:lvlJc w:val="left"/>
      <w:lvlText w:val="§"/>
      <w:numFmt w:val="bullet"/>
      <w:start w:val="1"/>
    </w:lvl>
  </w:abstractNum>
  <w:abstractNum w:abstractNumId="100">
    <w:nsid w:val="75486E47"/>
    <w:multiLevelType w:val="hybridMultilevel"/>
    <w:lvl w:ilvl="0">
      <w:lvlJc w:val="left"/>
      <w:lvlText w:val="§"/>
      <w:numFmt w:val="bullet"/>
      <w:start w:val="1"/>
    </w:lvl>
  </w:abstractNum>
  <w:abstractNum w:abstractNumId="101">
    <w:nsid w:val="6E534CDE"/>
    <w:multiLevelType w:val="hybridMultilevel"/>
    <w:lvl w:ilvl="0">
      <w:lvlJc w:val="left"/>
      <w:lvlText w:val="(%1)"/>
      <w:numFmt w:val="decimal"/>
      <w:start w:val="1"/>
    </w:lvl>
  </w:abstractNum>
  <w:abstractNum w:abstractNumId="102">
    <w:nsid w:val="1A0DDE32"/>
    <w:multiLevelType w:val="hybridMultilevel"/>
    <w:lvl w:ilvl="0">
      <w:lvlJc w:val="left"/>
      <w:lvlText w:val="§"/>
      <w:numFmt w:val="bullet"/>
      <w:start w:val="1"/>
    </w:lvl>
  </w:abstractNum>
  <w:abstractNum w:abstractNumId="103">
    <w:nsid w:val="65968C1C"/>
    <w:multiLevelType w:val="hybridMultilevel"/>
    <w:lvl w:ilvl="0">
      <w:lvlJc w:val="left"/>
      <w:lvlText w:val="§"/>
      <w:numFmt w:val="bullet"/>
      <w:start w:val="1"/>
    </w:lvl>
  </w:abstractNum>
  <w:abstractNum w:abstractNumId="104">
    <w:nsid w:val="46263DEC"/>
    <w:multiLevelType w:val="hybridMultilevel"/>
    <w:lvl w:ilvl="0">
      <w:lvlJc w:val="left"/>
      <w:lvlText w:val="§"/>
      <w:numFmt w:val="bullet"/>
      <w:start w:val="1"/>
    </w:lvl>
  </w:abstractNum>
  <w:abstractNum w:abstractNumId="105">
    <w:nsid w:val="260D8C4A"/>
    <w:multiLevelType w:val="hybridMultilevel"/>
    <w:lvl w:ilvl="0">
      <w:lvlJc w:val="left"/>
      <w:lvlText w:val="§"/>
      <w:numFmt w:val="bullet"/>
      <w:start w:val="1"/>
    </w:lvl>
  </w:abstractNum>
  <w:abstractNum w:abstractNumId="106">
    <w:nsid w:val="73D4D3C4"/>
    <w:multiLevelType w:val="hybridMultilevel"/>
    <w:lvl w:ilvl="0">
      <w:lvlJc w:val="left"/>
      <w:lvlText w:val="§"/>
      <w:numFmt w:val="bullet"/>
      <w:start w:val="1"/>
    </w:lvl>
  </w:abstractNum>
  <w:abstractNum w:abstractNumId="107">
    <w:nsid w:val="746F2E30"/>
    <w:multiLevelType w:val="hybridMultilevel"/>
    <w:lvl w:ilvl="0">
      <w:lvlJc w:val="left"/>
      <w:lvlText w:val="§"/>
      <w:numFmt w:val="bullet"/>
      <w:start w:val="1"/>
    </w:lvl>
  </w:abstractNum>
  <w:abstractNum w:abstractNumId="108">
    <w:nsid w:val="6FDE8AF6"/>
    <w:multiLevelType w:val="hybridMultilevel"/>
    <w:lvl w:ilvl="0">
      <w:lvlJc w:val="left"/>
      <w:lvlText w:val="§"/>
      <w:numFmt w:val="bullet"/>
      <w:start w:val="1"/>
    </w:lvl>
  </w:abstractNum>
  <w:abstractNum w:abstractNumId="109">
    <w:nsid w:val="3FC32E20"/>
    <w:multiLevelType w:val="hybridMultilevel"/>
    <w:lvl w:ilvl="0">
      <w:lvlJc w:val="left"/>
      <w:lvlText w:val="§"/>
      <w:numFmt w:val="bullet"/>
      <w:start w:val="1"/>
    </w:lvl>
  </w:abstractNum>
  <w:abstractNum w:abstractNumId="110">
    <w:nsid w:val="49C0E823"/>
    <w:multiLevelType w:val="hybridMultilevel"/>
    <w:lvl w:ilvl="0">
      <w:lvlJc w:val="left"/>
      <w:lvlText w:val="§"/>
      <w:numFmt w:val="bullet"/>
      <w:start w:val="1"/>
    </w:lvl>
  </w:abstractNum>
  <w:abstractNum w:abstractNumId="111">
    <w:nsid w:val="14D53685"/>
    <w:multiLevelType w:val="hybridMultilevel"/>
    <w:lvl w:ilvl="0">
      <w:lvlJc w:val="left"/>
      <w:lvlText w:val="§"/>
      <w:numFmt w:val="bullet"/>
      <w:start w:val="1"/>
    </w:lvl>
  </w:abstractNum>
  <w:abstractNum w:abstractNumId="112">
    <w:nsid w:val="230F856C"/>
    <w:multiLevelType w:val="hybridMultilevel"/>
    <w:lvl w:ilvl="0">
      <w:lvlJc w:val="left"/>
      <w:lvlText w:val="§"/>
      <w:numFmt w:val="bullet"/>
      <w:start w:val="1"/>
    </w:lvl>
  </w:abstractNum>
  <w:abstractNum w:abstractNumId="113">
    <w:nsid w:val="6EAA85FB"/>
    <w:multiLevelType w:val="hybridMultilevel"/>
    <w:lvl w:ilvl="0">
      <w:lvlJc w:val="left"/>
      <w:lvlText w:val="§"/>
      <w:numFmt w:val="bullet"/>
      <w:start w:val="1"/>
    </w:lvl>
  </w:abstractNum>
  <w:abstractNum w:abstractNumId="114">
    <w:nsid w:val="3F06ECB2"/>
    <w:multiLevelType w:val="hybridMultilevel"/>
    <w:lvl w:ilvl="0">
      <w:lvlJc w:val="left"/>
      <w:lvlText w:val="§"/>
      <w:numFmt w:val="bullet"/>
      <w:start w:val="1"/>
    </w:lvl>
  </w:abstractNum>
  <w:abstractNum w:abstractNumId="115">
    <w:nsid w:val="3B594807"/>
    <w:multiLevelType w:val="hybridMultilevel"/>
    <w:lvl w:ilvl="0">
      <w:lvlJc w:val="left"/>
      <w:lvlText w:val="§"/>
      <w:numFmt w:val="bullet"/>
      <w:start w:val="1"/>
    </w:lvl>
  </w:abstractNum>
  <w:abstractNum w:abstractNumId="116">
    <w:nsid w:val="6CAA2304"/>
    <w:multiLevelType w:val="hybridMultilevel"/>
    <w:lvl w:ilvl="0">
      <w:lvlJc w:val="left"/>
      <w:lvlText w:val="§"/>
      <w:numFmt w:val="bullet"/>
      <w:start w:val="1"/>
    </w:lvl>
  </w:abstractNum>
  <w:abstractNum w:abstractNumId="117">
    <w:nsid w:val="3F7C2FF4"/>
    <w:multiLevelType w:val="hybridMultilevel"/>
    <w:lvl w:ilvl="0">
      <w:lvlJc w:val="left"/>
      <w:lvlText w:val="§"/>
      <w:numFmt w:val="bullet"/>
      <w:start w:val="1"/>
    </w:lvl>
  </w:abstractNum>
  <w:abstractNum w:abstractNumId="118">
    <w:nsid w:val="25413BEC"/>
    <w:multiLevelType w:val="hybridMultilevel"/>
    <w:lvl w:ilvl="0">
      <w:lvlJc w:val="left"/>
      <w:lvlText w:val="%1."/>
      <w:numFmt w:val="decimal"/>
      <w:start w:val="1"/>
    </w:lvl>
  </w:abstractNum>
  <w:abstractNum w:abstractNumId="119">
    <w:nsid w:val="17180B0B"/>
    <w:multiLevelType w:val="hybridMultilevel"/>
    <w:lvl w:ilvl="0">
      <w:lvlJc w:val="left"/>
      <w:lvlText w:val="%1."/>
      <w:numFmt w:val="decimal"/>
      <w:start w:val="2"/>
    </w:lvl>
  </w:abstractNum>
  <w:abstractNum w:abstractNumId="120">
    <w:nsid w:val="579328B9"/>
    <w:multiLevelType w:val="hybridMultilevel"/>
    <w:lvl w:ilvl="0">
      <w:lvlJc w:val="left"/>
      <w:lvlText w:val="%1."/>
      <w:numFmt w:val="decimal"/>
      <w:start w:val="3"/>
    </w:lvl>
  </w:abstractNum>
  <w:abstractNum w:abstractNumId="121">
    <w:nsid w:val="5D205E2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2">
    <w:nsid w:val="11CCA8BA"/>
    <w:multiLevelType w:val="hybridMultilevel"/>
    <w:lvl w:ilvl="0">
      <w:lvlJc w:val="left"/>
      <w:lvlText w:val="(%1)"/>
      <w:numFmt w:val="lowerLetter"/>
      <w:start w:val="3"/>
    </w:lvl>
  </w:abstractNum>
  <w:abstractNum w:abstractNumId="123">
    <w:nsid w:val="4D32AB86"/>
    <w:multiLevelType w:val="hybridMultilevel"/>
    <w:lvl w:ilvl="0">
      <w:lvlJc w:val="left"/>
      <w:lvlText w:val="%1."/>
      <w:numFmt w:val="decimal"/>
      <w:start w:val="4"/>
    </w:lvl>
  </w:abstractNum>
  <w:abstractNum w:abstractNumId="124">
    <w:nsid w:val="3F07ACC3"/>
    <w:multiLevelType w:val="hybridMultilevel"/>
    <w:lvl w:ilvl="0">
      <w:lvlJc w:val="left"/>
      <w:lvlText w:val="%1"/>
      <w:numFmt w:val="decimal"/>
      <w:start w:val="1"/>
    </w:lvl>
    <w:lvl w:ilvl="1">
      <w:lvlJc w:val="left"/>
      <w:lvlText w:val="(%2)"/>
      <w:numFmt w:val="lowerLetter"/>
      <w:start w:val="1"/>
    </w:lvl>
  </w:abstractNum>
  <w:abstractNum w:abstractNumId="125">
    <w:nsid w:val="6B47F63E"/>
    <w:multiLevelType w:val="hybridMultilevel"/>
    <w:lvl w:ilvl="0">
      <w:lvlJc w:val="left"/>
      <w:lvlText w:val="(%1)"/>
      <w:numFmt w:val="decimal"/>
      <w:start w:val="10"/>
    </w:lvl>
    <w:lvl w:ilvl="1">
      <w:lvlJc w:val="left"/>
      <w:lvlText w:val="(%2)"/>
      <w:numFmt w:val="lowerLetter"/>
      <w:start w:val="3"/>
    </w:lvl>
  </w:abstractNum>
  <w:abstractNum w:abstractNumId="126">
    <w:nsid w:val="5CB44A05"/>
    <w:multiLevelType w:val="hybridMultilevel"/>
    <w:lvl w:ilvl="0">
      <w:lvlJc w:val="left"/>
      <w:lvlText w:val="(%1)"/>
      <w:numFmt w:val="lowerLetter"/>
      <w:start w:val="1"/>
    </w:lvl>
  </w:abstractNum>
  <w:abstractNum w:abstractNumId="127">
    <w:nsid w:val="16CF80F1"/>
    <w:multiLevelType w:val="hybridMultilevel"/>
    <w:lvl w:ilvl="0">
      <w:lvlJc w:val="left"/>
      <w:lvlText w:val="(%1)"/>
      <w:numFmt w:val="lowerLetter"/>
      <w:start w:val="1"/>
    </w:lvl>
    <w:lvl w:ilvl="1">
      <w:lvlJc w:val="left"/>
      <w:lvlText w:val="(%2)"/>
      <w:numFmt w:val="lowerRoman"/>
      <w:start w:val="1"/>
    </w:lvl>
  </w:abstractNum>
  <w:abstractNum w:abstractNumId="128">
    <w:nsid w:val="1C695DEC"/>
    <w:multiLevelType w:val="hybridMultilevel"/>
    <w:lvl w:ilvl="0">
      <w:lvlJc w:val="left"/>
      <w:lvlText w:val="%1"/>
      <w:numFmt w:val="lowerLetter"/>
      <w:start w:val="1"/>
    </w:lvl>
    <w:lvl w:ilvl="1">
      <w:lvlJc w:val="left"/>
      <w:lvlText w:val="(%2)"/>
      <w:numFmt w:val="lowerLetter"/>
      <w:start w:val="1"/>
    </w:lvl>
  </w:abstractNum>
  <w:abstractNum w:abstractNumId="129">
    <w:nsid w:val="3FCFAED9"/>
    <w:multiLevelType w:val="hybridMultilevel"/>
    <w:lvl w:ilvl="0">
      <w:lvlJc w:val="left"/>
      <w:lvlText w:val="(%1)"/>
      <w:numFmt w:val="lowerLetter"/>
      <w:start w:val="35"/>
    </w:lvl>
    <w:lvl w:ilvl="1">
      <w:lvlJc w:val="left"/>
      <w:lvlText w:val="(%2)"/>
      <w:numFmt w:val="lowerLetter"/>
      <w:start w:val="2"/>
    </w:lvl>
  </w:abstractNum>
  <w:abstractNum w:abstractNumId="130">
    <w:nsid w:val="F85686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1">
    <w:nsid w:val="11B1CC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2">
    <w:nsid w:val="2E22FBB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33">
    <w:nsid w:val="29934699"/>
    <w:multiLevelType w:val="hybridMultilevel"/>
    <w:lvl w:ilvl="0">
      <w:lvlJc w:val="left"/>
      <w:lvlText w:val="(%1)"/>
      <w:numFmt w:val="lowerLetter"/>
      <w:start w:val="1"/>
    </w:lvl>
    <w:lvl w:ilvl="1">
      <w:lvlJc w:val="left"/>
      <w:lvlText w:val="(%2)"/>
      <w:numFmt w:val="lowerRoman"/>
      <w:start w:val="1"/>
    </w:lvl>
  </w:abstractNum>
  <w:abstractNum w:abstractNumId="134">
    <w:nsid w:val="77485850"/>
    <w:multiLevelType w:val="hybridMultilevel"/>
    <w:lvl w:ilvl="0">
      <w:lvlJc w:val="left"/>
      <w:lvlText w:val="(%1)"/>
      <w:numFmt w:val="lowerRoman"/>
      <w:start w:val="7"/>
    </w:lvl>
  </w:abstractNum>
  <w:abstractNum w:abstractNumId="135">
    <w:nsid w:val="744939A3"/>
    <w:multiLevelType w:val="hybridMultilevel"/>
    <w:lvl w:ilvl="0">
      <w:lvlJc w:val="left"/>
      <w:lvlText w:val="(%1)"/>
      <w:numFmt w:val="lowerLetter"/>
      <w:start w:val="1"/>
    </w:lvl>
  </w:abstractNum>
  <w:abstractNum w:abstractNumId="136">
    <w:nsid w:val="4FA0D2E3"/>
    <w:multiLevelType w:val="hybridMultilevel"/>
    <w:lvl w:ilvl="0">
      <w:lvlJc w:val="left"/>
      <w:lvlText w:val="(%1)"/>
      <w:numFmt w:val="decimal"/>
      <w:start w:val="30"/>
    </w:lvl>
    <w:lvl w:ilvl="1">
      <w:lvlJc w:val="left"/>
      <w:lvlText w:val="(%2)"/>
      <w:numFmt w:val="lowerLetter"/>
      <w:start w:val="1"/>
    </w:lvl>
  </w:abstractNum>
  <w:abstractNum w:abstractNumId="137">
    <w:nsid w:val="6B1D2C14"/>
    <w:multiLevelType w:val="hybridMultilevel"/>
    <w:lvl w:ilvl="0">
      <w:lvlJc w:val="left"/>
      <w:lvlText w:val="%1"/>
      <w:numFmt w:val="upperLetter"/>
      <w:start w:val="1"/>
    </w:lvl>
    <w:lvl w:ilvl="1">
      <w:lvlJc w:val="left"/>
      <w:lvlText w:val="(%2)"/>
      <w:numFmt w:val="lowerLetter"/>
      <w:start w:val="1"/>
    </w:lvl>
  </w:abstractNum>
  <w:abstractNum w:abstractNumId="138">
    <w:nsid w:val="68B867D3"/>
    <w:multiLevelType w:val="hybridMultilevel"/>
    <w:lvl w:ilvl="0">
      <w:lvlJc w:val="left"/>
      <w:lvlText w:val="(%1)"/>
      <w:numFmt w:val="upperLetter"/>
      <w:start w:val="1"/>
    </w:lvl>
    <w:lvl w:ilvl="1">
      <w:lvlJc w:val="left"/>
      <w:lvlText w:val="(%2)"/>
      <w:numFmt w:val="lowerLetter"/>
      <w:start w:val="2"/>
    </w:lvl>
  </w:abstractNum>
  <w:abstractNum w:abstractNumId="139">
    <w:nsid w:val="3F7F5DD9"/>
    <w:multiLevelType w:val="hybridMultilevel"/>
    <w:lvl w:ilvl="0">
      <w:lvlJc w:val="left"/>
      <w:lvlText w:val="(%1)"/>
      <w:numFmt w:val="lowerLetter"/>
      <w:start w:val="7"/>
    </w:lvl>
  </w:abstractNum>
  <w:abstractNum w:abstractNumId="140">
    <w:nsid w:val="2AE05A34"/>
    <w:multiLevelType w:val="hybridMultilevel"/>
    <w:lvl w:ilvl="0">
      <w:lvlJc w:val="left"/>
      <w:lvlText w:val="(%1)"/>
      <w:numFmt w:val="lowerLetter"/>
      <w:start w:val="1"/>
    </w:lvl>
    <w:lvl w:ilvl="1">
      <w:lvlJc w:val="left"/>
      <w:lvlText w:val="(%2)"/>
      <w:numFmt w:val="lowerRoman"/>
      <w:start w:val="1"/>
    </w:lvl>
  </w:abstractNum>
  <w:abstractNum w:abstractNumId="141">
    <w:nsid w:val="32794FF7"/>
    <w:multiLevelType w:val="hybridMultilevel"/>
    <w:lvl w:ilvl="0">
      <w:lvlJc w:val="left"/>
      <w:lvlText w:val="(%1)"/>
      <w:numFmt w:val="lowerLetter"/>
      <w:start w:val="3"/>
    </w:lvl>
    <w:lvl w:ilvl="1">
      <w:lvlJc w:val="left"/>
      <w:lvlText w:val="(%2)"/>
      <w:numFmt w:val="lowerRoman"/>
      <w:start w:val="1"/>
    </w:lvl>
  </w:abstractNum>
  <w:abstractNum w:abstractNumId="142">
    <w:nsid w:val="5454945E"/>
    <w:multiLevelType w:val="hybridMultilevel"/>
    <w:lvl w:ilvl="0">
      <w:lvlJc w:val="left"/>
      <w:lvlText w:val="(%1)"/>
      <w:numFmt w:val="lowerLetter"/>
      <w:start w:val="1"/>
    </w:lvl>
  </w:abstractNum>
  <w:abstractNum w:abstractNumId="143">
    <w:nsid w:val="4DEFDFA0"/>
    <w:multiLevelType w:val="hybridMultilevel"/>
    <w:lvl w:ilvl="0">
      <w:lvlJc w:val="left"/>
      <w:lvlText w:val="(%1)"/>
      <w:numFmt w:val="lowerLetter"/>
      <w:start w:val="5"/>
    </w:lvl>
  </w:abstractNum>
  <w:abstractNum w:abstractNumId="144">
    <w:nsid w:val="2123D5F2"/>
    <w:multiLevelType w:val="hybridMultilevel"/>
    <w:lvl w:ilvl="0">
      <w:lvlJc w:val="left"/>
      <w:lvlText w:val="(%1)"/>
      <w:numFmt w:val="lowerLetter"/>
      <w:start w:val="1"/>
    </w:lvl>
  </w:abstractNum>
  <w:abstractNum w:abstractNumId="145">
    <w:nsid w:val="135B8110"/>
    <w:multiLevelType w:val="hybridMultilevel"/>
    <w:lvl w:ilvl="0">
      <w:lvlJc w:val="left"/>
      <w:lvlText w:val="(%1)"/>
      <w:numFmt w:val="lowerLetter"/>
      <w:start w:val="1"/>
    </w:lvl>
  </w:abstractNum>
  <w:abstractNum w:abstractNumId="146">
    <w:nsid w:val="94927A8"/>
    <w:multiLevelType w:val="hybridMultilevel"/>
    <w:lvl w:ilvl="0">
      <w:lvlJc w:val="left"/>
      <w:lvlText w:val="(%1)"/>
      <w:numFmt w:val="lowerLetter"/>
      <w:start w:val="1"/>
    </w:lvl>
  </w:abstractNum>
  <w:abstractNum w:abstractNumId="147">
    <w:nsid w:val="DCDF8F6"/>
    <w:multiLevelType w:val="hybridMultilevel"/>
    <w:lvl w:ilvl="0">
      <w:lvlJc w:val="left"/>
      <w:lvlText w:val="(%1)"/>
      <w:numFmt w:val="lowerLetter"/>
      <w:start w:val="1"/>
    </w:lvl>
  </w:abstractNum>
  <w:abstractNum w:abstractNumId="148">
    <w:nsid w:val="52D7B105"/>
    <w:multiLevelType w:val="hybridMultilevel"/>
    <w:lvl w:ilvl="0">
      <w:lvlJc w:val="left"/>
      <w:lvlText w:val="(%1)"/>
      <w:numFmt w:val="lowerLetter"/>
      <w:start w:val="3"/>
    </w:lvl>
  </w:abstractNum>
  <w:abstractNum w:abstractNumId="149">
    <w:nsid w:val="2E8A6394"/>
    <w:multiLevelType w:val="hybridMultilevel"/>
    <w:lvl w:ilvl="0">
      <w:lvlJc w:val="left"/>
      <w:lvlText w:val="%1"/>
      <w:numFmt w:val="decimal"/>
      <w:start w:val="1"/>
    </w:lvl>
    <w:lvl w:ilvl="1">
      <w:lvlJc w:val="left"/>
      <w:lvlText w:val="(%2)"/>
      <w:numFmt w:val="lowerLetter"/>
      <w:start w:val="1"/>
    </w:lvl>
  </w:abstractNum>
  <w:abstractNum w:abstractNumId="150">
    <w:nsid w:val="24E60401"/>
    <w:multiLevelType w:val="hybridMultilevel"/>
    <w:lvl w:ilvl="0">
      <w:lvlJc w:val="left"/>
      <w:lvlText w:val="(%1)"/>
      <w:numFmt w:val="decimal"/>
      <w:start w:val="10"/>
    </w:lvl>
    <w:lvl w:ilvl="1">
      <w:lvlJc w:val="left"/>
      <w:lvlText w:val="%2"/>
      <w:numFmt w:val="lowerLetter"/>
      <w:start w:val="1"/>
    </w:lvl>
  </w:abstractNum>
  <w:abstractNum w:abstractNumId="151">
    <w:nsid w:val="2A6AD9BE"/>
    <w:multiLevelType w:val="hybridMultilevel"/>
    <w:lvl w:ilvl="0">
      <w:lvlJc w:val="left"/>
      <w:lvlText w:val="(%1)"/>
      <w:numFmt w:val="lowerLetter"/>
      <w:start w:val="1"/>
    </w:lvl>
  </w:abstractNum>
  <w:abstractNum w:abstractNumId="152">
    <w:nsid w:val="BAAC1B4"/>
    <w:multiLevelType w:val="hybridMultilevel"/>
    <w:lvl w:ilvl="0">
      <w:lvlJc w:val="left"/>
      <w:lvlText w:val="%1"/>
      <w:numFmt w:val="lowerLetter"/>
      <w:start w:val="1"/>
    </w:lvl>
    <w:lvl w:ilvl="1">
      <w:lvlJc w:val="left"/>
      <w:lvlText w:val="(%2)"/>
      <w:numFmt w:val="lowerLetter"/>
      <w:start w:val="1"/>
    </w:lvl>
  </w:abstractNum>
  <w:abstractNum w:abstractNumId="153">
    <w:nsid w:val="36B2ACBC"/>
    <w:multiLevelType w:val="hybridMultilevel"/>
    <w:lvl w:ilvl="0">
      <w:lvlJc w:val="left"/>
      <w:lvlText w:val="(%1)"/>
      <w:numFmt w:val="lowerLetter"/>
      <w:start w:val="35"/>
    </w:lvl>
    <w:lvl w:ilvl="1">
      <w:lvlJc w:val="left"/>
      <w:lvlText w:val="(%2)"/>
      <w:numFmt w:val="lowerLetter"/>
      <w:start w:val="2"/>
    </w:lvl>
  </w:abstractNum>
  <w:abstractNum w:abstractNumId="154">
    <w:nsid w:val="779D8544"/>
    <w:multiLevelType w:val="hybridMultilevel"/>
    <w:lvl w:ilvl="0">
      <w:lvlJc w:val="left"/>
      <w:lvlText w:val="(%1)"/>
      <w:numFmt w:val="lowerLetter"/>
      <w:start w:val="2"/>
    </w:lvl>
    <w:lvl w:ilvl="1">
      <w:lvlJc w:val="left"/>
      <w:lvlText w:val="%2"/>
      <w:numFmt w:val="lowerLetter"/>
      <w:start w:val="1"/>
    </w:lvl>
  </w:abstractNum>
  <w:abstractNum w:abstractNumId="155">
    <w:nsid w:val="4AB26E7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56">
    <w:nsid w:val="21FAA2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7">
    <w:nsid w:val="5451CF4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8">
    <w:nsid w:val="6181EF69"/>
    <w:multiLevelType w:val="hybridMultilevel"/>
    <w:lvl w:ilvl="0">
      <w:lvlJc w:val="left"/>
      <w:lvlText w:val="(%1)"/>
      <w:numFmt w:val="lowerLetter"/>
      <w:start w:val="1"/>
    </w:lvl>
    <w:lvl w:ilvl="1">
      <w:lvlJc w:val="left"/>
      <w:lvlText w:val="(%2)"/>
      <w:numFmt w:val="lowerRoman"/>
      <w:start w:val="1"/>
    </w:lvl>
  </w:abstractNum>
  <w:abstractNum w:abstractNumId="159">
    <w:nsid w:val="3E6400E6"/>
    <w:multiLevelType w:val="hybridMultilevel"/>
    <w:lvl w:ilvl="0">
      <w:lvlJc w:val="left"/>
      <w:lvlText w:val="(%1)"/>
      <w:numFmt w:val="lowerRoman"/>
      <w:start w:val="7"/>
    </w:lvl>
  </w:abstractNum>
  <w:abstractNum w:abstractNumId="160">
    <w:nsid w:val="14217E23"/>
    <w:multiLevelType w:val="hybridMultilevel"/>
    <w:lvl w:ilvl="0">
      <w:lvlJc w:val="left"/>
      <w:lvlText w:val="(%1)"/>
      <w:numFmt w:val="lowerLetter"/>
      <w:start w:val="1"/>
    </w:lvl>
  </w:abstractNum>
  <w:abstractNum w:abstractNumId="161">
    <w:nsid w:val="710757D0"/>
    <w:multiLevelType w:val="hybridMultilevel"/>
    <w:lvl w:ilvl="0">
      <w:lvlJc w:val="left"/>
      <w:lvlText w:val="(%1)"/>
      <w:numFmt w:val="decimal"/>
      <w:start w:val="30"/>
    </w:lvl>
    <w:lvl w:ilvl="1">
      <w:lvlJc w:val="left"/>
      <w:lvlText w:val="(%2)"/>
      <w:numFmt w:val="lowerLetter"/>
      <w:start w:val="1"/>
    </w:lvl>
  </w:abstractNum>
  <w:abstractNum w:abstractNumId="162">
    <w:nsid w:val="5015CD1A"/>
    <w:multiLevelType w:val="hybridMultilevel"/>
    <w:lvl w:ilvl="0">
      <w:lvlJc w:val="left"/>
      <w:lvlText w:val="%1"/>
      <w:numFmt w:val="upperLetter"/>
      <w:start w:val="1"/>
    </w:lvl>
    <w:lvl w:ilvl="1">
      <w:lvlJc w:val="left"/>
      <w:lvlText w:val="(%2)"/>
      <w:numFmt w:val="lowerLetter"/>
      <w:start w:val="1"/>
    </w:lvl>
  </w:abstractNum>
  <w:abstractNum w:abstractNumId="163">
    <w:nsid w:val="424479DA"/>
    <w:multiLevelType w:val="hybridMultilevel"/>
    <w:lvl w:ilvl="0">
      <w:lvlJc w:val="left"/>
      <w:lvlText w:val="(%1)"/>
      <w:numFmt w:val="upperLetter"/>
      <w:start w:val="1"/>
    </w:lvl>
    <w:lvl w:ilvl="1">
      <w:lvlJc w:val="left"/>
      <w:lvlText w:val="(%2)"/>
      <w:numFmt w:val="lowerLetter"/>
      <w:start w:val="2"/>
    </w:lvl>
  </w:abstractNum>
  <w:abstractNum w:abstractNumId="164">
    <w:nsid w:val="1A9A9E69"/>
    <w:multiLevelType w:val="hybridMultilevel"/>
    <w:lvl w:ilvl="0">
      <w:lvlJc w:val="left"/>
      <w:lvlText w:val="(%1)"/>
      <w:numFmt w:val="lowerLetter"/>
      <w:start w:val="6"/>
    </w:lvl>
  </w:abstractNum>
  <w:abstractNum w:abstractNumId="165">
    <w:nsid w:val="475E256A"/>
    <w:multiLevelType w:val="hybridMultilevel"/>
    <w:lvl w:ilvl="0">
      <w:lvlJc w:val="left"/>
      <w:lvlText w:val="(%1)"/>
      <w:numFmt w:val="lowerLetter"/>
      <w:start w:val="1"/>
    </w:lvl>
    <w:lvl w:ilvl="1">
      <w:lvlJc w:val="left"/>
      <w:lvlText w:val="(%2)"/>
      <w:numFmt w:val="lowerRoman"/>
      <w:start w:val="1"/>
    </w:lvl>
  </w:abstractNum>
  <w:abstractNum w:abstractNumId="166">
    <w:nsid w:val="368DB37E"/>
    <w:multiLevelType w:val="hybridMultilevel"/>
    <w:lvl w:ilvl="0">
      <w:lvlJc w:val="left"/>
      <w:lvlText w:val="(%1)"/>
      <w:numFmt w:val="lowerLetter"/>
      <w:start w:val="3"/>
    </w:lvl>
    <w:lvl w:ilvl="1">
      <w:lvlJc w:val="left"/>
      <w:lvlText w:val="(%2)"/>
      <w:numFmt w:val="lowerRoman"/>
      <w:start w:val="1"/>
    </w:lvl>
  </w:abstractNum>
  <w:abstractNum w:abstractNumId="167">
    <w:nsid w:val="6A3B714C"/>
    <w:multiLevelType w:val="hybridMultilevel"/>
    <w:lvl w:ilvl="0">
      <w:lvlJc w:val="left"/>
      <w:lvlText w:val="(%1)"/>
      <w:numFmt w:val="lowerLetter"/>
      <w:start w:val="1"/>
    </w:lvl>
  </w:abstractNum>
  <w:abstractNum w:abstractNumId="168">
    <w:nsid w:val="327B517E"/>
    <w:multiLevelType w:val="hybridMultilevel"/>
    <w:lvl w:ilvl="0">
      <w:lvlJc w:val="left"/>
      <w:lvlText w:val="(%1)"/>
      <w:numFmt w:val="lowerLetter"/>
      <w:start w:val="3"/>
    </w:lvl>
  </w:abstractNum>
  <w:abstractNum w:abstractNumId="169">
    <w:nsid w:val="1F461B51"/>
    <w:multiLevelType w:val="hybridMultilevel"/>
    <w:lvl w:ilvl="0">
      <w:lvlJc w:val="left"/>
      <w:lvlText w:val="(%1)"/>
      <w:numFmt w:val="lowerLetter"/>
      <w:start w:val="5"/>
    </w:lvl>
  </w:abstractNum>
  <w:abstractNum w:abstractNumId="170">
    <w:nsid w:val="29BACF25"/>
    <w:multiLevelType w:val="hybridMultilevel"/>
    <w:lvl w:ilvl="0">
      <w:lvlJc w:val="left"/>
      <w:lvlText w:val="(%1)"/>
      <w:numFmt w:val="lowerLetter"/>
      <w:start w:val="1"/>
    </w:lvl>
  </w:abstractNum>
  <w:abstractNum w:abstractNumId="171">
    <w:nsid w:val="5D5BABB3"/>
    <w:multiLevelType w:val="hybridMultilevel"/>
    <w:lvl w:ilvl="0">
      <w:lvlJc w:val="left"/>
      <w:lvlText w:val="(%1)"/>
      <w:numFmt w:val="lowerLetter"/>
      <w:start w:val="1"/>
    </w:lvl>
  </w:abstractNum>
  <w:abstractNum w:abstractNumId="172">
    <w:nsid w:val="51BF6B48"/>
    <w:multiLevelType w:val="hybridMultilevel"/>
    <w:lvl w:ilvl="0">
      <w:lvlJc w:val="left"/>
      <w:lvlText w:val="(%1)"/>
      <w:numFmt w:val="lowerLetter"/>
      <w:start w:val="4"/>
    </w:lvl>
  </w:abstractNum>
  <w:abstractNum w:abstractNumId="173">
    <w:nsid w:val="7E0F6384"/>
    <w:multiLevelType w:val="hybridMultilevel"/>
    <w:lvl w:ilvl="0">
      <w:lvlJc w:val="left"/>
      <w:lvlText w:val="(%1)"/>
      <w:numFmt w:val="lowerLetter"/>
      <w:start w:val="1"/>
    </w:lvl>
  </w:abstractNum>
  <w:abstractNum w:abstractNumId="174">
    <w:nsid w:val="2B4B8B53"/>
    <w:multiLevelType w:val="hybridMultilevel"/>
    <w:lvl w:ilvl="0">
      <w:lvlJc w:val="left"/>
      <w:lvlText w:val="(%1)"/>
      <w:numFmt w:val="lowerLetter"/>
      <w:start w:val="2"/>
    </w:lvl>
  </w:abstractNum>
  <w:abstractNum w:abstractNumId="175">
    <w:nsid w:val="72E3413A"/>
    <w:multiLevelType w:val="hybridMultilevel"/>
    <w:lvl w:ilvl="0">
      <w:lvlJc w:val="left"/>
      <w:lvlText w:val="(%1)"/>
      <w:numFmt w:val="lowerLetter"/>
      <w:start w:val="1"/>
    </w:lvl>
  </w:abstractNum>
  <w:abstractNum w:abstractNumId="176">
    <w:nsid w:val="116AE494"/>
    <w:multiLevelType w:val="hybridMultilevel"/>
    <w:lvl w:ilvl="0">
      <w:lvlJc w:val="left"/>
      <w:lvlText w:val="(%1)"/>
      <w:numFmt w:val="lowerLetter"/>
      <w:start w:val="11"/>
    </w:lvl>
  </w:abstractNum>
  <w:abstractNum w:abstractNumId="177">
    <w:nsid w:val="3494B2FB"/>
    <w:multiLevelType w:val="hybridMultilevel"/>
    <w:lvl w:ilvl="0">
      <w:lvlJc w:val="left"/>
      <w:lvlText w:val="%1"/>
      <w:numFmt w:val="decimal"/>
      <w:start w:val="1"/>
    </w:lvl>
    <w:lvl w:ilvl="1">
      <w:lvlJc w:val="left"/>
      <w:lvlText w:val="(%2)"/>
      <w:numFmt w:val="lowerLetter"/>
      <w:start w:val="1"/>
    </w:lvl>
  </w:abstractNum>
  <w:abstractNum w:abstractNumId="178">
    <w:nsid w:val="B13A31"/>
    <w:multiLevelType w:val="hybridMultilevel"/>
    <w:lvl w:ilvl="0">
      <w:lvlJc w:val="left"/>
      <w:lvlText w:val="(%1)"/>
      <w:numFmt w:val="decimal"/>
      <w:start w:val="10"/>
    </w:lvl>
    <w:lvl w:ilvl="1">
      <w:lvlJc w:val="left"/>
      <w:lvlText w:val="%2"/>
      <w:numFmt w:val="lowerLetter"/>
      <w:start w:val="1"/>
    </w:lvl>
  </w:abstractNum>
  <w:abstractNum w:abstractNumId="179">
    <w:nsid w:val="64429599"/>
    <w:multiLevelType w:val="hybridMultilevel"/>
    <w:lvl w:ilvl="0">
      <w:lvlJc w:val="left"/>
      <w:lvlText w:val="(%1)"/>
      <w:numFmt w:val="lowerLetter"/>
      <w:start w:val="1"/>
    </w:lvl>
  </w:abstractNum>
  <w:abstractNum w:abstractNumId="180">
    <w:nsid w:val="631F1690"/>
    <w:multiLevelType w:val="hybridMultilevel"/>
    <w:lvl w:ilvl="0">
      <w:lvlJc w:val="left"/>
      <w:lvlText w:val="(%1)"/>
      <w:numFmt w:val="decimal"/>
      <w:start w:val="1"/>
    </w:lvl>
  </w:abstractNum>
  <w:abstractNum w:abstractNumId="181">
    <w:nsid w:val="25973E32"/>
    <w:multiLevelType w:val="hybridMultilevel"/>
    <w:lvl w:ilvl="0">
      <w:lvlJc w:val="left"/>
      <w:lvlText w:val="(%1)"/>
      <w:numFmt w:val="decimal"/>
      <w:start w:val="1"/>
    </w:lvl>
  </w:abstractNum>
  <w:abstractNum w:abstractNumId="182">
    <w:nsid w:val="EAD6F57"/>
    <w:multiLevelType w:val="hybridMultilevel"/>
    <w:lvl w:ilvl="0">
      <w:lvlJc w:val="left"/>
      <w:lvlText w:val="(%1)"/>
      <w:numFmt w:val="decimal"/>
      <w:start w:val="1"/>
    </w:lvl>
  </w:abstractNum>
  <w:abstractNum w:abstractNumId="183">
    <w:nsid w:val="6EC9D844"/>
    <w:multiLevelType w:val="hybridMultilevel"/>
    <w:lvl w:ilvl="0">
      <w:lvlJc w:val="left"/>
      <w:lvlText w:val="%1."/>
      <w:numFmt w:val="decimal"/>
      <w:start w:val="1"/>
    </w:lvl>
    <w:lvl w:ilvl="1">
      <w:lvlJc w:val="left"/>
      <w:lvlText w:val="%2)"/>
      <w:numFmt w:val="lowerLetter"/>
      <w:start w:val="1"/>
    </w:lvl>
  </w:abstractNum>
  <w:abstractNum w:abstractNumId="184">
    <w:nsid w:val="5C49EAEE"/>
    <w:multiLevelType w:val="hybridMultilevel"/>
    <w:lvl w:ilvl="0">
      <w:lvlJc w:val="left"/>
      <w:lvlText w:val="%1."/>
      <w:numFmt w:val="decimal"/>
      <w:start w:val="1"/>
    </w:lvl>
    <w:lvl w:ilvl="1">
      <w:lvlJc w:val="left"/>
      <w:lvlText w:val="%2)"/>
      <w:numFmt w:val="lowerLetter"/>
      <w:start w:val="1"/>
    </w:lvl>
  </w:abstractNum>
  <w:abstractNum w:abstractNumId="185">
    <w:nsid w:val="64AF49B"/>
    <w:multiLevelType w:val="hybridMultilevel"/>
    <w:lvl w:ilvl="0">
      <w:lvlJc w:val="left"/>
      <w:lvlText w:val="%1."/>
      <w:numFmt w:val="decimal"/>
      <w:start w:val="1"/>
    </w:lvl>
    <w:lvl w:ilvl="1">
      <w:lvlJc w:val="left"/>
      <w:lvlText w:val="%2)"/>
      <w:numFmt w:val="lowerLetter"/>
      <w:start w:val="1"/>
    </w:lvl>
  </w:abstractNum>
  <w:abstractNum w:abstractNumId="186">
    <w:nsid w:val="397C46BC"/>
    <w:multiLevelType w:val="hybridMultilevel"/>
    <w:lvl w:ilvl="0">
      <w:lvlJc w:val="left"/>
      <w:lvlText w:val="%1."/>
      <w:numFmt w:val="decimal"/>
      <w:start w:val="1"/>
    </w:lvl>
    <w:lvl w:ilvl="1">
      <w:lvlJc w:val="left"/>
      <w:lvlText w:val="%2)"/>
      <w:numFmt w:val="lowerLetter"/>
      <w:start w:val="1"/>
    </w:lvl>
  </w:abstractNum>
  <w:abstractNum w:abstractNumId="187">
    <w:nsid w:val="7E448DE9"/>
    <w:multiLevelType w:val="hybridMultilevel"/>
    <w:lvl w:ilvl="0">
      <w:lvlJc w:val="left"/>
      <w:lvlText w:val="%1."/>
      <w:numFmt w:val="decimal"/>
      <w:start w:val="1"/>
    </w:lvl>
    <w:lvl w:ilvl="1">
      <w:lvlJc w:val="left"/>
      <w:lvlText w:val="%2)"/>
      <w:numFmt w:val="lowerLetter"/>
      <w:start w:val="1"/>
    </w:lvl>
  </w:abstractNum>
  <w:abstractNum w:abstractNumId="188">
    <w:nsid w:val="5A9CC3E5"/>
    <w:multiLevelType w:val="hybridMultilevel"/>
    <w:lvl w:ilvl="0">
      <w:lvlJc w:val="left"/>
      <w:lvlText w:val="%1."/>
      <w:numFmt w:val="decimal"/>
      <w:start w:val="1"/>
    </w:lvl>
    <w:lvl w:ilvl="1">
      <w:lvlJc w:val="left"/>
      <w:lvlText w:val="%2)"/>
      <w:numFmt w:val="lowerLetter"/>
      <w:start w:val="1"/>
    </w:lvl>
  </w:abstractNum>
  <w:abstractNum w:abstractNumId="189">
    <w:nsid w:val="1AFE3625"/>
    <w:multiLevelType w:val="hybridMultilevel"/>
    <w:lvl w:ilvl="0">
      <w:lvlJc w:val="left"/>
      <w:lvlText w:val="(%1)"/>
      <w:numFmt w:val="lowerRoman"/>
      <w:start w:val="1"/>
    </w:lvl>
  </w:abstractNum>
  <w:abstractNum w:abstractNumId="190">
    <w:nsid w:val="3CA88ECF"/>
    <w:multiLevelType w:val="hybridMultilevel"/>
    <w:lvl w:ilvl="0">
      <w:lvlJc w:val="left"/>
      <w:lvlText w:val="(%1)"/>
      <w:numFmt w:val="lowerRoman"/>
      <w:start w:val="1"/>
    </w:lvl>
  </w:abstractNum>
  <w:abstractNum w:abstractNumId="191">
    <w:nsid w:val="6EBE4208"/>
    <w:multiLevelType w:val="hybridMultilevel"/>
    <w:lvl w:ilvl="0">
      <w:lvlJc w:val="left"/>
      <w:lvlText w:val="(%1)"/>
      <w:numFmt w:val="lowerRoman"/>
      <w:start w:val="1"/>
    </w:lvl>
  </w:abstractNum>
  <w:abstractNum w:abstractNumId="192">
    <w:nsid w:val="C058DF5"/>
    <w:multiLevelType w:val="hybridMultilevel"/>
    <w:lvl w:ilvl="0">
      <w:lvlJc w:val="left"/>
      <w:lvlText w:val="(%1)"/>
      <w:numFmt w:val="lowerRoman"/>
      <w:start w:val="1"/>
    </w:lvl>
  </w:abstractNum>
  <w:abstractNum w:abstractNumId="193">
    <w:nsid w:val="CBE5BE9"/>
    <w:multiLevelType w:val="hybridMultilevel"/>
    <w:lvl w:ilvl="0">
      <w:lvlJc w:val="left"/>
      <w:lvlText w:val="(%1)"/>
      <w:numFmt w:val="lowerRoman"/>
      <w:start w:val="1"/>
    </w:lvl>
  </w:abstractNum>
  <w:abstractNum w:abstractNumId="194">
    <w:nsid w:val="3102BBE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2019-12-09T07:40:12Z</dcterms:created>
  <dcterms:modified xsi:type="dcterms:W3CDTF">2019-12-09T07:40:12Z</dcterms:modified>
</cp:coreProperties>
</file>