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120"/>
        <w:jc w:val="center"/>
        <w:rPr/>
      </w:pPr>
      <w:r>
        <w:rPr/>
      </w:r>
    </w:p>
    <w:tbl>
      <w:tblPr>
        <w:tblW w:w="3494" w:type="dxa"/>
        <w:jc w:val="center"/>
        <w:tblInd w:w="0" w:type="dxa"/>
        <w:tblLayout w:type="fixed"/>
        <w:tblCellMar>
          <w:top w:w="28" w:type="dxa"/>
          <w:left w:w="28" w:type="dxa"/>
          <w:bottom w:w="28" w:type="dxa"/>
          <w:right w:w="28" w:type="dxa"/>
        </w:tblCellMar>
      </w:tblPr>
      <w:tblGrid>
        <w:gridCol w:w="1118"/>
        <w:gridCol w:w="981"/>
        <w:gridCol w:w="1395"/>
      </w:tblGrid>
      <w:tr>
        <w:trPr/>
        <w:tc>
          <w:tcPr>
            <w:tcW w:w="111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6, 2026</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8288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695325"/>
                    </a:xfrm>
                    <a:prstGeom prst="rect">
                      <a:avLst/>
                    </a:prstGeom>
                  </pic:spPr>
                </pic:pic>
              </a:graphicData>
            </a:graphic>
          </wp:inline>
        </w:drawing>
      </w:r>
      <w:bookmarkStart w:id="0" w:name="i-1"/>
      <w:bookmarkEnd w:id="0"/>
    </w:p>
    <w:tbl>
      <w:tblPr>
        <w:tblW w:w="3780" w:type="dxa"/>
        <w:jc w:val="center"/>
        <w:tblInd w:w="0" w:type="dxa"/>
        <w:tblLayout w:type="fixed"/>
        <w:tblCellMar>
          <w:top w:w="28" w:type="dxa"/>
          <w:left w:w="28" w:type="dxa"/>
          <w:bottom w:w="28" w:type="dxa"/>
          <w:right w:w="28" w:type="dxa"/>
        </w:tblCellMar>
      </w:tblPr>
      <w:tblGrid>
        <w:gridCol w:w="1208"/>
        <w:gridCol w:w="1064"/>
        <w:gridCol w:w="1508"/>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Southern California Gas Company</w:t>
            </w:r>
          </w:p>
        </w:tc>
      </w:tr>
      <w:tr>
        <w:trPr/>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bl>
    <w:tbl>
      <w:tblPr>
        <w:tblW w:w="8512"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687"/>
        <w:gridCol w:w="687"/>
        <w:gridCol w:w="695"/>
        <w:gridCol w:w="109"/>
        <w:gridCol w:w="109"/>
        <w:gridCol w:w="109"/>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1-01402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95-1240705</w:t>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8621" w:type="dxa"/>
        <w:jc w:val="center"/>
        <w:tblInd w:w="0" w:type="dxa"/>
        <w:tblLayout w:type="fixed"/>
        <w:tblCellMar>
          <w:top w:w="28" w:type="dxa"/>
          <w:left w:w="28" w:type="dxa"/>
          <w:bottom w:w="28" w:type="dxa"/>
          <w:right w:w="28" w:type="dxa"/>
        </w:tblCellMar>
      </w:tblPr>
      <w:tblGrid>
        <w:gridCol w:w="1596"/>
        <w:gridCol w:w="1404"/>
        <w:gridCol w:w="1409"/>
        <w:gridCol w:w="109"/>
        <w:gridCol w:w="109"/>
        <w:gridCol w:w="109"/>
        <w:gridCol w:w="1134"/>
        <w:gridCol w:w="1134"/>
        <w:gridCol w:w="1617"/>
      </w:tblGrid>
      <w:tr>
        <w:trP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555 West 5th Street, Los Angeles, California 90013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(213) 244-1200</w:t>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bl>
    <w:tbl>
      <w:tblPr>
        <w:tblW w:w="4559" w:type="dxa"/>
        <w:jc w:val="center"/>
        <w:tblInd w:w="0" w:type="dxa"/>
        <w:tblLayout w:type="fixed"/>
        <w:tblCellMar>
          <w:top w:w="28" w:type="dxa"/>
          <w:left w:w="28" w:type="dxa"/>
          <w:bottom w:w="28" w:type="dxa"/>
          <w:right w:w="28" w:type="dxa"/>
        </w:tblCellMar>
      </w:tblPr>
      <w:tblGrid>
        <w:gridCol w:w="1457"/>
        <w:gridCol w:w="1281"/>
        <w:gridCol w:w="1821"/>
      </w:tblGrid>
      <w:tr>
        <w:trPr/>
        <w:tc>
          <w:tcPr>
            <w:tcW w:w="145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c>
      </w:tr>
    </w:tbl>
    <w:tbl>
      <w:tblPr>
        <w:tblW w:w="10205" w:type="dxa"/>
        <w:jc w:val="center"/>
        <w:tblInd w:w="0" w:type="dxa"/>
        <w:tblLayout w:type="fixed"/>
        <w:tblCellMar>
          <w:top w:w="28" w:type="dxa"/>
          <w:left w:w="28" w:type="dxa"/>
          <w:bottom w:w="28" w:type="dxa"/>
          <w:right w:w="28" w:type="dxa"/>
        </w:tblCellMar>
      </w:tblPr>
      <w:tblGrid>
        <w:gridCol w:w="1500"/>
        <w:gridCol w:w="1316"/>
        <w:gridCol w:w="1316"/>
        <w:gridCol w:w="2070"/>
        <w:gridCol w:w="1650"/>
        <w:gridCol w:w="2353"/>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6546" w:type="dxa"/>
        <w:jc w:val="center"/>
        <w:tblInd w:w="0" w:type="dxa"/>
        <w:tblLayout w:type="fixed"/>
        <w:tblCellMar>
          <w:top w:w="28" w:type="dxa"/>
          <w:left w:w="28" w:type="dxa"/>
          <w:bottom w:w="28" w:type="dxa"/>
          <w:right w:w="28" w:type="dxa"/>
        </w:tblCellMar>
      </w:tblPr>
      <w:tblGrid>
        <w:gridCol w:w="571"/>
        <w:gridCol w:w="502"/>
        <w:gridCol w:w="502"/>
        <w:gridCol w:w="502"/>
        <w:gridCol w:w="502"/>
        <w:gridCol w:w="502"/>
        <w:gridCol w:w="1015"/>
        <w:gridCol w:w="1015"/>
        <w:gridCol w:w="1435"/>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Name of Each Exchange on Which Registered </w:t>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94"/>
        <w:gridCol w:w="1035"/>
        <w:gridCol w:w="1035"/>
        <w:gridCol w:w="1035"/>
        <w:gridCol w:w="1035"/>
        <w:gridCol w:w="1035"/>
        <w:gridCol w:w="1035"/>
        <w:gridCol w:w="1035"/>
        <w:gridCol w:w="1466"/>
      </w:tblGrid>
      <w:tr>
        <w:trPr/>
        <w:tc>
          <w:tcPr>
            <w:tcW w:w="149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tc>
      </w:tr>
      <w:tr>
        <w:trPr/>
        <w:tc>
          <w:tcPr>
            <w:tcW w:w="3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before="0" w:after="120"/>
        <w:jc w:val="center"/>
        <w:rPr/>
      </w:pPr>
      <w:r>
        <w:rPr/>
      </w:r>
    </w:p>
    <w:p>
      <w:pPr>
        <w:pStyle w:val="TextBody"/>
        <w:bidi w:val="0"/>
        <w:spacing w:lineRule="auto" w:line="300" w:before="0" w:after="12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61" w:before="240" w:after="60"/>
        <w:jc w:val="left"/>
        <w:rPr>
          <w:rFonts w:ascii="Times New Roman;serif" w:hAnsi="Times New Roman;serif"/>
          <w:b/>
          <w:i/>
          <w:color w:val="000000"/>
          <w:sz w:val="20"/>
        </w:rPr>
      </w:pPr>
      <w:r>
        <w:rPr>
          <w:rFonts w:ascii="Times New Roman;serif" w:hAnsi="Times New Roman;serif"/>
          <w:b/>
          <w:i/>
          <w:color w:val="000000"/>
          <w:sz w:val="20"/>
        </w:rPr>
        <w:t xml:space="preserve">Chief Executive Officer and President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6, 2026, the Board of Directors of Southern California Gas Company (“SoCalGas”), a subsidiary of Sempra, appointed Karen L. Sedgwick as Chief Executive Officer and President for SoCalGas, effective on a date to be determined by the SoCalGas Board of Directors and expected to be in the third quarter of 2026. Ms. Sedgwick, 60, has served in a series of senior leadership roles across the Sempra family of companies for over three decades of service. She most recently has served as Sempra’s Executive Vice President and Chief Financial Officer since January 2024, Chief Administrative Officer starting in December 2021 and Senior Vice President and Chief Human Resources Officer starting in September 2020.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Ms. Sedgwick will assume the President role from Rodger R. Schwecke, who also serves as SoCalGas’ Chief Operating Officer until the appointment of a new Chief Operating Officer as described below. Upon the later effective date of Ms. Sedgwick’s and the new Chief Operating Officer’s respective appointments, Mr. Schwecke will commence service as Executive Advisor for SoCalGas and will continue in such role until his previously reported retirement on October 1, 2026.</w:t>
      </w:r>
    </w:p>
    <w:p>
      <w:pPr>
        <w:pStyle w:val="TextBody"/>
        <w:bidi w:val="0"/>
        <w:spacing w:lineRule="auto" w:line="261" w:before="240" w:after="60"/>
        <w:jc w:val="left"/>
        <w:rPr>
          <w:rFonts w:ascii="Times New Roman;serif" w:hAnsi="Times New Roman;serif"/>
          <w:b/>
          <w:i/>
          <w:color w:val="000000"/>
          <w:sz w:val="20"/>
        </w:rPr>
      </w:pPr>
      <w:r>
        <w:rPr>
          <w:rFonts w:ascii="Times New Roman;serif" w:hAnsi="Times New Roman;serif"/>
          <w:b/>
          <w:i/>
          <w:color w:val="000000"/>
          <w:sz w:val="20"/>
        </w:rPr>
        <w:t>Chief Operating Officer</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6, 2026, the SoCalGas Board of Directors appointed Ross W. Turrini as Chief Operating Officer for SoCalGas, effective August 10, 2026. Mr. Turrini, 63, has served in various leadership roles for National Grid, a multinational natural gas and electric utility company, for almost two decades of his over 35-year career in gas engineering and operations management. He most recently has served as the Chief Operating Officer of National Grid’s New York gas business since April 2021 and as National Grid’s Group Chief Engineer for its gas business starting in September 2016. </w:t>
      </w:r>
    </w:p>
    <w:p>
      <w:pPr>
        <w:pStyle w:val="TextBody"/>
        <w:bidi w:val="0"/>
        <w:spacing w:lineRule="auto" w:line="261" w:before="240" w:after="60"/>
        <w:jc w:val="left"/>
        <w:rPr>
          <w:rFonts w:ascii="Times New Roman;serif" w:hAnsi="Times New Roman;serif"/>
          <w:b/>
          <w:i/>
          <w:color w:val="000000"/>
          <w:sz w:val="20"/>
        </w:rPr>
      </w:pPr>
      <w:r>
        <w:rPr>
          <w:rFonts w:ascii="Times New Roman;serif" w:hAnsi="Times New Roman;serif"/>
          <w:b/>
          <w:i/>
          <w:color w:val="000000"/>
          <w:sz w:val="20"/>
        </w:rPr>
        <w:t>Vice President, Chief Accounting Officer and Controller</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On July 8, 2026, the SoCalGas Board of Directors appointed Elvia Lima Ortiz as Vice President, Chief Accounting Officer, Controller and Assistant Treasurer for SoCalGas, effective July 10, 2026. Ms. Lima Ortiz, 44, has served in a series of financial and accounting roles during her over 20-year tenure with SoCalGas. She most recently has served as SoCalGas’ Director, Financial Reporting and Accounting since December 2022 and Manager, Finance starting in June 2021.</w:t>
      </w:r>
    </w:p>
    <w:p>
      <w:pPr>
        <w:pStyle w:val="TextBody"/>
        <w:bidi w:val="0"/>
        <w:spacing w:lineRule="auto" w:line="300" w:before="0" w:after="120"/>
        <w:jc w:val="left"/>
        <w:rPr/>
      </w:pPr>
      <w:r>
        <w:rPr>
          <w:rFonts w:ascii="Times New Roman;serif" w:hAnsi="Times New Roman;serif"/>
          <w:b w:val="false"/>
          <w:color w:val="000000"/>
          <w:sz w:val="20"/>
        </w:rPr>
        <w:t xml:space="preserve">On July 7, 2026, Sara P. Mijares provided notice that she will resign as Vice President, Chief Accounting Officer, Controller and Assistant Treasurer for SoCalGas, effective July 9, 2026. Ms. Mijares will remain with SoCalGas in an advisory capacity through July 24, 2026 in order to support the successful transition of her successor. Ms. Mijares will receive severance benefits for a separation from service by reason other than cause and an agreement to provide continuing consultant services for SoCalGas under the terms of her </w:t>
      </w:r>
      <w:hyperlink r:id="rId3">
        <w:r>
          <w:rPr>
            <w:rStyle w:val="InternetLink"/>
            <w:rFonts w:ascii="Times New Roman;serif" w:hAnsi="Times New Roman;serif"/>
            <w:b w:val="false"/>
            <w:color w:val="0000FF"/>
            <w:sz w:val="20"/>
            <w:u w:val="single"/>
          </w:rPr>
          <w:t>existing severance pay agreement</w:t>
        </w:r>
      </w:hyperlink>
      <w:r>
        <w:rPr>
          <w:rFonts w:ascii="Times New Roman;serif" w:hAnsi="Times New Roman;serif"/>
          <w:b w:val="false"/>
          <w:color w:val="000000"/>
          <w:sz w:val="20"/>
        </w:rPr>
        <w:t xml:space="preserve">, which are described in the </w:t>
      </w:r>
      <w:hyperlink r:id="rId4">
        <w:r>
          <w:rPr>
            <w:rStyle w:val="InternetLink"/>
            <w:rFonts w:ascii="Times New Roman;serif" w:hAnsi="Times New Roman;serif"/>
            <w:b w:val="false"/>
            <w:color w:val="0000FF"/>
            <w:sz w:val="20"/>
            <w:u w:val="single"/>
          </w:rPr>
          <w:t>SoCalGas 2026 Information Statement</w:t>
        </w:r>
      </w:hyperlink>
      <w:r>
        <w:rPr>
          <w:color w:val="000000"/>
        </w:rPr>
        <w:t xml:space="preserve"> </w:t>
      </w:r>
      <w:r>
        <w:rPr>
          <w:rFonts w:ascii="Times New Roman;serif" w:hAnsi="Times New Roman;serif"/>
          <w:b w:val="false"/>
          <w:color w:val="000000"/>
          <w:sz w:val="20"/>
        </w:rPr>
        <w:t>filed with the U.S. Securities and Exchange Commission (“SEC”) on April 14, 2026, as well as an additional cash payment of $315,000 intended to address outstanding equity-based incentive awards forfeited in the ordinary course upon her departure.</w:t>
      </w:r>
    </w:p>
    <w:p>
      <w:pPr>
        <w:pStyle w:val="TextBody"/>
        <w:bidi w:val="0"/>
        <w:spacing w:lineRule="auto" w:line="261" w:before="240" w:after="60"/>
        <w:jc w:val="left"/>
        <w:rPr>
          <w:rFonts w:ascii="Times New Roman;serif" w:hAnsi="Times New Roman;serif"/>
          <w:b/>
          <w:i/>
          <w:color w:val="000000"/>
          <w:sz w:val="20"/>
        </w:rPr>
      </w:pPr>
      <w:r>
        <w:rPr>
          <w:rFonts w:ascii="Times New Roman;serif" w:hAnsi="Times New Roman;serif"/>
          <w:b/>
          <w:i/>
          <w:color w:val="000000"/>
          <w:sz w:val="20"/>
        </w:rPr>
        <w:t xml:space="preserve">New Officer Compensation </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connection with the foregoing appointments, the newly appointed officers will receive the following compensation, in each case effective as of the date of the applicable officer’s appointment: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Ms. Sedgwick will receive compensation intended to maintain the level of her compensation in her current role, including (i) an annual base salary of $830,000, (ii) an annual cash bonus award under the SoCalGas Executive Incentive Compensation Plan (“EICP”) with a target value of 90% of her annual base salary, (iii) her existing 2026 annual long-term equity-based incentive award previously approved by the Compensation and Talent Development Committee of the Sempra Board of Directors (“Sempra CTD Committee”) and eligibility for future annual awards at similar target values as recommended by the Compensation Committee of the SoCalGas Board of Directors (“SoCalGas Compensation Committee”) and approved by the Sempra CTD Committee, and (iv) continuation of her </w:t>
      </w:r>
      <w:hyperlink r:id="rId5">
        <w:r>
          <w:rPr>
            <w:rStyle w:val="InternetLink"/>
            <w:rFonts w:ascii="Times New Roman;serif" w:hAnsi="Times New Roman;serif"/>
            <w:b w:val="false"/>
            <w:color w:val="0000FF"/>
            <w:sz w:val="20"/>
            <w:u w:val="single"/>
          </w:rPr>
          <w:t>existing severance pay agreement</w:t>
        </w:r>
      </w:hyperlink>
      <w:r>
        <w:rPr>
          <w:rFonts w:ascii="Times New Roman;serif" w:hAnsi="Times New Roman;serif"/>
          <w:b w:val="false"/>
          <w:color w:val="000000"/>
          <w:sz w:val="20"/>
        </w:rPr>
        <w:t>, which will remain unchanged. Ms. Sedgwick also will receive a $200,000 relocation incentive payment for each of her first two years of service in her new role, intended to support her transition to Los Angeles as her primary work location.</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Mr. Turrini will receive (i) an annual base salary of $500,000, (ii) an annual cash bonus award under the EICP with a target value of 60% of his annual base salary, (iii) in lieu of annual long-term equity-based incentive awards, the SoCalGas Compensation Committee will recommend that the Sempra CTD Committee approve a special, one-time service-based restricted stock unit award with a grant date value of $500,000 and a three-year vesting schedule of 20%, 40% and 40% on the three respective anniversaries of the grant date, (iv) cash retention payments, each subject to continued service for SoCalGas through the applicable service period, of (a) $200,000 for a one-year service period, (b) $100,000 for a three-year service period, and (c) subject to achievement of board-approved performance objectives in 2027 or 2028, as applicable, and a three-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76" w:before="0" w:after="60"/>
        <w:jc w:val="left"/>
        <w:rPr>
          <w:rFonts w:ascii="Times New Roman;serif" w:hAnsi="Times New Roman;serif"/>
          <w:b w:val="false"/>
          <w:color w:val="000000"/>
          <w:sz w:val="20"/>
        </w:rPr>
      </w:pPr>
      <w:r>
        <w:rPr>
          <w:rFonts w:ascii="Times New Roman;serif" w:hAnsi="Times New Roman;serif"/>
          <w:b w:val="false"/>
          <w:color w:val="000000"/>
          <w:sz w:val="20"/>
        </w:rPr>
        <w:t>year service period, $500,000 for each such year, (v) a $200,000 transition support payment and other relocation benefits consistent with those provided to similarly situated officers, and (vi) a new severance pay agreement with Sempra with terms similar to those of SoCalGas’ other executive officers at a senior vice president level.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Ms. Lima Ortiz will receive (i) an annual base salary of $255,000, (ii) an annual cash bonus award under the SoCalGas EICP with a target value of 45% of her annual base salary, and (iii) the SoCalGas Compensation Committee will recommend that the Sempra CTD Committee approve future annual long-term equity-based incentive awards with a target value of 80% of her annual base salary, and (iv) a new severance pay agreement with Sempra with terms similar to those of SoCalGas’ other executive officers at a vice president level.</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Each newly appointed officer will also be eligible for other executive benefits commensurate with SoCalGas’ similarly situated officers.</w:t>
      </w:r>
    </w:p>
    <w:p>
      <w:pPr>
        <w:pStyle w:val="TextBody"/>
        <w:bidi w:val="0"/>
        <w:spacing w:lineRule="auto" w:line="300" w:before="0" w:after="120"/>
        <w:jc w:val="left"/>
        <w:rPr/>
      </w:pPr>
      <w:r>
        <w:rPr>
          <w:rFonts w:ascii="Times New Roman;serif" w:hAnsi="Times New Roman;serif"/>
          <w:b w:val="false"/>
          <w:color w:val="000000"/>
          <w:sz w:val="20"/>
        </w:rPr>
        <w:t xml:space="preserve">Additional information regarding SoCalGas’ executive compensation program, including severance pay agreement terms and other executive benefits provided for SoCalGas’ executive officers, is described in the </w:t>
      </w:r>
      <w:hyperlink r:id="rId6">
        <w:r>
          <w:rPr>
            <w:rStyle w:val="InternetLink"/>
            <w:rFonts w:ascii="Times New Roman;serif" w:hAnsi="Times New Roman;serif"/>
            <w:b w:val="false"/>
            <w:color w:val="0000FF"/>
            <w:sz w:val="20"/>
            <w:u w:val="single"/>
          </w:rPr>
          <w:t>SoCalGas 2026 Information Statement</w:t>
        </w:r>
      </w:hyperlink>
      <w:r>
        <w:rPr>
          <w:color w:val="000000"/>
        </w:rPr>
        <w:t xml:space="preserve"> </w:t>
      </w:r>
      <w:r>
        <w:rPr>
          <w:rFonts w:ascii="Times New Roman;serif" w:hAnsi="Times New Roman;serif"/>
          <w:b w:val="false"/>
          <w:color w:val="000000"/>
          <w:sz w:val="20"/>
        </w:rPr>
        <w:t>filed with the SEC on April 14, 2026.</w:t>
      </w:r>
    </w:p>
    <w:p>
      <w:pPr>
        <w:pStyle w:val="TextBody"/>
        <w:bidi w:val="0"/>
        <w:spacing w:lineRule="auto" w:line="261" w:before="240" w:after="60"/>
        <w:jc w:val="left"/>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30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report contains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date of this report. We assume no obligation to update or revise any forward-looking statement as a result of new information, future events or otherwise. </w:t>
      </w:r>
    </w:p>
    <w:p>
      <w:pPr>
        <w:pStyle w:val="TextBody"/>
        <w:bidi w:val="0"/>
        <w:spacing w:lineRule="auto" w:line="30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In this report, 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 </w:t>
      </w:r>
    </w:p>
    <w:p>
      <w:pPr>
        <w:pStyle w:val="TextBody"/>
        <w:bidi w:val="0"/>
        <w:spacing w:lineRule="auto" w:line="30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Factors, among others, that could cause actual results and events to differ materially from those expressed or implied in any forward-looking statement include: 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California Public Utilities Commission (CPUC), U.S. Department of Energy, U.S. Internal Revenue Service and other regulatory bodies and (ii) U.S. and states, counties, cities and other jurisdictions therein where we do business; the success of business development efforts and construction projects, including risks related to, as applicable, (i) negotiating pricing and other terms in definitive contracts, (ii) completing construction projects or other transactions on schedule and budget, (iii) realizing anticipated benefits from any of these efforts if completed, (iv) obtaining regulatory and other approvals and (v) third parties honoring their contracts and commitments; changes to our capital expenditure plans and their potential impact on rate base or other growth; 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litigation, arbitration, property disputes and other proceedings; cybersecurity threats, including by nation-state actors, of ransomware or other attacks on our systems, the energy grid or our other infrastructure, or the systems of third parties with which we conduct business; 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 the impact of efforts to increase affordability of U.S. utility customer rates on our ability to obtain cost recovery from applicable regulators, our capital expenditure and other growth plans and our ability to advance statewide policies; the impact on affordability of customer rates, cost of capital and operating margin due to (i) volatility in inflation, interest rates, commodity prices, and tariff rates and (ii) the cost of meeting the demand for lower carbon and reliable energy in California; 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 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30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insurance; the availability of natural gas and natural gas storage and transportation capacity, including disruptions caused by failures in the pipeline and storage systems or limitations on the injection and withdrawal of natural gas from storage facilities; and other uncertainties, some of which are difficult to predict and beyond our control. </w:t>
      </w:r>
    </w:p>
    <w:p>
      <w:pPr>
        <w:pStyle w:val="TextBody"/>
        <w:bidi w:val="0"/>
        <w:spacing w:lineRule="auto" w:line="30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These risks and uncertainties are further discussed in the reports that the company has filed with the U.S. Securities and Exchange Commission (SEC). These reports are available through the EDGAR system free-of-charge on the SEC's website, www.sec.gov, and on Sempra’s website, www.sempra.com. Investors should not rely unduly on any forward-looking statements. </w:t>
      </w:r>
    </w:p>
    <w:p>
      <w:pPr>
        <w:pStyle w:val="TextBody"/>
        <w:bidi w:val="0"/>
        <w:spacing w:lineRule="auto" w:line="300" w:before="0" w:after="120"/>
        <w:jc w:val="left"/>
        <w:rPr>
          <w:rFonts w:ascii="Times New Roman;serif" w:hAnsi="Times New Roman;serif"/>
          <w:b w:val="false"/>
          <w:i/>
          <w:color w:val="000000"/>
          <w:sz w:val="20"/>
        </w:rPr>
      </w:pPr>
      <w:r>
        <w:rPr>
          <w:rFonts w:ascii="Times New Roman;serif" w:hAnsi="Times New Roman;serif"/>
          <w:b w:val="false"/>
          <w:i/>
          <w:color w:val="000000"/>
          <w:sz w:val="20"/>
        </w:rPr>
        <w:t>Sempra Infrastructure Partners and its subsidiaries, and the Sempra Texas utilities (Oncor and Sharyland Utilities) are not the same companies as the Sempra California utilities, SDG&amp;E or SoCalGas, nor are they regulated by the California Public Utilities Commission (CPUC).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 </w:t>
      </w:r>
    </w:p>
    <w:p>
      <w:pPr>
        <w:pStyle w:val="TextBody"/>
        <w:bidi w:val="0"/>
        <w:spacing w:before="0" w:after="120"/>
        <w:jc w:val="center"/>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120"/>
        <w:jc w:val="left"/>
        <w:rPr/>
      </w:pPr>
      <w:r>
        <w:rPr/>
      </w:r>
    </w:p>
    <w:tbl>
      <w:tblPr>
        <w:tblW w:w="5745" w:type="dxa"/>
        <w:jc w:val="left"/>
        <w:tblInd w:w="0" w:type="dxa"/>
        <w:tblLayout w:type="fixed"/>
        <w:tblCellMar>
          <w:top w:w="28" w:type="dxa"/>
          <w:left w:w="28" w:type="dxa"/>
          <w:bottom w:w="28" w:type="dxa"/>
          <w:right w:w="28" w:type="dxa"/>
        </w:tblCellMar>
      </w:tblPr>
      <w:tblGrid>
        <w:gridCol w:w="580"/>
        <w:gridCol w:w="511"/>
        <w:gridCol w:w="514"/>
        <w:gridCol w:w="1211"/>
        <w:gridCol w:w="1211"/>
        <w:gridCol w:w="1718"/>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CALIFORNIA GAS COMPANY,</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July 9, 2026</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Valerie A. Bille</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Valerie A. Bille</w:t>
              <w:br/>
              <w:t>Senior Vice President and Chief Financial Officer</w:t>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32208/000103220824000026/sempra-63024xex101.htm" TargetMode="External"/><Relationship Id="rId4" Type="http://schemas.openxmlformats.org/officeDocument/2006/relationships/hyperlink" Target="https://www.sec.gov/ix?doc=/Archives/edgar/data/0000092108/000119312526154917/d93619ddef14c.htm" TargetMode="External"/><Relationship Id="rId5" Type="http://schemas.openxmlformats.org/officeDocument/2006/relationships/hyperlink" Target="https://www.sec.gov/Archives/edgar/data/1032208/000103220824000007/sempra-123123xex1042.htm" TargetMode="External"/><Relationship Id="rId6" Type="http://schemas.openxmlformats.org/officeDocument/2006/relationships/hyperlink" Target="https://www.sec.gov/ix?doc=/Archives/edgar/data/0000092108/000119312526154917/d93619ddef14c.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2221</Words>
  <Characters>12841</Characters>
  <CharactersWithSpaces>15004</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