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156210</wp:posOffset>
            </wp:positionH>
            <wp:positionV relativeFrom="page">
              <wp:posOffset>409575</wp:posOffset>
            </wp:positionV>
            <wp:extent cx="72485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18"/>
          <w:szCs w:val="18"/>
          <w:color w:val="auto"/>
        </w:rPr>
        <w:t>UNITED STATES</w:t>
      </w:r>
    </w:p>
    <w:p>
      <w:pPr>
        <w:spacing w:after="0" w:line="2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5" w:lineRule="exact"/>
        <w:rPr>
          <w:sz w:val="24"/>
          <w:szCs w:val="24"/>
          <w:color w:val="auto"/>
        </w:rPr>
      </w:pPr>
    </w:p>
    <w:p>
      <w:pPr>
        <w:ind w:left="640" w:hanging="634"/>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9" w:lineRule="exact"/>
        <w:rPr>
          <w:sz w:val="24"/>
          <w:szCs w:val="24"/>
          <w:color w:val="auto"/>
        </w:rPr>
      </w:pPr>
    </w:p>
    <w:p>
      <w:pPr>
        <w:ind w:left="640"/>
        <w:spacing w:after="0"/>
        <w:tabs>
          <w:tab w:leader="none" w:pos="6000" w:val="left"/>
        </w:tabs>
        <w:rPr>
          <w:sz w:val="20"/>
          <w:szCs w:val="20"/>
          <w:color w:val="auto"/>
        </w:rPr>
      </w:pPr>
      <w:r>
        <w:rPr>
          <w:rFonts w:ascii="Times New Roman" w:cs="Times New Roman" w:eastAsia="Times New Roman" w:hAnsi="Times New Roman"/>
          <w:sz w:val="18"/>
          <w:szCs w:val="18"/>
          <w:color w:val="auto"/>
        </w:rPr>
        <w:t>For the quarterly period ended</w:t>
      </w:r>
      <w:r>
        <w:rPr>
          <w:sz w:val="20"/>
          <w:szCs w:val="20"/>
          <w:color w:val="auto"/>
        </w:rPr>
        <w:tab/>
      </w:r>
      <w:r>
        <w:rPr>
          <w:rFonts w:ascii="Times New Roman" w:cs="Times New Roman" w:eastAsia="Times New Roman" w:hAnsi="Times New Roman"/>
          <w:sz w:val="17"/>
          <w:szCs w:val="17"/>
          <w:color w:val="auto"/>
        </w:rPr>
        <w:t>June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3818255</wp:posOffset>
            </wp:positionH>
            <wp:positionV relativeFrom="paragraph">
              <wp:posOffset>11430</wp:posOffset>
            </wp:positionV>
            <wp:extent cx="34347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34715" cy="8255"/>
                    </a:xfrm>
                    <a:prstGeom prst="rect">
                      <a:avLst/>
                    </a:prstGeom>
                    <a:noFill/>
                  </pic:spPr>
                </pic:pic>
              </a:graphicData>
            </a:graphic>
          </wp:anchor>
        </w:drawing>
      </w:r>
    </w:p>
    <w:p>
      <w:pPr>
        <w:spacing w:after="0" w:line="246"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or</w:t>
      </w:r>
    </w:p>
    <w:p>
      <w:pPr>
        <w:spacing w:after="0" w:line="256" w:lineRule="exact"/>
        <w:rPr>
          <w:sz w:val="24"/>
          <w:szCs w:val="24"/>
          <w:color w:val="auto"/>
        </w:rPr>
      </w:pPr>
    </w:p>
    <w:p>
      <w:pPr>
        <w:ind w:left="200" w:hanging="194"/>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60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1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to</w:t>
            </w:r>
          </w:p>
        </w:tc>
        <w:tc>
          <w:tcPr>
            <w:tcW w:w="160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646"/>
        </w:trPr>
        <w:tc>
          <w:tcPr>
            <w:tcW w:w="2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Former name, former</w:t>
            </w:r>
          </w:p>
        </w:tc>
      </w:tr>
      <w:tr>
        <w:trPr>
          <w:trHeight w:val="226"/>
        </w:trPr>
        <w:tc>
          <w:tcPr>
            <w:tcW w:w="2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address and former</w:t>
            </w:r>
          </w:p>
        </w:tc>
      </w:tr>
      <w:tr>
        <w:trPr>
          <w:trHeight w:val="226"/>
        </w:trPr>
        <w:tc>
          <w:tcPr>
            <w:tcW w:w="2000" w:type="dxa"/>
            <w:vAlign w:val="bottom"/>
          </w:tcPr>
          <w:p>
            <w:pPr>
              <w:spacing w:after="0"/>
              <w:rPr>
                <w:sz w:val="19"/>
                <w:szCs w:val="19"/>
                <w:color w:val="auto"/>
              </w:rPr>
            </w:pPr>
          </w:p>
        </w:tc>
        <w:tc>
          <w:tcPr>
            <w:tcW w:w="4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Exact Name of Registrants as Specified in their</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fiscal year, if changed</w:t>
            </w:r>
          </w:p>
        </w:tc>
      </w:tr>
      <w:tr>
        <w:trPr>
          <w:trHeight w:val="231"/>
        </w:trPr>
        <w:tc>
          <w:tcPr>
            <w:tcW w:w="20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Commission File No.</w:t>
            </w:r>
          </w:p>
        </w:tc>
        <w:tc>
          <w:tcPr>
            <w:tcW w:w="402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Charters, Address and Telephone Number</w:t>
            </w:r>
          </w:p>
        </w:tc>
        <w:tc>
          <w:tcPr>
            <w:tcW w:w="1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States of Incorporation</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Identification Nos.</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since last report</w:t>
            </w:r>
          </w:p>
        </w:tc>
      </w:tr>
      <w:tr>
        <w:trPr>
          <w:trHeight w:val="247"/>
        </w:trPr>
        <w:tc>
          <w:tcPr>
            <w:tcW w:w="2000" w:type="dxa"/>
            <w:vAlign w:val="bottom"/>
          </w:tcPr>
          <w:p>
            <w:pPr>
              <w:jc w:val="right"/>
              <w:ind w:right="1311"/>
              <w:spacing w:after="0"/>
              <w:rPr>
                <w:sz w:val="20"/>
                <w:szCs w:val="20"/>
                <w:color w:val="auto"/>
              </w:rPr>
            </w:pPr>
            <w:r>
              <w:rPr>
                <w:rFonts w:ascii="Times New Roman" w:cs="Times New Roman" w:eastAsia="Times New Roman" w:hAnsi="Times New Roman"/>
                <w:sz w:val="18"/>
                <w:szCs w:val="18"/>
                <w:color w:val="auto"/>
                <w:w w:val="96"/>
              </w:rPr>
              <w:t>1-14201</w:t>
            </w:r>
          </w:p>
        </w:tc>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SEMPRA ENERGY</w:t>
            </w: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33-0732627</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 change</w:t>
            </w:r>
          </w:p>
        </w:tc>
      </w:tr>
      <w:tr>
        <w:trPr>
          <w:trHeight w:val="247"/>
        </w:trPr>
        <w:tc>
          <w:tcPr>
            <w:tcW w:w="2000" w:type="dxa"/>
            <w:vAlign w:val="bottom"/>
          </w:tcPr>
          <w:p>
            <w:pPr>
              <w:spacing w:after="0"/>
              <w:rPr>
                <w:sz w:val="21"/>
                <w:szCs w:val="21"/>
                <w:color w:val="auto"/>
              </w:rPr>
            </w:pPr>
          </w:p>
        </w:tc>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 Ash Street</w:t>
            </w:r>
          </w:p>
        </w:tc>
        <w:tc>
          <w:tcPr>
            <w:tcW w:w="1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26"/>
        </w:trPr>
        <w:tc>
          <w:tcPr>
            <w:tcW w:w="2000" w:type="dxa"/>
            <w:vAlign w:val="bottom"/>
          </w:tcPr>
          <w:p>
            <w:pPr>
              <w:spacing w:after="0"/>
              <w:rPr>
                <w:sz w:val="19"/>
                <w:szCs w:val="19"/>
                <w:color w:val="auto"/>
              </w:rPr>
            </w:pPr>
          </w:p>
        </w:tc>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San Diego, California 92101</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2"/>
        </w:trPr>
        <w:tc>
          <w:tcPr>
            <w:tcW w:w="2000" w:type="dxa"/>
            <w:vAlign w:val="bottom"/>
          </w:tcPr>
          <w:p>
            <w:pPr>
              <w:spacing w:after="0"/>
              <w:rPr>
                <w:sz w:val="20"/>
                <w:szCs w:val="20"/>
                <w:color w:val="auto"/>
              </w:rPr>
            </w:pP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(619)696-2000</w:t>
            </w:r>
          </w:p>
        </w:tc>
        <w:tc>
          <w:tcPr>
            <w:tcW w:w="2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65"/>
        </w:trPr>
        <w:tc>
          <w:tcPr>
            <w:tcW w:w="2000" w:type="dxa"/>
            <w:vAlign w:val="bottom"/>
          </w:tcPr>
          <w:p>
            <w:pPr>
              <w:jc w:val="right"/>
              <w:ind w:right="1311"/>
              <w:spacing w:after="0"/>
              <w:rPr>
                <w:sz w:val="20"/>
                <w:szCs w:val="20"/>
                <w:color w:val="auto"/>
              </w:rPr>
            </w:pPr>
            <w:r>
              <w:rPr>
                <w:rFonts w:ascii="Times New Roman" w:cs="Times New Roman" w:eastAsia="Times New Roman" w:hAnsi="Times New Roman"/>
                <w:sz w:val="18"/>
                <w:szCs w:val="18"/>
                <w:color w:val="auto"/>
                <w:w w:val="96"/>
              </w:rPr>
              <w:t>1-03779</w:t>
            </w:r>
          </w:p>
        </w:tc>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SAN DIEGO GAS &amp; ELECTRIC COMPANY</w:t>
            </w: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95-1184800</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 change</w:t>
            </w:r>
          </w:p>
        </w:tc>
      </w:tr>
      <w:tr>
        <w:trPr>
          <w:trHeight w:val="247"/>
        </w:trPr>
        <w:tc>
          <w:tcPr>
            <w:tcW w:w="2000" w:type="dxa"/>
            <w:vAlign w:val="bottom"/>
          </w:tcPr>
          <w:p>
            <w:pPr>
              <w:spacing w:after="0"/>
              <w:rPr>
                <w:sz w:val="21"/>
                <w:szCs w:val="21"/>
                <w:color w:val="auto"/>
              </w:rPr>
            </w:pPr>
          </w:p>
        </w:tc>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8326 Century Park Court</w:t>
            </w:r>
          </w:p>
        </w:tc>
        <w:tc>
          <w:tcPr>
            <w:tcW w:w="1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26"/>
        </w:trPr>
        <w:tc>
          <w:tcPr>
            <w:tcW w:w="2000" w:type="dxa"/>
            <w:vAlign w:val="bottom"/>
          </w:tcPr>
          <w:p>
            <w:pPr>
              <w:spacing w:after="0"/>
              <w:rPr>
                <w:sz w:val="19"/>
                <w:szCs w:val="19"/>
                <w:color w:val="auto"/>
              </w:rPr>
            </w:pPr>
          </w:p>
        </w:tc>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San Diego, California 92123</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2"/>
        </w:trPr>
        <w:tc>
          <w:tcPr>
            <w:tcW w:w="2000" w:type="dxa"/>
            <w:vAlign w:val="bottom"/>
          </w:tcPr>
          <w:p>
            <w:pPr>
              <w:spacing w:after="0"/>
              <w:rPr>
                <w:sz w:val="20"/>
                <w:szCs w:val="20"/>
                <w:color w:val="auto"/>
              </w:rPr>
            </w:pP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(619)696-2000</w:t>
            </w:r>
          </w:p>
        </w:tc>
        <w:tc>
          <w:tcPr>
            <w:tcW w:w="2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65"/>
        </w:trPr>
        <w:tc>
          <w:tcPr>
            <w:tcW w:w="2000" w:type="dxa"/>
            <w:vAlign w:val="bottom"/>
          </w:tcPr>
          <w:p>
            <w:pPr>
              <w:jc w:val="right"/>
              <w:ind w:right="1311"/>
              <w:spacing w:after="0"/>
              <w:rPr>
                <w:sz w:val="20"/>
                <w:szCs w:val="20"/>
                <w:color w:val="auto"/>
              </w:rPr>
            </w:pPr>
            <w:r>
              <w:rPr>
                <w:rFonts w:ascii="Times New Roman" w:cs="Times New Roman" w:eastAsia="Times New Roman" w:hAnsi="Times New Roman"/>
                <w:sz w:val="18"/>
                <w:szCs w:val="18"/>
                <w:color w:val="auto"/>
                <w:w w:val="96"/>
              </w:rPr>
              <w:t>1-01402</w:t>
            </w:r>
          </w:p>
        </w:tc>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SOUTHERN CALIFORNIA GAS COMPANY</w:t>
            </w: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95-1240705</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 change</w:t>
            </w:r>
          </w:p>
        </w:tc>
      </w:tr>
      <w:tr>
        <w:trPr>
          <w:trHeight w:val="247"/>
        </w:trPr>
        <w:tc>
          <w:tcPr>
            <w:tcW w:w="2000" w:type="dxa"/>
            <w:vAlign w:val="bottom"/>
          </w:tcPr>
          <w:p>
            <w:pPr>
              <w:spacing w:after="0"/>
              <w:rPr>
                <w:sz w:val="21"/>
                <w:szCs w:val="21"/>
                <w:color w:val="auto"/>
              </w:rPr>
            </w:pPr>
          </w:p>
        </w:tc>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555 West Fifth Street</w:t>
            </w:r>
          </w:p>
        </w:tc>
        <w:tc>
          <w:tcPr>
            <w:tcW w:w="1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26"/>
        </w:trPr>
        <w:tc>
          <w:tcPr>
            <w:tcW w:w="2000" w:type="dxa"/>
            <w:vAlign w:val="bottom"/>
          </w:tcPr>
          <w:p>
            <w:pPr>
              <w:spacing w:after="0"/>
              <w:rPr>
                <w:sz w:val="19"/>
                <w:szCs w:val="19"/>
                <w:color w:val="auto"/>
              </w:rPr>
            </w:pPr>
          </w:p>
        </w:tc>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 Angeles, California 90013</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2"/>
        </w:trPr>
        <w:tc>
          <w:tcPr>
            <w:tcW w:w="2000" w:type="dxa"/>
            <w:vAlign w:val="bottom"/>
          </w:tcPr>
          <w:p>
            <w:pPr>
              <w:spacing w:after="0"/>
              <w:rPr>
                <w:sz w:val="20"/>
                <w:szCs w:val="20"/>
                <w:color w:val="auto"/>
              </w:rPr>
            </w:pP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(213)244-1200</w:t>
            </w:r>
          </w:p>
        </w:tc>
        <w:tc>
          <w:tcPr>
            <w:tcW w:w="2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right="48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w:t>
      </w:r>
    </w:p>
    <w:p>
      <w:pPr>
        <w:spacing w:after="0" w:line="203" w:lineRule="exact"/>
        <w:rPr>
          <w:sz w:val="24"/>
          <w:szCs w:val="24"/>
          <w:color w:val="auto"/>
        </w:rPr>
      </w:pPr>
    </w:p>
    <w:p>
      <w:pPr>
        <w:ind w:left="7100"/>
        <w:spacing w:after="0"/>
        <w:tabs>
          <w:tab w:leader="none" w:pos="7940" w:val="left"/>
          <w:tab w:leader="none" w:pos="980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4721225</wp:posOffset>
            </wp:positionH>
            <wp:positionV relativeFrom="paragraph">
              <wp:posOffset>32385</wp:posOffset>
            </wp:positionV>
            <wp:extent cx="810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32385</wp:posOffset>
            </wp:positionV>
            <wp:extent cx="826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both"/>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5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Sempra Energy</w:t>
            </w:r>
          </w:p>
        </w:tc>
        <w:tc>
          <w:tcPr>
            <w:tcW w:w="26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Yes</w:t>
            </w:r>
          </w:p>
        </w:tc>
        <w:tc>
          <w:tcPr>
            <w:tcW w:w="1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0"/>
              </w:rPr>
              <w:t>No</w:t>
            </w:r>
          </w:p>
        </w:tc>
        <w:tc>
          <w:tcPr>
            <w:tcW w:w="0" w:type="dxa"/>
            <w:vAlign w:val="bottom"/>
          </w:tcPr>
          <w:p>
            <w:pPr>
              <w:spacing w:after="0"/>
              <w:rPr>
                <w:sz w:val="1"/>
                <w:szCs w:val="1"/>
                <w:color w:val="auto"/>
              </w:rPr>
            </w:pPr>
          </w:p>
        </w:tc>
      </w:tr>
      <w:tr>
        <w:trPr>
          <w:trHeight w:val="26"/>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San Diego Gas &amp; Electric Company</w:t>
            </w:r>
          </w:p>
        </w:tc>
        <w:tc>
          <w:tcPr>
            <w:tcW w:w="26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860" w:type="dxa"/>
            <w:vAlign w:val="bottom"/>
            <w:vMerge w:val="continue"/>
          </w:tcPr>
          <w:p>
            <w:pPr>
              <w:spacing w:after="0"/>
              <w:rPr>
                <w:sz w:val="21"/>
                <w:szCs w:val="21"/>
                <w:color w:val="auto"/>
              </w:rPr>
            </w:pPr>
          </w:p>
        </w:tc>
        <w:tc>
          <w:tcPr>
            <w:tcW w:w="26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Yes</w:t>
            </w:r>
          </w:p>
        </w:tc>
        <w:tc>
          <w:tcPr>
            <w:tcW w:w="1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0"/>
              </w:rPr>
              <w:t>No</w:t>
            </w:r>
          </w:p>
        </w:tc>
        <w:tc>
          <w:tcPr>
            <w:tcW w:w="0" w:type="dxa"/>
            <w:vAlign w:val="bottom"/>
          </w:tcPr>
          <w:p>
            <w:pPr>
              <w:spacing w:after="0"/>
              <w:rPr>
                <w:sz w:val="1"/>
                <w:szCs w:val="1"/>
                <w:color w:val="auto"/>
              </w:rPr>
            </w:pPr>
          </w:p>
        </w:tc>
      </w:tr>
      <w:tr>
        <w:trPr>
          <w:trHeight w:val="26"/>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Southern California Gas Company</w:t>
            </w:r>
          </w:p>
        </w:tc>
        <w:tc>
          <w:tcPr>
            <w:tcW w:w="26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860" w:type="dxa"/>
            <w:vAlign w:val="bottom"/>
            <w:vMerge w:val="continue"/>
          </w:tcPr>
          <w:p>
            <w:pPr>
              <w:spacing w:after="0"/>
              <w:rPr>
                <w:sz w:val="21"/>
                <w:szCs w:val="21"/>
                <w:color w:val="auto"/>
              </w:rPr>
            </w:pPr>
          </w:p>
        </w:tc>
        <w:tc>
          <w:tcPr>
            <w:tcW w:w="26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Yes</w:t>
            </w:r>
          </w:p>
        </w:tc>
        <w:tc>
          <w:tcPr>
            <w:tcW w:w="1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0"/>
              </w:rPr>
              <w:t>No</w:t>
            </w:r>
          </w:p>
        </w:tc>
        <w:tc>
          <w:tcPr>
            <w:tcW w:w="0" w:type="dxa"/>
            <w:vAlign w:val="bottom"/>
          </w:tcPr>
          <w:p>
            <w:pPr>
              <w:spacing w:after="0"/>
              <w:rPr>
                <w:sz w:val="1"/>
                <w:szCs w:val="1"/>
                <w:color w:val="auto"/>
              </w:rPr>
            </w:pPr>
          </w:p>
        </w:tc>
      </w:tr>
      <w:tr>
        <w:trPr>
          <w:trHeight w:val="26"/>
        </w:trPr>
        <w:tc>
          <w:tcPr>
            <w:tcW w:w="48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6425565</wp:posOffset>
            </wp:positionH>
            <wp:positionV relativeFrom="paragraph">
              <wp:posOffset>-379095</wp:posOffset>
            </wp:positionV>
            <wp:extent cx="826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677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-193675</wp:posOffset>
            </wp:positionV>
            <wp:extent cx="826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677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826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line="201" w:lineRule="exact"/>
        <w:rPr>
          <w:sz w:val="24"/>
          <w:szCs w:val="24"/>
          <w:color w:val="auto"/>
        </w:rPr>
      </w:pPr>
    </w:p>
    <w:p>
      <w:pPr>
        <w:ind w:right="360"/>
        <w:spacing w:after="0" w:line="29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2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Large</w:t>
            </w:r>
          </w:p>
        </w:tc>
        <w:tc>
          <w:tcPr>
            <w:tcW w:w="1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60" w:type="dxa"/>
            <w:vAlign w:val="bottom"/>
            <w:gridSpan w:val="3"/>
          </w:tcPr>
          <w:p>
            <w:pPr>
              <w:jc w:val="right"/>
              <w:ind w:right="231"/>
              <w:spacing w:after="0"/>
              <w:rPr>
                <w:sz w:val="20"/>
                <w:szCs w:val="20"/>
                <w:color w:val="auto"/>
              </w:rPr>
            </w:pPr>
            <w:r>
              <w:rPr>
                <w:rFonts w:ascii="Times New Roman" w:cs="Times New Roman" w:eastAsia="Times New Roman" w:hAnsi="Times New Roman"/>
                <w:sz w:val="18"/>
                <w:szCs w:val="18"/>
                <w:color w:val="auto"/>
              </w:rPr>
              <w:t>Smaller reporting</w:t>
            </w:r>
          </w:p>
        </w:tc>
        <w:tc>
          <w:tcPr>
            <w:tcW w:w="0" w:type="dxa"/>
            <w:vAlign w:val="bottom"/>
          </w:tcPr>
          <w:p>
            <w:pPr>
              <w:spacing w:after="0"/>
              <w:rPr>
                <w:sz w:val="1"/>
                <w:szCs w:val="1"/>
                <w:color w:val="auto"/>
              </w:rPr>
            </w:pPr>
          </w:p>
        </w:tc>
      </w:tr>
      <w:tr>
        <w:trPr>
          <w:trHeight w:val="279"/>
        </w:trPr>
        <w:tc>
          <w:tcPr>
            <w:tcW w:w="2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2280" w:type="dxa"/>
            <w:vAlign w:val="bottom"/>
            <w:gridSpan w:val="2"/>
          </w:tcPr>
          <w:p>
            <w:pPr>
              <w:jc w:val="right"/>
              <w:ind w:right="291"/>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spacing w:after="0"/>
              <w:rPr>
                <w:sz w:val="24"/>
                <w:szCs w:val="24"/>
                <w:color w:val="auto"/>
              </w:rPr>
            </w:pPr>
          </w:p>
        </w:tc>
        <w:tc>
          <w:tcPr>
            <w:tcW w:w="18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w w:val="98"/>
              </w:rPr>
              <w:t>Non-accelerated filer</w:t>
            </w:r>
          </w:p>
        </w:tc>
        <w:tc>
          <w:tcPr>
            <w:tcW w:w="560" w:type="dxa"/>
            <w:vAlign w:val="bottom"/>
          </w:tcPr>
          <w:p>
            <w:pPr>
              <w:spacing w:after="0"/>
              <w:rPr>
                <w:sz w:val="24"/>
                <w:szCs w:val="24"/>
                <w:color w:val="auto"/>
              </w:rPr>
            </w:pPr>
          </w:p>
        </w:tc>
        <w:tc>
          <w:tcPr>
            <w:tcW w:w="1300" w:type="dxa"/>
            <w:vAlign w:val="bottom"/>
            <w:gridSpan w:val="2"/>
          </w:tcPr>
          <w:p>
            <w:pPr>
              <w:jc w:val="right"/>
              <w:ind w:right="531"/>
              <w:spacing w:after="0"/>
              <w:rPr>
                <w:sz w:val="20"/>
                <w:szCs w:val="20"/>
                <w:color w:val="auto"/>
              </w:rPr>
            </w:pPr>
            <w:r>
              <w:rPr>
                <w:rFonts w:ascii="Times New Roman" w:cs="Times New Roman" w:eastAsia="Times New Roman" w:hAnsi="Times New Roman"/>
                <w:sz w:val="18"/>
                <w:szCs w:val="18"/>
                <w:color w:val="auto"/>
                <w:w w:val="99"/>
              </w:rPr>
              <w:t>company</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Sempra Energy</w:t>
            </w:r>
          </w:p>
        </w:tc>
        <w:tc>
          <w:tcPr>
            <w:tcW w:w="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w:t>
            </w:r>
          </w:p>
        </w:tc>
        <w:tc>
          <w:tcPr>
            <w:tcW w:w="116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3"/>
                <w:szCs w:val="23"/>
                <w:color w:val="auto"/>
              </w:rPr>
            </w:pPr>
          </w:p>
        </w:tc>
        <w:tc>
          <w:tcPr>
            <w:tcW w:w="92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Diego Gas &amp; Electric</w:t>
            </w:r>
          </w:p>
        </w:tc>
        <w:tc>
          <w:tcPr>
            <w:tcW w:w="8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9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69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920" w:type="dxa"/>
            <w:vAlign w:val="bottom"/>
            <w:gridSpan w:val="2"/>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2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Company</w:t>
            </w:r>
          </w:p>
        </w:tc>
        <w:tc>
          <w:tcPr>
            <w:tcW w:w="8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Southern California Gas</w:t>
            </w:r>
          </w:p>
        </w:tc>
        <w:tc>
          <w:tcPr>
            <w:tcW w:w="8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9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69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920" w:type="dxa"/>
            <w:vAlign w:val="bottom"/>
            <w:gridSpan w:val="2"/>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2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Company</w:t>
            </w:r>
          </w:p>
        </w:tc>
        <w:tc>
          <w:tcPr>
            <w:tcW w:w="8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Sempra Energy</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gridSpan w:val="2"/>
          </w:tcPr>
          <w:p>
            <w:pPr>
              <w:jc w:val="right"/>
              <w:ind w:right="731"/>
              <w:spacing w:after="0"/>
              <w:rPr>
                <w:sz w:val="20"/>
                <w:szCs w:val="20"/>
                <w:color w:val="auto"/>
              </w:rPr>
            </w:pPr>
            <w:r>
              <w:rPr>
                <w:rFonts w:ascii="Times New Roman" w:cs="Times New Roman" w:eastAsia="Times New Roman" w:hAnsi="Times New Roman"/>
                <w:sz w:val="18"/>
                <w:szCs w:val="18"/>
                <w:color w:val="auto"/>
              </w:rPr>
              <w:t>Yes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gridSpan w:val="2"/>
          </w:tcPr>
          <w:p>
            <w:pPr>
              <w:jc w:val="right"/>
              <w:ind w:right="351"/>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6"/>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San Diego Gas &amp; Electric Company</w:t>
            </w: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2720" w:type="dxa"/>
            <w:vAlign w:val="bottom"/>
            <w:gridSpan w:val="2"/>
            <w:vMerge w:val="continue"/>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60" w:type="dxa"/>
            <w:vAlign w:val="bottom"/>
            <w:gridSpan w:val="2"/>
          </w:tcPr>
          <w:p>
            <w:pPr>
              <w:jc w:val="right"/>
              <w:ind w:right="731"/>
              <w:spacing w:after="0"/>
              <w:rPr>
                <w:sz w:val="20"/>
                <w:szCs w:val="20"/>
                <w:color w:val="auto"/>
              </w:rPr>
            </w:pPr>
            <w:r>
              <w:rPr>
                <w:rFonts w:ascii="Times New Roman" w:cs="Times New Roman" w:eastAsia="Times New Roman" w:hAnsi="Times New Roman"/>
                <w:sz w:val="18"/>
                <w:szCs w:val="18"/>
                <w:color w:val="auto"/>
              </w:rPr>
              <w:t>Yes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gridSpan w:val="2"/>
          </w:tcPr>
          <w:p>
            <w:pPr>
              <w:jc w:val="right"/>
              <w:ind w:right="351"/>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ectPr>
          <w:pgSz w:w="11900" w:h="16886" w:orient="portrait"/>
          <w:cols w:equalWidth="0" w:num="1">
            <w:col w:w="11420"/>
          </w:cols>
          <w:pgMar w:left="240" w:top="905" w:right="239" w:bottom="0" w:gutter="0" w:footer="0" w:header="0"/>
        </w:sectPr>
      </w:pPr>
    </w:p>
    <w:bookmarkStart w:id="1" w:name="page2"/>
    <w:bookmarkEnd w:id="1"/>
    <w:p>
      <w:pPr>
        <w:spacing w:after="0"/>
        <w:tabs>
          <w:tab w:leader="none" w:pos="7340" w:val="left"/>
          <w:tab w:leader="none" w:pos="9800" w:val="left"/>
          <w:tab w:leader="none" w:pos="106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5042535</wp:posOffset>
            </wp:positionH>
            <wp:positionV relativeFrom="page">
              <wp:posOffset>88900</wp:posOffset>
            </wp:positionV>
            <wp:extent cx="725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805" cy="8255"/>
                    </a:xfrm>
                    <a:prstGeom prst="rect">
                      <a:avLst/>
                    </a:prstGeom>
                    <a:noFill/>
                  </pic:spPr>
                </pic:pic>
              </a:graphicData>
            </a:graphic>
          </wp:anchor>
        </w:drawing>
        <w:drawing>
          <wp:anchor simplePos="0" relativeHeight="251657728" behindDoc="1" locked="0" layoutInCell="0" allowOverlap="1">
            <wp:simplePos x="0" y="0"/>
            <wp:positionH relativeFrom="page">
              <wp:posOffset>6577965</wp:posOffset>
            </wp:positionH>
            <wp:positionV relativeFrom="page">
              <wp:posOffset>88900</wp:posOffset>
            </wp:positionV>
            <wp:extent cx="826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6770" cy="8255"/>
                    </a:xfrm>
                    <a:prstGeom prst="rect">
                      <a:avLst/>
                    </a:prstGeom>
                    <a:noFill/>
                  </pic:spPr>
                </pic:pic>
              </a:graphicData>
            </a:graphic>
          </wp:anchor>
        </w:drawing>
        <w:t>Southern California Gas Company</w:t>
      </w:r>
      <w:r>
        <w:rPr>
          <w:sz w:val="20"/>
          <w:szCs w:val="20"/>
          <w:color w:val="auto"/>
        </w:rPr>
        <w:tab/>
      </w: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4890135</wp:posOffset>
            </wp:positionH>
            <wp:positionV relativeFrom="paragraph">
              <wp:posOffset>48895</wp:posOffset>
            </wp:positionV>
            <wp:extent cx="7258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80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48895</wp:posOffset>
            </wp:positionV>
            <wp:extent cx="8267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outstanding on August 4, 2014: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Sempra Energy</w:t>
            </w:r>
          </w:p>
        </w:tc>
        <w:tc>
          <w:tcPr>
            <w:tcW w:w="8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245,893,714 shares</w:t>
            </w:r>
          </w:p>
        </w:tc>
      </w:tr>
      <w:tr>
        <w:trPr>
          <w:trHeight w:val="22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San Diego Gas &amp; Electric Company</w:t>
            </w:r>
          </w:p>
        </w:tc>
        <w:tc>
          <w:tcPr>
            <w:tcW w:w="8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Wholly owned by Enova Corporation, which is wholly owned by Sempra Energy</w:t>
            </w:r>
          </w:p>
        </w:tc>
      </w:tr>
      <w:tr>
        <w:trPr>
          <w:trHeight w:val="232"/>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Southern California Gas Company</w:t>
            </w:r>
          </w:p>
        </w:tc>
        <w:tc>
          <w:tcPr>
            <w:tcW w:w="8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Wholly owned by Pacific Enterprises, which is wholly owned by Sempra Energy</w:t>
            </w:r>
          </w:p>
        </w:tc>
      </w:tr>
      <w:tr>
        <w:trPr>
          <w:trHeight w:val="444"/>
        </w:trPr>
        <w:tc>
          <w:tcPr>
            <w:tcW w:w="302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5"/>
          <w:szCs w:val="25"/>
          <w:color w:val="auto"/>
        </w:rPr>
        <w:t>SEMPRA ENERGY FORM 10-Q</w:t>
      </w:r>
    </w:p>
    <w:p>
      <w:pPr>
        <w:spacing w:after="0" w:line="15" w:lineRule="exact"/>
        <w:rPr>
          <w:sz w:val="20"/>
          <w:szCs w:val="20"/>
          <w:color w:val="auto"/>
        </w:rPr>
      </w:pPr>
    </w:p>
    <w:p>
      <w:pPr>
        <w:spacing w:after="0"/>
        <w:rPr>
          <w:sz w:val="20"/>
          <w:szCs w:val="20"/>
          <w:color w:val="auto"/>
        </w:rPr>
      </w:pPr>
      <w:r>
        <w:rPr>
          <w:rFonts w:ascii="Arial" w:cs="Arial" w:eastAsia="Arial" w:hAnsi="Arial"/>
          <w:sz w:val="25"/>
          <w:szCs w:val="25"/>
          <w:color w:val="auto"/>
        </w:rPr>
        <w:t>SAN DIEGO GAS &amp; ELECTRIC COMPANY FORM 10-Q</w:t>
      </w:r>
    </w:p>
    <w:p>
      <w:pPr>
        <w:spacing w:after="0" w:line="232" w:lineRule="auto"/>
        <w:rPr>
          <w:sz w:val="20"/>
          <w:szCs w:val="20"/>
          <w:color w:val="auto"/>
        </w:rPr>
      </w:pPr>
      <w:r>
        <w:rPr>
          <w:rFonts w:ascii="Arial" w:cs="Arial" w:eastAsia="Arial" w:hAnsi="Arial"/>
          <w:sz w:val="25"/>
          <w:szCs w:val="25"/>
          <w:color w:val="auto"/>
        </w:rPr>
        <w:t>SOUTHERN CALIFORNIA GAS COMPANY FORM 10-Q</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color w:val="auto"/>
        </w:rPr>
        <w:t>TABLE OF CONTENTS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ind w:left="1020"/>
              <w:spacing w:after="0"/>
              <w:rPr>
                <w:sz w:val="20"/>
                <w:szCs w:val="20"/>
                <w:color w:val="auto"/>
              </w:rPr>
            </w:pPr>
            <w:r>
              <w:rPr>
                <w:rFonts w:ascii="Arial" w:cs="Arial" w:eastAsia="Arial" w:hAnsi="Arial"/>
                <w:sz w:val="16"/>
                <w:szCs w:val="16"/>
                <w:i w:val="1"/>
                <w:iCs w:val="1"/>
                <w:color w:val="auto"/>
              </w:rPr>
              <w:t>Page</w:t>
            </w:r>
          </w:p>
        </w:tc>
      </w:tr>
      <w:tr>
        <w:trPr>
          <w:trHeight w:val="218"/>
        </w:trPr>
        <w:tc>
          <w:tcPr>
            <w:tcW w:w="9340" w:type="dxa"/>
            <w:vAlign w:val="bottom"/>
            <w:gridSpan w:val="2"/>
          </w:tcPr>
          <w:p>
            <w:pPr>
              <w:spacing w:after="0"/>
              <w:rPr>
                <w:sz w:val="20"/>
                <w:szCs w:val="20"/>
                <w:color w:val="auto"/>
              </w:rPr>
            </w:pPr>
            <w:r>
              <w:rPr>
                <w:rFonts w:ascii="Arial" w:cs="Arial" w:eastAsia="Arial" w:hAnsi="Arial"/>
                <w:sz w:val="16"/>
                <w:szCs w:val="16"/>
                <w:b w:val="1"/>
                <w:bCs w:val="1"/>
                <w:color w:val="auto"/>
              </w:rPr>
              <w:t>Information Regarding Forward-Looking Statements</w:t>
            </w:r>
          </w:p>
        </w:tc>
        <w:tc>
          <w:tcPr>
            <w:tcW w:w="2080" w:type="dxa"/>
            <w:vAlign w:val="bottom"/>
          </w:tcPr>
          <w:p>
            <w:pPr>
              <w:jc w:val="center"/>
              <w:ind w:left="240"/>
              <w:spacing w:after="0"/>
              <w:rPr>
                <w:sz w:val="20"/>
                <w:szCs w:val="20"/>
                <w:color w:val="auto"/>
              </w:rPr>
            </w:pPr>
            <w:r>
              <w:rPr>
                <w:rFonts w:ascii="Arial" w:cs="Arial" w:eastAsia="Arial" w:hAnsi="Arial"/>
                <w:sz w:val="16"/>
                <w:szCs w:val="16"/>
                <w:color w:val="auto"/>
                <w:w w:val="89"/>
              </w:rPr>
              <w:t>4</w:t>
            </w:r>
          </w:p>
        </w:tc>
      </w:tr>
      <w:tr>
        <w:trPr>
          <w:trHeight w:val="148"/>
        </w:trPr>
        <w:tc>
          <w:tcPr>
            <w:tcW w:w="9340" w:type="dxa"/>
            <w:vAlign w:val="bottom"/>
            <w:tcBorders>
              <w:bottom w:val="single" w:sz="8" w:color="auto"/>
            </w:tcBorders>
            <w:gridSpan w:val="2"/>
          </w:tcPr>
          <w:p>
            <w:pPr>
              <w:spacing w:after="0"/>
              <w:rPr>
                <w:sz w:val="12"/>
                <w:szCs w:val="12"/>
                <w:color w:val="auto"/>
              </w:rPr>
            </w:pPr>
          </w:p>
        </w:tc>
        <w:tc>
          <w:tcPr>
            <w:tcW w:w="2080" w:type="dxa"/>
            <w:vAlign w:val="bottom"/>
            <w:tcBorders>
              <w:bottom w:val="single" w:sz="8" w:color="auto"/>
            </w:tcBorders>
          </w:tcPr>
          <w:p>
            <w:pPr>
              <w:spacing w:after="0"/>
              <w:rPr>
                <w:sz w:val="12"/>
                <w:szCs w:val="12"/>
                <w:color w:val="auto"/>
              </w:rPr>
            </w:pPr>
          </w:p>
        </w:tc>
      </w:tr>
      <w:tr>
        <w:trPr>
          <w:trHeight w:val="174"/>
        </w:trPr>
        <w:tc>
          <w:tcPr>
            <w:tcW w:w="93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PART I – FINANCIAL INFORMATION</w:t>
            </w:r>
          </w:p>
        </w:tc>
        <w:tc>
          <w:tcPr>
            <w:tcW w:w="2080" w:type="dxa"/>
            <w:vAlign w:val="bottom"/>
          </w:tcPr>
          <w:p>
            <w:pPr>
              <w:spacing w:after="0"/>
              <w:rPr>
                <w:sz w:val="15"/>
                <w:szCs w:val="15"/>
                <w:color w:val="auto"/>
              </w:rPr>
            </w:pPr>
          </w:p>
        </w:tc>
      </w:tr>
      <w:tr>
        <w:trPr>
          <w:trHeight w:val="173"/>
        </w:trPr>
        <w:tc>
          <w:tcPr>
            <w:tcW w:w="1420" w:type="dxa"/>
            <w:vAlign w:val="bottom"/>
          </w:tcPr>
          <w:p>
            <w:pPr>
              <w:spacing w:after="0" w:line="173" w:lineRule="exact"/>
              <w:rPr>
                <w:sz w:val="20"/>
                <w:szCs w:val="20"/>
                <w:color w:val="auto"/>
              </w:rPr>
            </w:pPr>
            <w:r>
              <w:rPr>
                <w:rFonts w:ascii="Arial" w:cs="Arial" w:eastAsia="Arial" w:hAnsi="Arial"/>
                <w:sz w:val="16"/>
                <w:szCs w:val="16"/>
                <w:color w:val="auto"/>
              </w:rPr>
              <w:t>Item 1.</w:t>
            </w:r>
          </w:p>
        </w:tc>
        <w:tc>
          <w:tcPr>
            <w:tcW w:w="7920" w:type="dxa"/>
            <w:vAlign w:val="bottom"/>
          </w:tcPr>
          <w:p>
            <w:pPr>
              <w:ind w:left="640"/>
              <w:spacing w:after="0" w:line="173" w:lineRule="exact"/>
              <w:rPr>
                <w:sz w:val="20"/>
                <w:szCs w:val="20"/>
                <w:color w:val="auto"/>
              </w:rPr>
            </w:pPr>
            <w:r>
              <w:rPr>
                <w:rFonts w:ascii="Arial" w:cs="Arial" w:eastAsia="Arial" w:hAnsi="Arial"/>
                <w:sz w:val="16"/>
                <w:szCs w:val="16"/>
                <w:color w:val="auto"/>
              </w:rPr>
              <w:t>Financial Statements</w:t>
            </w:r>
          </w:p>
        </w:tc>
        <w:tc>
          <w:tcPr>
            <w:tcW w:w="2080" w:type="dxa"/>
            <w:vAlign w:val="bottom"/>
          </w:tcPr>
          <w:p>
            <w:pPr>
              <w:jc w:val="center"/>
              <w:ind w:left="240"/>
              <w:spacing w:after="0" w:line="173" w:lineRule="exact"/>
              <w:rPr>
                <w:sz w:val="20"/>
                <w:szCs w:val="20"/>
                <w:color w:val="auto"/>
              </w:rPr>
            </w:pPr>
            <w:r>
              <w:rPr>
                <w:rFonts w:ascii="Arial" w:cs="Arial" w:eastAsia="Arial" w:hAnsi="Arial"/>
                <w:sz w:val="16"/>
                <w:szCs w:val="16"/>
                <w:color w:val="auto"/>
                <w:w w:val="89"/>
              </w:rPr>
              <w:t>6</w:t>
            </w:r>
          </w:p>
        </w:tc>
      </w:tr>
      <w:tr>
        <w:trPr>
          <w:trHeight w:val="173"/>
        </w:trPr>
        <w:tc>
          <w:tcPr>
            <w:tcW w:w="1420" w:type="dxa"/>
            <w:vAlign w:val="bottom"/>
          </w:tcPr>
          <w:p>
            <w:pPr>
              <w:spacing w:after="0" w:line="173" w:lineRule="exact"/>
              <w:rPr>
                <w:sz w:val="20"/>
                <w:szCs w:val="20"/>
                <w:color w:val="auto"/>
              </w:rPr>
            </w:pPr>
            <w:r>
              <w:rPr>
                <w:rFonts w:ascii="Arial" w:cs="Arial" w:eastAsia="Arial" w:hAnsi="Arial"/>
                <w:sz w:val="16"/>
                <w:szCs w:val="16"/>
                <w:color w:val="auto"/>
              </w:rPr>
              <w:t>Item 2.</w:t>
            </w:r>
          </w:p>
        </w:tc>
        <w:tc>
          <w:tcPr>
            <w:tcW w:w="7920" w:type="dxa"/>
            <w:vAlign w:val="bottom"/>
          </w:tcPr>
          <w:p>
            <w:pPr>
              <w:ind w:left="640"/>
              <w:spacing w:after="0" w:line="173" w:lineRule="exact"/>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2080" w:type="dxa"/>
            <w:vAlign w:val="bottom"/>
          </w:tcPr>
          <w:p>
            <w:pPr>
              <w:jc w:val="center"/>
              <w:ind w:left="220"/>
              <w:spacing w:after="0" w:line="173" w:lineRule="exact"/>
              <w:rPr>
                <w:sz w:val="20"/>
                <w:szCs w:val="20"/>
                <w:color w:val="auto"/>
              </w:rPr>
            </w:pPr>
            <w:r>
              <w:rPr>
                <w:rFonts w:ascii="Arial" w:cs="Arial" w:eastAsia="Arial" w:hAnsi="Arial"/>
                <w:sz w:val="16"/>
                <w:szCs w:val="16"/>
                <w:color w:val="auto"/>
              </w:rPr>
              <w:t>78</w:t>
            </w:r>
          </w:p>
        </w:tc>
      </w:tr>
      <w:tr>
        <w:trPr>
          <w:trHeight w:val="173"/>
        </w:trPr>
        <w:tc>
          <w:tcPr>
            <w:tcW w:w="1420" w:type="dxa"/>
            <w:vAlign w:val="bottom"/>
          </w:tcPr>
          <w:p>
            <w:pPr>
              <w:spacing w:after="0" w:line="173" w:lineRule="exact"/>
              <w:rPr>
                <w:sz w:val="20"/>
                <w:szCs w:val="20"/>
                <w:color w:val="auto"/>
              </w:rPr>
            </w:pPr>
            <w:r>
              <w:rPr>
                <w:rFonts w:ascii="Arial" w:cs="Arial" w:eastAsia="Arial" w:hAnsi="Arial"/>
                <w:sz w:val="16"/>
                <w:szCs w:val="16"/>
                <w:color w:val="auto"/>
              </w:rPr>
              <w:t>Item 3.</w:t>
            </w:r>
          </w:p>
        </w:tc>
        <w:tc>
          <w:tcPr>
            <w:tcW w:w="7920" w:type="dxa"/>
            <w:vAlign w:val="bottom"/>
          </w:tcPr>
          <w:p>
            <w:pPr>
              <w:ind w:left="640"/>
              <w:spacing w:after="0" w:line="173" w:lineRule="exact"/>
              <w:rPr>
                <w:sz w:val="20"/>
                <w:szCs w:val="20"/>
                <w:color w:val="auto"/>
              </w:rPr>
            </w:pPr>
            <w:r>
              <w:rPr>
                <w:rFonts w:ascii="Arial" w:cs="Arial" w:eastAsia="Arial" w:hAnsi="Arial"/>
                <w:sz w:val="16"/>
                <w:szCs w:val="16"/>
                <w:color w:val="auto"/>
              </w:rPr>
              <w:t>Quantitative and Qualitative Disclosures About Market Risk</w:t>
            </w:r>
          </w:p>
        </w:tc>
        <w:tc>
          <w:tcPr>
            <w:tcW w:w="2080" w:type="dxa"/>
            <w:vAlign w:val="bottom"/>
          </w:tcPr>
          <w:p>
            <w:pPr>
              <w:jc w:val="center"/>
              <w:ind w:left="240"/>
              <w:spacing w:after="0" w:line="173" w:lineRule="exact"/>
              <w:rPr>
                <w:sz w:val="20"/>
                <w:szCs w:val="20"/>
                <w:color w:val="auto"/>
              </w:rPr>
            </w:pPr>
            <w:r>
              <w:rPr>
                <w:rFonts w:ascii="Arial" w:cs="Arial" w:eastAsia="Arial" w:hAnsi="Arial"/>
                <w:sz w:val="16"/>
                <w:szCs w:val="16"/>
                <w:color w:val="auto"/>
                <w:w w:val="89"/>
              </w:rPr>
              <w:t>117</w:t>
            </w:r>
          </w:p>
        </w:tc>
      </w:tr>
      <w:tr>
        <w:trPr>
          <w:trHeight w:val="214"/>
        </w:trPr>
        <w:tc>
          <w:tcPr>
            <w:tcW w:w="1420" w:type="dxa"/>
            <w:vAlign w:val="bottom"/>
          </w:tcPr>
          <w:p>
            <w:pPr>
              <w:spacing w:after="0"/>
              <w:rPr>
                <w:sz w:val="20"/>
                <w:szCs w:val="20"/>
                <w:color w:val="auto"/>
              </w:rPr>
            </w:pPr>
            <w:r>
              <w:rPr>
                <w:rFonts w:ascii="Arial" w:cs="Arial" w:eastAsia="Arial" w:hAnsi="Arial"/>
                <w:sz w:val="16"/>
                <w:szCs w:val="16"/>
                <w:color w:val="auto"/>
              </w:rPr>
              <w:t>Item 4.</w:t>
            </w:r>
          </w:p>
        </w:tc>
        <w:tc>
          <w:tcPr>
            <w:tcW w:w="7920" w:type="dxa"/>
            <w:vAlign w:val="bottom"/>
          </w:tcPr>
          <w:p>
            <w:pPr>
              <w:ind w:left="640"/>
              <w:spacing w:after="0"/>
              <w:rPr>
                <w:sz w:val="20"/>
                <w:szCs w:val="20"/>
                <w:color w:val="auto"/>
              </w:rPr>
            </w:pPr>
            <w:r>
              <w:rPr>
                <w:rFonts w:ascii="Arial" w:cs="Arial" w:eastAsia="Arial" w:hAnsi="Arial"/>
                <w:sz w:val="16"/>
                <w:szCs w:val="16"/>
                <w:color w:val="auto"/>
              </w:rPr>
              <w:t>Controls and Procedures</w:t>
            </w:r>
          </w:p>
        </w:tc>
        <w:tc>
          <w:tcPr>
            <w:tcW w:w="2080" w:type="dxa"/>
            <w:vAlign w:val="bottom"/>
          </w:tcPr>
          <w:p>
            <w:pPr>
              <w:jc w:val="center"/>
              <w:ind w:left="240"/>
              <w:spacing w:after="0"/>
              <w:rPr>
                <w:sz w:val="20"/>
                <w:szCs w:val="20"/>
                <w:color w:val="auto"/>
              </w:rPr>
            </w:pPr>
            <w:r>
              <w:rPr>
                <w:rFonts w:ascii="Arial" w:cs="Arial" w:eastAsia="Arial" w:hAnsi="Arial"/>
                <w:sz w:val="16"/>
                <w:szCs w:val="16"/>
                <w:color w:val="auto"/>
                <w:w w:val="89"/>
              </w:rPr>
              <w:t>118</w:t>
            </w:r>
          </w:p>
        </w:tc>
      </w:tr>
      <w:tr>
        <w:trPr>
          <w:trHeight w:val="189"/>
        </w:trPr>
        <w:tc>
          <w:tcPr>
            <w:tcW w:w="9340" w:type="dxa"/>
            <w:vAlign w:val="bottom"/>
            <w:tcBorders>
              <w:bottom w:val="single" w:sz="8" w:color="auto"/>
            </w:tcBorders>
            <w:gridSpan w:val="2"/>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r>
      <w:tr>
        <w:trPr>
          <w:trHeight w:val="174"/>
        </w:trPr>
        <w:tc>
          <w:tcPr>
            <w:tcW w:w="93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PART II – OTHER INFORMATION</w:t>
            </w:r>
          </w:p>
        </w:tc>
        <w:tc>
          <w:tcPr>
            <w:tcW w:w="2080" w:type="dxa"/>
            <w:vAlign w:val="bottom"/>
          </w:tcPr>
          <w:p>
            <w:pPr>
              <w:spacing w:after="0"/>
              <w:rPr>
                <w:sz w:val="15"/>
                <w:szCs w:val="15"/>
                <w:color w:val="auto"/>
              </w:rPr>
            </w:pPr>
          </w:p>
        </w:tc>
      </w:tr>
      <w:tr>
        <w:trPr>
          <w:trHeight w:val="173"/>
        </w:trPr>
        <w:tc>
          <w:tcPr>
            <w:tcW w:w="1420" w:type="dxa"/>
            <w:vAlign w:val="bottom"/>
          </w:tcPr>
          <w:p>
            <w:pPr>
              <w:spacing w:after="0" w:line="173" w:lineRule="exact"/>
              <w:rPr>
                <w:sz w:val="20"/>
                <w:szCs w:val="20"/>
                <w:color w:val="auto"/>
              </w:rPr>
            </w:pPr>
            <w:r>
              <w:rPr>
                <w:rFonts w:ascii="Arial" w:cs="Arial" w:eastAsia="Arial" w:hAnsi="Arial"/>
                <w:sz w:val="16"/>
                <w:szCs w:val="16"/>
                <w:color w:val="auto"/>
              </w:rPr>
              <w:t>Item 1.</w:t>
            </w:r>
          </w:p>
        </w:tc>
        <w:tc>
          <w:tcPr>
            <w:tcW w:w="7920" w:type="dxa"/>
            <w:vAlign w:val="bottom"/>
          </w:tcPr>
          <w:p>
            <w:pPr>
              <w:ind w:left="640"/>
              <w:spacing w:after="0" w:line="173" w:lineRule="exact"/>
              <w:rPr>
                <w:sz w:val="20"/>
                <w:szCs w:val="20"/>
                <w:color w:val="auto"/>
              </w:rPr>
            </w:pPr>
            <w:r>
              <w:rPr>
                <w:rFonts w:ascii="Arial" w:cs="Arial" w:eastAsia="Arial" w:hAnsi="Arial"/>
                <w:sz w:val="16"/>
                <w:szCs w:val="16"/>
                <w:color w:val="auto"/>
              </w:rPr>
              <w:t>Legal Proceedings</w:t>
            </w:r>
          </w:p>
        </w:tc>
        <w:tc>
          <w:tcPr>
            <w:tcW w:w="2080" w:type="dxa"/>
            <w:vAlign w:val="bottom"/>
          </w:tcPr>
          <w:p>
            <w:pPr>
              <w:jc w:val="center"/>
              <w:ind w:left="240"/>
              <w:spacing w:after="0" w:line="173" w:lineRule="exact"/>
              <w:rPr>
                <w:sz w:val="20"/>
                <w:szCs w:val="20"/>
                <w:color w:val="auto"/>
              </w:rPr>
            </w:pPr>
            <w:r>
              <w:rPr>
                <w:rFonts w:ascii="Arial" w:cs="Arial" w:eastAsia="Arial" w:hAnsi="Arial"/>
                <w:sz w:val="16"/>
                <w:szCs w:val="16"/>
                <w:color w:val="auto"/>
                <w:w w:val="89"/>
              </w:rPr>
              <w:t>119</w:t>
            </w:r>
          </w:p>
        </w:tc>
      </w:tr>
      <w:tr>
        <w:trPr>
          <w:trHeight w:val="173"/>
        </w:trPr>
        <w:tc>
          <w:tcPr>
            <w:tcW w:w="1420" w:type="dxa"/>
            <w:vAlign w:val="bottom"/>
          </w:tcPr>
          <w:p>
            <w:pPr>
              <w:spacing w:after="0" w:line="173" w:lineRule="exact"/>
              <w:rPr>
                <w:sz w:val="20"/>
                <w:szCs w:val="20"/>
                <w:color w:val="auto"/>
              </w:rPr>
            </w:pPr>
            <w:r>
              <w:rPr>
                <w:rFonts w:ascii="Arial" w:cs="Arial" w:eastAsia="Arial" w:hAnsi="Arial"/>
                <w:sz w:val="16"/>
                <w:szCs w:val="16"/>
                <w:color w:val="auto"/>
              </w:rPr>
              <w:t>Item 1A.</w:t>
            </w:r>
          </w:p>
        </w:tc>
        <w:tc>
          <w:tcPr>
            <w:tcW w:w="7920" w:type="dxa"/>
            <w:vAlign w:val="bottom"/>
          </w:tcPr>
          <w:p>
            <w:pPr>
              <w:ind w:left="640"/>
              <w:spacing w:after="0" w:line="173" w:lineRule="exact"/>
              <w:rPr>
                <w:sz w:val="20"/>
                <w:szCs w:val="20"/>
                <w:color w:val="auto"/>
              </w:rPr>
            </w:pPr>
            <w:r>
              <w:rPr>
                <w:rFonts w:ascii="Arial" w:cs="Arial" w:eastAsia="Arial" w:hAnsi="Arial"/>
                <w:sz w:val="16"/>
                <w:szCs w:val="16"/>
                <w:color w:val="auto"/>
              </w:rPr>
              <w:t>Risk Factors</w:t>
            </w:r>
          </w:p>
        </w:tc>
        <w:tc>
          <w:tcPr>
            <w:tcW w:w="2080" w:type="dxa"/>
            <w:vAlign w:val="bottom"/>
          </w:tcPr>
          <w:p>
            <w:pPr>
              <w:jc w:val="center"/>
              <w:ind w:left="240"/>
              <w:spacing w:after="0" w:line="173" w:lineRule="exact"/>
              <w:rPr>
                <w:sz w:val="20"/>
                <w:szCs w:val="20"/>
                <w:color w:val="auto"/>
              </w:rPr>
            </w:pPr>
            <w:r>
              <w:rPr>
                <w:rFonts w:ascii="Arial" w:cs="Arial" w:eastAsia="Arial" w:hAnsi="Arial"/>
                <w:sz w:val="16"/>
                <w:szCs w:val="16"/>
                <w:color w:val="auto"/>
                <w:w w:val="89"/>
              </w:rPr>
              <w:t>119</w:t>
            </w:r>
          </w:p>
        </w:tc>
      </w:tr>
      <w:tr>
        <w:trPr>
          <w:trHeight w:val="214"/>
        </w:trPr>
        <w:tc>
          <w:tcPr>
            <w:tcW w:w="1420" w:type="dxa"/>
            <w:vAlign w:val="bottom"/>
          </w:tcPr>
          <w:p>
            <w:pPr>
              <w:spacing w:after="0"/>
              <w:rPr>
                <w:sz w:val="20"/>
                <w:szCs w:val="20"/>
                <w:color w:val="auto"/>
              </w:rPr>
            </w:pPr>
            <w:r>
              <w:rPr>
                <w:rFonts w:ascii="Arial" w:cs="Arial" w:eastAsia="Arial" w:hAnsi="Arial"/>
                <w:sz w:val="16"/>
                <w:szCs w:val="16"/>
                <w:color w:val="auto"/>
              </w:rPr>
              <w:t>Item 6.</w:t>
            </w:r>
          </w:p>
        </w:tc>
        <w:tc>
          <w:tcPr>
            <w:tcW w:w="7920" w:type="dxa"/>
            <w:vAlign w:val="bottom"/>
          </w:tcPr>
          <w:p>
            <w:pPr>
              <w:ind w:left="640"/>
              <w:spacing w:after="0"/>
              <w:rPr>
                <w:sz w:val="20"/>
                <w:szCs w:val="20"/>
                <w:color w:val="auto"/>
              </w:rPr>
            </w:pPr>
            <w:r>
              <w:rPr>
                <w:rFonts w:ascii="Arial" w:cs="Arial" w:eastAsia="Arial" w:hAnsi="Arial"/>
                <w:sz w:val="16"/>
                <w:szCs w:val="16"/>
                <w:color w:val="auto"/>
              </w:rPr>
              <w:t>Exhibits</w:t>
            </w:r>
          </w:p>
        </w:tc>
        <w:tc>
          <w:tcPr>
            <w:tcW w:w="2080" w:type="dxa"/>
            <w:vAlign w:val="bottom"/>
          </w:tcPr>
          <w:p>
            <w:pPr>
              <w:jc w:val="center"/>
              <w:ind w:left="240"/>
              <w:spacing w:after="0"/>
              <w:rPr>
                <w:sz w:val="20"/>
                <w:szCs w:val="20"/>
                <w:color w:val="auto"/>
              </w:rPr>
            </w:pPr>
            <w:r>
              <w:rPr>
                <w:rFonts w:ascii="Arial" w:cs="Arial" w:eastAsia="Arial" w:hAnsi="Arial"/>
                <w:sz w:val="16"/>
                <w:szCs w:val="16"/>
                <w:color w:val="auto"/>
                <w:w w:val="89"/>
              </w:rPr>
              <w:t>119</w:t>
            </w:r>
          </w:p>
        </w:tc>
      </w:tr>
      <w:tr>
        <w:trPr>
          <w:trHeight w:val="385"/>
        </w:trPr>
        <w:tc>
          <w:tcPr>
            <w:tcW w:w="1420" w:type="dxa"/>
            <w:vAlign w:val="bottom"/>
          </w:tcPr>
          <w:p>
            <w:pPr>
              <w:spacing w:after="0"/>
              <w:rPr>
                <w:sz w:val="20"/>
                <w:szCs w:val="20"/>
                <w:color w:val="auto"/>
              </w:rPr>
            </w:pPr>
            <w:r>
              <w:rPr>
                <w:rFonts w:ascii="Arial" w:cs="Arial" w:eastAsia="Arial" w:hAnsi="Arial"/>
                <w:sz w:val="16"/>
                <w:szCs w:val="16"/>
                <w:color w:val="auto"/>
              </w:rPr>
              <w:t>Signatures</w:t>
            </w:r>
          </w:p>
        </w:tc>
        <w:tc>
          <w:tcPr>
            <w:tcW w:w="7920" w:type="dxa"/>
            <w:vAlign w:val="bottom"/>
          </w:tcPr>
          <w:p>
            <w:pPr>
              <w:spacing w:after="0"/>
              <w:rPr>
                <w:sz w:val="24"/>
                <w:szCs w:val="24"/>
                <w:color w:val="auto"/>
              </w:rPr>
            </w:pPr>
          </w:p>
        </w:tc>
        <w:tc>
          <w:tcPr>
            <w:tcW w:w="2080" w:type="dxa"/>
            <w:vAlign w:val="bottom"/>
          </w:tcPr>
          <w:p>
            <w:pPr>
              <w:jc w:val="center"/>
              <w:ind w:left="240"/>
              <w:spacing w:after="0"/>
              <w:rPr>
                <w:sz w:val="20"/>
                <w:szCs w:val="20"/>
                <w:color w:val="auto"/>
              </w:rPr>
            </w:pPr>
            <w:r>
              <w:rPr>
                <w:rFonts w:ascii="Arial" w:cs="Arial" w:eastAsia="Arial" w:hAnsi="Arial"/>
                <w:sz w:val="16"/>
                <w:szCs w:val="16"/>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48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153670</wp:posOffset>
            </wp:positionV>
            <wp:extent cx="7248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left="480" w:right="40"/>
        <w:spacing w:after="0" w:line="256" w:lineRule="auto"/>
        <w:rPr>
          <w:sz w:val="20"/>
          <w:szCs w:val="20"/>
          <w:color w:val="auto"/>
        </w:rPr>
      </w:pPr>
      <w:r>
        <w:rPr>
          <w:rFonts w:ascii="Times New Roman" w:cs="Times New Roman" w:eastAsia="Times New Roman" w:hAnsi="Times New Roman"/>
          <w:sz w:val="14"/>
          <w:szCs w:val="14"/>
          <w:b w:val="1"/>
          <w:bCs w:val="1"/>
          <w:color w:val="auto"/>
        </w:rPr>
        <w:t>This combined Form 10-Q is separately filed by Sempra Energy, San Diego Gas &amp; Electric Company and Southern California Gas Company. Information contained herein relating to any individual company is filed by such company on its own behalf. Each company makes representations only as to itself and makes no other representation whatsoever as to any other company.</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You should read this report in its entirety as it pertains to each respective reporting company. No one section of the report deals with all aspects of the subject matter. Separate Part I</w:t>
      </w:r>
    </w:p>
    <w:p>
      <w:pPr>
        <w:spacing w:after="0" w:line="16" w:lineRule="exact"/>
        <w:rPr>
          <w:sz w:val="20"/>
          <w:szCs w:val="20"/>
          <w:color w:val="auto"/>
        </w:rPr>
      </w:pPr>
    </w:p>
    <w:p>
      <w:pPr>
        <w:ind w:left="480" w:right="180"/>
        <w:spacing w:after="0" w:line="248" w:lineRule="auto"/>
        <w:rPr>
          <w:sz w:val="20"/>
          <w:szCs w:val="20"/>
          <w:color w:val="auto"/>
        </w:rPr>
      </w:pPr>
      <w:r>
        <w:rPr>
          <w:rFonts w:ascii="Times New Roman" w:cs="Times New Roman" w:eastAsia="Times New Roman" w:hAnsi="Times New Roman"/>
          <w:sz w:val="14"/>
          <w:szCs w:val="14"/>
          <w:b w:val="1"/>
          <w:bCs w:val="1"/>
          <w:color w:val="auto"/>
        </w:rPr>
        <w:t>– Item 1 sections are provided for each reporting company, except for the Notes to Condensed Consolidated Financial Statements. The Notes to Condensed Consolidated Financial Statements for all of the reporting companies are combined. All Items other than Part I – Item 1 are combined for the reporting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737870</wp:posOffset>
            </wp:positionV>
            <wp:extent cx="72656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INFORMATION REGARDING FORWARD-LOOKING STATEMENTS</w:t>
      </w:r>
    </w:p>
    <w:p>
      <w:pPr>
        <w:spacing w:after="0" w:line="21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 not guarantees of performance. These forward-looking statements represent our estimates and assumptions only as of the filing date of this report. We assume no obligation to update or revise any forward-looking statement as a result of new information, future events or other factors.</w:t>
      </w:r>
    </w:p>
    <w:p>
      <w:pPr>
        <w:spacing w:after="0" w:line="180"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17"/>
          <w:szCs w:val="17"/>
          <w:color w:val="auto"/>
        </w:rPr>
        <w:t>In this report, when we use words such as “believes,” “expects,” “anticipates,” “plans,” “estimates,” “projects,” “forecasts,” “contemplates,” “intends,” “depends,” “should,” “could,” “would,” “will,” “may,” “potential,” “target,” “pursue,” “goals,” “outlook,” “maintain,” or similar expressions, or when we discuss our guidance, strategy, plans, goals, opportunities, projections, initiatives, objectives or intentions, we are making forward-looking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among others, that could cause our actual results and future actions to differ materially from those described in forward-looking statements include</w:t>
      </w:r>
    </w:p>
    <w:p>
      <w:pPr>
        <w:spacing w:after="0" w:line="218" w:lineRule="exact"/>
        <w:rPr>
          <w:sz w:val="20"/>
          <w:szCs w:val="20"/>
          <w:color w:val="auto"/>
        </w:rPr>
      </w:pPr>
    </w:p>
    <w:p>
      <w:pPr>
        <w:ind w:left="320" w:hanging="17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regional, national and international economic, competitive, political, legislative and regulatory conditions and developments;</w:t>
      </w:r>
    </w:p>
    <w:p>
      <w:pPr>
        <w:spacing w:after="0" w:line="244" w:lineRule="exact"/>
        <w:rPr>
          <w:rFonts w:ascii="Times New Roman" w:cs="Times New Roman" w:eastAsia="Times New Roman" w:hAnsi="Times New Roman"/>
          <w:sz w:val="18"/>
          <w:szCs w:val="18"/>
          <w:color w:val="auto"/>
        </w:rPr>
      </w:pPr>
    </w:p>
    <w:p>
      <w:pPr>
        <w:jc w:val="both"/>
        <w:ind w:left="320" w:hanging="172"/>
        <w:spacing w:after="0" w:line="256"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the timing of actions, including issuances of permits to construct and licenses for operation, by the California Public Utilities Commission, California State Legislature, U.S. Department of Energy, Federal Energy Regulatory Commission, Nuclear Regulatory Commission, Atomic Safety and Licensing Board, California Energy Commission, U.S. Environmental Protection Agency, California Air Resources Board, and other regulatory, governmental and environmental bodies in the United States and other countries in which we operate;</w:t>
      </w:r>
    </w:p>
    <w:p>
      <w:pPr>
        <w:spacing w:after="0" w:line="206"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markets conditions, including the availability of credit and the liquidity of our investments;</w:t>
      </w:r>
    </w:p>
    <w:p>
      <w:pPr>
        <w:spacing w:after="0" w:line="244"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business development efforts and construction, maintenance and capital projects, including risks in obtaining permits, licenses, certificates and other authorizations on a timely basis and risks in obtaining adequate and competitive financing for such projects;</w:t>
      </w:r>
    </w:p>
    <w:p>
      <w:pPr>
        <w:spacing w:after="0" w:line="190"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timing of costs incurred and the timing of the regulatory agency authorization to recover such costs in rates from customers;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interest and exchange rates;</w:t>
      </w:r>
    </w:p>
    <w:p>
      <w:pPr>
        <w:sectPr>
          <w:pgSz w:w="11900" w:h="16838" w:orient="portrait"/>
          <w:cols w:equalWidth="0" w:num="1">
            <w:col w:w="11420"/>
          </w:cols>
          <w:pgMar w:left="240" w:top="148" w:right="239" w:bottom="0" w:gutter="0" w:footer="0" w:header="0"/>
        </w:sectPr>
      </w:pPr>
    </w:p>
    <w:bookmarkStart w:id="2" w:name="page3"/>
    <w:bookmarkEnd w:id="2"/>
    <w:p>
      <w:pPr>
        <w:ind w:left="320" w:hanging="17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benchmark interest rates, generally Moody’s A-rated utility bond yields, on our California Utilities’ cost of capital;</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markets, including the timing and extent of changes and volatility in commodity prices;</w:t>
      </w:r>
    </w:p>
    <w:p>
      <w:pPr>
        <w:spacing w:after="0" w:line="244"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electric power, natural gas and liquefied natural gas, including disruptions caused by failures in the North American transmission grid, pipeline explosions and equipment failures and the decommissioning of San Onofre Nuclear Generating Station (SONGS);</w:t>
      </w:r>
    </w:p>
    <w:p>
      <w:pPr>
        <w:spacing w:after="0" w:line="190"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natural disasters, catastrophic accidents, and conservation efforts;</w:t>
      </w:r>
    </w:p>
    <w:p>
      <w:pPr>
        <w:spacing w:after="0" w:line="244"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with nuclear power facilities and radioactive materials storage, including the catastrophic release of such materials, the disallowance of the recovery of the investment in, or operating costs of, the nuclear facility due to an extended outage and facility closure, and increased regulatory oversight;</w:t>
      </w:r>
    </w:p>
    <w:p>
      <w:pPr>
        <w:spacing w:after="0" w:line="190"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partners or counterparties will be unable or unwilling to fulfill their contractual commitments;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posed by decisions and actions of third parties who control the operations of investments in which we do not have a controlling interest;</w:t>
      </w:r>
    </w:p>
    <w:p>
      <w:pPr>
        <w:spacing w:after="0" w:line="244"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wars, terrorist attacks that threaten system operations and critical infrastructure, and cybersecurity threats to the energy grid and the confidentiality of our proprietary information and the personal information of our customers;</w:t>
      </w:r>
    </w:p>
    <w:p>
      <w:pPr>
        <w:spacing w:after="0" w:line="190"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regulatory, environmental and legal decisions and requirements;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expropriation of assets by foreign governments and title and other property disputes;</w:t>
      </w:r>
    </w:p>
    <w:p>
      <w:pPr>
        <w:spacing w:after="0" w:line="244" w:lineRule="exact"/>
        <w:rPr>
          <w:rFonts w:ascii="Times New Roman" w:cs="Times New Roman" w:eastAsia="Times New Roman" w:hAnsi="Times New Roman"/>
          <w:sz w:val="18"/>
          <w:szCs w:val="18"/>
          <w:color w:val="auto"/>
        </w:rPr>
      </w:pPr>
    </w:p>
    <w:p>
      <w:pPr>
        <w:ind w:left="320" w:right="20" w:hanging="172"/>
        <w:spacing w:after="0" w:line="275"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reliability of San Diego Gas &amp; Electric Company’s (SDG&amp;E) electric transmission and distribution system due to increased amount and variability of power supply from renewable energy sources;</w:t>
      </w:r>
    </w:p>
    <w:p>
      <w:pPr>
        <w:spacing w:after="0" w:line="190"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competitive customer rates of the growth in distributed and local power generation and the corresponding decrease in demand for power delivered through SDG&amp;E’s electric transmission and distribution system;</w:t>
      </w:r>
    </w:p>
    <w:p>
      <w:pPr>
        <w:spacing w:after="0" w:line="190"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determination not to enter into long-term supply and sales agreements or long-term firm capacity agreements due to insufficient market interest, unattractive pricing or other factors;</w:t>
      </w:r>
    </w:p>
    <w:p>
      <w:pPr>
        <w:spacing w:after="0" w:line="190"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litigation; and</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uncertainties, all of which are difficult to predict and many of which are beyond our control.</w:t>
      </w:r>
    </w:p>
    <w:p>
      <w:pPr>
        <w:spacing w:after="0" w:line="245" w:lineRule="exact"/>
        <w:rPr>
          <w:sz w:val="20"/>
          <w:szCs w:val="20"/>
          <w:color w:val="auto"/>
        </w:rPr>
      </w:pPr>
    </w:p>
    <w:p>
      <w:pPr>
        <w:ind w:right="260"/>
        <w:spacing w:after="0" w:line="305" w:lineRule="auto"/>
        <w:rPr>
          <w:sz w:val="20"/>
          <w:szCs w:val="20"/>
          <w:color w:val="auto"/>
        </w:rPr>
      </w:pPr>
      <w:r>
        <w:rPr>
          <w:rFonts w:ascii="Times New Roman" w:cs="Times New Roman" w:eastAsia="Times New Roman" w:hAnsi="Times New Roman"/>
          <w:sz w:val="17"/>
          <w:szCs w:val="17"/>
          <w:color w:val="auto"/>
        </w:rPr>
        <w:t>We caution you not to rely unduly on any forward-looking statements. You should review and consider carefully the risks, uncertainties and other factors that affect our business as described in this report and in our most recent Annual Report on Form 10-K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3"/>
          <w:szCs w:val="23"/>
          <w:color w:val="auto"/>
        </w:rPr>
        <w:t>PART I – FINANCIAL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23"/>
          <w:szCs w:val="23"/>
          <w:color w:val="auto"/>
        </w:rPr>
        <w:t>ITEM 1.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OPERATIONS</w:t>
      </w:r>
    </w:p>
    <w:tbl>
      <w:tblPr>
        <w:tblLayout w:type="fixed"/>
        <w:tblInd w:w="0" w:type="dxa"/>
        <w:tblCellMar>
          <w:top w:w="0" w:type="dxa"/>
          <w:left w:w="0" w:type="dxa"/>
          <w:bottom w:w="0" w:type="dxa"/>
          <w:right w:w="0" w:type="dxa"/>
        </w:tblCellMar>
      </w:tblPr>
      <w:tr>
        <w:trPr>
          <w:trHeight w:val="160"/>
        </w:trPr>
        <w:tc>
          <w:tcPr>
            <w:tcW w:w="6040" w:type="dxa"/>
            <w:vAlign w:val="bottom"/>
          </w:tcPr>
          <w:p>
            <w:pPr>
              <w:spacing w:after="0" w:line="160" w:lineRule="exact"/>
              <w:rPr>
                <w:sz w:val="20"/>
                <w:szCs w:val="20"/>
                <w:color w:val="auto"/>
              </w:rPr>
            </w:pPr>
            <w:r>
              <w:rPr>
                <w:rFonts w:ascii="Arial" w:cs="Arial" w:eastAsia="Arial" w:hAnsi="Arial"/>
                <w:sz w:val="14"/>
                <w:szCs w:val="14"/>
                <w:i w:val="1"/>
                <w:iCs w:val="1"/>
                <w:color w:val="auto"/>
              </w:rPr>
              <w:t>(Dollars in millions, except per share amounts)</w:t>
            </w:r>
          </w:p>
        </w:tc>
        <w:tc>
          <w:tcPr>
            <w:tcW w:w="860" w:type="dxa"/>
            <w:vAlign w:val="bottom"/>
            <w:shd w:val="clear" w:color="auto" w:fill="C0C0C0"/>
          </w:tcPr>
          <w:p>
            <w:pPr>
              <w:spacing w:after="0"/>
              <w:rPr>
                <w:sz w:val="13"/>
                <w:szCs w:val="13"/>
                <w:color w:val="auto"/>
              </w:rPr>
            </w:pPr>
          </w:p>
        </w:tc>
        <w:tc>
          <w:tcPr>
            <w:tcW w:w="540" w:type="dxa"/>
            <w:vAlign w:val="bottom"/>
            <w:shd w:val="clear" w:color="auto" w:fill="C0C0C0"/>
          </w:tcPr>
          <w:p>
            <w:pPr>
              <w:spacing w:after="0"/>
              <w:rPr>
                <w:sz w:val="13"/>
                <w:szCs w:val="13"/>
                <w:color w:val="auto"/>
              </w:rPr>
            </w:pPr>
          </w:p>
        </w:tc>
        <w:tc>
          <w:tcPr>
            <w:tcW w:w="280" w:type="dxa"/>
            <w:vAlign w:val="bottom"/>
            <w:shd w:val="clear" w:color="auto" w:fill="C0C0C0"/>
          </w:tcPr>
          <w:p>
            <w:pPr>
              <w:spacing w:after="0"/>
              <w:rPr>
                <w:sz w:val="13"/>
                <w:szCs w:val="13"/>
                <w:color w:val="auto"/>
              </w:rPr>
            </w:pPr>
          </w:p>
        </w:tc>
        <w:tc>
          <w:tcPr>
            <w:tcW w:w="1000" w:type="dxa"/>
            <w:vAlign w:val="bottom"/>
            <w:shd w:val="clear" w:color="auto" w:fill="C0C0C0"/>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shd w:val="clear" w:color="auto" w:fill="C1C1C1"/>
          </w:tcPr>
          <w:p>
            <w:pPr>
              <w:spacing w:after="0"/>
              <w:rPr>
                <w:sz w:val="13"/>
                <w:szCs w:val="13"/>
                <w:color w:val="auto"/>
              </w:rPr>
            </w:pPr>
          </w:p>
        </w:tc>
        <w:tc>
          <w:tcPr>
            <w:tcW w:w="300" w:type="dxa"/>
            <w:vAlign w:val="bottom"/>
            <w:shd w:val="clear" w:color="auto" w:fill="C1C1C1"/>
          </w:tcPr>
          <w:p>
            <w:pPr>
              <w:spacing w:after="0"/>
              <w:rPr>
                <w:sz w:val="13"/>
                <w:szCs w:val="13"/>
                <w:color w:val="auto"/>
              </w:rPr>
            </w:pPr>
          </w:p>
        </w:tc>
        <w:tc>
          <w:tcPr>
            <w:tcW w:w="1000" w:type="dxa"/>
            <w:vAlign w:val="bottom"/>
            <w:shd w:val="clear" w:color="auto" w:fill="C1C1C1"/>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4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341"/>
              <w:spacing w:after="0" w:line="159" w:lineRule="exact"/>
              <w:rPr>
                <w:sz w:val="20"/>
                <w:szCs w:val="20"/>
                <w:color w:val="auto"/>
              </w:rPr>
            </w:pPr>
            <w:r>
              <w:rPr>
                <w:rFonts w:ascii="Arial" w:cs="Arial" w:eastAsia="Arial" w:hAnsi="Arial"/>
                <w:sz w:val="14"/>
                <w:szCs w:val="14"/>
                <w:color w:val="auto"/>
              </w:rPr>
              <w:t>Three months ended June 30,</w:t>
            </w: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3"/>
          </w:tcPr>
          <w:p>
            <w:pPr>
              <w:jc w:val="right"/>
              <w:ind w:right="421"/>
              <w:spacing w:after="0" w:line="159" w:lineRule="exact"/>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66"/>
        </w:trPr>
        <w:tc>
          <w:tcPr>
            <w:tcW w:w="60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2013</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2014</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83"/>
        </w:trPr>
        <w:tc>
          <w:tcPr>
            <w:tcW w:w="6040" w:type="dxa"/>
            <w:vAlign w:val="bottom"/>
            <w:vMerge w:val="restart"/>
          </w:tcPr>
          <w:p>
            <w:pPr>
              <w:spacing w:after="0"/>
              <w:rPr>
                <w:sz w:val="20"/>
                <w:szCs w:val="20"/>
                <w:color w:val="auto"/>
              </w:rPr>
            </w:pPr>
            <w:r>
              <w:rPr>
                <w:rFonts w:ascii="Arial" w:cs="Arial" w:eastAsia="Arial" w:hAnsi="Arial"/>
                <w:sz w:val="16"/>
                <w:szCs w:val="16"/>
                <w:color w:val="auto"/>
              </w:rPr>
              <w:t>REVENUES</w:t>
            </w: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(unaudited)</w:t>
            </w: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604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40" w:type="dxa"/>
            <w:vAlign w:val="bottom"/>
          </w:tcPr>
          <w:p>
            <w:pPr>
              <w:spacing w:after="0" w:line="173" w:lineRule="exact"/>
              <w:rPr>
                <w:sz w:val="20"/>
                <w:szCs w:val="20"/>
                <w:color w:val="auto"/>
              </w:rPr>
            </w:pPr>
            <w:r>
              <w:rPr>
                <w:rFonts w:ascii="Arial" w:cs="Arial" w:eastAsia="Arial" w:hAnsi="Arial"/>
                <w:sz w:val="16"/>
                <w:szCs w:val="16"/>
                <w:color w:val="auto"/>
              </w:rPr>
              <w:t>Utilities</w:t>
            </w:r>
          </w:p>
        </w:tc>
        <w:tc>
          <w:tcPr>
            <w:tcW w:w="860" w:type="dxa"/>
            <w:vAlign w:val="bottom"/>
          </w:tcPr>
          <w:p>
            <w:pPr>
              <w:jc w:val="right"/>
              <w:ind w:right="586"/>
              <w:spacing w:after="0" w:line="173" w:lineRule="exact"/>
              <w:rPr>
                <w:sz w:val="20"/>
                <w:szCs w:val="20"/>
                <w:color w:val="auto"/>
              </w:rPr>
            </w:pPr>
            <w:r>
              <w:rPr>
                <w:rFonts w:ascii="Arial" w:cs="Arial" w:eastAsia="Arial" w:hAnsi="Arial"/>
                <w:sz w:val="16"/>
                <w:szCs w:val="16"/>
                <w:color w:val="auto"/>
              </w:rPr>
              <w:t>$</w:t>
            </w:r>
          </w:p>
        </w:tc>
        <w:tc>
          <w:tcPr>
            <w:tcW w:w="540" w:type="dxa"/>
            <w:vAlign w:val="bottom"/>
          </w:tcPr>
          <w:p>
            <w:pPr>
              <w:jc w:val="right"/>
              <w:ind w:right="21"/>
              <w:spacing w:after="0" w:line="173" w:lineRule="exact"/>
              <w:rPr>
                <w:sz w:val="20"/>
                <w:szCs w:val="20"/>
                <w:color w:val="auto"/>
              </w:rPr>
            </w:pPr>
            <w:r>
              <w:rPr>
                <w:rFonts w:ascii="Arial" w:cs="Arial" w:eastAsia="Arial" w:hAnsi="Arial"/>
                <w:sz w:val="16"/>
                <w:szCs w:val="16"/>
                <w:color w:val="auto"/>
              </w:rPr>
              <w:t>2,370</w:t>
            </w:r>
          </w:p>
        </w:tc>
        <w:tc>
          <w:tcPr>
            <w:tcW w:w="280" w:type="dxa"/>
            <w:vAlign w:val="bottom"/>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2,332</w:t>
            </w:r>
          </w:p>
        </w:tc>
        <w:tc>
          <w:tcPr>
            <w:tcW w:w="60" w:type="dxa"/>
            <w:vAlign w:val="bottom"/>
          </w:tcPr>
          <w:p>
            <w:pPr>
              <w:spacing w:after="0"/>
              <w:rPr>
                <w:sz w:val="15"/>
                <w:szCs w:val="15"/>
                <w:color w:val="auto"/>
              </w:rPr>
            </w:pPr>
          </w:p>
        </w:tc>
        <w:tc>
          <w:tcPr>
            <w:tcW w:w="300" w:type="dxa"/>
            <w:vAlign w:val="bottom"/>
          </w:tcPr>
          <w:p>
            <w:pPr>
              <w:jc w:val="right"/>
              <w:ind w:right="80"/>
              <w:spacing w:after="0" w:line="173"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line="173" w:lineRule="exact"/>
              <w:rPr>
                <w:sz w:val="20"/>
                <w:szCs w:val="20"/>
                <w:color w:val="auto"/>
              </w:rPr>
            </w:pPr>
            <w:r>
              <w:rPr>
                <w:rFonts w:ascii="Arial" w:cs="Arial" w:eastAsia="Arial" w:hAnsi="Arial"/>
                <w:sz w:val="16"/>
                <w:szCs w:val="16"/>
                <w:color w:val="auto"/>
              </w:rPr>
              <w:t>4,855</w:t>
            </w:r>
          </w:p>
        </w:tc>
        <w:tc>
          <w:tcPr>
            <w:tcW w:w="300" w:type="dxa"/>
            <w:vAlign w:val="bottom"/>
          </w:tcPr>
          <w:p>
            <w:pPr>
              <w:jc w:val="right"/>
              <w:ind w:right="80"/>
              <w:spacing w:after="0" w:line="17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4,666</w:t>
            </w:r>
          </w:p>
        </w:tc>
        <w:tc>
          <w:tcPr>
            <w:tcW w:w="0" w:type="dxa"/>
            <w:vAlign w:val="bottom"/>
          </w:tcPr>
          <w:p>
            <w:pPr>
              <w:spacing w:after="0"/>
              <w:rPr>
                <w:sz w:val="1"/>
                <w:szCs w:val="1"/>
                <w:color w:val="auto"/>
              </w:rPr>
            </w:pPr>
          </w:p>
        </w:tc>
      </w:tr>
      <w:tr>
        <w:trPr>
          <w:trHeight w:val="204"/>
        </w:trPr>
        <w:tc>
          <w:tcPr>
            <w:tcW w:w="604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308</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618</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135"/>
        </w:trPr>
        <w:tc>
          <w:tcPr>
            <w:tcW w:w="6040" w:type="dxa"/>
            <w:vAlign w:val="bottom"/>
          </w:tcPr>
          <w:p>
            <w:pPr>
              <w:ind w:left="180"/>
              <w:spacing w:after="0" w:line="135" w:lineRule="exact"/>
              <w:rPr>
                <w:sz w:val="20"/>
                <w:szCs w:val="20"/>
                <w:color w:val="auto"/>
              </w:rPr>
            </w:pPr>
            <w:r>
              <w:rPr>
                <w:rFonts w:ascii="Arial" w:cs="Arial" w:eastAsia="Arial" w:hAnsi="Arial"/>
                <w:sz w:val="15"/>
                <w:szCs w:val="15"/>
                <w:color w:val="auto"/>
              </w:rPr>
              <w:t>Total revenues</w:t>
            </w:r>
          </w:p>
        </w:tc>
        <w:tc>
          <w:tcPr>
            <w:tcW w:w="860" w:type="dxa"/>
            <w:vAlign w:val="bottom"/>
          </w:tcPr>
          <w:p>
            <w:pPr>
              <w:spacing w:after="0"/>
              <w:rPr>
                <w:sz w:val="11"/>
                <w:szCs w:val="11"/>
                <w:color w:val="auto"/>
              </w:rPr>
            </w:pPr>
          </w:p>
        </w:tc>
        <w:tc>
          <w:tcPr>
            <w:tcW w:w="540" w:type="dxa"/>
            <w:vAlign w:val="bottom"/>
          </w:tcPr>
          <w:p>
            <w:pPr>
              <w:jc w:val="right"/>
              <w:ind w:right="21"/>
              <w:spacing w:after="0" w:line="135" w:lineRule="exact"/>
              <w:rPr>
                <w:sz w:val="20"/>
                <w:szCs w:val="20"/>
                <w:color w:val="auto"/>
              </w:rPr>
            </w:pPr>
            <w:r>
              <w:rPr>
                <w:rFonts w:ascii="Arial" w:cs="Arial" w:eastAsia="Arial" w:hAnsi="Arial"/>
                <w:sz w:val="15"/>
                <w:szCs w:val="15"/>
                <w:color w:val="auto"/>
              </w:rPr>
              <w:t>2,678</w:t>
            </w:r>
          </w:p>
        </w:tc>
        <w:tc>
          <w:tcPr>
            <w:tcW w:w="2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5"/>
                <w:szCs w:val="15"/>
                <w:color w:val="auto"/>
              </w:rPr>
              <w:t>2,651</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right"/>
              <w:ind w:right="21"/>
              <w:spacing w:after="0" w:line="135" w:lineRule="exact"/>
              <w:rPr>
                <w:sz w:val="20"/>
                <w:szCs w:val="20"/>
                <w:color w:val="auto"/>
              </w:rPr>
            </w:pPr>
            <w:r>
              <w:rPr>
                <w:rFonts w:ascii="Arial" w:cs="Arial" w:eastAsia="Arial" w:hAnsi="Arial"/>
                <w:sz w:val="15"/>
                <w:szCs w:val="15"/>
                <w:color w:val="auto"/>
              </w:rPr>
              <w:t>5,473</w:t>
            </w:r>
          </w:p>
        </w:tc>
        <w:tc>
          <w:tcPr>
            <w:tcW w:w="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5"/>
                <w:szCs w:val="15"/>
                <w:color w:val="auto"/>
              </w:rPr>
              <w:t>5,301</w:t>
            </w:r>
          </w:p>
        </w:tc>
        <w:tc>
          <w:tcPr>
            <w:tcW w:w="0" w:type="dxa"/>
            <w:vAlign w:val="bottom"/>
          </w:tcPr>
          <w:p>
            <w:pPr>
              <w:spacing w:after="0"/>
              <w:rPr>
                <w:sz w:val="1"/>
                <w:szCs w:val="1"/>
                <w:color w:val="auto"/>
              </w:rPr>
            </w:pPr>
          </w:p>
        </w:tc>
      </w:tr>
      <w:tr>
        <w:trPr>
          <w:trHeight w:val="173"/>
        </w:trPr>
        <w:tc>
          <w:tcPr>
            <w:tcW w:w="6040" w:type="dxa"/>
            <w:vAlign w:val="bottom"/>
          </w:tcPr>
          <w:p>
            <w:pPr>
              <w:spacing w:after="0" w:line="173" w:lineRule="exact"/>
              <w:rPr>
                <w:sz w:val="20"/>
                <w:szCs w:val="20"/>
                <w:color w:val="auto"/>
              </w:rPr>
            </w:pPr>
            <w:r>
              <w:rPr>
                <w:rFonts w:ascii="Arial" w:cs="Arial" w:eastAsia="Arial" w:hAnsi="Arial"/>
                <w:sz w:val="16"/>
                <w:szCs w:val="16"/>
                <w:color w:val="auto"/>
              </w:rPr>
              <w:t>EXPENSES AND OTHER INCOME</w:t>
            </w: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40" w:type="dxa"/>
            <w:vAlign w:val="bottom"/>
          </w:tcPr>
          <w:p>
            <w:pPr>
              <w:spacing w:after="0" w:line="173" w:lineRule="exact"/>
              <w:rPr>
                <w:sz w:val="20"/>
                <w:szCs w:val="20"/>
                <w:color w:val="auto"/>
              </w:rPr>
            </w:pPr>
            <w:r>
              <w:rPr>
                <w:rFonts w:ascii="Arial" w:cs="Arial" w:eastAsia="Arial" w:hAnsi="Arial"/>
                <w:sz w:val="16"/>
                <w:szCs w:val="16"/>
                <w:color w:val="auto"/>
              </w:rPr>
              <w:t>Utilities:</w:t>
            </w: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40" w:type="dxa"/>
            <w:vAlign w:val="bottom"/>
          </w:tcPr>
          <w:p>
            <w:pPr>
              <w:ind w:left="180"/>
              <w:spacing w:after="0" w:line="173" w:lineRule="exact"/>
              <w:rPr>
                <w:sz w:val="20"/>
                <w:szCs w:val="20"/>
                <w:color w:val="auto"/>
              </w:rPr>
            </w:pPr>
            <w:r>
              <w:rPr>
                <w:rFonts w:ascii="Arial" w:cs="Arial" w:eastAsia="Arial" w:hAnsi="Arial"/>
                <w:sz w:val="16"/>
                <w:szCs w:val="16"/>
                <w:color w:val="auto"/>
              </w:rPr>
              <w:t>Cost of natural gas</w:t>
            </w:r>
          </w:p>
        </w:tc>
        <w:tc>
          <w:tcPr>
            <w:tcW w:w="860" w:type="dxa"/>
            <w:vAlign w:val="bottom"/>
          </w:tcPr>
          <w:p>
            <w:pPr>
              <w:spacing w:after="0"/>
              <w:rPr>
                <w:sz w:val="15"/>
                <w:szCs w:val="15"/>
                <w:color w:val="auto"/>
              </w:rPr>
            </w:pPr>
          </w:p>
        </w:tc>
        <w:tc>
          <w:tcPr>
            <w:tcW w:w="540" w:type="dxa"/>
            <w:vAlign w:val="bottom"/>
          </w:tcPr>
          <w:p>
            <w:pPr>
              <w:jc w:val="right"/>
              <w:spacing w:after="0" w:line="173" w:lineRule="exact"/>
              <w:rPr>
                <w:sz w:val="20"/>
                <w:szCs w:val="20"/>
                <w:color w:val="auto"/>
              </w:rPr>
            </w:pPr>
            <w:r>
              <w:rPr>
                <w:rFonts w:ascii="Arial" w:cs="Arial" w:eastAsia="Arial" w:hAnsi="Arial"/>
                <w:sz w:val="16"/>
                <w:szCs w:val="16"/>
                <w:color w:val="auto"/>
              </w:rPr>
              <w:t>(395)</w:t>
            </w:r>
          </w:p>
        </w:tc>
        <w:tc>
          <w:tcPr>
            <w:tcW w:w="280" w:type="dxa"/>
            <w:vAlign w:val="bottom"/>
          </w:tcPr>
          <w:p>
            <w:pPr>
              <w:spacing w:after="0"/>
              <w:rPr>
                <w:sz w:val="15"/>
                <w:szCs w:val="15"/>
                <w:color w:val="auto"/>
              </w:rPr>
            </w:pPr>
          </w:p>
        </w:tc>
        <w:tc>
          <w:tcPr>
            <w:tcW w:w="106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(365)</w:t>
            </w:r>
          </w:p>
        </w:tc>
        <w:tc>
          <w:tcPr>
            <w:tcW w:w="3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(1,015)</w:t>
            </w:r>
          </w:p>
        </w:tc>
        <w:tc>
          <w:tcPr>
            <w:tcW w:w="30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173"/>
        </w:trPr>
        <w:tc>
          <w:tcPr>
            <w:tcW w:w="6040" w:type="dxa"/>
            <w:vAlign w:val="bottom"/>
          </w:tcPr>
          <w:p>
            <w:pPr>
              <w:ind w:left="180"/>
              <w:spacing w:after="0" w:line="173" w:lineRule="exact"/>
              <w:rPr>
                <w:sz w:val="20"/>
                <w:szCs w:val="20"/>
                <w:color w:val="auto"/>
              </w:rPr>
            </w:pPr>
            <w:r>
              <w:rPr>
                <w:rFonts w:ascii="Arial" w:cs="Arial" w:eastAsia="Arial" w:hAnsi="Arial"/>
                <w:sz w:val="16"/>
                <w:szCs w:val="16"/>
                <w:color w:val="auto"/>
              </w:rPr>
              <w:t>Cost of electric fuel and purchased power</w:t>
            </w:r>
          </w:p>
        </w:tc>
        <w:tc>
          <w:tcPr>
            <w:tcW w:w="860" w:type="dxa"/>
            <w:vAlign w:val="bottom"/>
          </w:tcPr>
          <w:p>
            <w:pPr>
              <w:spacing w:after="0"/>
              <w:rPr>
                <w:sz w:val="15"/>
                <w:szCs w:val="15"/>
                <w:color w:val="auto"/>
              </w:rPr>
            </w:pPr>
          </w:p>
        </w:tc>
        <w:tc>
          <w:tcPr>
            <w:tcW w:w="540" w:type="dxa"/>
            <w:vAlign w:val="bottom"/>
          </w:tcPr>
          <w:p>
            <w:pPr>
              <w:jc w:val="right"/>
              <w:spacing w:after="0" w:line="173" w:lineRule="exact"/>
              <w:rPr>
                <w:sz w:val="20"/>
                <w:szCs w:val="20"/>
                <w:color w:val="auto"/>
              </w:rPr>
            </w:pPr>
            <w:r>
              <w:rPr>
                <w:rFonts w:ascii="Arial" w:cs="Arial" w:eastAsia="Arial" w:hAnsi="Arial"/>
                <w:sz w:val="16"/>
                <w:szCs w:val="16"/>
                <w:color w:val="auto"/>
              </w:rPr>
              <w:t>(571)</w:t>
            </w:r>
          </w:p>
        </w:tc>
        <w:tc>
          <w:tcPr>
            <w:tcW w:w="280" w:type="dxa"/>
            <w:vAlign w:val="bottom"/>
          </w:tcPr>
          <w:p>
            <w:pPr>
              <w:spacing w:after="0"/>
              <w:rPr>
                <w:sz w:val="15"/>
                <w:szCs w:val="15"/>
                <w:color w:val="auto"/>
              </w:rPr>
            </w:pPr>
          </w:p>
        </w:tc>
        <w:tc>
          <w:tcPr>
            <w:tcW w:w="106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(477)</w:t>
            </w:r>
          </w:p>
        </w:tc>
        <w:tc>
          <w:tcPr>
            <w:tcW w:w="3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(1,081)</w:t>
            </w:r>
          </w:p>
        </w:tc>
        <w:tc>
          <w:tcPr>
            <w:tcW w:w="30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173"/>
        </w:trPr>
        <w:tc>
          <w:tcPr>
            <w:tcW w:w="6040" w:type="dxa"/>
            <w:vAlign w:val="bottom"/>
          </w:tcPr>
          <w:p>
            <w:pPr>
              <w:spacing w:after="0" w:line="173" w:lineRule="exact"/>
              <w:rPr>
                <w:sz w:val="20"/>
                <w:szCs w:val="20"/>
                <w:color w:val="auto"/>
              </w:rPr>
            </w:pPr>
            <w:r>
              <w:rPr>
                <w:rFonts w:ascii="Arial" w:cs="Arial" w:eastAsia="Arial" w:hAnsi="Arial"/>
                <w:sz w:val="16"/>
                <w:szCs w:val="16"/>
                <w:color w:val="auto"/>
              </w:rPr>
              <w:t>Energy-related businesses:</w:t>
            </w: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40" w:type="dxa"/>
            <w:vAlign w:val="bottom"/>
          </w:tcPr>
          <w:p>
            <w:pPr>
              <w:ind w:left="180"/>
              <w:spacing w:after="0" w:line="173" w:lineRule="exact"/>
              <w:rPr>
                <w:sz w:val="20"/>
                <w:szCs w:val="20"/>
                <w:color w:val="auto"/>
              </w:rPr>
            </w:pPr>
            <w:r>
              <w:rPr>
                <w:rFonts w:ascii="Arial" w:cs="Arial" w:eastAsia="Arial" w:hAnsi="Arial"/>
                <w:sz w:val="16"/>
                <w:szCs w:val="16"/>
                <w:color w:val="auto"/>
              </w:rPr>
              <w:t>Cost of natural gas, electric fuel and purchased power</w:t>
            </w:r>
          </w:p>
        </w:tc>
        <w:tc>
          <w:tcPr>
            <w:tcW w:w="860" w:type="dxa"/>
            <w:vAlign w:val="bottom"/>
          </w:tcPr>
          <w:p>
            <w:pPr>
              <w:spacing w:after="0"/>
              <w:rPr>
                <w:sz w:val="15"/>
                <w:szCs w:val="15"/>
                <w:color w:val="auto"/>
              </w:rPr>
            </w:pPr>
          </w:p>
        </w:tc>
        <w:tc>
          <w:tcPr>
            <w:tcW w:w="540" w:type="dxa"/>
            <w:vAlign w:val="bottom"/>
          </w:tcPr>
          <w:p>
            <w:pPr>
              <w:jc w:val="right"/>
              <w:spacing w:after="0" w:line="173" w:lineRule="exact"/>
              <w:rPr>
                <w:sz w:val="20"/>
                <w:szCs w:val="20"/>
                <w:color w:val="auto"/>
              </w:rPr>
            </w:pPr>
            <w:r>
              <w:rPr>
                <w:rFonts w:ascii="Arial" w:cs="Arial" w:eastAsia="Arial" w:hAnsi="Arial"/>
                <w:sz w:val="16"/>
                <w:szCs w:val="16"/>
                <w:color w:val="auto"/>
              </w:rPr>
              <w:t>(126)</w:t>
            </w:r>
          </w:p>
        </w:tc>
        <w:tc>
          <w:tcPr>
            <w:tcW w:w="280" w:type="dxa"/>
            <w:vAlign w:val="bottom"/>
          </w:tcPr>
          <w:p>
            <w:pPr>
              <w:spacing w:after="0"/>
              <w:rPr>
                <w:sz w:val="15"/>
                <w:szCs w:val="15"/>
                <w:color w:val="auto"/>
              </w:rPr>
            </w:pPr>
          </w:p>
        </w:tc>
        <w:tc>
          <w:tcPr>
            <w:tcW w:w="106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(94)</w:t>
            </w:r>
          </w:p>
        </w:tc>
        <w:tc>
          <w:tcPr>
            <w:tcW w:w="3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(264)</w:t>
            </w:r>
          </w:p>
        </w:tc>
        <w:tc>
          <w:tcPr>
            <w:tcW w:w="30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173"/>
        </w:trPr>
        <w:tc>
          <w:tcPr>
            <w:tcW w:w="6040" w:type="dxa"/>
            <w:vAlign w:val="bottom"/>
          </w:tcPr>
          <w:p>
            <w:pPr>
              <w:ind w:left="180"/>
              <w:spacing w:after="0" w:line="173" w:lineRule="exact"/>
              <w:rPr>
                <w:sz w:val="20"/>
                <w:szCs w:val="20"/>
                <w:color w:val="auto"/>
              </w:rPr>
            </w:pPr>
            <w:r>
              <w:rPr>
                <w:rFonts w:ascii="Arial" w:cs="Arial" w:eastAsia="Arial" w:hAnsi="Arial"/>
                <w:sz w:val="16"/>
                <w:szCs w:val="16"/>
                <w:color w:val="auto"/>
              </w:rPr>
              <w:t>Other cost of sales</w:t>
            </w:r>
          </w:p>
        </w:tc>
        <w:tc>
          <w:tcPr>
            <w:tcW w:w="860" w:type="dxa"/>
            <w:vAlign w:val="bottom"/>
          </w:tcPr>
          <w:p>
            <w:pPr>
              <w:spacing w:after="0"/>
              <w:rPr>
                <w:sz w:val="15"/>
                <w:szCs w:val="15"/>
                <w:color w:val="auto"/>
              </w:rPr>
            </w:pPr>
          </w:p>
        </w:tc>
        <w:tc>
          <w:tcPr>
            <w:tcW w:w="540" w:type="dxa"/>
            <w:vAlign w:val="bottom"/>
          </w:tcPr>
          <w:p>
            <w:pPr>
              <w:jc w:val="right"/>
              <w:spacing w:after="0" w:line="173" w:lineRule="exact"/>
              <w:rPr>
                <w:sz w:val="20"/>
                <w:szCs w:val="20"/>
                <w:color w:val="auto"/>
              </w:rPr>
            </w:pPr>
            <w:r>
              <w:rPr>
                <w:rFonts w:ascii="Arial" w:cs="Arial" w:eastAsia="Arial" w:hAnsi="Arial"/>
                <w:sz w:val="16"/>
                <w:szCs w:val="16"/>
                <w:color w:val="auto"/>
              </w:rPr>
              <w:t>(42)</w:t>
            </w:r>
          </w:p>
        </w:tc>
        <w:tc>
          <w:tcPr>
            <w:tcW w:w="280" w:type="dxa"/>
            <w:vAlign w:val="bottom"/>
          </w:tcPr>
          <w:p>
            <w:pPr>
              <w:spacing w:after="0"/>
              <w:rPr>
                <w:sz w:val="15"/>
                <w:szCs w:val="15"/>
                <w:color w:val="auto"/>
              </w:rPr>
            </w:pPr>
          </w:p>
        </w:tc>
        <w:tc>
          <w:tcPr>
            <w:tcW w:w="106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(49)</w:t>
            </w:r>
          </w:p>
        </w:tc>
        <w:tc>
          <w:tcPr>
            <w:tcW w:w="3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(80)</w:t>
            </w:r>
          </w:p>
        </w:tc>
        <w:tc>
          <w:tcPr>
            <w:tcW w:w="30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73"/>
        </w:trPr>
        <w:tc>
          <w:tcPr>
            <w:tcW w:w="6040" w:type="dxa"/>
            <w:vAlign w:val="bottom"/>
          </w:tcPr>
          <w:p>
            <w:pPr>
              <w:spacing w:after="0" w:line="173" w:lineRule="exact"/>
              <w:rPr>
                <w:sz w:val="20"/>
                <w:szCs w:val="20"/>
                <w:color w:val="auto"/>
              </w:rPr>
            </w:pPr>
            <w:r>
              <w:rPr>
                <w:rFonts w:ascii="Arial" w:cs="Arial" w:eastAsia="Arial" w:hAnsi="Arial"/>
                <w:sz w:val="16"/>
                <w:szCs w:val="16"/>
                <w:color w:val="auto"/>
              </w:rPr>
              <w:t>Operation and maintenance</w:t>
            </w:r>
          </w:p>
        </w:tc>
        <w:tc>
          <w:tcPr>
            <w:tcW w:w="860" w:type="dxa"/>
            <w:vAlign w:val="bottom"/>
          </w:tcPr>
          <w:p>
            <w:pPr>
              <w:spacing w:after="0"/>
              <w:rPr>
                <w:sz w:val="15"/>
                <w:szCs w:val="15"/>
                <w:color w:val="auto"/>
              </w:rPr>
            </w:pPr>
          </w:p>
        </w:tc>
        <w:tc>
          <w:tcPr>
            <w:tcW w:w="540" w:type="dxa"/>
            <w:vAlign w:val="bottom"/>
          </w:tcPr>
          <w:p>
            <w:pPr>
              <w:jc w:val="right"/>
              <w:spacing w:after="0" w:line="173" w:lineRule="exact"/>
              <w:rPr>
                <w:sz w:val="20"/>
                <w:szCs w:val="20"/>
                <w:color w:val="auto"/>
              </w:rPr>
            </w:pPr>
            <w:r>
              <w:rPr>
                <w:rFonts w:ascii="Arial" w:cs="Arial" w:eastAsia="Arial" w:hAnsi="Arial"/>
                <w:sz w:val="16"/>
                <w:szCs w:val="16"/>
                <w:color w:val="auto"/>
              </w:rPr>
              <w:t>(729)</w:t>
            </w:r>
          </w:p>
        </w:tc>
        <w:tc>
          <w:tcPr>
            <w:tcW w:w="280" w:type="dxa"/>
            <w:vAlign w:val="bottom"/>
          </w:tcPr>
          <w:p>
            <w:pPr>
              <w:spacing w:after="0"/>
              <w:rPr>
                <w:sz w:val="15"/>
                <w:szCs w:val="15"/>
                <w:color w:val="auto"/>
              </w:rPr>
            </w:pPr>
          </w:p>
        </w:tc>
        <w:tc>
          <w:tcPr>
            <w:tcW w:w="106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(740)</w:t>
            </w:r>
          </w:p>
        </w:tc>
        <w:tc>
          <w:tcPr>
            <w:tcW w:w="3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(1,405)</w:t>
            </w:r>
          </w:p>
        </w:tc>
        <w:tc>
          <w:tcPr>
            <w:tcW w:w="30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(1,464)</w:t>
            </w:r>
          </w:p>
        </w:tc>
        <w:tc>
          <w:tcPr>
            <w:tcW w:w="0" w:type="dxa"/>
            <w:vAlign w:val="bottom"/>
          </w:tcPr>
          <w:p>
            <w:pPr>
              <w:spacing w:after="0"/>
              <w:rPr>
                <w:sz w:val="1"/>
                <w:szCs w:val="1"/>
                <w:color w:val="auto"/>
              </w:rPr>
            </w:pPr>
          </w:p>
        </w:tc>
      </w:tr>
      <w:tr>
        <w:trPr>
          <w:trHeight w:val="173"/>
        </w:trPr>
        <w:tc>
          <w:tcPr>
            <w:tcW w:w="6040" w:type="dxa"/>
            <w:vAlign w:val="bottom"/>
          </w:tcPr>
          <w:p>
            <w:pPr>
              <w:spacing w:after="0" w:line="173" w:lineRule="exact"/>
              <w:rPr>
                <w:sz w:val="20"/>
                <w:szCs w:val="20"/>
                <w:color w:val="auto"/>
              </w:rPr>
            </w:pPr>
            <w:r>
              <w:rPr>
                <w:rFonts w:ascii="Arial" w:cs="Arial" w:eastAsia="Arial" w:hAnsi="Arial"/>
                <w:sz w:val="16"/>
                <w:szCs w:val="16"/>
                <w:color w:val="auto"/>
              </w:rPr>
              <w:t>Depreciation and amortization</w:t>
            </w:r>
          </w:p>
        </w:tc>
        <w:tc>
          <w:tcPr>
            <w:tcW w:w="860" w:type="dxa"/>
            <w:vAlign w:val="bottom"/>
          </w:tcPr>
          <w:p>
            <w:pPr>
              <w:spacing w:after="0"/>
              <w:rPr>
                <w:sz w:val="15"/>
                <w:szCs w:val="15"/>
                <w:color w:val="auto"/>
              </w:rPr>
            </w:pPr>
          </w:p>
        </w:tc>
        <w:tc>
          <w:tcPr>
            <w:tcW w:w="540" w:type="dxa"/>
            <w:vAlign w:val="bottom"/>
          </w:tcPr>
          <w:p>
            <w:pPr>
              <w:jc w:val="right"/>
              <w:spacing w:after="0" w:line="173" w:lineRule="exact"/>
              <w:rPr>
                <w:sz w:val="20"/>
                <w:szCs w:val="20"/>
                <w:color w:val="auto"/>
              </w:rPr>
            </w:pPr>
            <w:r>
              <w:rPr>
                <w:rFonts w:ascii="Arial" w:cs="Arial" w:eastAsia="Arial" w:hAnsi="Arial"/>
                <w:sz w:val="16"/>
                <w:szCs w:val="16"/>
                <w:color w:val="auto"/>
              </w:rPr>
              <w:t>(288)</w:t>
            </w:r>
          </w:p>
        </w:tc>
        <w:tc>
          <w:tcPr>
            <w:tcW w:w="280" w:type="dxa"/>
            <w:vAlign w:val="bottom"/>
          </w:tcPr>
          <w:p>
            <w:pPr>
              <w:spacing w:after="0"/>
              <w:rPr>
                <w:sz w:val="15"/>
                <w:szCs w:val="15"/>
                <w:color w:val="auto"/>
              </w:rPr>
            </w:pPr>
          </w:p>
        </w:tc>
        <w:tc>
          <w:tcPr>
            <w:tcW w:w="106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(247)</w:t>
            </w:r>
          </w:p>
        </w:tc>
        <w:tc>
          <w:tcPr>
            <w:tcW w:w="3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(574)</w:t>
            </w:r>
          </w:p>
        </w:tc>
        <w:tc>
          <w:tcPr>
            <w:tcW w:w="30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173"/>
        </w:trPr>
        <w:tc>
          <w:tcPr>
            <w:tcW w:w="6040" w:type="dxa"/>
            <w:vAlign w:val="bottom"/>
          </w:tcPr>
          <w:p>
            <w:pPr>
              <w:spacing w:after="0" w:line="173" w:lineRule="exact"/>
              <w:rPr>
                <w:sz w:val="20"/>
                <w:szCs w:val="20"/>
                <w:color w:val="auto"/>
              </w:rPr>
            </w:pPr>
            <w:r>
              <w:rPr>
                <w:rFonts w:ascii="Arial" w:cs="Arial" w:eastAsia="Arial" w:hAnsi="Arial"/>
                <w:sz w:val="16"/>
                <w:szCs w:val="16"/>
                <w:color w:val="auto"/>
              </w:rPr>
              <w:t>Franchise fees and other taxes</w:t>
            </w:r>
          </w:p>
        </w:tc>
        <w:tc>
          <w:tcPr>
            <w:tcW w:w="860" w:type="dxa"/>
            <w:vAlign w:val="bottom"/>
          </w:tcPr>
          <w:p>
            <w:pPr>
              <w:spacing w:after="0"/>
              <w:rPr>
                <w:sz w:val="15"/>
                <w:szCs w:val="15"/>
                <w:color w:val="auto"/>
              </w:rPr>
            </w:pPr>
          </w:p>
        </w:tc>
        <w:tc>
          <w:tcPr>
            <w:tcW w:w="540" w:type="dxa"/>
            <w:vAlign w:val="bottom"/>
          </w:tcPr>
          <w:p>
            <w:pPr>
              <w:jc w:val="right"/>
              <w:spacing w:after="0" w:line="173" w:lineRule="exact"/>
              <w:rPr>
                <w:sz w:val="20"/>
                <w:szCs w:val="20"/>
                <w:color w:val="auto"/>
              </w:rPr>
            </w:pPr>
            <w:r>
              <w:rPr>
                <w:rFonts w:ascii="Arial" w:cs="Arial" w:eastAsia="Arial" w:hAnsi="Arial"/>
                <w:sz w:val="16"/>
                <w:szCs w:val="16"/>
                <w:color w:val="auto"/>
              </w:rPr>
              <w:t>(92)</w:t>
            </w:r>
          </w:p>
        </w:tc>
        <w:tc>
          <w:tcPr>
            <w:tcW w:w="280" w:type="dxa"/>
            <w:vAlign w:val="bottom"/>
          </w:tcPr>
          <w:p>
            <w:pPr>
              <w:spacing w:after="0"/>
              <w:rPr>
                <w:sz w:val="15"/>
                <w:szCs w:val="15"/>
                <w:color w:val="auto"/>
              </w:rPr>
            </w:pPr>
          </w:p>
        </w:tc>
        <w:tc>
          <w:tcPr>
            <w:tcW w:w="106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(81)</w:t>
            </w:r>
          </w:p>
        </w:tc>
        <w:tc>
          <w:tcPr>
            <w:tcW w:w="3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(197)</w:t>
            </w:r>
          </w:p>
        </w:tc>
        <w:tc>
          <w:tcPr>
            <w:tcW w:w="30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173"/>
        </w:trPr>
        <w:tc>
          <w:tcPr>
            <w:tcW w:w="6040" w:type="dxa"/>
            <w:vAlign w:val="bottom"/>
          </w:tcPr>
          <w:p>
            <w:pPr>
              <w:spacing w:after="0" w:line="173" w:lineRule="exact"/>
              <w:rPr>
                <w:sz w:val="20"/>
                <w:szCs w:val="20"/>
                <w:color w:val="auto"/>
              </w:rPr>
            </w:pPr>
            <w:r>
              <w:rPr>
                <w:rFonts w:ascii="Arial" w:cs="Arial" w:eastAsia="Arial" w:hAnsi="Arial"/>
                <w:sz w:val="16"/>
                <w:szCs w:val="16"/>
                <w:color w:val="auto"/>
              </w:rPr>
              <w:t>Plant closure (loss) adjustment</w:t>
            </w:r>
          </w:p>
        </w:tc>
        <w:tc>
          <w:tcPr>
            <w:tcW w:w="860" w:type="dxa"/>
            <w:vAlign w:val="bottom"/>
          </w:tcPr>
          <w:p>
            <w:pPr>
              <w:spacing w:after="0"/>
              <w:rPr>
                <w:sz w:val="15"/>
                <w:szCs w:val="15"/>
                <w:color w:val="auto"/>
              </w:rPr>
            </w:pPr>
          </w:p>
        </w:tc>
        <w:tc>
          <w:tcPr>
            <w:tcW w:w="540" w:type="dxa"/>
            <w:vAlign w:val="bottom"/>
          </w:tcPr>
          <w:p>
            <w:pPr>
              <w:jc w:val="right"/>
              <w:ind w:right="21"/>
              <w:spacing w:after="0" w:line="173"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06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(200)</w:t>
            </w:r>
          </w:p>
        </w:tc>
        <w:tc>
          <w:tcPr>
            <w:tcW w:w="300" w:type="dxa"/>
            <w:vAlign w:val="bottom"/>
          </w:tcPr>
          <w:p>
            <w:pPr>
              <w:spacing w:after="0"/>
              <w:rPr>
                <w:sz w:val="15"/>
                <w:szCs w:val="15"/>
                <w:color w:val="auto"/>
              </w:rPr>
            </w:pPr>
          </w:p>
        </w:tc>
        <w:tc>
          <w:tcPr>
            <w:tcW w:w="1040" w:type="dxa"/>
            <w:vAlign w:val="bottom"/>
          </w:tcPr>
          <w:p>
            <w:pPr>
              <w:jc w:val="right"/>
              <w:ind w:right="21"/>
              <w:spacing w:after="0" w:line="173" w:lineRule="exact"/>
              <w:rPr>
                <w:sz w:val="20"/>
                <w:szCs w:val="20"/>
                <w:color w:val="auto"/>
              </w:rPr>
            </w:pPr>
            <w:r>
              <w:rPr>
                <w:rFonts w:ascii="Arial" w:cs="Arial" w:eastAsia="Arial" w:hAnsi="Arial"/>
                <w:sz w:val="16"/>
                <w:szCs w:val="16"/>
                <w:color w:val="auto"/>
              </w:rPr>
              <w:t>13</w:t>
            </w:r>
          </w:p>
        </w:tc>
        <w:tc>
          <w:tcPr>
            <w:tcW w:w="30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73"/>
        </w:trPr>
        <w:tc>
          <w:tcPr>
            <w:tcW w:w="6040" w:type="dxa"/>
            <w:vAlign w:val="bottom"/>
          </w:tcPr>
          <w:p>
            <w:pPr>
              <w:spacing w:after="0" w:line="173" w:lineRule="exact"/>
              <w:rPr>
                <w:sz w:val="20"/>
                <w:szCs w:val="20"/>
                <w:color w:val="auto"/>
              </w:rPr>
            </w:pPr>
            <w:r>
              <w:rPr>
                <w:rFonts w:ascii="Arial" w:cs="Arial" w:eastAsia="Arial" w:hAnsi="Arial"/>
                <w:sz w:val="16"/>
                <w:szCs w:val="16"/>
                <w:color w:val="auto"/>
              </w:rPr>
              <w:t>Gain on sale of equity interest and assets</w:t>
            </w:r>
          </w:p>
        </w:tc>
        <w:tc>
          <w:tcPr>
            <w:tcW w:w="860" w:type="dxa"/>
            <w:vAlign w:val="bottom"/>
          </w:tcPr>
          <w:p>
            <w:pPr>
              <w:spacing w:after="0"/>
              <w:rPr>
                <w:sz w:val="15"/>
                <w:szCs w:val="15"/>
                <w:color w:val="auto"/>
              </w:rPr>
            </w:pPr>
          </w:p>
        </w:tc>
        <w:tc>
          <w:tcPr>
            <w:tcW w:w="540" w:type="dxa"/>
            <w:vAlign w:val="bottom"/>
          </w:tcPr>
          <w:p>
            <w:pPr>
              <w:jc w:val="right"/>
              <w:ind w:right="21"/>
              <w:spacing w:after="0" w:line="173" w:lineRule="exact"/>
              <w:rPr>
                <w:sz w:val="20"/>
                <w:szCs w:val="20"/>
                <w:color w:val="auto"/>
              </w:rPr>
            </w:pPr>
            <w:r>
              <w:rPr>
                <w:rFonts w:ascii="Arial" w:cs="Arial" w:eastAsia="Arial" w:hAnsi="Arial"/>
                <w:sz w:val="16"/>
                <w:szCs w:val="16"/>
                <w:color w:val="auto"/>
              </w:rPr>
              <w:t>2</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line="173"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040" w:type="dxa"/>
            <w:vAlign w:val="bottom"/>
          </w:tcPr>
          <w:p>
            <w:pPr>
              <w:jc w:val="right"/>
              <w:ind w:right="21"/>
              <w:spacing w:after="0" w:line="173" w:lineRule="exact"/>
              <w:rPr>
                <w:sz w:val="20"/>
                <w:szCs w:val="20"/>
                <w:color w:val="auto"/>
              </w:rPr>
            </w:pPr>
            <w:r>
              <w:rPr>
                <w:rFonts w:ascii="Arial" w:cs="Arial" w:eastAsia="Arial" w:hAnsi="Arial"/>
                <w:sz w:val="16"/>
                <w:szCs w:val="16"/>
                <w:color w:val="auto"/>
              </w:rPr>
              <w:t>29</w:t>
            </w:r>
          </w:p>
        </w:tc>
        <w:tc>
          <w:tcPr>
            <w:tcW w:w="30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73"/>
        </w:trPr>
        <w:tc>
          <w:tcPr>
            <w:tcW w:w="6040" w:type="dxa"/>
            <w:vAlign w:val="bottom"/>
          </w:tcPr>
          <w:p>
            <w:pPr>
              <w:spacing w:after="0" w:line="173" w:lineRule="exact"/>
              <w:rPr>
                <w:sz w:val="20"/>
                <w:szCs w:val="20"/>
                <w:color w:val="auto"/>
              </w:rPr>
            </w:pPr>
            <w:r>
              <w:rPr>
                <w:rFonts w:ascii="Arial" w:cs="Arial" w:eastAsia="Arial" w:hAnsi="Arial"/>
                <w:sz w:val="16"/>
                <w:szCs w:val="16"/>
                <w:color w:val="auto"/>
              </w:rPr>
              <w:t>Equity earnings, before income tax</w:t>
            </w:r>
          </w:p>
        </w:tc>
        <w:tc>
          <w:tcPr>
            <w:tcW w:w="860" w:type="dxa"/>
            <w:vAlign w:val="bottom"/>
          </w:tcPr>
          <w:p>
            <w:pPr>
              <w:spacing w:after="0"/>
              <w:rPr>
                <w:sz w:val="15"/>
                <w:szCs w:val="15"/>
                <w:color w:val="auto"/>
              </w:rPr>
            </w:pPr>
          </w:p>
        </w:tc>
        <w:tc>
          <w:tcPr>
            <w:tcW w:w="540" w:type="dxa"/>
            <w:vAlign w:val="bottom"/>
          </w:tcPr>
          <w:p>
            <w:pPr>
              <w:jc w:val="right"/>
              <w:ind w:right="21"/>
              <w:spacing w:after="0" w:line="173" w:lineRule="exact"/>
              <w:rPr>
                <w:sz w:val="20"/>
                <w:szCs w:val="20"/>
                <w:color w:val="auto"/>
              </w:rPr>
            </w:pPr>
            <w:r>
              <w:rPr>
                <w:rFonts w:ascii="Arial" w:cs="Arial" w:eastAsia="Arial" w:hAnsi="Arial"/>
                <w:sz w:val="16"/>
                <w:szCs w:val="16"/>
                <w:color w:val="auto"/>
              </w:rPr>
              <w:t>23</w:t>
            </w:r>
          </w:p>
        </w:tc>
        <w:tc>
          <w:tcPr>
            <w:tcW w:w="28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8</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21"/>
              <w:spacing w:after="0" w:line="173" w:lineRule="exact"/>
              <w:rPr>
                <w:sz w:val="20"/>
                <w:szCs w:val="20"/>
                <w:color w:val="auto"/>
              </w:rPr>
            </w:pPr>
            <w:r>
              <w:rPr>
                <w:rFonts w:ascii="Arial" w:cs="Arial" w:eastAsia="Arial" w:hAnsi="Arial"/>
                <w:sz w:val="16"/>
                <w:szCs w:val="16"/>
                <w:color w:val="auto"/>
              </w:rPr>
              <w:t>40</w:t>
            </w:r>
          </w:p>
        </w:tc>
        <w:tc>
          <w:tcPr>
            <w:tcW w:w="30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73"/>
        </w:trPr>
        <w:tc>
          <w:tcPr>
            <w:tcW w:w="6040" w:type="dxa"/>
            <w:vAlign w:val="bottom"/>
          </w:tcPr>
          <w:p>
            <w:pPr>
              <w:spacing w:after="0" w:line="173" w:lineRule="exact"/>
              <w:rPr>
                <w:sz w:val="20"/>
                <w:szCs w:val="20"/>
                <w:color w:val="auto"/>
              </w:rPr>
            </w:pPr>
            <w:r>
              <w:rPr>
                <w:rFonts w:ascii="Arial" w:cs="Arial" w:eastAsia="Arial" w:hAnsi="Arial"/>
                <w:sz w:val="16"/>
                <w:szCs w:val="16"/>
                <w:color w:val="auto"/>
              </w:rPr>
              <w:t>Other income, net</w:t>
            </w:r>
          </w:p>
        </w:tc>
        <w:tc>
          <w:tcPr>
            <w:tcW w:w="860" w:type="dxa"/>
            <w:vAlign w:val="bottom"/>
          </w:tcPr>
          <w:p>
            <w:pPr>
              <w:spacing w:after="0"/>
              <w:rPr>
                <w:sz w:val="15"/>
                <w:szCs w:val="15"/>
                <w:color w:val="auto"/>
              </w:rPr>
            </w:pPr>
          </w:p>
        </w:tc>
        <w:tc>
          <w:tcPr>
            <w:tcW w:w="540" w:type="dxa"/>
            <w:vAlign w:val="bottom"/>
          </w:tcPr>
          <w:p>
            <w:pPr>
              <w:jc w:val="right"/>
              <w:ind w:right="21"/>
              <w:spacing w:after="0" w:line="173" w:lineRule="exact"/>
              <w:rPr>
                <w:sz w:val="20"/>
                <w:szCs w:val="20"/>
                <w:color w:val="auto"/>
              </w:rPr>
            </w:pPr>
            <w:r>
              <w:rPr>
                <w:rFonts w:ascii="Arial" w:cs="Arial" w:eastAsia="Arial" w:hAnsi="Arial"/>
                <w:sz w:val="16"/>
                <w:szCs w:val="16"/>
                <w:color w:val="auto"/>
              </w:rPr>
              <w:t>49</w:t>
            </w:r>
          </w:p>
        </w:tc>
        <w:tc>
          <w:tcPr>
            <w:tcW w:w="28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26</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21"/>
              <w:spacing w:after="0" w:line="173" w:lineRule="exact"/>
              <w:rPr>
                <w:sz w:val="20"/>
                <w:szCs w:val="20"/>
                <w:color w:val="auto"/>
              </w:rPr>
            </w:pPr>
            <w:r>
              <w:rPr>
                <w:rFonts w:ascii="Arial" w:cs="Arial" w:eastAsia="Arial" w:hAnsi="Arial"/>
                <w:sz w:val="16"/>
                <w:szCs w:val="16"/>
                <w:color w:val="auto"/>
              </w:rPr>
              <w:t>89</w:t>
            </w:r>
          </w:p>
        </w:tc>
        <w:tc>
          <w:tcPr>
            <w:tcW w:w="30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73"/>
        </w:trPr>
        <w:tc>
          <w:tcPr>
            <w:tcW w:w="6040" w:type="dxa"/>
            <w:vAlign w:val="bottom"/>
          </w:tcPr>
          <w:p>
            <w:pPr>
              <w:spacing w:after="0" w:line="173" w:lineRule="exact"/>
              <w:rPr>
                <w:sz w:val="20"/>
                <w:szCs w:val="20"/>
                <w:color w:val="auto"/>
              </w:rPr>
            </w:pPr>
            <w:r>
              <w:rPr>
                <w:rFonts w:ascii="Arial" w:cs="Arial" w:eastAsia="Arial" w:hAnsi="Arial"/>
                <w:sz w:val="16"/>
                <w:szCs w:val="16"/>
                <w:color w:val="auto"/>
              </w:rPr>
              <w:t>Interest income</w:t>
            </w:r>
          </w:p>
        </w:tc>
        <w:tc>
          <w:tcPr>
            <w:tcW w:w="860" w:type="dxa"/>
            <w:vAlign w:val="bottom"/>
          </w:tcPr>
          <w:p>
            <w:pPr>
              <w:spacing w:after="0"/>
              <w:rPr>
                <w:sz w:val="15"/>
                <w:szCs w:val="15"/>
                <w:color w:val="auto"/>
              </w:rPr>
            </w:pPr>
          </w:p>
        </w:tc>
        <w:tc>
          <w:tcPr>
            <w:tcW w:w="540" w:type="dxa"/>
            <w:vAlign w:val="bottom"/>
          </w:tcPr>
          <w:p>
            <w:pPr>
              <w:jc w:val="right"/>
              <w:ind w:right="21"/>
              <w:spacing w:after="0" w:line="173" w:lineRule="exact"/>
              <w:rPr>
                <w:sz w:val="20"/>
                <w:szCs w:val="20"/>
                <w:color w:val="auto"/>
              </w:rPr>
            </w:pPr>
            <w:r>
              <w:rPr>
                <w:rFonts w:ascii="Arial" w:cs="Arial" w:eastAsia="Arial" w:hAnsi="Arial"/>
                <w:sz w:val="16"/>
                <w:szCs w:val="16"/>
                <w:color w:val="auto"/>
              </w:rPr>
              <w:t>5</w:t>
            </w:r>
          </w:p>
        </w:tc>
        <w:tc>
          <w:tcPr>
            <w:tcW w:w="28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21"/>
              <w:spacing w:after="0" w:line="173" w:lineRule="exact"/>
              <w:rPr>
                <w:sz w:val="20"/>
                <w:szCs w:val="20"/>
                <w:color w:val="auto"/>
              </w:rPr>
            </w:pPr>
            <w:r>
              <w:rPr>
                <w:rFonts w:ascii="Arial" w:cs="Arial" w:eastAsia="Arial" w:hAnsi="Arial"/>
                <w:sz w:val="16"/>
                <w:szCs w:val="16"/>
                <w:color w:val="auto"/>
              </w:rPr>
              <w:t>9</w:t>
            </w:r>
          </w:p>
        </w:tc>
        <w:tc>
          <w:tcPr>
            <w:tcW w:w="30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4"/>
        </w:trPr>
        <w:tc>
          <w:tcPr>
            <w:tcW w:w="6040" w:type="dxa"/>
            <w:vAlign w:val="bottom"/>
          </w:tcPr>
          <w:p>
            <w:pPr>
              <w:spacing w:after="0"/>
              <w:rPr>
                <w:sz w:val="20"/>
                <w:szCs w:val="20"/>
                <w:color w:val="auto"/>
              </w:rPr>
            </w:pPr>
            <w:r>
              <w:rPr>
                <w:rFonts w:ascii="Arial" w:cs="Arial" w:eastAsia="Arial" w:hAnsi="Arial"/>
                <w:sz w:val="16"/>
                <w:szCs w:val="16"/>
                <w:color w:val="auto"/>
              </w:rPr>
              <w:t>Interest expense</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(138)</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135"/>
        </w:trPr>
        <w:tc>
          <w:tcPr>
            <w:tcW w:w="6040" w:type="dxa"/>
            <w:vAlign w:val="bottom"/>
          </w:tcPr>
          <w:p>
            <w:pPr>
              <w:spacing w:after="0" w:line="135" w:lineRule="exact"/>
              <w:rPr>
                <w:sz w:val="20"/>
                <w:szCs w:val="20"/>
                <w:color w:val="auto"/>
              </w:rPr>
            </w:pPr>
            <w:r>
              <w:rPr>
                <w:rFonts w:ascii="Arial" w:cs="Arial" w:eastAsia="Arial" w:hAnsi="Arial"/>
                <w:sz w:val="15"/>
                <w:szCs w:val="15"/>
                <w:color w:val="auto"/>
              </w:rPr>
              <w:t>Income before income taxes and equity earnings</w:t>
            </w: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040" w:type="dxa"/>
            <w:vAlign w:val="bottom"/>
          </w:tcPr>
          <w:p>
            <w:pPr>
              <w:ind w:left="180"/>
              <w:spacing w:after="0" w:line="173" w:lineRule="exact"/>
              <w:rPr>
                <w:sz w:val="20"/>
                <w:szCs w:val="20"/>
                <w:color w:val="auto"/>
              </w:rPr>
            </w:pPr>
            <w:r>
              <w:rPr>
                <w:rFonts w:ascii="Arial" w:cs="Arial" w:eastAsia="Arial" w:hAnsi="Arial"/>
                <w:sz w:val="16"/>
                <w:szCs w:val="16"/>
                <w:color w:val="auto"/>
              </w:rPr>
              <w:t>of certain unconsolidated subsidiaries</w:t>
            </w:r>
          </w:p>
        </w:tc>
        <w:tc>
          <w:tcPr>
            <w:tcW w:w="860" w:type="dxa"/>
            <w:vAlign w:val="bottom"/>
          </w:tcPr>
          <w:p>
            <w:pPr>
              <w:spacing w:after="0"/>
              <w:rPr>
                <w:sz w:val="15"/>
                <w:szCs w:val="15"/>
                <w:color w:val="auto"/>
              </w:rPr>
            </w:pPr>
          </w:p>
        </w:tc>
        <w:tc>
          <w:tcPr>
            <w:tcW w:w="540" w:type="dxa"/>
            <w:vAlign w:val="bottom"/>
          </w:tcPr>
          <w:p>
            <w:pPr>
              <w:jc w:val="right"/>
              <w:ind w:right="21"/>
              <w:spacing w:after="0" w:line="173" w:lineRule="exact"/>
              <w:rPr>
                <w:sz w:val="20"/>
                <w:szCs w:val="20"/>
                <w:color w:val="auto"/>
              </w:rPr>
            </w:pPr>
            <w:r>
              <w:rPr>
                <w:rFonts w:ascii="Arial" w:cs="Arial" w:eastAsia="Arial" w:hAnsi="Arial"/>
                <w:sz w:val="16"/>
                <w:szCs w:val="16"/>
                <w:color w:val="auto"/>
              </w:rPr>
              <w:t>376</w:t>
            </w:r>
          </w:p>
        </w:tc>
        <w:tc>
          <w:tcPr>
            <w:tcW w:w="28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298</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21"/>
              <w:spacing w:after="0" w:line="173" w:lineRule="exact"/>
              <w:rPr>
                <w:sz w:val="20"/>
                <w:szCs w:val="20"/>
                <w:color w:val="auto"/>
              </w:rPr>
            </w:pPr>
            <w:r>
              <w:rPr>
                <w:rFonts w:ascii="Arial" w:cs="Arial" w:eastAsia="Arial" w:hAnsi="Arial"/>
                <w:sz w:val="16"/>
                <w:szCs w:val="16"/>
                <w:color w:val="auto"/>
              </w:rPr>
              <w:t>763</w:t>
            </w:r>
          </w:p>
        </w:tc>
        <w:tc>
          <w:tcPr>
            <w:tcW w:w="30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173"/>
        </w:trPr>
        <w:tc>
          <w:tcPr>
            <w:tcW w:w="6040" w:type="dxa"/>
            <w:vAlign w:val="bottom"/>
          </w:tcPr>
          <w:p>
            <w:pPr>
              <w:spacing w:after="0" w:line="173" w:lineRule="exact"/>
              <w:rPr>
                <w:sz w:val="20"/>
                <w:szCs w:val="20"/>
                <w:color w:val="auto"/>
              </w:rPr>
            </w:pPr>
            <w:r>
              <w:rPr>
                <w:rFonts w:ascii="Arial" w:cs="Arial" w:eastAsia="Arial" w:hAnsi="Arial"/>
                <w:sz w:val="16"/>
                <w:szCs w:val="16"/>
                <w:color w:val="auto"/>
              </w:rPr>
              <w:t>Income tax expense</w:t>
            </w:r>
          </w:p>
        </w:tc>
        <w:tc>
          <w:tcPr>
            <w:tcW w:w="860" w:type="dxa"/>
            <w:vAlign w:val="bottom"/>
          </w:tcPr>
          <w:p>
            <w:pPr>
              <w:spacing w:after="0"/>
              <w:rPr>
                <w:sz w:val="15"/>
                <w:szCs w:val="15"/>
                <w:color w:val="auto"/>
              </w:rPr>
            </w:pPr>
          </w:p>
        </w:tc>
        <w:tc>
          <w:tcPr>
            <w:tcW w:w="540" w:type="dxa"/>
            <w:vAlign w:val="bottom"/>
          </w:tcPr>
          <w:p>
            <w:pPr>
              <w:jc w:val="right"/>
              <w:spacing w:after="0" w:line="173" w:lineRule="exact"/>
              <w:rPr>
                <w:sz w:val="20"/>
                <w:szCs w:val="20"/>
                <w:color w:val="auto"/>
              </w:rPr>
            </w:pPr>
            <w:r>
              <w:rPr>
                <w:rFonts w:ascii="Arial" w:cs="Arial" w:eastAsia="Arial" w:hAnsi="Arial"/>
                <w:sz w:val="16"/>
                <w:szCs w:val="16"/>
                <w:color w:val="auto"/>
              </w:rPr>
              <w:t>(93)</w:t>
            </w:r>
          </w:p>
        </w:tc>
        <w:tc>
          <w:tcPr>
            <w:tcW w:w="280" w:type="dxa"/>
            <w:vAlign w:val="bottom"/>
          </w:tcPr>
          <w:p>
            <w:pPr>
              <w:spacing w:after="0"/>
              <w:rPr>
                <w:sz w:val="15"/>
                <w:szCs w:val="15"/>
                <w:color w:val="auto"/>
              </w:rPr>
            </w:pPr>
          </w:p>
        </w:tc>
        <w:tc>
          <w:tcPr>
            <w:tcW w:w="106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(32)</w:t>
            </w:r>
          </w:p>
        </w:tc>
        <w:tc>
          <w:tcPr>
            <w:tcW w:w="3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(220)</w:t>
            </w:r>
          </w:p>
        </w:tc>
        <w:tc>
          <w:tcPr>
            <w:tcW w:w="30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4"/>
        </w:trPr>
        <w:tc>
          <w:tcPr>
            <w:tcW w:w="6040" w:type="dxa"/>
            <w:vAlign w:val="bottom"/>
          </w:tcPr>
          <w:p>
            <w:pPr>
              <w:spacing w:after="0"/>
              <w:rPr>
                <w:sz w:val="20"/>
                <w:szCs w:val="20"/>
                <w:color w:val="auto"/>
              </w:rPr>
            </w:pPr>
            <w:r>
              <w:rPr>
                <w:rFonts w:ascii="Arial" w:cs="Arial" w:eastAsia="Arial" w:hAnsi="Arial"/>
                <w:sz w:val="16"/>
                <w:szCs w:val="16"/>
                <w:color w:val="auto"/>
              </w:rPr>
              <w:t>Equity earnings, net of income tax</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20"/>
                <w:szCs w:val="20"/>
                <w:color w:val="auto"/>
              </w:rPr>
            </w:pPr>
            <w:r>
              <w:rPr>
                <w:rFonts w:ascii="Arial" w:cs="Arial" w:eastAsia="Arial" w:hAnsi="Arial"/>
                <w:sz w:val="16"/>
                <w:szCs w:val="16"/>
                <w:color w:val="auto"/>
              </w:rPr>
              <w:t>Net income</w:t>
            </w:r>
          </w:p>
        </w:tc>
        <w:tc>
          <w:tcPr>
            <w:tcW w:w="460" w:type="dxa"/>
            <w:vAlign w:val="bottom"/>
          </w:tcPr>
          <w:p>
            <w:pPr>
              <w:spacing w:after="0"/>
              <w:rPr>
                <w:sz w:val="16"/>
                <w:szCs w:val="16"/>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292</w:t>
            </w:r>
          </w:p>
        </w:tc>
        <w:tc>
          <w:tcPr>
            <w:tcW w:w="400" w:type="dxa"/>
            <w:vAlign w:val="bottom"/>
          </w:tcPr>
          <w:p>
            <w:pPr>
              <w:spacing w:after="0"/>
              <w:rPr>
                <w:sz w:val="16"/>
                <w:szCs w:val="16"/>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267</w:t>
            </w:r>
          </w:p>
        </w:tc>
        <w:tc>
          <w:tcPr>
            <w:tcW w:w="400" w:type="dxa"/>
            <w:vAlign w:val="bottom"/>
          </w:tcPr>
          <w:p>
            <w:pPr>
              <w:spacing w:after="0"/>
              <w:rPr>
                <w:sz w:val="16"/>
                <w:szCs w:val="16"/>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558</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173"/>
        </w:trPr>
        <w:tc>
          <w:tcPr>
            <w:tcW w:w="6040" w:type="dxa"/>
            <w:vAlign w:val="bottom"/>
          </w:tcPr>
          <w:p>
            <w:pPr>
              <w:spacing w:after="0" w:line="173" w:lineRule="exact"/>
              <w:rPr>
                <w:sz w:val="20"/>
                <w:szCs w:val="20"/>
                <w:color w:val="auto"/>
              </w:rPr>
            </w:pPr>
            <w:r>
              <w:rPr>
                <w:rFonts w:ascii="Arial" w:cs="Arial" w:eastAsia="Arial" w:hAnsi="Arial"/>
                <w:sz w:val="16"/>
                <w:szCs w:val="16"/>
                <w:color w:val="auto"/>
              </w:rPr>
              <w:t>Earnings attributable to noncontrolling interests</w:t>
            </w:r>
          </w:p>
        </w:tc>
        <w:tc>
          <w:tcPr>
            <w:tcW w:w="4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(22)</w:t>
            </w:r>
          </w:p>
        </w:tc>
        <w:tc>
          <w:tcPr>
            <w:tcW w:w="40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(21)</w:t>
            </w:r>
          </w:p>
        </w:tc>
        <w:tc>
          <w:tcPr>
            <w:tcW w:w="40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(41)</w:t>
            </w:r>
          </w:p>
        </w:tc>
        <w:tc>
          <w:tcPr>
            <w:tcW w:w="42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4"/>
        </w:trPr>
        <w:tc>
          <w:tcPr>
            <w:tcW w:w="604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6"/>
        </w:trPr>
        <w:tc>
          <w:tcPr>
            <w:tcW w:w="6040" w:type="dxa"/>
            <w:vAlign w:val="bottom"/>
            <w:vMerge w:val="restart"/>
          </w:tcPr>
          <w:p>
            <w:pPr>
              <w:spacing w:after="0"/>
              <w:rPr>
                <w:sz w:val="20"/>
                <w:szCs w:val="20"/>
                <w:color w:val="auto"/>
              </w:rPr>
            </w:pPr>
            <w:r>
              <w:rPr>
                <w:rFonts w:ascii="Arial" w:cs="Arial" w:eastAsia="Arial" w:hAnsi="Arial"/>
                <w:sz w:val="16"/>
                <w:szCs w:val="16"/>
                <w:color w:val="auto"/>
              </w:rPr>
              <w:t>Earnings</w:t>
            </w:r>
          </w:p>
        </w:tc>
        <w:tc>
          <w:tcPr>
            <w:tcW w:w="460" w:type="dxa"/>
            <w:vAlign w:val="bottom"/>
          </w:tcPr>
          <w:p>
            <w:pPr>
              <w:jc w:val="right"/>
              <w:ind w:right="180"/>
              <w:spacing w:after="0" w:line="166"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line="166" w:lineRule="exact"/>
              <w:rPr>
                <w:sz w:val="20"/>
                <w:szCs w:val="20"/>
                <w:color w:val="auto"/>
              </w:rPr>
            </w:pPr>
            <w:r>
              <w:rPr>
                <w:rFonts w:ascii="Arial" w:cs="Arial" w:eastAsia="Arial" w:hAnsi="Arial"/>
                <w:sz w:val="16"/>
                <w:szCs w:val="16"/>
                <w:color w:val="auto"/>
              </w:rPr>
              <w:t>269</w:t>
            </w:r>
          </w:p>
        </w:tc>
        <w:tc>
          <w:tcPr>
            <w:tcW w:w="400" w:type="dxa"/>
            <w:vAlign w:val="bottom"/>
          </w:tcPr>
          <w:p>
            <w:pPr>
              <w:jc w:val="right"/>
              <w:ind w:right="180"/>
              <w:spacing w:after="0" w:line="166"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line="166" w:lineRule="exact"/>
              <w:rPr>
                <w:sz w:val="20"/>
                <w:szCs w:val="20"/>
                <w:color w:val="auto"/>
              </w:rPr>
            </w:pPr>
            <w:r>
              <w:rPr>
                <w:rFonts w:ascii="Arial" w:cs="Arial" w:eastAsia="Arial" w:hAnsi="Arial"/>
                <w:sz w:val="16"/>
                <w:szCs w:val="16"/>
                <w:color w:val="auto"/>
              </w:rPr>
              <w:t>245</w:t>
            </w:r>
          </w:p>
        </w:tc>
        <w:tc>
          <w:tcPr>
            <w:tcW w:w="400" w:type="dxa"/>
            <w:vAlign w:val="bottom"/>
          </w:tcPr>
          <w:p>
            <w:pPr>
              <w:jc w:val="right"/>
              <w:ind w:right="180"/>
              <w:spacing w:after="0" w:line="166"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line="166" w:lineRule="exact"/>
              <w:rPr>
                <w:sz w:val="20"/>
                <w:szCs w:val="20"/>
                <w:color w:val="auto"/>
              </w:rPr>
            </w:pPr>
            <w:r>
              <w:rPr>
                <w:rFonts w:ascii="Arial" w:cs="Arial" w:eastAsia="Arial" w:hAnsi="Arial"/>
                <w:sz w:val="16"/>
                <w:szCs w:val="16"/>
                <w:color w:val="auto"/>
              </w:rPr>
              <w:t>516</w:t>
            </w:r>
          </w:p>
        </w:tc>
        <w:tc>
          <w:tcPr>
            <w:tcW w:w="420" w:type="dxa"/>
            <w:vAlign w:val="bottom"/>
          </w:tcPr>
          <w:p>
            <w:pPr>
              <w:jc w:val="right"/>
              <w:ind w:right="200"/>
              <w:spacing w:after="0" w:line="166"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66" w:lineRule="exact"/>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80"/>
        </w:trPr>
        <w:tc>
          <w:tcPr>
            <w:tcW w:w="6040" w:type="dxa"/>
            <w:vAlign w:val="bottom"/>
            <w:vMerge w:val="continue"/>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346"/>
        </w:trPr>
        <w:tc>
          <w:tcPr>
            <w:tcW w:w="6040" w:type="dxa"/>
            <w:vAlign w:val="bottom"/>
            <w:vMerge w:val="restart"/>
          </w:tcPr>
          <w:p>
            <w:pPr>
              <w:spacing w:after="0"/>
              <w:rPr>
                <w:sz w:val="20"/>
                <w:szCs w:val="20"/>
                <w:color w:val="auto"/>
              </w:rPr>
            </w:pPr>
            <w:r>
              <w:rPr>
                <w:rFonts w:ascii="Arial" w:cs="Arial" w:eastAsia="Arial" w:hAnsi="Arial"/>
                <w:sz w:val="16"/>
                <w:szCs w:val="16"/>
                <w:color w:val="auto"/>
              </w:rPr>
              <w:t>Basic earnings per common share</w:t>
            </w:r>
          </w:p>
        </w:tc>
        <w:tc>
          <w:tcPr>
            <w:tcW w:w="4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1.10</w:t>
            </w:r>
          </w:p>
        </w:tc>
        <w:tc>
          <w:tcPr>
            <w:tcW w:w="40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40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2.10</w:t>
            </w:r>
          </w:p>
        </w:tc>
        <w:tc>
          <w:tcPr>
            <w:tcW w:w="4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80"/>
        </w:trPr>
        <w:tc>
          <w:tcPr>
            <w:tcW w:w="6040" w:type="dxa"/>
            <w:vAlign w:val="bottom"/>
            <w:vMerge w:val="continue"/>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040" w:type="dxa"/>
            <w:vAlign w:val="bottom"/>
            <w:vMerge w:val="restart"/>
          </w:tcPr>
          <w:p>
            <w:pPr>
              <w:spacing w:after="0"/>
              <w:rPr>
                <w:sz w:val="20"/>
                <w:szCs w:val="20"/>
                <w:color w:val="auto"/>
              </w:rPr>
            </w:pPr>
            <w:r>
              <w:rPr>
                <w:rFonts w:ascii="Arial" w:cs="Arial" w:eastAsia="Arial" w:hAnsi="Arial"/>
                <w:sz w:val="16"/>
                <w:szCs w:val="16"/>
                <w:color w:val="auto"/>
              </w:rPr>
              <w:t>Weighted-average number of shares outstanding, basic (thousands)</w:t>
            </w:r>
          </w:p>
        </w:tc>
        <w:tc>
          <w:tcPr>
            <w:tcW w:w="460" w:type="dxa"/>
            <w:vAlign w:val="bottom"/>
          </w:tcPr>
          <w:p>
            <w:pPr>
              <w:spacing w:after="0"/>
              <w:rPr>
                <w:sz w:val="15"/>
                <w:szCs w:val="15"/>
                <w:color w:val="auto"/>
              </w:rPr>
            </w:pPr>
          </w:p>
        </w:tc>
        <w:tc>
          <w:tcPr>
            <w:tcW w:w="940" w:type="dxa"/>
            <w:vAlign w:val="bottom"/>
          </w:tcPr>
          <w:p>
            <w:pPr>
              <w:jc w:val="right"/>
              <w:ind w:right="20"/>
              <w:spacing w:after="0" w:line="173" w:lineRule="exact"/>
              <w:rPr>
                <w:sz w:val="20"/>
                <w:szCs w:val="20"/>
                <w:color w:val="auto"/>
              </w:rPr>
            </w:pPr>
            <w:r>
              <w:rPr>
                <w:rFonts w:ascii="Arial" w:cs="Arial" w:eastAsia="Arial" w:hAnsi="Arial"/>
                <w:sz w:val="16"/>
                <w:szCs w:val="16"/>
                <w:color w:val="auto"/>
              </w:rPr>
              <w:t>245,688</w:t>
            </w:r>
          </w:p>
        </w:tc>
        <w:tc>
          <w:tcPr>
            <w:tcW w:w="400" w:type="dxa"/>
            <w:vAlign w:val="bottom"/>
          </w:tcPr>
          <w:p>
            <w:pPr>
              <w:spacing w:after="0"/>
              <w:rPr>
                <w:sz w:val="15"/>
                <w:szCs w:val="15"/>
                <w:color w:val="auto"/>
              </w:rPr>
            </w:pPr>
          </w:p>
        </w:tc>
        <w:tc>
          <w:tcPr>
            <w:tcW w:w="940" w:type="dxa"/>
            <w:vAlign w:val="bottom"/>
          </w:tcPr>
          <w:p>
            <w:pPr>
              <w:jc w:val="right"/>
              <w:ind w:right="20"/>
              <w:spacing w:after="0" w:line="173" w:lineRule="exact"/>
              <w:rPr>
                <w:sz w:val="20"/>
                <w:szCs w:val="20"/>
                <w:color w:val="auto"/>
              </w:rPr>
            </w:pPr>
            <w:r>
              <w:rPr>
                <w:rFonts w:ascii="Arial" w:cs="Arial" w:eastAsia="Arial" w:hAnsi="Arial"/>
                <w:sz w:val="16"/>
                <w:szCs w:val="16"/>
                <w:color w:val="auto"/>
              </w:rPr>
              <w:t>243,603</w:t>
            </w:r>
          </w:p>
        </w:tc>
        <w:tc>
          <w:tcPr>
            <w:tcW w:w="400" w:type="dxa"/>
            <w:vAlign w:val="bottom"/>
          </w:tcPr>
          <w:p>
            <w:pPr>
              <w:spacing w:after="0"/>
              <w:rPr>
                <w:sz w:val="15"/>
                <w:szCs w:val="15"/>
                <w:color w:val="auto"/>
              </w:rPr>
            </w:pPr>
          </w:p>
        </w:tc>
        <w:tc>
          <w:tcPr>
            <w:tcW w:w="940" w:type="dxa"/>
            <w:vAlign w:val="bottom"/>
          </w:tcPr>
          <w:p>
            <w:pPr>
              <w:jc w:val="right"/>
              <w:ind w:right="20"/>
              <w:spacing w:after="0" w:line="173" w:lineRule="exact"/>
              <w:rPr>
                <w:sz w:val="20"/>
                <w:szCs w:val="20"/>
                <w:color w:val="auto"/>
              </w:rPr>
            </w:pPr>
            <w:r>
              <w:rPr>
                <w:rFonts w:ascii="Arial" w:cs="Arial" w:eastAsia="Arial" w:hAnsi="Arial"/>
                <w:sz w:val="16"/>
                <w:szCs w:val="16"/>
                <w:color w:val="auto"/>
              </w:rPr>
              <w:t>245,484</w:t>
            </w:r>
          </w:p>
        </w:tc>
        <w:tc>
          <w:tcPr>
            <w:tcW w:w="42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243,449</w:t>
            </w:r>
          </w:p>
        </w:tc>
        <w:tc>
          <w:tcPr>
            <w:tcW w:w="0" w:type="dxa"/>
            <w:vAlign w:val="bottom"/>
          </w:tcPr>
          <w:p>
            <w:pPr>
              <w:spacing w:after="0"/>
              <w:rPr>
                <w:sz w:val="1"/>
                <w:szCs w:val="1"/>
                <w:color w:val="auto"/>
              </w:rPr>
            </w:pPr>
          </w:p>
        </w:tc>
      </w:tr>
      <w:tr>
        <w:trPr>
          <w:trHeight w:val="80"/>
        </w:trPr>
        <w:tc>
          <w:tcPr>
            <w:tcW w:w="6040" w:type="dxa"/>
            <w:vAlign w:val="bottom"/>
            <w:vMerge w:val="continue"/>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346"/>
        </w:trPr>
        <w:tc>
          <w:tcPr>
            <w:tcW w:w="6040" w:type="dxa"/>
            <w:vAlign w:val="bottom"/>
            <w:vMerge w:val="restart"/>
          </w:tcPr>
          <w:p>
            <w:pPr>
              <w:spacing w:after="0"/>
              <w:rPr>
                <w:sz w:val="20"/>
                <w:szCs w:val="20"/>
                <w:color w:val="auto"/>
              </w:rPr>
            </w:pPr>
            <w:r>
              <w:rPr>
                <w:rFonts w:ascii="Arial" w:cs="Arial" w:eastAsia="Arial" w:hAnsi="Arial"/>
                <w:sz w:val="16"/>
                <w:szCs w:val="16"/>
                <w:color w:val="auto"/>
              </w:rPr>
              <w:t>Diluted earnings per common share</w:t>
            </w:r>
          </w:p>
        </w:tc>
        <w:tc>
          <w:tcPr>
            <w:tcW w:w="4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1.08</w:t>
            </w:r>
          </w:p>
        </w:tc>
        <w:tc>
          <w:tcPr>
            <w:tcW w:w="40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0.98</w:t>
            </w:r>
          </w:p>
        </w:tc>
        <w:tc>
          <w:tcPr>
            <w:tcW w:w="40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2.07</w:t>
            </w:r>
          </w:p>
        </w:tc>
        <w:tc>
          <w:tcPr>
            <w:tcW w:w="4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80"/>
        </w:trPr>
        <w:tc>
          <w:tcPr>
            <w:tcW w:w="6040" w:type="dxa"/>
            <w:vAlign w:val="bottom"/>
            <w:vMerge w:val="continue"/>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6040" w:type="dxa"/>
            <w:vAlign w:val="bottom"/>
          </w:tcPr>
          <w:p>
            <w:pPr>
              <w:spacing w:after="0"/>
              <w:rPr>
                <w:sz w:val="20"/>
                <w:szCs w:val="20"/>
                <w:color w:val="auto"/>
              </w:rPr>
            </w:pPr>
            <w:r>
              <w:rPr>
                <w:rFonts w:ascii="Arial" w:cs="Arial" w:eastAsia="Arial" w:hAnsi="Arial"/>
                <w:sz w:val="16"/>
                <w:szCs w:val="16"/>
                <w:color w:val="auto"/>
              </w:rPr>
              <w:t>Weighted-average number of shares outstanding, diluted (thousands)</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line="173" w:lineRule="exact"/>
              <w:rPr>
                <w:sz w:val="20"/>
                <w:szCs w:val="20"/>
                <w:color w:val="auto"/>
              </w:rPr>
            </w:pPr>
            <w:r>
              <w:rPr>
                <w:rFonts w:ascii="Arial" w:cs="Arial" w:eastAsia="Arial" w:hAnsi="Arial"/>
                <w:sz w:val="16"/>
                <w:szCs w:val="16"/>
                <w:color w:val="auto"/>
              </w:rPr>
              <w:t>250,061</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line="173" w:lineRule="exact"/>
              <w:rPr>
                <w:sz w:val="20"/>
                <w:szCs w:val="20"/>
                <w:color w:val="auto"/>
              </w:rPr>
            </w:pPr>
            <w:r>
              <w:rPr>
                <w:rFonts w:ascii="Arial" w:cs="Arial" w:eastAsia="Arial" w:hAnsi="Arial"/>
                <w:sz w:val="16"/>
                <w:szCs w:val="16"/>
                <w:color w:val="auto"/>
              </w:rPr>
              <w:t>248,515</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line="173" w:lineRule="exact"/>
              <w:rPr>
                <w:sz w:val="20"/>
                <w:szCs w:val="20"/>
                <w:color w:val="auto"/>
              </w:rPr>
            </w:pPr>
            <w:r>
              <w:rPr>
                <w:rFonts w:ascii="Arial" w:cs="Arial" w:eastAsia="Arial" w:hAnsi="Arial"/>
                <w:sz w:val="16"/>
                <w:szCs w:val="16"/>
                <w:color w:val="auto"/>
              </w:rPr>
              <w:t>249,816</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248,279</w:t>
            </w:r>
          </w:p>
        </w:tc>
        <w:tc>
          <w:tcPr>
            <w:tcW w:w="0" w:type="dxa"/>
            <w:vAlign w:val="bottom"/>
          </w:tcPr>
          <w:p>
            <w:pPr>
              <w:spacing w:after="0"/>
              <w:rPr>
                <w:sz w:val="1"/>
                <w:szCs w:val="1"/>
                <w:color w:val="auto"/>
              </w:rPr>
            </w:pPr>
          </w:p>
        </w:tc>
      </w:tr>
      <w:tr>
        <w:trPr>
          <w:trHeight w:val="173"/>
        </w:trPr>
        <w:tc>
          <w:tcPr>
            <w:tcW w:w="6040" w:type="dxa"/>
            <w:vAlign w:val="bottom"/>
          </w:tcPr>
          <w:p>
            <w:pPr>
              <w:spacing w:after="0" w:line="173" w:lineRule="exact"/>
              <w:rPr>
                <w:sz w:val="20"/>
                <w:szCs w:val="20"/>
                <w:color w:val="auto"/>
              </w:rPr>
            </w:pPr>
            <w:r>
              <w:rPr>
                <w:rFonts w:ascii="Arial" w:cs="Arial" w:eastAsia="Arial" w:hAnsi="Arial"/>
                <w:sz w:val="16"/>
                <w:szCs w:val="16"/>
                <w:color w:val="auto"/>
              </w:rPr>
              <w:t>Dividends declared per share of common stock</w:t>
            </w:r>
          </w:p>
        </w:tc>
        <w:tc>
          <w:tcPr>
            <w:tcW w:w="460" w:type="dxa"/>
            <w:vAlign w:val="bottom"/>
          </w:tcPr>
          <w:p>
            <w:pPr>
              <w:jc w:val="right"/>
              <w:ind w:right="180"/>
              <w:spacing w:after="0" w:line="173"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line="173" w:lineRule="exact"/>
              <w:rPr>
                <w:sz w:val="20"/>
                <w:szCs w:val="20"/>
                <w:color w:val="auto"/>
              </w:rPr>
            </w:pPr>
            <w:r>
              <w:rPr>
                <w:rFonts w:ascii="Arial" w:cs="Arial" w:eastAsia="Arial" w:hAnsi="Arial"/>
                <w:sz w:val="16"/>
                <w:szCs w:val="16"/>
                <w:color w:val="auto"/>
              </w:rPr>
              <w:t>0.66</w:t>
            </w:r>
          </w:p>
        </w:tc>
        <w:tc>
          <w:tcPr>
            <w:tcW w:w="400" w:type="dxa"/>
            <w:vAlign w:val="bottom"/>
          </w:tcPr>
          <w:p>
            <w:pPr>
              <w:jc w:val="right"/>
              <w:ind w:right="180"/>
              <w:spacing w:after="0" w:line="173"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line="173" w:lineRule="exact"/>
              <w:rPr>
                <w:sz w:val="20"/>
                <w:szCs w:val="20"/>
                <w:color w:val="auto"/>
              </w:rPr>
            </w:pPr>
            <w:r>
              <w:rPr>
                <w:rFonts w:ascii="Arial" w:cs="Arial" w:eastAsia="Arial" w:hAnsi="Arial"/>
                <w:sz w:val="16"/>
                <w:szCs w:val="16"/>
                <w:color w:val="auto"/>
              </w:rPr>
              <w:t>0.63</w:t>
            </w:r>
          </w:p>
        </w:tc>
        <w:tc>
          <w:tcPr>
            <w:tcW w:w="400" w:type="dxa"/>
            <w:vAlign w:val="bottom"/>
          </w:tcPr>
          <w:p>
            <w:pPr>
              <w:jc w:val="right"/>
              <w:ind w:right="180"/>
              <w:spacing w:after="0" w:line="173"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line="173" w:lineRule="exact"/>
              <w:rPr>
                <w:sz w:val="20"/>
                <w:szCs w:val="20"/>
                <w:color w:val="auto"/>
              </w:rPr>
            </w:pPr>
            <w:r>
              <w:rPr>
                <w:rFonts w:ascii="Arial" w:cs="Arial" w:eastAsia="Arial" w:hAnsi="Arial"/>
                <w:sz w:val="16"/>
                <w:szCs w:val="16"/>
                <w:color w:val="auto"/>
              </w:rPr>
              <w:t>1.32</w:t>
            </w:r>
          </w:p>
        </w:tc>
        <w:tc>
          <w:tcPr>
            <w:tcW w:w="420" w:type="dxa"/>
            <w:vAlign w:val="bottom"/>
          </w:tcPr>
          <w:p>
            <w:pPr>
              <w:jc w:val="right"/>
              <w:ind w:right="200"/>
              <w:spacing w:after="0" w:line="17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80"/>
        </w:trPr>
        <w:tc>
          <w:tcPr>
            <w:tcW w:w="604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20" w:type="dxa"/>
            <w:vAlign w:val="bottom"/>
            <w:gridSpan w:val="5"/>
            <w:vMerge w:val="restart"/>
          </w:tcPr>
          <w:p>
            <w:pPr>
              <w:jc w:val="right"/>
              <w:ind w:right="902"/>
              <w:spacing w:after="0"/>
              <w:rPr>
                <w:sz w:val="20"/>
                <w:szCs w:val="20"/>
                <w:color w:val="auto"/>
              </w:rPr>
            </w:pPr>
            <w:r>
              <w:rPr>
                <w:rFonts w:ascii="Arial" w:cs="Arial" w:eastAsia="Arial" w:hAnsi="Arial"/>
                <w:sz w:val="14"/>
                <w:szCs w:val="14"/>
                <w:color w:val="auto"/>
              </w:rPr>
              <w:t>Three months ended June 30, 2014 and 2013</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448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520" w:type="dxa"/>
            <w:vAlign w:val="bottom"/>
            <w:tcBorders>
              <w:bottom w:val="single" w:sz="8" w:color="auto"/>
            </w:tcBorders>
            <w:gridSpan w:val="5"/>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4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22"/>
              <w:spacing w:after="0" w:line="153" w:lineRule="exact"/>
              <w:rPr>
                <w:sz w:val="20"/>
                <w:szCs w:val="20"/>
                <w:color w:val="auto"/>
              </w:rPr>
            </w:pPr>
            <w:r>
              <w:rPr>
                <w:rFonts w:ascii="Arial" w:cs="Arial" w:eastAsia="Arial" w:hAnsi="Arial"/>
                <w:sz w:val="14"/>
                <w:szCs w:val="14"/>
                <w:color w:val="auto"/>
              </w:rPr>
              <w:t>(unaudited)</w:t>
            </w:r>
          </w:p>
        </w:tc>
        <w:tc>
          <w:tcPr>
            <w:tcW w:w="2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5"/>
          </w:tcPr>
          <w:p>
            <w:pPr>
              <w:jc w:val="right"/>
              <w:ind w:right="782"/>
              <w:spacing w:after="0" w:line="153" w:lineRule="exact"/>
              <w:rPr>
                <w:sz w:val="20"/>
                <w:szCs w:val="20"/>
                <w:color w:val="auto"/>
              </w:rPr>
            </w:pPr>
            <w:r>
              <w:rPr>
                <w:rFonts w:ascii="Arial" w:cs="Arial" w:eastAsia="Arial" w:hAnsi="Arial"/>
                <w:sz w:val="14"/>
                <w:szCs w:val="14"/>
                <w:color w:val="auto"/>
              </w:rPr>
              <w:t>Sempra Energy Shareholders' Equity</w:t>
            </w:r>
          </w:p>
        </w:tc>
        <w:tc>
          <w:tcPr>
            <w:tcW w:w="220" w:type="dxa"/>
            <w:vAlign w:val="bottom"/>
          </w:tcPr>
          <w:p>
            <w:pPr>
              <w:spacing w:after="0"/>
              <w:rPr>
                <w:sz w:val="13"/>
                <w:szCs w:val="13"/>
                <w:color w:val="auto"/>
              </w:rPr>
            </w:pPr>
          </w:p>
        </w:tc>
        <w:tc>
          <w:tcPr>
            <w:tcW w:w="1620" w:type="dxa"/>
            <w:vAlign w:val="bottom"/>
            <w:vMerge w:val="restart"/>
          </w:tcPr>
          <w:p>
            <w:pPr>
              <w:jc w:val="right"/>
              <w:ind w:right="442"/>
              <w:spacing w:after="0"/>
              <w:rPr>
                <w:sz w:val="20"/>
                <w:szCs w:val="20"/>
                <w:color w:val="auto"/>
              </w:rPr>
            </w:pPr>
            <w:r>
              <w:rPr>
                <w:rFonts w:ascii="Arial" w:cs="Arial" w:eastAsia="Arial" w:hAnsi="Arial"/>
                <w:sz w:val="14"/>
                <w:szCs w:val="14"/>
                <w:color w:val="auto"/>
              </w:rPr>
              <w:t>Noncontrolling</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Pretax</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462"/>
              <w:spacing w:after="0"/>
              <w:rPr>
                <w:sz w:val="20"/>
                <w:szCs w:val="20"/>
                <w:color w:val="auto"/>
              </w:rPr>
            </w:pPr>
            <w:r>
              <w:rPr>
                <w:rFonts w:ascii="Arial" w:cs="Arial" w:eastAsia="Arial" w:hAnsi="Arial"/>
                <w:sz w:val="14"/>
                <w:szCs w:val="14"/>
                <w:color w:val="auto"/>
              </w:rPr>
              <w:t>Income Tax</w:t>
            </w:r>
          </w:p>
        </w:tc>
        <w:tc>
          <w:tcPr>
            <w:tcW w:w="180" w:type="dxa"/>
            <w:vAlign w:val="bottom"/>
          </w:tcPr>
          <w:p>
            <w:pPr>
              <w:spacing w:after="0"/>
              <w:rPr>
                <w:sz w:val="14"/>
                <w:szCs w:val="14"/>
                <w:color w:val="auto"/>
              </w:rPr>
            </w:pPr>
          </w:p>
        </w:tc>
        <w:tc>
          <w:tcPr>
            <w:tcW w:w="1020" w:type="dxa"/>
            <w:vAlign w:val="bottom"/>
          </w:tcPr>
          <w:p>
            <w:pPr>
              <w:jc w:val="right"/>
              <w:ind w:right="242"/>
              <w:spacing w:after="0"/>
              <w:rPr>
                <w:sz w:val="20"/>
                <w:szCs w:val="20"/>
                <w:color w:val="auto"/>
              </w:rPr>
            </w:pPr>
            <w:r>
              <w:rPr>
                <w:rFonts w:ascii="Arial" w:cs="Arial" w:eastAsia="Arial" w:hAnsi="Arial"/>
                <w:sz w:val="14"/>
                <w:szCs w:val="14"/>
                <w:color w:val="auto"/>
              </w:rPr>
              <w:t>Net-of-Tax</w:t>
            </w:r>
          </w:p>
        </w:tc>
        <w:tc>
          <w:tcPr>
            <w:tcW w:w="2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color w:val="auto"/>
              </w:rPr>
              <w:t>(Expense) Benefit</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Amount</w:t>
            </w: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color w:val="auto"/>
              </w:rPr>
              <w:t>Interests (After-Tax)</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4480" w:type="dxa"/>
            <w:vAlign w:val="bottom"/>
          </w:tcPr>
          <w:p>
            <w:pPr>
              <w:spacing w:after="0" w:line="148" w:lineRule="exact"/>
              <w:rPr>
                <w:sz w:val="20"/>
                <w:szCs w:val="20"/>
                <w:color w:val="auto"/>
              </w:rPr>
            </w:pPr>
            <w:r>
              <w:rPr>
                <w:rFonts w:ascii="Arial" w:cs="Arial" w:eastAsia="Arial" w:hAnsi="Arial"/>
                <w:sz w:val="16"/>
                <w:szCs w:val="16"/>
                <w:b w:val="1"/>
                <w:bCs w:val="1"/>
                <w:color w:val="auto"/>
              </w:rPr>
              <w:t>2014:</w:t>
            </w:r>
          </w:p>
        </w:tc>
        <w:tc>
          <w:tcPr>
            <w:tcW w:w="800" w:type="dxa"/>
            <w:vAlign w:val="bottom"/>
            <w:vMerge w:val="restart"/>
          </w:tcPr>
          <w:p>
            <w:pPr>
              <w:jc w:val="right"/>
              <w:ind w:right="523"/>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jc w:val="right"/>
              <w:ind w:right="21"/>
              <w:spacing w:after="0"/>
              <w:rPr>
                <w:sz w:val="20"/>
                <w:szCs w:val="20"/>
                <w:color w:val="auto"/>
              </w:rPr>
            </w:pPr>
            <w:r>
              <w:rPr>
                <w:rFonts w:ascii="Arial" w:cs="Arial" w:eastAsia="Arial" w:hAnsi="Arial"/>
                <w:sz w:val="16"/>
                <w:szCs w:val="16"/>
                <w:color w:val="auto"/>
                <w:w w:val="97"/>
              </w:rPr>
              <w:t>363</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(93)</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270</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20" w:type="dxa"/>
            <w:vAlign w:val="bottom"/>
            <w:vMerge w:val="restart"/>
          </w:tcPr>
          <w:p>
            <w:pPr>
              <w:jc w:val="right"/>
              <w:ind w:right="22"/>
              <w:spacing w:after="0"/>
              <w:rPr>
                <w:sz w:val="20"/>
                <w:szCs w:val="20"/>
                <w:color w:val="auto"/>
              </w:rPr>
            </w:pPr>
            <w:r>
              <w:rPr>
                <w:rFonts w:ascii="Arial" w:cs="Arial" w:eastAsia="Arial" w:hAnsi="Arial"/>
                <w:sz w:val="16"/>
                <w:szCs w:val="16"/>
                <w:color w:val="auto"/>
              </w:rPr>
              <w:t>22</w:t>
            </w:r>
          </w:p>
        </w:tc>
        <w:tc>
          <w:tcPr>
            <w:tcW w:w="24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196"/>
        </w:trPr>
        <w:tc>
          <w:tcPr>
            <w:tcW w:w="4480" w:type="dxa"/>
            <w:vAlign w:val="bottom"/>
          </w:tcPr>
          <w:p>
            <w:pPr>
              <w:spacing w:after="0"/>
              <w:rPr>
                <w:sz w:val="20"/>
                <w:szCs w:val="20"/>
                <w:color w:val="auto"/>
              </w:rPr>
            </w:pPr>
            <w:r>
              <w:rPr>
                <w:rFonts w:ascii="Arial" w:cs="Arial" w:eastAsia="Arial" w:hAnsi="Arial"/>
                <w:sz w:val="16"/>
                <w:szCs w:val="16"/>
                <w:color w:val="auto"/>
              </w:rPr>
              <w:t>Net income</w:t>
            </w:r>
          </w:p>
        </w:tc>
        <w:tc>
          <w:tcPr>
            <w:tcW w:w="8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line="135" w:lineRule="exact"/>
              <w:rPr>
                <w:sz w:val="20"/>
                <w:szCs w:val="20"/>
                <w:color w:val="auto"/>
              </w:rPr>
            </w:pPr>
            <w:r>
              <w:rPr>
                <w:rFonts w:ascii="Arial" w:cs="Arial" w:eastAsia="Arial" w:hAnsi="Arial"/>
                <w:sz w:val="15"/>
                <w:szCs w:val="15"/>
                <w:color w:val="auto"/>
              </w:rPr>
              <w:t>Other comprehensive income (loss):</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480" w:type="dxa"/>
            <w:vAlign w:val="bottom"/>
          </w:tcPr>
          <w:p>
            <w:pPr>
              <w:ind w:left="180"/>
              <w:spacing w:after="0" w:line="173" w:lineRule="exact"/>
              <w:rPr>
                <w:sz w:val="20"/>
                <w:szCs w:val="20"/>
                <w:color w:val="auto"/>
              </w:rPr>
            </w:pPr>
            <w:r>
              <w:rPr>
                <w:rFonts w:ascii="Arial" w:cs="Arial" w:eastAsia="Arial" w:hAnsi="Arial"/>
                <w:sz w:val="16"/>
                <w:szCs w:val="16"/>
                <w:color w:val="auto"/>
              </w:rPr>
              <w:t>Foreign currency translation adjustments</w:t>
            </w:r>
          </w:p>
        </w:tc>
        <w:tc>
          <w:tcPr>
            <w:tcW w:w="800" w:type="dxa"/>
            <w:vAlign w:val="bottom"/>
          </w:tcPr>
          <w:p>
            <w:pPr>
              <w:spacing w:after="0"/>
              <w:rPr>
                <w:sz w:val="15"/>
                <w:szCs w:val="15"/>
                <w:color w:val="auto"/>
              </w:rPr>
            </w:pPr>
          </w:p>
        </w:tc>
        <w:tc>
          <w:tcPr>
            <w:tcW w:w="380" w:type="dxa"/>
            <w:vAlign w:val="bottom"/>
          </w:tcPr>
          <w:p>
            <w:pPr>
              <w:jc w:val="right"/>
              <w:ind w:right="21"/>
              <w:spacing w:after="0" w:line="173" w:lineRule="exact"/>
              <w:rPr>
                <w:sz w:val="20"/>
                <w:szCs w:val="20"/>
                <w:color w:val="auto"/>
              </w:rPr>
            </w:pPr>
            <w:r>
              <w:rPr>
                <w:rFonts w:ascii="Arial" w:cs="Arial" w:eastAsia="Arial" w:hAnsi="Arial"/>
                <w:sz w:val="16"/>
                <w:szCs w:val="16"/>
                <w:color w:val="auto"/>
              </w:rPr>
              <w:t>2</w:t>
            </w:r>
          </w:p>
        </w:tc>
        <w:tc>
          <w:tcPr>
            <w:tcW w:w="160" w:type="dxa"/>
            <w:vAlign w:val="bottom"/>
          </w:tcPr>
          <w:p>
            <w:pPr>
              <w:spacing w:after="0"/>
              <w:rPr>
                <w:sz w:val="15"/>
                <w:szCs w:val="15"/>
                <w:color w:val="auto"/>
              </w:rPr>
            </w:pPr>
          </w:p>
        </w:tc>
        <w:tc>
          <w:tcPr>
            <w:tcW w:w="1480" w:type="dxa"/>
            <w:vAlign w:val="bottom"/>
          </w:tcPr>
          <w:p>
            <w:pPr>
              <w:jc w:val="right"/>
              <w:ind w:right="22"/>
              <w:spacing w:after="0" w:line="17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220" w:type="dxa"/>
            <w:vAlign w:val="bottom"/>
          </w:tcPr>
          <w:p>
            <w:pPr>
              <w:spacing w:after="0"/>
              <w:rPr>
                <w:sz w:val="15"/>
                <w:szCs w:val="15"/>
                <w:color w:val="auto"/>
              </w:rPr>
            </w:pPr>
          </w:p>
        </w:tc>
        <w:tc>
          <w:tcPr>
            <w:tcW w:w="1620" w:type="dxa"/>
            <w:vAlign w:val="bottom"/>
          </w:tcPr>
          <w:p>
            <w:pPr>
              <w:jc w:val="right"/>
              <w:ind w:right="22"/>
              <w:spacing w:after="0" w:line="173" w:lineRule="exact"/>
              <w:rPr>
                <w:sz w:val="20"/>
                <w:szCs w:val="20"/>
                <w:color w:val="auto"/>
              </w:rPr>
            </w:pPr>
            <w:r>
              <w:rPr>
                <w:rFonts w:ascii="Arial" w:cs="Arial" w:eastAsia="Arial" w:hAnsi="Arial"/>
                <w:sz w:val="16"/>
                <w:szCs w:val="16"/>
                <w:color w:val="auto"/>
              </w:rPr>
              <w:t>1</w:t>
            </w:r>
          </w:p>
        </w:tc>
        <w:tc>
          <w:tcPr>
            <w:tcW w:w="24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3"/>
        </w:trPr>
        <w:tc>
          <w:tcPr>
            <w:tcW w:w="4480" w:type="dxa"/>
            <w:vAlign w:val="bottom"/>
          </w:tcPr>
          <w:p>
            <w:pPr>
              <w:ind w:left="180"/>
              <w:spacing w:after="0" w:line="173" w:lineRule="exact"/>
              <w:rPr>
                <w:sz w:val="20"/>
                <w:szCs w:val="20"/>
                <w:color w:val="auto"/>
              </w:rPr>
            </w:pPr>
            <w:r>
              <w:rPr>
                <w:rFonts w:ascii="Arial" w:cs="Arial" w:eastAsia="Arial" w:hAnsi="Arial"/>
                <w:sz w:val="16"/>
                <w:szCs w:val="16"/>
                <w:color w:val="auto"/>
              </w:rPr>
              <w:t>Pension and other postretirement benefits</w:t>
            </w:r>
          </w:p>
        </w:tc>
        <w:tc>
          <w:tcPr>
            <w:tcW w:w="800" w:type="dxa"/>
            <w:vAlign w:val="bottom"/>
          </w:tcPr>
          <w:p>
            <w:pPr>
              <w:spacing w:after="0"/>
              <w:rPr>
                <w:sz w:val="15"/>
                <w:szCs w:val="15"/>
                <w:color w:val="auto"/>
              </w:rPr>
            </w:pPr>
          </w:p>
        </w:tc>
        <w:tc>
          <w:tcPr>
            <w:tcW w:w="380" w:type="dxa"/>
            <w:vAlign w:val="bottom"/>
          </w:tcPr>
          <w:p>
            <w:pPr>
              <w:jc w:val="right"/>
              <w:ind w:right="21"/>
              <w:spacing w:after="0" w:line="173" w:lineRule="exact"/>
              <w:rPr>
                <w:sz w:val="20"/>
                <w:szCs w:val="20"/>
                <w:color w:val="auto"/>
              </w:rPr>
            </w:pPr>
            <w:r>
              <w:rPr>
                <w:rFonts w:ascii="Arial" w:cs="Arial" w:eastAsia="Arial" w:hAnsi="Arial"/>
                <w:sz w:val="16"/>
                <w:szCs w:val="16"/>
                <w:color w:val="auto"/>
              </w:rPr>
              <w:t>8</w:t>
            </w:r>
          </w:p>
        </w:tc>
        <w:tc>
          <w:tcPr>
            <w:tcW w:w="160" w:type="dxa"/>
            <w:vAlign w:val="bottom"/>
          </w:tcPr>
          <w:p>
            <w:pPr>
              <w:spacing w:after="0"/>
              <w:rPr>
                <w:sz w:val="15"/>
                <w:szCs w:val="15"/>
                <w:color w:val="auto"/>
              </w:rPr>
            </w:pPr>
          </w:p>
        </w:tc>
        <w:tc>
          <w:tcPr>
            <w:tcW w:w="1480" w:type="dxa"/>
            <w:vAlign w:val="bottom"/>
          </w:tcPr>
          <w:p>
            <w:pPr>
              <w:jc w:val="right"/>
              <w:spacing w:after="0" w:line="173" w:lineRule="exact"/>
              <w:rPr>
                <w:sz w:val="20"/>
                <w:szCs w:val="20"/>
                <w:color w:val="auto"/>
              </w:rPr>
            </w:pPr>
            <w:r>
              <w:rPr>
                <w:rFonts w:ascii="Arial" w:cs="Arial" w:eastAsia="Arial" w:hAnsi="Arial"/>
                <w:sz w:val="16"/>
                <w:szCs w:val="16"/>
                <w:color w:val="auto"/>
              </w:rPr>
              <w:t>(3)</w:t>
            </w:r>
          </w:p>
        </w:tc>
        <w:tc>
          <w:tcPr>
            <w:tcW w:w="1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5</w:t>
            </w:r>
          </w:p>
        </w:tc>
        <w:tc>
          <w:tcPr>
            <w:tcW w:w="220" w:type="dxa"/>
            <w:vAlign w:val="bottom"/>
          </w:tcPr>
          <w:p>
            <w:pPr>
              <w:spacing w:after="0"/>
              <w:rPr>
                <w:sz w:val="15"/>
                <w:szCs w:val="15"/>
                <w:color w:val="auto"/>
              </w:rPr>
            </w:pPr>
          </w:p>
        </w:tc>
        <w:tc>
          <w:tcPr>
            <w:tcW w:w="1620" w:type="dxa"/>
            <w:vAlign w:val="bottom"/>
          </w:tcPr>
          <w:p>
            <w:pPr>
              <w:jc w:val="right"/>
              <w:ind w:right="22"/>
              <w:spacing w:after="0" w:line="173"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4"/>
        </w:trPr>
        <w:tc>
          <w:tcPr>
            <w:tcW w:w="448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6"/>
        </w:trPr>
        <w:tc>
          <w:tcPr>
            <w:tcW w:w="4480" w:type="dxa"/>
            <w:vAlign w:val="bottom"/>
          </w:tcPr>
          <w:p>
            <w:pPr>
              <w:ind w:left="180"/>
              <w:spacing w:after="0" w:line="166" w:lineRule="exact"/>
              <w:rPr>
                <w:sz w:val="20"/>
                <w:szCs w:val="20"/>
                <w:color w:val="auto"/>
              </w:rPr>
            </w:pPr>
            <w:r>
              <w:rPr>
                <w:rFonts w:ascii="Arial" w:cs="Arial" w:eastAsia="Arial" w:hAnsi="Arial"/>
                <w:sz w:val="16"/>
                <w:szCs w:val="16"/>
                <w:color w:val="auto"/>
              </w:rPr>
              <w:t>Total other comprehensive income (loss)</w:t>
            </w: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w:t>
            </w: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22"/>
              <w:spacing w:after="0" w:line="166" w:lineRule="exact"/>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2"/>
              <w:spacing w:after="0" w:line="166" w:lineRule="exact"/>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4480" w:type="dxa"/>
            <w:vAlign w:val="bottom"/>
          </w:tcPr>
          <w:p>
            <w:pPr>
              <w:spacing w:after="0" w:line="135" w:lineRule="exact"/>
              <w:rPr>
                <w:sz w:val="20"/>
                <w:szCs w:val="20"/>
                <w:color w:val="auto"/>
              </w:rPr>
            </w:pPr>
            <w:r>
              <w:rPr>
                <w:rFonts w:ascii="Arial" w:cs="Arial" w:eastAsia="Arial" w:hAnsi="Arial"/>
                <w:sz w:val="15"/>
                <w:szCs w:val="15"/>
                <w:color w:val="auto"/>
              </w:rPr>
              <w:t>Comprehensive income</w:t>
            </w:r>
          </w:p>
        </w:tc>
        <w:tc>
          <w:tcPr>
            <w:tcW w:w="800" w:type="dxa"/>
            <w:vAlign w:val="bottom"/>
          </w:tcPr>
          <w:p>
            <w:pPr>
              <w:spacing w:after="0"/>
              <w:rPr>
                <w:sz w:val="11"/>
                <w:szCs w:val="11"/>
                <w:color w:val="auto"/>
              </w:rPr>
            </w:pPr>
          </w:p>
        </w:tc>
        <w:tc>
          <w:tcPr>
            <w:tcW w:w="380" w:type="dxa"/>
            <w:vAlign w:val="bottom"/>
          </w:tcPr>
          <w:p>
            <w:pPr>
              <w:jc w:val="right"/>
              <w:ind w:right="21"/>
              <w:spacing w:after="0" w:line="135" w:lineRule="exact"/>
              <w:rPr>
                <w:sz w:val="20"/>
                <w:szCs w:val="20"/>
                <w:color w:val="auto"/>
              </w:rPr>
            </w:pPr>
            <w:r>
              <w:rPr>
                <w:rFonts w:ascii="Arial" w:cs="Arial" w:eastAsia="Arial" w:hAnsi="Arial"/>
                <w:sz w:val="15"/>
                <w:szCs w:val="15"/>
                <w:color w:val="auto"/>
              </w:rPr>
              <w:t>361</w:t>
            </w:r>
          </w:p>
        </w:tc>
        <w:tc>
          <w:tcPr>
            <w:tcW w:w="16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5"/>
                <w:szCs w:val="15"/>
                <w:color w:val="auto"/>
              </w:rPr>
              <w:t>(91)</w:t>
            </w:r>
          </w:p>
        </w:tc>
        <w:tc>
          <w:tcPr>
            <w:tcW w:w="18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5"/>
                <w:szCs w:val="15"/>
                <w:color w:val="auto"/>
              </w:rPr>
              <w:t>270</w:t>
            </w:r>
          </w:p>
        </w:tc>
        <w:tc>
          <w:tcPr>
            <w:tcW w:w="220" w:type="dxa"/>
            <w:vAlign w:val="bottom"/>
          </w:tcPr>
          <w:p>
            <w:pPr>
              <w:spacing w:after="0"/>
              <w:rPr>
                <w:sz w:val="11"/>
                <w:szCs w:val="11"/>
                <w:color w:val="auto"/>
              </w:rPr>
            </w:pPr>
          </w:p>
        </w:tc>
        <w:tc>
          <w:tcPr>
            <w:tcW w:w="1620" w:type="dxa"/>
            <w:vAlign w:val="bottom"/>
          </w:tcPr>
          <w:p>
            <w:pPr>
              <w:jc w:val="right"/>
              <w:ind w:right="22"/>
              <w:spacing w:after="0" w:line="135" w:lineRule="exact"/>
              <w:rPr>
                <w:sz w:val="20"/>
                <w:szCs w:val="20"/>
                <w:color w:val="auto"/>
              </w:rPr>
            </w:pPr>
            <w:r>
              <w:rPr>
                <w:rFonts w:ascii="Arial" w:cs="Arial" w:eastAsia="Arial" w:hAnsi="Arial"/>
                <w:sz w:val="15"/>
                <w:szCs w:val="15"/>
                <w:color w:val="auto"/>
              </w:rPr>
              <w:t>22</w:t>
            </w: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292</w:t>
            </w:r>
          </w:p>
        </w:tc>
        <w:tc>
          <w:tcPr>
            <w:tcW w:w="0" w:type="dxa"/>
            <w:vAlign w:val="bottom"/>
          </w:tcPr>
          <w:p>
            <w:pPr>
              <w:spacing w:after="0"/>
              <w:rPr>
                <w:sz w:val="1"/>
                <w:szCs w:val="1"/>
                <w:color w:val="auto"/>
              </w:rPr>
            </w:pPr>
          </w:p>
        </w:tc>
      </w:tr>
      <w:tr>
        <w:trPr>
          <w:trHeight w:val="204"/>
        </w:trPr>
        <w:tc>
          <w:tcPr>
            <w:tcW w:w="4480" w:type="dxa"/>
            <w:vAlign w:val="bottom"/>
          </w:tcPr>
          <w:p>
            <w:pPr>
              <w:spacing w:after="0"/>
              <w:rPr>
                <w:sz w:val="20"/>
                <w:szCs w:val="20"/>
                <w:color w:val="auto"/>
              </w:rPr>
            </w:pPr>
            <w:r>
              <w:rPr>
                <w:rFonts w:ascii="Arial" w:cs="Arial" w:eastAsia="Arial" w:hAnsi="Arial"/>
                <w:sz w:val="16"/>
                <w:szCs w:val="16"/>
                <w:color w:val="auto"/>
              </w:rPr>
              <w:t>Preferred dividends of subsidiary</w:t>
            </w: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35"/>
        </w:trPr>
        <w:tc>
          <w:tcPr>
            <w:tcW w:w="4480" w:type="dxa"/>
            <w:vAlign w:val="bottom"/>
          </w:tcPr>
          <w:p>
            <w:pPr>
              <w:spacing w:after="0" w:line="135" w:lineRule="exact"/>
              <w:rPr>
                <w:sz w:val="20"/>
                <w:szCs w:val="20"/>
                <w:color w:val="auto"/>
              </w:rPr>
            </w:pPr>
            <w:r>
              <w:rPr>
                <w:rFonts w:ascii="Arial" w:cs="Arial" w:eastAsia="Arial" w:hAnsi="Arial"/>
                <w:sz w:val="15"/>
                <w:szCs w:val="15"/>
                <w:color w:val="auto"/>
              </w:rPr>
              <w:t>Comprehensive income, after preferred</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480" w:type="dxa"/>
            <w:vAlign w:val="bottom"/>
          </w:tcPr>
          <w:p>
            <w:pPr>
              <w:ind w:left="180"/>
              <w:spacing w:after="0"/>
              <w:rPr>
                <w:sz w:val="20"/>
                <w:szCs w:val="20"/>
                <w:color w:val="auto"/>
              </w:rPr>
            </w:pPr>
            <w:r>
              <w:rPr>
                <w:rFonts w:ascii="Arial" w:cs="Arial" w:eastAsia="Arial" w:hAnsi="Arial"/>
                <w:sz w:val="16"/>
                <w:szCs w:val="16"/>
                <w:color w:val="auto"/>
              </w:rPr>
              <w:t>dividends of subsidiary</w:t>
            </w:r>
          </w:p>
        </w:tc>
        <w:tc>
          <w:tcPr>
            <w:tcW w:w="80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w w:val="97"/>
              </w:rPr>
              <w:t>360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22</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80"/>
        </w:trPr>
        <w:tc>
          <w:tcPr>
            <w:tcW w:w="4480" w:type="dxa"/>
            <w:vAlign w:val="bottom"/>
            <w:shd w:val="clear" w:color="auto" w:fill="000000"/>
          </w:tcPr>
          <w:p>
            <w:pPr>
              <w:spacing w:after="0"/>
              <w:rPr>
                <w:sz w:val="6"/>
                <w:szCs w:val="6"/>
                <w:color w:val="auto"/>
              </w:rPr>
            </w:pPr>
          </w:p>
        </w:tc>
        <w:tc>
          <w:tcPr>
            <w:tcW w:w="80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148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162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8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4480" w:type="dxa"/>
            <w:vAlign w:val="bottom"/>
          </w:tcPr>
          <w:p>
            <w:pPr>
              <w:spacing w:after="0" w:line="155" w:lineRule="exact"/>
              <w:rPr>
                <w:sz w:val="20"/>
                <w:szCs w:val="20"/>
                <w:color w:val="auto"/>
              </w:rPr>
            </w:pPr>
            <w:r>
              <w:rPr>
                <w:rFonts w:ascii="Arial" w:cs="Arial" w:eastAsia="Arial" w:hAnsi="Arial"/>
                <w:sz w:val="16"/>
                <w:szCs w:val="16"/>
                <w:b w:val="1"/>
                <w:bCs w:val="1"/>
                <w:color w:val="auto"/>
              </w:rPr>
              <w:t>2013:</w:t>
            </w:r>
          </w:p>
        </w:tc>
        <w:tc>
          <w:tcPr>
            <w:tcW w:w="800" w:type="dxa"/>
            <w:vAlign w:val="bottom"/>
            <w:vMerge w:val="restart"/>
          </w:tcPr>
          <w:p>
            <w:pPr>
              <w:jc w:val="right"/>
              <w:ind w:right="523"/>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jc w:val="right"/>
              <w:ind w:right="21"/>
              <w:spacing w:after="0"/>
              <w:rPr>
                <w:sz w:val="20"/>
                <w:szCs w:val="20"/>
                <w:color w:val="auto"/>
              </w:rPr>
            </w:pPr>
            <w:r>
              <w:rPr>
                <w:rFonts w:ascii="Arial" w:cs="Arial" w:eastAsia="Arial" w:hAnsi="Arial"/>
                <w:sz w:val="16"/>
                <w:szCs w:val="16"/>
                <w:color w:val="auto"/>
                <w:w w:val="97"/>
              </w:rPr>
              <w:t>278</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246</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20" w:type="dxa"/>
            <w:vAlign w:val="bottom"/>
            <w:vMerge w:val="restart"/>
          </w:tcPr>
          <w:p>
            <w:pPr>
              <w:jc w:val="right"/>
              <w:ind w:right="22"/>
              <w:spacing w:after="0"/>
              <w:rPr>
                <w:sz w:val="20"/>
                <w:szCs w:val="20"/>
                <w:color w:val="auto"/>
              </w:rPr>
            </w:pPr>
            <w:r>
              <w:rPr>
                <w:rFonts w:ascii="Arial" w:cs="Arial" w:eastAsia="Arial" w:hAnsi="Arial"/>
                <w:sz w:val="16"/>
                <w:szCs w:val="16"/>
                <w:color w:val="auto"/>
              </w:rPr>
              <w:t>21</w:t>
            </w:r>
          </w:p>
        </w:tc>
        <w:tc>
          <w:tcPr>
            <w:tcW w:w="24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196"/>
        </w:trPr>
        <w:tc>
          <w:tcPr>
            <w:tcW w:w="4480" w:type="dxa"/>
            <w:vAlign w:val="bottom"/>
          </w:tcPr>
          <w:p>
            <w:pPr>
              <w:spacing w:after="0"/>
              <w:rPr>
                <w:sz w:val="20"/>
                <w:szCs w:val="20"/>
                <w:color w:val="auto"/>
              </w:rPr>
            </w:pPr>
            <w:r>
              <w:rPr>
                <w:rFonts w:ascii="Arial" w:cs="Arial" w:eastAsia="Arial" w:hAnsi="Arial"/>
                <w:sz w:val="16"/>
                <w:szCs w:val="16"/>
                <w:color w:val="auto"/>
              </w:rPr>
              <w:t>Net income</w:t>
            </w:r>
          </w:p>
        </w:tc>
        <w:tc>
          <w:tcPr>
            <w:tcW w:w="8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line="135" w:lineRule="exact"/>
              <w:rPr>
                <w:sz w:val="20"/>
                <w:szCs w:val="20"/>
                <w:color w:val="auto"/>
              </w:rPr>
            </w:pPr>
            <w:r>
              <w:rPr>
                <w:rFonts w:ascii="Arial" w:cs="Arial" w:eastAsia="Arial" w:hAnsi="Arial"/>
                <w:sz w:val="15"/>
                <w:szCs w:val="15"/>
                <w:color w:val="auto"/>
              </w:rPr>
              <w:t>Other comprehensive income (loss):</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480" w:type="dxa"/>
            <w:vAlign w:val="bottom"/>
          </w:tcPr>
          <w:p>
            <w:pPr>
              <w:ind w:left="180"/>
              <w:spacing w:after="0" w:line="173" w:lineRule="exact"/>
              <w:rPr>
                <w:sz w:val="20"/>
                <w:szCs w:val="20"/>
                <w:color w:val="auto"/>
              </w:rPr>
            </w:pPr>
            <w:r>
              <w:rPr>
                <w:rFonts w:ascii="Arial" w:cs="Arial" w:eastAsia="Arial" w:hAnsi="Arial"/>
                <w:sz w:val="16"/>
                <w:szCs w:val="16"/>
                <w:color w:val="auto"/>
              </w:rPr>
              <w:t>Foreign currency translation adjustments</w:t>
            </w:r>
          </w:p>
        </w:tc>
        <w:tc>
          <w:tcPr>
            <w:tcW w:w="800" w:type="dxa"/>
            <w:vAlign w:val="bottom"/>
          </w:tcPr>
          <w:p>
            <w:pPr>
              <w:spacing w:after="0"/>
              <w:rPr>
                <w:sz w:val="15"/>
                <w:szCs w:val="15"/>
                <w:color w:val="auto"/>
              </w:rPr>
            </w:pPr>
          </w:p>
        </w:tc>
        <w:tc>
          <w:tcPr>
            <w:tcW w:w="380" w:type="dxa"/>
            <w:vAlign w:val="bottom"/>
          </w:tcPr>
          <w:p>
            <w:pPr>
              <w:jc w:val="right"/>
              <w:ind w:right="21"/>
              <w:spacing w:after="0" w:line="173" w:lineRule="exact"/>
              <w:rPr>
                <w:sz w:val="20"/>
                <w:szCs w:val="20"/>
                <w:color w:val="auto"/>
              </w:rPr>
            </w:pPr>
            <w:r>
              <w:rPr>
                <w:rFonts w:ascii="Arial" w:cs="Arial" w:eastAsia="Arial" w:hAnsi="Arial"/>
                <w:sz w:val="16"/>
                <w:szCs w:val="16"/>
                <w:color w:val="auto"/>
                <w:w w:val="97"/>
              </w:rPr>
              <w:t>134</w:t>
            </w:r>
          </w:p>
        </w:tc>
        <w:tc>
          <w:tcPr>
            <w:tcW w:w="160" w:type="dxa"/>
            <w:vAlign w:val="bottom"/>
          </w:tcPr>
          <w:p>
            <w:pPr>
              <w:spacing w:after="0"/>
              <w:rPr>
                <w:sz w:val="15"/>
                <w:szCs w:val="15"/>
                <w:color w:val="auto"/>
              </w:rPr>
            </w:pPr>
          </w:p>
        </w:tc>
        <w:tc>
          <w:tcPr>
            <w:tcW w:w="1480" w:type="dxa"/>
            <w:vAlign w:val="bottom"/>
          </w:tcPr>
          <w:p>
            <w:pPr>
              <w:jc w:val="right"/>
              <w:ind w:right="22"/>
              <w:spacing w:after="0" w:line="17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134</w:t>
            </w:r>
          </w:p>
        </w:tc>
        <w:tc>
          <w:tcPr>
            <w:tcW w:w="220" w:type="dxa"/>
            <w:vAlign w:val="bottom"/>
          </w:tcPr>
          <w:p>
            <w:pPr>
              <w:spacing w:after="0"/>
              <w:rPr>
                <w:sz w:val="15"/>
                <w:szCs w:val="15"/>
                <w:color w:val="auto"/>
              </w:rPr>
            </w:pPr>
          </w:p>
        </w:tc>
        <w:tc>
          <w:tcPr>
            <w:tcW w:w="1620" w:type="dxa"/>
            <w:vAlign w:val="bottom"/>
          </w:tcPr>
          <w:p>
            <w:pPr>
              <w:jc w:val="right"/>
              <w:spacing w:after="0" w:line="173" w:lineRule="exact"/>
              <w:rPr>
                <w:sz w:val="20"/>
                <w:szCs w:val="20"/>
                <w:color w:val="auto"/>
              </w:rPr>
            </w:pPr>
            <w:r>
              <w:rPr>
                <w:rFonts w:ascii="Arial" w:cs="Arial" w:eastAsia="Arial" w:hAnsi="Arial"/>
                <w:sz w:val="16"/>
                <w:szCs w:val="16"/>
                <w:color w:val="auto"/>
              </w:rPr>
              <w:t>(20)</w:t>
            </w:r>
          </w:p>
        </w:tc>
        <w:tc>
          <w:tcPr>
            <w:tcW w:w="24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73"/>
        </w:trPr>
        <w:tc>
          <w:tcPr>
            <w:tcW w:w="4480" w:type="dxa"/>
            <w:vAlign w:val="bottom"/>
          </w:tcPr>
          <w:p>
            <w:pPr>
              <w:ind w:left="180"/>
              <w:spacing w:after="0" w:line="173" w:lineRule="exact"/>
              <w:rPr>
                <w:sz w:val="20"/>
                <w:szCs w:val="20"/>
                <w:color w:val="auto"/>
              </w:rPr>
            </w:pPr>
            <w:r>
              <w:rPr>
                <w:rFonts w:ascii="Arial" w:cs="Arial" w:eastAsia="Arial" w:hAnsi="Arial"/>
                <w:sz w:val="16"/>
                <w:szCs w:val="16"/>
                <w:color w:val="auto"/>
              </w:rPr>
              <w:t>Pension and other postretirement benefits</w:t>
            </w:r>
          </w:p>
        </w:tc>
        <w:tc>
          <w:tcPr>
            <w:tcW w:w="800" w:type="dxa"/>
            <w:vAlign w:val="bottom"/>
          </w:tcPr>
          <w:p>
            <w:pPr>
              <w:spacing w:after="0"/>
              <w:rPr>
                <w:sz w:val="15"/>
                <w:szCs w:val="15"/>
                <w:color w:val="auto"/>
              </w:rPr>
            </w:pPr>
          </w:p>
        </w:tc>
        <w:tc>
          <w:tcPr>
            <w:tcW w:w="380" w:type="dxa"/>
            <w:vAlign w:val="bottom"/>
          </w:tcPr>
          <w:p>
            <w:pPr>
              <w:jc w:val="right"/>
              <w:ind w:right="21"/>
              <w:spacing w:after="0" w:line="173" w:lineRule="exact"/>
              <w:rPr>
                <w:sz w:val="20"/>
                <w:szCs w:val="20"/>
                <w:color w:val="auto"/>
              </w:rPr>
            </w:pPr>
            <w:r>
              <w:rPr>
                <w:rFonts w:ascii="Arial" w:cs="Arial" w:eastAsia="Arial" w:hAnsi="Arial"/>
                <w:sz w:val="16"/>
                <w:szCs w:val="16"/>
                <w:color w:val="auto"/>
              </w:rPr>
              <w:t>2</w:t>
            </w:r>
          </w:p>
        </w:tc>
        <w:tc>
          <w:tcPr>
            <w:tcW w:w="160" w:type="dxa"/>
            <w:vAlign w:val="bottom"/>
          </w:tcPr>
          <w:p>
            <w:pPr>
              <w:spacing w:after="0"/>
              <w:rPr>
                <w:sz w:val="15"/>
                <w:szCs w:val="15"/>
                <w:color w:val="auto"/>
              </w:rPr>
            </w:pPr>
          </w:p>
        </w:tc>
        <w:tc>
          <w:tcPr>
            <w:tcW w:w="148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1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220" w:type="dxa"/>
            <w:vAlign w:val="bottom"/>
          </w:tcPr>
          <w:p>
            <w:pPr>
              <w:spacing w:after="0"/>
              <w:rPr>
                <w:sz w:val="15"/>
                <w:szCs w:val="15"/>
                <w:color w:val="auto"/>
              </w:rPr>
            </w:pPr>
          </w:p>
        </w:tc>
        <w:tc>
          <w:tcPr>
            <w:tcW w:w="1620" w:type="dxa"/>
            <w:vAlign w:val="bottom"/>
          </w:tcPr>
          <w:p>
            <w:pPr>
              <w:jc w:val="right"/>
              <w:ind w:right="22"/>
              <w:spacing w:after="0" w:line="173"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4"/>
        </w:trPr>
        <w:tc>
          <w:tcPr>
            <w:tcW w:w="448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15</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66"/>
        </w:trPr>
        <w:tc>
          <w:tcPr>
            <w:tcW w:w="4480" w:type="dxa"/>
            <w:vAlign w:val="bottom"/>
          </w:tcPr>
          <w:p>
            <w:pPr>
              <w:ind w:left="180"/>
              <w:spacing w:after="0" w:line="166" w:lineRule="exact"/>
              <w:rPr>
                <w:sz w:val="20"/>
                <w:szCs w:val="20"/>
                <w:color w:val="auto"/>
              </w:rPr>
            </w:pPr>
            <w:r>
              <w:rPr>
                <w:rFonts w:ascii="Arial" w:cs="Arial" w:eastAsia="Arial" w:hAnsi="Arial"/>
                <w:sz w:val="16"/>
                <w:szCs w:val="16"/>
                <w:color w:val="auto"/>
              </w:rPr>
              <w:t>Total other comprehensive income (loss)</w:t>
            </w: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21"/>
              <w:spacing w:after="0" w:line="166" w:lineRule="exact"/>
              <w:rPr>
                <w:sz w:val="20"/>
                <w:szCs w:val="20"/>
                <w:color w:val="auto"/>
              </w:rPr>
            </w:pPr>
            <w:r>
              <w:rPr>
                <w:rFonts w:ascii="Arial" w:cs="Arial" w:eastAsia="Arial" w:hAnsi="Arial"/>
                <w:sz w:val="16"/>
                <w:szCs w:val="16"/>
                <w:color w:val="auto"/>
                <w:w w:val="97"/>
              </w:rPr>
              <w:t>169</w:t>
            </w: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(11)</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158</w:t>
            </w: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35"/>
        </w:trPr>
        <w:tc>
          <w:tcPr>
            <w:tcW w:w="4480" w:type="dxa"/>
            <w:vAlign w:val="bottom"/>
          </w:tcPr>
          <w:p>
            <w:pPr>
              <w:spacing w:after="0" w:line="135" w:lineRule="exact"/>
              <w:rPr>
                <w:sz w:val="20"/>
                <w:szCs w:val="20"/>
                <w:color w:val="auto"/>
              </w:rPr>
            </w:pPr>
            <w:r>
              <w:rPr>
                <w:rFonts w:ascii="Arial" w:cs="Arial" w:eastAsia="Arial" w:hAnsi="Arial"/>
                <w:sz w:val="15"/>
                <w:szCs w:val="15"/>
                <w:color w:val="auto"/>
              </w:rPr>
              <w:t>Comprehensive income</w:t>
            </w:r>
          </w:p>
        </w:tc>
        <w:tc>
          <w:tcPr>
            <w:tcW w:w="800" w:type="dxa"/>
            <w:vAlign w:val="bottom"/>
          </w:tcPr>
          <w:p>
            <w:pPr>
              <w:spacing w:after="0"/>
              <w:rPr>
                <w:sz w:val="11"/>
                <w:szCs w:val="11"/>
                <w:color w:val="auto"/>
              </w:rPr>
            </w:pPr>
          </w:p>
        </w:tc>
        <w:tc>
          <w:tcPr>
            <w:tcW w:w="380" w:type="dxa"/>
            <w:vAlign w:val="bottom"/>
          </w:tcPr>
          <w:p>
            <w:pPr>
              <w:jc w:val="right"/>
              <w:ind w:right="21"/>
              <w:spacing w:after="0" w:line="135" w:lineRule="exact"/>
              <w:rPr>
                <w:sz w:val="20"/>
                <w:szCs w:val="20"/>
                <w:color w:val="auto"/>
              </w:rPr>
            </w:pPr>
            <w:r>
              <w:rPr>
                <w:rFonts w:ascii="Arial" w:cs="Arial" w:eastAsia="Arial" w:hAnsi="Arial"/>
                <w:sz w:val="15"/>
                <w:szCs w:val="15"/>
                <w:color w:val="auto"/>
              </w:rPr>
              <w:t>447</w:t>
            </w:r>
          </w:p>
        </w:tc>
        <w:tc>
          <w:tcPr>
            <w:tcW w:w="16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5"/>
                <w:szCs w:val="15"/>
                <w:color w:val="auto"/>
              </w:rPr>
              <w:t>(43)</w:t>
            </w:r>
          </w:p>
        </w:tc>
        <w:tc>
          <w:tcPr>
            <w:tcW w:w="18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5"/>
                <w:szCs w:val="15"/>
                <w:color w:val="auto"/>
              </w:rPr>
              <w:t>404</w:t>
            </w:r>
          </w:p>
        </w:tc>
        <w:tc>
          <w:tcPr>
            <w:tcW w:w="220" w:type="dxa"/>
            <w:vAlign w:val="bottom"/>
          </w:tcPr>
          <w:p>
            <w:pPr>
              <w:spacing w:after="0"/>
              <w:rPr>
                <w:sz w:val="11"/>
                <w:szCs w:val="11"/>
                <w:color w:val="auto"/>
              </w:rPr>
            </w:pPr>
          </w:p>
        </w:tc>
        <w:tc>
          <w:tcPr>
            <w:tcW w:w="1620" w:type="dxa"/>
            <w:vAlign w:val="bottom"/>
          </w:tcPr>
          <w:p>
            <w:pPr>
              <w:jc w:val="right"/>
              <w:ind w:right="22"/>
              <w:spacing w:after="0" w:line="135" w:lineRule="exact"/>
              <w:rPr>
                <w:sz w:val="20"/>
                <w:szCs w:val="20"/>
                <w:color w:val="auto"/>
              </w:rPr>
            </w:pPr>
            <w:r>
              <w:rPr>
                <w:rFonts w:ascii="Arial" w:cs="Arial" w:eastAsia="Arial" w:hAnsi="Arial"/>
                <w:sz w:val="15"/>
                <w:szCs w:val="15"/>
                <w:color w:val="auto"/>
              </w:rPr>
              <w:t>16</w:t>
            </w: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420</w:t>
            </w:r>
          </w:p>
        </w:tc>
        <w:tc>
          <w:tcPr>
            <w:tcW w:w="0" w:type="dxa"/>
            <w:vAlign w:val="bottom"/>
          </w:tcPr>
          <w:p>
            <w:pPr>
              <w:spacing w:after="0"/>
              <w:rPr>
                <w:sz w:val="1"/>
                <w:szCs w:val="1"/>
                <w:color w:val="auto"/>
              </w:rPr>
            </w:pPr>
          </w:p>
        </w:tc>
      </w:tr>
      <w:tr>
        <w:trPr>
          <w:trHeight w:val="204"/>
        </w:trPr>
        <w:tc>
          <w:tcPr>
            <w:tcW w:w="448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35"/>
        </w:trPr>
        <w:tc>
          <w:tcPr>
            <w:tcW w:w="4480" w:type="dxa"/>
            <w:vAlign w:val="bottom"/>
          </w:tcPr>
          <w:p>
            <w:pPr>
              <w:spacing w:after="0" w:line="135" w:lineRule="exact"/>
              <w:rPr>
                <w:sz w:val="20"/>
                <w:szCs w:val="20"/>
                <w:color w:val="auto"/>
              </w:rPr>
            </w:pPr>
            <w:r>
              <w:rPr>
                <w:rFonts w:ascii="Arial" w:cs="Arial" w:eastAsia="Arial" w:hAnsi="Arial"/>
                <w:sz w:val="15"/>
                <w:szCs w:val="15"/>
                <w:color w:val="auto"/>
              </w:rPr>
              <w:t>Comprehensive income, after preferred</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480" w:type="dxa"/>
            <w:vAlign w:val="bottom"/>
          </w:tcPr>
          <w:p>
            <w:pPr>
              <w:ind w:left="180"/>
              <w:spacing w:after="0"/>
              <w:rPr>
                <w:sz w:val="20"/>
                <w:szCs w:val="20"/>
                <w:color w:val="auto"/>
              </w:rPr>
            </w:pPr>
            <w:r>
              <w:rPr>
                <w:rFonts w:ascii="Arial" w:cs="Arial" w:eastAsia="Arial" w:hAnsi="Arial"/>
                <w:sz w:val="16"/>
                <w:szCs w:val="16"/>
                <w:color w:val="auto"/>
              </w:rPr>
              <w:t>dividends of subsidiaries</w:t>
            </w:r>
          </w:p>
        </w:tc>
        <w:tc>
          <w:tcPr>
            <w:tcW w:w="80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w w:val="97"/>
              </w:rPr>
              <w:t>446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16</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80"/>
        </w:trPr>
        <w:tc>
          <w:tcPr>
            <w:tcW w:w="4480" w:type="dxa"/>
            <w:vAlign w:val="bottom"/>
            <w:shd w:val="clear" w:color="auto" w:fill="000000"/>
          </w:tcPr>
          <w:p>
            <w:pPr>
              <w:spacing w:after="0"/>
              <w:rPr>
                <w:sz w:val="6"/>
                <w:szCs w:val="6"/>
                <w:color w:val="auto"/>
              </w:rPr>
            </w:pPr>
          </w:p>
        </w:tc>
        <w:tc>
          <w:tcPr>
            <w:tcW w:w="80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148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162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8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COMPREHENSIVE INCOME (CONTINUED)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20" w:type="dxa"/>
            <w:vAlign w:val="bottom"/>
            <w:gridSpan w:val="5"/>
            <w:vMerge w:val="restart"/>
          </w:tcPr>
          <w:p>
            <w:pPr>
              <w:jc w:val="right"/>
              <w:ind w:right="982"/>
              <w:spacing w:after="0"/>
              <w:rPr>
                <w:sz w:val="20"/>
                <w:szCs w:val="20"/>
                <w:color w:val="auto"/>
              </w:rPr>
            </w:pPr>
            <w:r>
              <w:rPr>
                <w:rFonts w:ascii="Arial" w:cs="Arial" w:eastAsia="Arial" w:hAnsi="Arial"/>
                <w:sz w:val="14"/>
                <w:szCs w:val="14"/>
                <w:color w:val="auto"/>
              </w:rPr>
              <w:t>Six months ended June 30, 2014 and 2013</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448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520" w:type="dxa"/>
            <w:vAlign w:val="bottom"/>
            <w:tcBorders>
              <w:bottom w:val="single" w:sz="8" w:color="auto"/>
            </w:tcBorders>
            <w:gridSpan w:val="5"/>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4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22"/>
              <w:spacing w:after="0" w:line="153" w:lineRule="exact"/>
              <w:rPr>
                <w:sz w:val="20"/>
                <w:szCs w:val="20"/>
                <w:color w:val="auto"/>
              </w:rPr>
            </w:pPr>
            <w:r>
              <w:rPr>
                <w:rFonts w:ascii="Arial" w:cs="Arial" w:eastAsia="Arial" w:hAnsi="Arial"/>
                <w:sz w:val="14"/>
                <w:szCs w:val="14"/>
                <w:color w:val="auto"/>
              </w:rPr>
              <w:t>(unaudited)</w:t>
            </w:r>
          </w:p>
        </w:tc>
        <w:tc>
          <w:tcPr>
            <w:tcW w:w="2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5"/>
          </w:tcPr>
          <w:p>
            <w:pPr>
              <w:jc w:val="right"/>
              <w:ind w:right="782"/>
              <w:spacing w:after="0" w:line="153" w:lineRule="exact"/>
              <w:rPr>
                <w:sz w:val="20"/>
                <w:szCs w:val="20"/>
                <w:color w:val="auto"/>
              </w:rPr>
            </w:pPr>
            <w:r>
              <w:rPr>
                <w:rFonts w:ascii="Arial" w:cs="Arial" w:eastAsia="Arial" w:hAnsi="Arial"/>
                <w:sz w:val="14"/>
                <w:szCs w:val="14"/>
                <w:color w:val="auto"/>
              </w:rPr>
              <w:t>Sempra Energy Shareholders' Equity</w:t>
            </w:r>
          </w:p>
        </w:tc>
        <w:tc>
          <w:tcPr>
            <w:tcW w:w="220" w:type="dxa"/>
            <w:vAlign w:val="bottom"/>
          </w:tcPr>
          <w:p>
            <w:pPr>
              <w:spacing w:after="0"/>
              <w:rPr>
                <w:sz w:val="13"/>
                <w:szCs w:val="13"/>
                <w:color w:val="auto"/>
              </w:rPr>
            </w:pPr>
          </w:p>
        </w:tc>
        <w:tc>
          <w:tcPr>
            <w:tcW w:w="1620" w:type="dxa"/>
            <w:vAlign w:val="bottom"/>
            <w:vMerge w:val="restart"/>
          </w:tcPr>
          <w:p>
            <w:pPr>
              <w:jc w:val="right"/>
              <w:ind w:right="442"/>
              <w:spacing w:after="0"/>
              <w:rPr>
                <w:sz w:val="20"/>
                <w:szCs w:val="20"/>
                <w:color w:val="auto"/>
              </w:rPr>
            </w:pPr>
            <w:r>
              <w:rPr>
                <w:rFonts w:ascii="Arial" w:cs="Arial" w:eastAsia="Arial" w:hAnsi="Arial"/>
                <w:sz w:val="14"/>
                <w:szCs w:val="14"/>
                <w:color w:val="auto"/>
              </w:rPr>
              <w:t>Noncontrolling</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Pretax</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462"/>
              <w:spacing w:after="0"/>
              <w:rPr>
                <w:sz w:val="20"/>
                <w:szCs w:val="20"/>
                <w:color w:val="auto"/>
              </w:rPr>
            </w:pPr>
            <w:r>
              <w:rPr>
                <w:rFonts w:ascii="Arial" w:cs="Arial" w:eastAsia="Arial" w:hAnsi="Arial"/>
                <w:sz w:val="14"/>
                <w:szCs w:val="14"/>
                <w:color w:val="auto"/>
              </w:rPr>
              <w:t>Income Tax</w:t>
            </w:r>
          </w:p>
        </w:tc>
        <w:tc>
          <w:tcPr>
            <w:tcW w:w="180" w:type="dxa"/>
            <w:vAlign w:val="bottom"/>
          </w:tcPr>
          <w:p>
            <w:pPr>
              <w:spacing w:after="0"/>
              <w:rPr>
                <w:sz w:val="14"/>
                <w:szCs w:val="14"/>
                <w:color w:val="auto"/>
              </w:rPr>
            </w:pPr>
          </w:p>
        </w:tc>
        <w:tc>
          <w:tcPr>
            <w:tcW w:w="1020" w:type="dxa"/>
            <w:vAlign w:val="bottom"/>
          </w:tcPr>
          <w:p>
            <w:pPr>
              <w:jc w:val="right"/>
              <w:ind w:right="242"/>
              <w:spacing w:after="0"/>
              <w:rPr>
                <w:sz w:val="20"/>
                <w:szCs w:val="20"/>
                <w:color w:val="auto"/>
              </w:rPr>
            </w:pPr>
            <w:r>
              <w:rPr>
                <w:rFonts w:ascii="Arial" w:cs="Arial" w:eastAsia="Arial" w:hAnsi="Arial"/>
                <w:sz w:val="14"/>
                <w:szCs w:val="14"/>
                <w:color w:val="auto"/>
              </w:rPr>
              <w:t>Net-of-Tax</w:t>
            </w:r>
          </w:p>
        </w:tc>
        <w:tc>
          <w:tcPr>
            <w:tcW w:w="2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color w:val="auto"/>
              </w:rPr>
              <w:t>(Expense) Benefit</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Amount</w:t>
            </w: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color w:val="auto"/>
              </w:rPr>
              <w:t>Interests (After-Tax)</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4480" w:type="dxa"/>
            <w:vAlign w:val="bottom"/>
          </w:tcPr>
          <w:p>
            <w:pPr>
              <w:spacing w:after="0" w:line="148" w:lineRule="exact"/>
              <w:rPr>
                <w:sz w:val="20"/>
                <w:szCs w:val="20"/>
                <w:color w:val="auto"/>
              </w:rPr>
            </w:pPr>
            <w:r>
              <w:rPr>
                <w:rFonts w:ascii="Arial" w:cs="Arial" w:eastAsia="Arial" w:hAnsi="Arial"/>
                <w:sz w:val="16"/>
                <w:szCs w:val="16"/>
                <w:b w:val="1"/>
                <w:bCs w:val="1"/>
                <w:color w:val="auto"/>
              </w:rPr>
              <w:t>2014:</w:t>
            </w:r>
          </w:p>
        </w:tc>
        <w:tc>
          <w:tcPr>
            <w:tcW w:w="800" w:type="dxa"/>
            <w:vAlign w:val="bottom"/>
            <w:vMerge w:val="restart"/>
          </w:tcPr>
          <w:p>
            <w:pPr>
              <w:jc w:val="right"/>
              <w:ind w:right="523"/>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jc w:val="right"/>
              <w:ind w:right="21"/>
              <w:spacing w:after="0"/>
              <w:rPr>
                <w:sz w:val="20"/>
                <w:szCs w:val="20"/>
                <w:color w:val="auto"/>
              </w:rPr>
            </w:pPr>
            <w:r>
              <w:rPr>
                <w:rFonts w:ascii="Arial" w:cs="Arial" w:eastAsia="Arial" w:hAnsi="Arial"/>
                <w:sz w:val="16"/>
                <w:szCs w:val="16"/>
                <w:color w:val="auto"/>
                <w:w w:val="97"/>
              </w:rPr>
              <w:t>737</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(220)</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517</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20" w:type="dxa"/>
            <w:vAlign w:val="bottom"/>
            <w:vMerge w:val="restart"/>
          </w:tcPr>
          <w:p>
            <w:pPr>
              <w:jc w:val="right"/>
              <w:ind w:right="22"/>
              <w:spacing w:after="0"/>
              <w:rPr>
                <w:sz w:val="20"/>
                <w:szCs w:val="20"/>
                <w:color w:val="auto"/>
              </w:rPr>
            </w:pPr>
            <w:r>
              <w:rPr>
                <w:rFonts w:ascii="Arial" w:cs="Arial" w:eastAsia="Arial" w:hAnsi="Arial"/>
                <w:sz w:val="16"/>
                <w:szCs w:val="16"/>
                <w:color w:val="auto"/>
              </w:rPr>
              <w:t>41</w:t>
            </w:r>
          </w:p>
        </w:tc>
        <w:tc>
          <w:tcPr>
            <w:tcW w:w="24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196"/>
        </w:trPr>
        <w:tc>
          <w:tcPr>
            <w:tcW w:w="4480" w:type="dxa"/>
            <w:vAlign w:val="bottom"/>
          </w:tcPr>
          <w:p>
            <w:pPr>
              <w:spacing w:after="0"/>
              <w:rPr>
                <w:sz w:val="20"/>
                <w:szCs w:val="20"/>
                <w:color w:val="auto"/>
              </w:rPr>
            </w:pPr>
            <w:r>
              <w:rPr>
                <w:rFonts w:ascii="Arial" w:cs="Arial" w:eastAsia="Arial" w:hAnsi="Arial"/>
                <w:sz w:val="16"/>
                <w:szCs w:val="16"/>
                <w:color w:val="auto"/>
              </w:rPr>
              <w:t>Net income</w:t>
            </w:r>
          </w:p>
        </w:tc>
        <w:tc>
          <w:tcPr>
            <w:tcW w:w="8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line="135" w:lineRule="exact"/>
              <w:rPr>
                <w:sz w:val="20"/>
                <w:szCs w:val="20"/>
                <w:color w:val="auto"/>
              </w:rPr>
            </w:pPr>
            <w:r>
              <w:rPr>
                <w:rFonts w:ascii="Arial" w:cs="Arial" w:eastAsia="Arial" w:hAnsi="Arial"/>
                <w:sz w:val="15"/>
                <w:szCs w:val="15"/>
                <w:color w:val="auto"/>
              </w:rPr>
              <w:t>Other comprehensive income (loss):</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480" w:type="dxa"/>
            <w:vAlign w:val="bottom"/>
          </w:tcPr>
          <w:p>
            <w:pPr>
              <w:ind w:left="180"/>
              <w:spacing w:after="0" w:line="173" w:lineRule="exact"/>
              <w:rPr>
                <w:sz w:val="20"/>
                <w:szCs w:val="20"/>
                <w:color w:val="auto"/>
              </w:rPr>
            </w:pPr>
            <w:r>
              <w:rPr>
                <w:rFonts w:ascii="Arial" w:cs="Arial" w:eastAsia="Arial" w:hAnsi="Arial"/>
                <w:sz w:val="16"/>
                <w:szCs w:val="16"/>
                <w:color w:val="auto"/>
              </w:rPr>
              <w:t>Foreign currency translation adjustments</w:t>
            </w:r>
          </w:p>
        </w:tc>
        <w:tc>
          <w:tcPr>
            <w:tcW w:w="800" w:type="dxa"/>
            <w:vAlign w:val="bottom"/>
          </w:tcPr>
          <w:p>
            <w:pPr>
              <w:spacing w:after="0"/>
              <w:rPr>
                <w:sz w:val="15"/>
                <w:szCs w:val="15"/>
                <w:color w:val="auto"/>
              </w:rPr>
            </w:pPr>
          </w:p>
        </w:tc>
        <w:tc>
          <w:tcPr>
            <w:tcW w:w="380" w:type="dxa"/>
            <w:vAlign w:val="bottom"/>
          </w:tcPr>
          <w:p>
            <w:pPr>
              <w:jc w:val="right"/>
              <w:spacing w:after="0" w:line="173" w:lineRule="exact"/>
              <w:rPr>
                <w:sz w:val="20"/>
                <w:szCs w:val="20"/>
                <w:color w:val="auto"/>
              </w:rPr>
            </w:pPr>
            <w:r>
              <w:rPr>
                <w:rFonts w:ascii="Arial" w:cs="Arial" w:eastAsia="Arial" w:hAnsi="Arial"/>
                <w:sz w:val="16"/>
                <w:szCs w:val="16"/>
                <w:color w:val="auto"/>
              </w:rPr>
              <w:t>(41)</w:t>
            </w:r>
          </w:p>
        </w:tc>
        <w:tc>
          <w:tcPr>
            <w:tcW w:w="160" w:type="dxa"/>
            <w:vAlign w:val="bottom"/>
          </w:tcPr>
          <w:p>
            <w:pPr>
              <w:spacing w:after="0"/>
              <w:rPr>
                <w:sz w:val="15"/>
                <w:szCs w:val="15"/>
                <w:color w:val="auto"/>
              </w:rPr>
            </w:pPr>
          </w:p>
        </w:tc>
        <w:tc>
          <w:tcPr>
            <w:tcW w:w="1480" w:type="dxa"/>
            <w:vAlign w:val="bottom"/>
          </w:tcPr>
          <w:p>
            <w:pPr>
              <w:jc w:val="right"/>
              <w:ind w:right="22"/>
              <w:spacing w:after="0" w:line="17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(41)</w:t>
            </w:r>
          </w:p>
        </w:tc>
        <w:tc>
          <w:tcPr>
            <w:tcW w:w="220" w:type="dxa"/>
            <w:vAlign w:val="bottom"/>
          </w:tcPr>
          <w:p>
            <w:pPr>
              <w:spacing w:after="0"/>
              <w:rPr>
                <w:sz w:val="15"/>
                <w:szCs w:val="15"/>
                <w:color w:val="auto"/>
              </w:rPr>
            </w:pPr>
          </w:p>
        </w:tc>
        <w:tc>
          <w:tcPr>
            <w:tcW w:w="162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24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73"/>
        </w:trPr>
        <w:tc>
          <w:tcPr>
            <w:tcW w:w="4480" w:type="dxa"/>
            <w:vAlign w:val="bottom"/>
          </w:tcPr>
          <w:p>
            <w:pPr>
              <w:ind w:left="180"/>
              <w:spacing w:after="0" w:line="173" w:lineRule="exact"/>
              <w:rPr>
                <w:sz w:val="20"/>
                <w:szCs w:val="20"/>
                <w:color w:val="auto"/>
              </w:rPr>
            </w:pPr>
            <w:r>
              <w:rPr>
                <w:rFonts w:ascii="Arial" w:cs="Arial" w:eastAsia="Arial" w:hAnsi="Arial"/>
                <w:sz w:val="16"/>
                <w:szCs w:val="16"/>
                <w:color w:val="auto"/>
              </w:rPr>
              <w:t>Pension and other postretirement benefits</w:t>
            </w:r>
          </w:p>
        </w:tc>
        <w:tc>
          <w:tcPr>
            <w:tcW w:w="800" w:type="dxa"/>
            <w:vAlign w:val="bottom"/>
          </w:tcPr>
          <w:p>
            <w:pPr>
              <w:spacing w:after="0"/>
              <w:rPr>
                <w:sz w:val="15"/>
                <w:szCs w:val="15"/>
                <w:color w:val="auto"/>
              </w:rPr>
            </w:pPr>
          </w:p>
        </w:tc>
        <w:tc>
          <w:tcPr>
            <w:tcW w:w="380" w:type="dxa"/>
            <w:vAlign w:val="bottom"/>
          </w:tcPr>
          <w:p>
            <w:pPr>
              <w:jc w:val="right"/>
              <w:ind w:right="21"/>
              <w:spacing w:after="0" w:line="173" w:lineRule="exact"/>
              <w:rPr>
                <w:sz w:val="20"/>
                <w:szCs w:val="20"/>
                <w:color w:val="auto"/>
              </w:rPr>
            </w:pPr>
            <w:r>
              <w:rPr>
                <w:rFonts w:ascii="Arial" w:cs="Arial" w:eastAsia="Arial" w:hAnsi="Arial"/>
                <w:sz w:val="16"/>
                <w:szCs w:val="16"/>
                <w:color w:val="auto"/>
              </w:rPr>
              <w:t>13</w:t>
            </w:r>
          </w:p>
        </w:tc>
        <w:tc>
          <w:tcPr>
            <w:tcW w:w="160" w:type="dxa"/>
            <w:vAlign w:val="bottom"/>
          </w:tcPr>
          <w:p>
            <w:pPr>
              <w:spacing w:after="0"/>
              <w:rPr>
                <w:sz w:val="15"/>
                <w:szCs w:val="15"/>
                <w:color w:val="auto"/>
              </w:rPr>
            </w:pPr>
          </w:p>
        </w:tc>
        <w:tc>
          <w:tcPr>
            <w:tcW w:w="1480" w:type="dxa"/>
            <w:vAlign w:val="bottom"/>
          </w:tcPr>
          <w:p>
            <w:pPr>
              <w:jc w:val="right"/>
              <w:spacing w:after="0" w:line="173" w:lineRule="exact"/>
              <w:rPr>
                <w:sz w:val="20"/>
                <w:szCs w:val="20"/>
                <w:color w:val="auto"/>
              </w:rPr>
            </w:pPr>
            <w:r>
              <w:rPr>
                <w:rFonts w:ascii="Arial" w:cs="Arial" w:eastAsia="Arial" w:hAnsi="Arial"/>
                <w:sz w:val="16"/>
                <w:szCs w:val="16"/>
                <w:color w:val="auto"/>
              </w:rPr>
              <w:t>(5)</w:t>
            </w:r>
          </w:p>
        </w:tc>
        <w:tc>
          <w:tcPr>
            <w:tcW w:w="1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8</w:t>
            </w:r>
          </w:p>
        </w:tc>
        <w:tc>
          <w:tcPr>
            <w:tcW w:w="220" w:type="dxa"/>
            <w:vAlign w:val="bottom"/>
          </w:tcPr>
          <w:p>
            <w:pPr>
              <w:spacing w:after="0"/>
              <w:rPr>
                <w:sz w:val="15"/>
                <w:szCs w:val="15"/>
                <w:color w:val="auto"/>
              </w:rPr>
            </w:pPr>
          </w:p>
        </w:tc>
        <w:tc>
          <w:tcPr>
            <w:tcW w:w="1620" w:type="dxa"/>
            <w:vAlign w:val="bottom"/>
          </w:tcPr>
          <w:p>
            <w:pPr>
              <w:jc w:val="right"/>
              <w:ind w:right="22"/>
              <w:spacing w:after="0" w:line="173"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4"/>
        </w:trPr>
        <w:tc>
          <w:tcPr>
            <w:tcW w:w="448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6"/>
        </w:trPr>
        <w:tc>
          <w:tcPr>
            <w:tcW w:w="4480" w:type="dxa"/>
            <w:vAlign w:val="bottom"/>
          </w:tcPr>
          <w:p>
            <w:pPr>
              <w:ind w:left="180"/>
              <w:spacing w:after="0" w:line="166" w:lineRule="exact"/>
              <w:rPr>
                <w:sz w:val="20"/>
                <w:szCs w:val="20"/>
                <w:color w:val="auto"/>
              </w:rPr>
            </w:pPr>
            <w:r>
              <w:rPr>
                <w:rFonts w:ascii="Arial" w:cs="Arial" w:eastAsia="Arial" w:hAnsi="Arial"/>
                <w:sz w:val="16"/>
                <w:szCs w:val="16"/>
                <w:color w:val="auto"/>
              </w:rPr>
              <w:t>Total other comprehensive income (loss)</w:t>
            </w: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(48)</w:t>
            </w: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22"/>
              <w:spacing w:after="0" w:line="166" w:lineRule="exact"/>
              <w:rPr>
                <w:sz w:val="20"/>
                <w:szCs w:val="20"/>
                <w:color w:val="auto"/>
              </w:rPr>
            </w:pPr>
            <w:r>
              <w:rPr>
                <w:rFonts w:ascii="Arial" w:cs="Arial" w:eastAsia="Arial" w:hAnsi="Arial"/>
                <w:sz w:val="16"/>
                <w:szCs w:val="16"/>
                <w:color w:val="auto"/>
              </w:rPr>
              <w:t>3</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(45)</w:t>
            </w: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35"/>
        </w:trPr>
        <w:tc>
          <w:tcPr>
            <w:tcW w:w="4480" w:type="dxa"/>
            <w:vAlign w:val="bottom"/>
          </w:tcPr>
          <w:p>
            <w:pPr>
              <w:spacing w:after="0" w:line="135" w:lineRule="exact"/>
              <w:rPr>
                <w:sz w:val="20"/>
                <w:szCs w:val="20"/>
                <w:color w:val="auto"/>
              </w:rPr>
            </w:pPr>
            <w:r>
              <w:rPr>
                <w:rFonts w:ascii="Arial" w:cs="Arial" w:eastAsia="Arial" w:hAnsi="Arial"/>
                <w:sz w:val="15"/>
                <w:szCs w:val="15"/>
                <w:color w:val="auto"/>
              </w:rPr>
              <w:t>Comprehensive income</w:t>
            </w:r>
          </w:p>
        </w:tc>
        <w:tc>
          <w:tcPr>
            <w:tcW w:w="800" w:type="dxa"/>
            <w:vAlign w:val="bottom"/>
          </w:tcPr>
          <w:p>
            <w:pPr>
              <w:spacing w:after="0"/>
              <w:rPr>
                <w:sz w:val="11"/>
                <w:szCs w:val="11"/>
                <w:color w:val="auto"/>
              </w:rPr>
            </w:pPr>
          </w:p>
        </w:tc>
        <w:tc>
          <w:tcPr>
            <w:tcW w:w="380" w:type="dxa"/>
            <w:vAlign w:val="bottom"/>
          </w:tcPr>
          <w:p>
            <w:pPr>
              <w:jc w:val="right"/>
              <w:ind w:right="21"/>
              <w:spacing w:after="0" w:line="135" w:lineRule="exact"/>
              <w:rPr>
                <w:sz w:val="20"/>
                <w:szCs w:val="20"/>
                <w:color w:val="auto"/>
              </w:rPr>
            </w:pPr>
            <w:r>
              <w:rPr>
                <w:rFonts w:ascii="Arial" w:cs="Arial" w:eastAsia="Arial" w:hAnsi="Arial"/>
                <w:sz w:val="15"/>
                <w:szCs w:val="15"/>
                <w:color w:val="auto"/>
              </w:rPr>
              <w:t>689</w:t>
            </w:r>
          </w:p>
        </w:tc>
        <w:tc>
          <w:tcPr>
            <w:tcW w:w="16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5"/>
                <w:szCs w:val="15"/>
                <w:color w:val="auto"/>
              </w:rPr>
              <w:t>(217)</w:t>
            </w:r>
          </w:p>
        </w:tc>
        <w:tc>
          <w:tcPr>
            <w:tcW w:w="18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5"/>
                <w:szCs w:val="15"/>
                <w:color w:val="auto"/>
              </w:rPr>
              <w:t>472</w:t>
            </w:r>
          </w:p>
        </w:tc>
        <w:tc>
          <w:tcPr>
            <w:tcW w:w="220" w:type="dxa"/>
            <w:vAlign w:val="bottom"/>
          </w:tcPr>
          <w:p>
            <w:pPr>
              <w:spacing w:after="0"/>
              <w:rPr>
                <w:sz w:val="11"/>
                <w:szCs w:val="11"/>
                <w:color w:val="auto"/>
              </w:rPr>
            </w:pPr>
          </w:p>
        </w:tc>
        <w:tc>
          <w:tcPr>
            <w:tcW w:w="1620" w:type="dxa"/>
            <w:vAlign w:val="bottom"/>
          </w:tcPr>
          <w:p>
            <w:pPr>
              <w:jc w:val="right"/>
              <w:ind w:right="22"/>
              <w:spacing w:after="0" w:line="135" w:lineRule="exact"/>
              <w:rPr>
                <w:sz w:val="20"/>
                <w:szCs w:val="20"/>
                <w:color w:val="auto"/>
              </w:rPr>
            </w:pPr>
            <w:r>
              <w:rPr>
                <w:rFonts w:ascii="Arial" w:cs="Arial" w:eastAsia="Arial" w:hAnsi="Arial"/>
                <w:sz w:val="15"/>
                <w:szCs w:val="15"/>
                <w:color w:val="auto"/>
              </w:rPr>
              <w:t>39</w:t>
            </w: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511</w:t>
            </w:r>
          </w:p>
        </w:tc>
        <w:tc>
          <w:tcPr>
            <w:tcW w:w="0" w:type="dxa"/>
            <w:vAlign w:val="bottom"/>
          </w:tcPr>
          <w:p>
            <w:pPr>
              <w:spacing w:after="0"/>
              <w:rPr>
                <w:sz w:val="1"/>
                <w:szCs w:val="1"/>
                <w:color w:val="auto"/>
              </w:rPr>
            </w:pPr>
          </w:p>
        </w:tc>
      </w:tr>
      <w:tr>
        <w:trPr>
          <w:trHeight w:val="204"/>
        </w:trPr>
        <w:tc>
          <w:tcPr>
            <w:tcW w:w="4480" w:type="dxa"/>
            <w:vAlign w:val="bottom"/>
          </w:tcPr>
          <w:p>
            <w:pPr>
              <w:spacing w:after="0"/>
              <w:rPr>
                <w:sz w:val="20"/>
                <w:szCs w:val="20"/>
                <w:color w:val="auto"/>
              </w:rPr>
            </w:pPr>
            <w:r>
              <w:rPr>
                <w:rFonts w:ascii="Arial" w:cs="Arial" w:eastAsia="Arial" w:hAnsi="Arial"/>
                <w:sz w:val="16"/>
                <w:szCs w:val="16"/>
                <w:color w:val="auto"/>
              </w:rPr>
              <w:t>Preferred dividends of subsidiary</w:t>
            </w: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35"/>
        </w:trPr>
        <w:tc>
          <w:tcPr>
            <w:tcW w:w="4480" w:type="dxa"/>
            <w:vAlign w:val="bottom"/>
          </w:tcPr>
          <w:p>
            <w:pPr>
              <w:spacing w:after="0" w:line="135" w:lineRule="exact"/>
              <w:rPr>
                <w:sz w:val="20"/>
                <w:szCs w:val="20"/>
                <w:color w:val="auto"/>
              </w:rPr>
            </w:pPr>
            <w:r>
              <w:rPr>
                <w:rFonts w:ascii="Arial" w:cs="Arial" w:eastAsia="Arial" w:hAnsi="Arial"/>
                <w:sz w:val="15"/>
                <w:szCs w:val="15"/>
                <w:color w:val="auto"/>
              </w:rPr>
              <w:t>Comprehensive income, after preferred</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480" w:type="dxa"/>
            <w:vAlign w:val="bottom"/>
          </w:tcPr>
          <w:p>
            <w:pPr>
              <w:ind w:left="180"/>
              <w:spacing w:after="0"/>
              <w:rPr>
                <w:sz w:val="20"/>
                <w:szCs w:val="20"/>
                <w:color w:val="auto"/>
              </w:rPr>
            </w:pPr>
            <w:r>
              <w:rPr>
                <w:rFonts w:ascii="Arial" w:cs="Arial" w:eastAsia="Arial" w:hAnsi="Arial"/>
                <w:sz w:val="16"/>
                <w:szCs w:val="16"/>
                <w:color w:val="auto"/>
              </w:rPr>
              <w:t>dividends of subsidiary</w:t>
            </w:r>
          </w:p>
        </w:tc>
        <w:tc>
          <w:tcPr>
            <w:tcW w:w="80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w w:val="97"/>
              </w:rPr>
              <w:t>688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(217)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39</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80"/>
        </w:trPr>
        <w:tc>
          <w:tcPr>
            <w:tcW w:w="4480" w:type="dxa"/>
            <w:vAlign w:val="bottom"/>
            <w:shd w:val="clear" w:color="auto" w:fill="000000"/>
          </w:tcPr>
          <w:p>
            <w:pPr>
              <w:spacing w:after="0"/>
              <w:rPr>
                <w:sz w:val="6"/>
                <w:szCs w:val="6"/>
                <w:color w:val="auto"/>
              </w:rPr>
            </w:pPr>
          </w:p>
        </w:tc>
        <w:tc>
          <w:tcPr>
            <w:tcW w:w="80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148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162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8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4480" w:type="dxa"/>
            <w:vAlign w:val="bottom"/>
          </w:tcPr>
          <w:p>
            <w:pPr>
              <w:spacing w:after="0" w:line="155" w:lineRule="exact"/>
              <w:rPr>
                <w:sz w:val="20"/>
                <w:szCs w:val="20"/>
                <w:color w:val="auto"/>
              </w:rPr>
            </w:pPr>
            <w:r>
              <w:rPr>
                <w:rFonts w:ascii="Arial" w:cs="Arial" w:eastAsia="Arial" w:hAnsi="Arial"/>
                <w:sz w:val="16"/>
                <w:szCs w:val="16"/>
                <w:b w:val="1"/>
                <w:bCs w:val="1"/>
                <w:color w:val="auto"/>
              </w:rPr>
              <w:t>2013:</w:t>
            </w:r>
          </w:p>
        </w:tc>
        <w:tc>
          <w:tcPr>
            <w:tcW w:w="800" w:type="dxa"/>
            <w:vAlign w:val="bottom"/>
            <w:vMerge w:val="restart"/>
          </w:tcPr>
          <w:p>
            <w:pPr>
              <w:jc w:val="right"/>
              <w:ind w:right="523"/>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jc w:val="right"/>
              <w:ind w:right="21"/>
              <w:spacing w:after="0"/>
              <w:rPr>
                <w:sz w:val="20"/>
                <w:szCs w:val="20"/>
                <w:color w:val="auto"/>
              </w:rPr>
            </w:pPr>
            <w:r>
              <w:rPr>
                <w:rFonts w:ascii="Arial" w:cs="Arial" w:eastAsia="Arial" w:hAnsi="Arial"/>
                <w:sz w:val="16"/>
                <w:szCs w:val="16"/>
                <w:color w:val="auto"/>
                <w:w w:val="97"/>
              </w:rPr>
              <w:t>636</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(210)</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426</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20" w:type="dxa"/>
            <w:vAlign w:val="bottom"/>
            <w:vMerge w:val="restart"/>
          </w:tcPr>
          <w:p>
            <w:pPr>
              <w:jc w:val="right"/>
              <w:ind w:right="22"/>
              <w:spacing w:after="0"/>
              <w:rPr>
                <w:sz w:val="20"/>
                <w:szCs w:val="20"/>
                <w:color w:val="auto"/>
              </w:rPr>
            </w:pPr>
            <w:r>
              <w:rPr>
                <w:rFonts w:ascii="Arial" w:cs="Arial" w:eastAsia="Arial" w:hAnsi="Arial"/>
                <w:sz w:val="16"/>
                <w:szCs w:val="16"/>
                <w:color w:val="auto"/>
              </w:rPr>
              <w:t>19</w:t>
            </w:r>
          </w:p>
        </w:tc>
        <w:tc>
          <w:tcPr>
            <w:tcW w:w="24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196"/>
        </w:trPr>
        <w:tc>
          <w:tcPr>
            <w:tcW w:w="4480" w:type="dxa"/>
            <w:vAlign w:val="bottom"/>
          </w:tcPr>
          <w:p>
            <w:pPr>
              <w:spacing w:after="0"/>
              <w:rPr>
                <w:sz w:val="20"/>
                <w:szCs w:val="20"/>
                <w:color w:val="auto"/>
              </w:rPr>
            </w:pPr>
            <w:r>
              <w:rPr>
                <w:rFonts w:ascii="Arial" w:cs="Arial" w:eastAsia="Arial" w:hAnsi="Arial"/>
                <w:sz w:val="16"/>
                <w:szCs w:val="16"/>
                <w:color w:val="auto"/>
              </w:rPr>
              <w:t>Net income</w:t>
            </w:r>
          </w:p>
        </w:tc>
        <w:tc>
          <w:tcPr>
            <w:tcW w:w="8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line="135" w:lineRule="exact"/>
              <w:rPr>
                <w:sz w:val="20"/>
                <w:szCs w:val="20"/>
                <w:color w:val="auto"/>
              </w:rPr>
            </w:pPr>
            <w:r>
              <w:rPr>
                <w:rFonts w:ascii="Arial" w:cs="Arial" w:eastAsia="Arial" w:hAnsi="Arial"/>
                <w:sz w:val="15"/>
                <w:szCs w:val="15"/>
                <w:color w:val="auto"/>
              </w:rPr>
              <w:t>Other comprehensive income (loss):</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480" w:type="dxa"/>
            <w:vAlign w:val="bottom"/>
          </w:tcPr>
          <w:p>
            <w:pPr>
              <w:ind w:left="180"/>
              <w:spacing w:after="0" w:line="173" w:lineRule="exact"/>
              <w:rPr>
                <w:sz w:val="20"/>
                <w:szCs w:val="20"/>
                <w:color w:val="auto"/>
              </w:rPr>
            </w:pPr>
            <w:r>
              <w:rPr>
                <w:rFonts w:ascii="Arial" w:cs="Arial" w:eastAsia="Arial" w:hAnsi="Arial"/>
                <w:sz w:val="16"/>
                <w:szCs w:val="16"/>
                <w:color w:val="auto"/>
              </w:rPr>
              <w:t>Foreign currency translation adjustments</w:t>
            </w:r>
          </w:p>
        </w:tc>
        <w:tc>
          <w:tcPr>
            <w:tcW w:w="800" w:type="dxa"/>
            <w:vAlign w:val="bottom"/>
          </w:tcPr>
          <w:p>
            <w:pPr>
              <w:spacing w:after="0"/>
              <w:rPr>
                <w:sz w:val="15"/>
                <w:szCs w:val="15"/>
                <w:color w:val="auto"/>
              </w:rPr>
            </w:pPr>
          </w:p>
        </w:tc>
        <w:tc>
          <w:tcPr>
            <w:tcW w:w="380" w:type="dxa"/>
            <w:vAlign w:val="bottom"/>
          </w:tcPr>
          <w:p>
            <w:pPr>
              <w:jc w:val="right"/>
              <w:ind w:right="21"/>
              <w:spacing w:after="0" w:line="173" w:lineRule="exact"/>
              <w:rPr>
                <w:sz w:val="20"/>
                <w:szCs w:val="20"/>
                <w:color w:val="auto"/>
              </w:rPr>
            </w:pPr>
            <w:r>
              <w:rPr>
                <w:rFonts w:ascii="Arial" w:cs="Arial" w:eastAsia="Arial" w:hAnsi="Arial"/>
                <w:sz w:val="16"/>
                <w:szCs w:val="16"/>
                <w:color w:val="auto"/>
                <w:w w:val="97"/>
              </w:rPr>
              <w:t>144</w:t>
            </w:r>
          </w:p>
        </w:tc>
        <w:tc>
          <w:tcPr>
            <w:tcW w:w="160" w:type="dxa"/>
            <w:vAlign w:val="bottom"/>
          </w:tcPr>
          <w:p>
            <w:pPr>
              <w:spacing w:after="0"/>
              <w:rPr>
                <w:sz w:val="15"/>
                <w:szCs w:val="15"/>
                <w:color w:val="auto"/>
              </w:rPr>
            </w:pPr>
          </w:p>
        </w:tc>
        <w:tc>
          <w:tcPr>
            <w:tcW w:w="1480" w:type="dxa"/>
            <w:vAlign w:val="bottom"/>
          </w:tcPr>
          <w:p>
            <w:pPr>
              <w:jc w:val="right"/>
              <w:ind w:right="22"/>
              <w:spacing w:after="0" w:line="17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144</w:t>
            </w:r>
          </w:p>
        </w:tc>
        <w:tc>
          <w:tcPr>
            <w:tcW w:w="220" w:type="dxa"/>
            <w:vAlign w:val="bottom"/>
          </w:tcPr>
          <w:p>
            <w:pPr>
              <w:spacing w:after="0"/>
              <w:rPr>
                <w:sz w:val="15"/>
                <w:szCs w:val="15"/>
                <w:color w:val="auto"/>
              </w:rPr>
            </w:pPr>
          </w:p>
        </w:tc>
        <w:tc>
          <w:tcPr>
            <w:tcW w:w="1620" w:type="dxa"/>
            <w:vAlign w:val="bottom"/>
          </w:tcPr>
          <w:p>
            <w:pPr>
              <w:jc w:val="right"/>
              <w:spacing w:after="0" w:line="173" w:lineRule="exact"/>
              <w:rPr>
                <w:sz w:val="20"/>
                <w:szCs w:val="20"/>
                <w:color w:val="auto"/>
              </w:rPr>
            </w:pPr>
            <w:r>
              <w:rPr>
                <w:rFonts w:ascii="Arial" w:cs="Arial" w:eastAsia="Arial" w:hAnsi="Arial"/>
                <w:sz w:val="16"/>
                <w:szCs w:val="16"/>
                <w:color w:val="auto"/>
              </w:rPr>
              <w:t>(24)</w:t>
            </w:r>
          </w:p>
        </w:tc>
        <w:tc>
          <w:tcPr>
            <w:tcW w:w="24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73"/>
        </w:trPr>
        <w:tc>
          <w:tcPr>
            <w:tcW w:w="4480" w:type="dxa"/>
            <w:vAlign w:val="bottom"/>
          </w:tcPr>
          <w:p>
            <w:pPr>
              <w:ind w:left="180"/>
              <w:spacing w:after="0" w:line="173" w:lineRule="exact"/>
              <w:rPr>
                <w:sz w:val="20"/>
                <w:szCs w:val="20"/>
                <w:color w:val="auto"/>
              </w:rPr>
            </w:pPr>
            <w:r>
              <w:rPr>
                <w:rFonts w:ascii="Arial" w:cs="Arial" w:eastAsia="Arial" w:hAnsi="Arial"/>
                <w:sz w:val="16"/>
                <w:szCs w:val="16"/>
                <w:color w:val="auto"/>
              </w:rPr>
              <w:t>Pension and other postretirement benefits</w:t>
            </w:r>
          </w:p>
        </w:tc>
        <w:tc>
          <w:tcPr>
            <w:tcW w:w="800" w:type="dxa"/>
            <w:vAlign w:val="bottom"/>
          </w:tcPr>
          <w:p>
            <w:pPr>
              <w:spacing w:after="0"/>
              <w:rPr>
                <w:sz w:val="15"/>
                <w:szCs w:val="15"/>
                <w:color w:val="auto"/>
              </w:rPr>
            </w:pPr>
          </w:p>
        </w:tc>
        <w:tc>
          <w:tcPr>
            <w:tcW w:w="380" w:type="dxa"/>
            <w:vAlign w:val="bottom"/>
          </w:tcPr>
          <w:p>
            <w:pPr>
              <w:jc w:val="right"/>
              <w:ind w:right="21"/>
              <w:spacing w:after="0" w:line="173" w:lineRule="exact"/>
              <w:rPr>
                <w:sz w:val="20"/>
                <w:szCs w:val="20"/>
                <w:color w:val="auto"/>
              </w:rPr>
            </w:pPr>
            <w:r>
              <w:rPr>
                <w:rFonts w:ascii="Arial" w:cs="Arial" w:eastAsia="Arial" w:hAnsi="Arial"/>
                <w:sz w:val="16"/>
                <w:szCs w:val="16"/>
                <w:color w:val="auto"/>
              </w:rPr>
              <w:t>7</w:t>
            </w:r>
          </w:p>
        </w:tc>
        <w:tc>
          <w:tcPr>
            <w:tcW w:w="160" w:type="dxa"/>
            <w:vAlign w:val="bottom"/>
          </w:tcPr>
          <w:p>
            <w:pPr>
              <w:spacing w:after="0"/>
              <w:rPr>
                <w:sz w:val="15"/>
                <w:szCs w:val="15"/>
                <w:color w:val="auto"/>
              </w:rPr>
            </w:pPr>
          </w:p>
        </w:tc>
        <w:tc>
          <w:tcPr>
            <w:tcW w:w="1480" w:type="dxa"/>
            <w:vAlign w:val="bottom"/>
          </w:tcPr>
          <w:p>
            <w:pPr>
              <w:jc w:val="right"/>
              <w:spacing w:after="0" w:line="173" w:lineRule="exact"/>
              <w:rPr>
                <w:sz w:val="20"/>
                <w:szCs w:val="20"/>
                <w:color w:val="auto"/>
              </w:rPr>
            </w:pPr>
            <w:r>
              <w:rPr>
                <w:rFonts w:ascii="Arial" w:cs="Arial" w:eastAsia="Arial" w:hAnsi="Arial"/>
                <w:sz w:val="16"/>
                <w:szCs w:val="16"/>
                <w:color w:val="auto"/>
              </w:rPr>
              <w:t>(3)</w:t>
            </w:r>
          </w:p>
        </w:tc>
        <w:tc>
          <w:tcPr>
            <w:tcW w:w="1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220" w:type="dxa"/>
            <w:vAlign w:val="bottom"/>
          </w:tcPr>
          <w:p>
            <w:pPr>
              <w:spacing w:after="0"/>
              <w:rPr>
                <w:sz w:val="15"/>
                <w:szCs w:val="15"/>
                <w:color w:val="auto"/>
              </w:rPr>
            </w:pPr>
          </w:p>
        </w:tc>
        <w:tc>
          <w:tcPr>
            <w:tcW w:w="1620" w:type="dxa"/>
            <w:vAlign w:val="bottom"/>
          </w:tcPr>
          <w:p>
            <w:pPr>
              <w:jc w:val="right"/>
              <w:ind w:right="22"/>
              <w:spacing w:after="0" w:line="173"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4"/>
        </w:trPr>
        <w:tc>
          <w:tcPr>
            <w:tcW w:w="448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66"/>
        </w:trPr>
        <w:tc>
          <w:tcPr>
            <w:tcW w:w="4480" w:type="dxa"/>
            <w:vAlign w:val="bottom"/>
          </w:tcPr>
          <w:p>
            <w:pPr>
              <w:ind w:left="180"/>
              <w:spacing w:after="0" w:line="166" w:lineRule="exact"/>
              <w:rPr>
                <w:sz w:val="20"/>
                <w:szCs w:val="20"/>
                <w:color w:val="auto"/>
              </w:rPr>
            </w:pPr>
            <w:r>
              <w:rPr>
                <w:rFonts w:ascii="Arial" w:cs="Arial" w:eastAsia="Arial" w:hAnsi="Arial"/>
                <w:sz w:val="16"/>
                <w:szCs w:val="16"/>
                <w:color w:val="auto"/>
              </w:rPr>
              <w:t>Total other comprehensive income (loss)</w:t>
            </w: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21"/>
              <w:spacing w:after="0" w:line="166" w:lineRule="exact"/>
              <w:rPr>
                <w:sz w:val="20"/>
                <w:szCs w:val="20"/>
                <w:color w:val="auto"/>
              </w:rPr>
            </w:pPr>
            <w:r>
              <w:rPr>
                <w:rFonts w:ascii="Arial" w:cs="Arial" w:eastAsia="Arial" w:hAnsi="Arial"/>
                <w:sz w:val="16"/>
                <w:szCs w:val="16"/>
                <w:color w:val="auto"/>
                <w:w w:val="97"/>
              </w:rPr>
              <w:t>164</w:t>
            </w: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(7)</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157</w:t>
            </w: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(6)</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135"/>
        </w:trPr>
        <w:tc>
          <w:tcPr>
            <w:tcW w:w="4480" w:type="dxa"/>
            <w:vAlign w:val="bottom"/>
          </w:tcPr>
          <w:p>
            <w:pPr>
              <w:spacing w:after="0" w:line="135" w:lineRule="exact"/>
              <w:rPr>
                <w:sz w:val="20"/>
                <w:szCs w:val="20"/>
                <w:color w:val="auto"/>
              </w:rPr>
            </w:pPr>
            <w:r>
              <w:rPr>
                <w:rFonts w:ascii="Arial" w:cs="Arial" w:eastAsia="Arial" w:hAnsi="Arial"/>
                <w:sz w:val="15"/>
                <w:szCs w:val="15"/>
                <w:color w:val="auto"/>
              </w:rPr>
              <w:t>Comprehensive income</w:t>
            </w:r>
          </w:p>
        </w:tc>
        <w:tc>
          <w:tcPr>
            <w:tcW w:w="800" w:type="dxa"/>
            <w:vAlign w:val="bottom"/>
          </w:tcPr>
          <w:p>
            <w:pPr>
              <w:spacing w:after="0"/>
              <w:rPr>
                <w:sz w:val="11"/>
                <w:szCs w:val="11"/>
                <w:color w:val="auto"/>
              </w:rPr>
            </w:pPr>
          </w:p>
        </w:tc>
        <w:tc>
          <w:tcPr>
            <w:tcW w:w="380" w:type="dxa"/>
            <w:vAlign w:val="bottom"/>
          </w:tcPr>
          <w:p>
            <w:pPr>
              <w:jc w:val="right"/>
              <w:ind w:right="21"/>
              <w:spacing w:after="0" w:line="135" w:lineRule="exact"/>
              <w:rPr>
                <w:sz w:val="20"/>
                <w:szCs w:val="20"/>
                <w:color w:val="auto"/>
              </w:rPr>
            </w:pPr>
            <w:r>
              <w:rPr>
                <w:rFonts w:ascii="Arial" w:cs="Arial" w:eastAsia="Arial" w:hAnsi="Arial"/>
                <w:sz w:val="15"/>
                <w:szCs w:val="15"/>
                <w:color w:val="auto"/>
              </w:rPr>
              <w:t>800</w:t>
            </w:r>
          </w:p>
        </w:tc>
        <w:tc>
          <w:tcPr>
            <w:tcW w:w="16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5"/>
                <w:szCs w:val="15"/>
                <w:color w:val="auto"/>
              </w:rPr>
              <w:t>(217)</w:t>
            </w:r>
          </w:p>
        </w:tc>
        <w:tc>
          <w:tcPr>
            <w:tcW w:w="18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5"/>
                <w:szCs w:val="15"/>
                <w:color w:val="auto"/>
              </w:rPr>
              <w:t>583</w:t>
            </w:r>
          </w:p>
        </w:tc>
        <w:tc>
          <w:tcPr>
            <w:tcW w:w="220" w:type="dxa"/>
            <w:vAlign w:val="bottom"/>
          </w:tcPr>
          <w:p>
            <w:pPr>
              <w:spacing w:after="0"/>
              <w:rPr>
                <w:sz w:val="11"/>
                <w:szCs w:val="11"/>
                <w:color w:val="auto"/>
              </w:rPr>
            </w:pPr>
          </w:p>
        </w:tc>
        <w:tc>
          <w:tcPr>
            <w:tcW w:w="1620" w:type="dxa"/>
            <w:vAlign w:val="bottom"/>
          </w:tcPr>
          <w:p>
            <w:pPr>
              <w:jc w:val="right"/>
              <w:ind w:right="22"/>
              <w:spacing w:after="0" w:line="135" w:lineRule="exact"/>
              <w:rPr>
                <w:sz w:val="20"/>
                <w:szCs w:val="20"/>
                <w:color w:val="auto"/>
              </w:rPr>
            </w:pPr>
            <w:r>
              <w:rPr>
                <w:rFonts w:ascii="Arial" w:cs="Arial" w:eastAsia="Arial" w:hAnsi="Arial"/>
                <w:sz w:val="15"/>
                <w:szCs w:val="15"/>
                <w:color w:val="auto"/>
              </w:rPr>
              <w:t>13</w:t>
            </w: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596</w:t>
            </w:r>
          </w:p>
        </w:tc>
        <w:tc>
          <w:tcPr>
            <w:tcW w:w="0" w:type="dxa"/>
            <w:vAlign w:val="bottom"/>
          </w:tcPr>
          <w:p>
            <w:pPr>
              <w:spacing w:after="0"/>
              <w:rPr>
                <w:sz w:val="1"/>
                <w:szCs w:val="1"/>
                <w:color w:val="auto"/>
              </w:rPr>
            </w:pPr>
          </w:p>
        </w:tc>
      </w:tr>
      <w:tr>
        <w:trPr>
          <w:trHeight w:val="204"/>
        </w:trPr>
        <w:tc>
          <w:tcPr>
            <w:tcW w:w="448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35"/>
        </w:trPr>
        <w:tc>
          <w:tcPr>
            <w:tcW w:w="4480" w:type="dxa"/>
            <w:vAlign w:val="bottom"/>
          </w:tcPr>
          <w:p>
            <w:pPr>
              <w:spacing w:after="0" w:line="135" w:lineRule="exact"/>
              <w:rPr>
                <w:sz w:val="20"/>
                <w:szCs w:val="20"/>
                <w:color w:val="auto"/>
              </w:rPr>
            </w:pPr>
            <w:r>
              <w:rPr>
                <w:rFonts w:ascii="Arial" w:cs="Arial" w:eastAsia="Arial" w:hAnsi="Arial"/>
                <w:sz w:val="15"/>
                <w:szCs w:val="15"/>
                <w:color w:val="auto"/>
              </w:rPr>
              <w:t>Comprehensive income, after preferred</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480" w:type="dxa"/>
            <w:vAlign w:val="bottom"/>
          </w:tcPr>
          <w:p>
            <w:pPr>
              <w:ind w:left="180"/>
              <w:spacing w:after="0"/>
              <w:rPr>
                <w:sz w:val="20"/>
                <w:szCs w:val="20"/>
                <w:color w:val="auto"/>
              </w:rPr>
            </w:pPr>
            <w:r>
              <w:rPr>
                <w:rFonts w:ascii="Arial" w:cs="Arial" w:eastAsia="Arial" w:hAnsi="Arial"/>
                <w:sz w:val="16"/>
                <w:szCs w:val="16"/>
                <w:color w:val="auto"/>
              </w:rPr>
              <w:t>dividends of subsidiaries</w:t>
            </w:r>
          </w:p>
        </w:tc>
        <w:tc>
          <w:tcPr>
            <w:tcW w:w="80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w w:val="97"/>
              </w:rPr>
              <w:t>797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(217)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580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13</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80"/>
        </w:trPr>
        <w:tc>
          <w:tcPr>
            <w:tcW w:w="4480" w:type="dxa"/>
            <w:vAlign w:val="bottom"/>
            <w:shd w:val="clear" w:color="auto" w:fill="000000"/>
          </w:tcPr>
          <w:p>
            <w:pPr>
              <w:spacing w:after="0"/>
              <w:rPr>
                <w:sz w:val="6"/>
                <w:szCs w:val="6"/>
                <w:color w:val="auto"/>
              </w:rPr>
            </w:pPr>
          </w:p>
        </w:tc>
        <w:tc>
          <w:tcPr>
            <w:tcW w:w="80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148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162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8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9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48525" cy="212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8525" cy="212090"/>
                    </a:xfrm>
                    <a:prstGeom prst="rect">
                      <a:avLst/>
                    </a:prstGeom>
                    <a:noFill/>
                  </pic:spPr>
                </pic:pic>
              </a:graphicData>
            </a:graphic>
          </wp:anchor>
        </w:drawing>
      </w:r>
    </w:p>
    <w:p>
      <w:pPr>
        <w:sectPr>
          <w:pgSz w:w="11900" w:h="16838" w:orient="portrait"/>
          <w:cols w:equalWidth="0" w:num="1">
            <w:col w:w="11420"/>
          </w:cols>
          <w:pgMar w:left="240" w:top="97" w:right="239" w:bottom="0" w:gutter="0" w:footer="0" w:header="0"/>
          <w:type w:val="continuous"/>
        </w:sectPr>
      </w:pPr>
    </w:p>
    <w:bookmarkStart w:id="4" w:name="page5"/>
    <w:bookmarkEnd w:id="4"/>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248525" cy="2108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8525" cy="21082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restart"/>
          </w:tcPr>
          <w:p>
            <w:pPr>
              <w:jc w:val="center"/>
              <w:ind w:right="181"/>
              <w:spacing w:after="0"/>
              <w:rPr>
                <w:sz w:val="20"/>
                <w:szCs w:val="20"/>
                <w:color w:val="auto"/>
              </w:rPr>
            </w:pPr>
            <w:r>
              <w:rPr>
                <w:rFonts w:ascii="Arial" w:cs="Arial" w:eastAsia="Arial" w:hAnsi="Arial"/>
                <w:sz w:val="14"/>
                <w:szCs w:val="14"/>
                <w:color w:val="auto"/>
              </w:rPr>
              <w:t>June 30,</w:t>
            </w:r>
          </w:p>
        </w:tc>
        <w:tc>
          <w:tcPr>
            <w:tcW w:w="160" w:type="dxa"/>
            <w:vAlign w:val="bottom"/>
          </w:tcPr>
          <w:p>
            <w:pPr>
              <w:spacing w:after="0"/>
              <w:rPr>
                <w:sz w:val="16"/>
                <w:szCs w:val="16"/>
                <w:color w:val="auto"/>
              </w:rPr>
            </w:pPr>
          </w:p>
        </w:tc>
        <w:tc>
          <w:tcPr>
            <w:tcW w:w="1260" w:type="dxa"/>
            <w:vAlign w:val="bottom"/>
            <w:vMerge w:val="restart"/>
          </w:tcPr>
          <w:p>
            <w:pPr>
              <w:jc w:val="right"/>
              <w:ind w:right="20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0" w:type="dxa"/>
            <w:vAlign w:val="bottom"/>
            <w:tcBorders>
              <w:bottom w:val="single" w:sz="8" w:color="auto"/>
            </w:tcBorders>
          </w:tcPr>
          <w:p>
            <w:pPr>
              <w:spacing w:after="0"/>
              <w:rPr>
                <w:sz w:val="15"/>
                <w:szCs w:val="15"/>
                <w:color w:val="auto"/>
              </w:rPr>
            </w:pPr>
          </w:p>
        </w:tc>
        <w:tc>
          <w:tcPr>
            <w:tcW w:w="68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rPr>
              <w:t>2014</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2013(1)</w:t>
            </w:r>
          </w:p>
        </w:tc>
        <w:tc>
          <w:tcPr>
            <w:tcW w:w="0" w:type="dxa"/>
            <w:vAlign w:val="bottom"/>
          </w:tcPr>
          <w:p>
            <w:pPr>
              <w:spacing w:after="0"/>
              <w:rPr>
                <w:sz w:val="1"/>
                <w:szCs w:val="1"/>
                <w:color w:val="auto"/>
              </w:rPr>
            </w:pPr>
          </w:p>
        </w:tc>
      </w:tr>
      <w:tr>
        <w:trPr>
          <w:trHeight w:val="183"/>
        </w:trPr>
        <w:tc>
          <w:tcPr>
            <w:tcW w:w="7040" w:type="dxa"/>
            <w:vAlign w:val="bottom"/>
            <w:gridSpan w:val="2"/>
            <w:vMerge w:val="restart"/>
          </w:tcPr>
          <w:p>
            <w:pPr>
              <w:spacing w:after="0"/>
              <w:rPr>
                <w:sz w:val="20"/>
                <w:szCs w:val="20"/>
                <w:color w:val="auto"/>
              </w:rPr>
            </w:pPr>
            <w:r>
              <w:rPr>
                <w:rFonts w:ascii="Arial" w:cs="Arial" w:eastAsia="Arial" w:hAnsi="Arial"/>
                <w:sz w:val="16"/>
                <w:szCs w:val="16"/>
                <w:color w:val="auto"/>
              </w:rPr>
              <w:t>ASSETS</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61"/>
              <w:spacing w:after="0"/>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040" w:type="dxa"/>
            <w:vAlign w:val="bottom"/>
            <w:gridSpan w:val="2"/>
            <w:vMerge w:val="continue"/>
          </w:tcPr>
          <w:p>
            <w:pPr>
              <w:spacing w:after="0"/>
              <w:rPr>
                <w:sz w:val="10"/>
                <w:szCs w:val="10"/>
                <w:color w:val="auto"/>
              </w:rPr>
            </w:pPr>
          </w:p>
        </w:tc>
        <w:tc>
          <w:tcPr>
            <w:tcW w:w="1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040" w:type="dxa"/>
            <w:vAlign w:val="bottom"/>
            <w:gridSpan w:val="2"/>
          </w:tcPr>
          <w:p>
            <w:pPr>
              <w:spacing w:after="0" w:line="173" w:lineRule="exact"/>
              <w:rPr>
                <w:sz w:val="20"/>
                <w:szCs w:val="20"/>
                <w:color w:val="auto"/>
              </w:rPr>
            </w:pPr>
            <w:r>
              <w:rPr>
                <w:rFonts w:ascii="Arial" w:cs="Arial" w:eastAsia="Arial" w:hAnsi="Arial"/>
                <w:sz w:val="16"/>
                <w:szCs w:val="16"/>
                <w:color w:val="auto"/>
              </w:rPr>
              <w:t>Current assets:</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860" w:type="dxa"/>
            <w:vAlign w:val="bottom"/>
          </w:tcPr>
          <w:p>
            <w:pPr>
              <w:spacing w:after="0" w:line="173" w:lineRule="exact"/>
              <w:rPr>
                <w:sz w:val="20"/>
                <w:szCs w:val="20"/>
                <w:color w:val="auto"/>
              </w:rPr>
            </w:pPr>
            <w:r>
              <w:rPr>
                <w:rFonts w:ascii="Arial" w:cs="Arial" w:eastAsia="Arial" w:hAnsi="Arial"/>
                <w:sz w:val="16"/>
                <w:szCs w:val="16"/>
                <w:color w:val="auto"/>
              </w:rPr>
              <w:t>Cash and cash equivalents</w:t>
            </w:r>
          </w:p>
        </w:tc>
        <w:tc>
          <w:tcPr>
            <w:tcW w:w="1760" w:type="dxa"/>
            <w:vAlign w:val="bottom"/>
            <w:gridSpan w:val="2"/>
          </w:tcPr>
          <w:p>
            <w:pPr>
              <w:jc w:val="right"/>
              <w:ind w:right="46"/>
              <w:spacing w:after="0" w:line="173"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789</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860" w:type="dxa"/>
            <w:vAlign w:val="bottom"/>
          </w:tcPr>
          <w:p>
            <w:pPr>
              <w:spacing w:after="0" w:line="173" w:lineRule="exact"/>
              <w:rPr>
                <w:sz w:val="20"/>
                <w:szCs w:val="20"/>
                <w:color w:val="auto"/>
              </w:rPr>
            </w:pPr>
            <w:r>
              <w:rPr>
                <w:rFonts w:ascii="Arial" w:cs="Arial" w:eastAsia="Arial" w:hAnsi="Arial"/>
                <w:sz w:val="16"/>
                <w:szCs w:val="16"/>
                <w:color w:val="auto"/>
              </w:rPr>
              <w:t>Restricted cash</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20</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860" w:type="dxa"/>
            <w:vAlign w:val="bottom"/>
          </w:tcPr>
          <w:p>
            <w:pPr>
              <w:spacing w:after="0" w:line="173" w:lineRule="exact"/>
              <w:rPr>
                <w:sz w:val="20"/>
                <w:szCs w:val="20"/>
                <w:color w:val="auto"/>
              </w:rPr>
            </w:pPr>
            <w:r>
              <w:rPr>
                <w:rFonts w:ascii="Arial" w:cs="Arial" w:eastAsia="Arial" w:hAnsi="Arial"/>
                <w:sz w:val="16"/>
                <w:szCs w:val="16"/>
                <w:color w:val="auto"/>
              </w:rPr>
              <w:t>Trade accounts receivable, net</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1,051</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1,308</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860" w:type="dxa"/>
            <w:vAlign w:val="bottom"/>
          </w:tcPr>
          <w:p>
            <w:pPr>
              <w:spacing w:after="0" w:line="173" w:lineRule="exact"/>
              <w:rPr>
                <w:sz w:val="20"/>
                <w:szCs w:val="20"/>
                <w:color w:val="auto"/>
              </w:rPr>
            </w:pPr>
            <w:r>
              <w:rPr>
                <w:rFonts w:ascii="Arial" w:cs="Arial" w:eastAsia="Arial" w:hAnsi="Arial"/>
                <w:sz w:val="16"/>
                <w:szCs w:val="16"/>
                <w:color w:val="auto"/>
              </w:rPr>
              <w:t>Other accounts and notes receivable, net</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188</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860" w:type="dxa"/>
            <w:vAlign w:val="bottom"/>
          </w:tcPr>
          <w:p>
            <w:pPr>
              <w:spacing w:after="0" w:line="173" w:lineRule="exact"/>
              <w:rPr>
                <w:sz w:val="20"/>
                <w:szCs w:val="20"/>
                <w:color w:val="auto"/>
              </w:rPr>
            </w:pPr>
            <w:r>
              <w:rPr>
                <w:rFonts w:ascii="Arial" w:cs="Arial" w:eastAsia="Arial" w:hAnsi="Arial"/>
                <w:sz w:val="16"/>
                <w:szCs w:val="16"/>
                <w:color w:val="auto"/>
              </w:rPr>
              <w:t>Due from unconsolidated affiliates</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860" w:type="dxa"/>
            <w:vAlign w:val="bottom"/>
          </w:tcPr>
          <w:p>
            <w:pPr>
              <w:spacing w:after="0" w:line="173" w:lineRule="exact"/>
              <w:rPr>
                <w:sz w:val="20"/>
                <w:szCs w:val="20"/>
                <w:color w:val="auto"/>
              </w:rPr>
            </w:pPr>
            <w:r>
              <w:rPr>
                <w:rFonts w:ascii="Arial" w:cs="Arial" w:eastAsia="Arial" w:hAnsi="Arial"/>
                <w:sz w:val="16"/>
                <w:szCs w:val="16"/>
                <w:color w:val="auto"/>
              </w:rPr>
              <w:t>Income taxes receivable</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122</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860" w:type="dxa"/>
            <w:vAlign w:val="bottom"/>
          </w:tcPr>
          <w:p>
            <w:pPr>
              <w:spacing w:after="0" w:line="173" w:lineRule="exact"/>
              <w:rPr>
                <w:sz w:val="20"/>
                <w:szCs w:val="20"/>
                <w:color w:val="auto"/>
              </w:rPr>
            </w:pPr>
            <w:r>
              <w:rPr>
                <w:rFonts w:ascii="Arial" w:cs="Arial" w:eastAsia="Arial" w:hAnsi="Arial"/>
                <w:sz w:val="16"/>
                <w:szCs w:val="16"/>
                <w:color w:val="auto"/>
              </w:rPr>
              <w:t>Deferred income taxes</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390</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860" w:type="dxa"/>
            <w:vAlign w:val="bottom"/>
          </w:tcPr>
          <w:p>
            <w:pPr>
              <w:spacing w:after="0" w:line="173" w:lineRule="exact"/>
              <w:rPr>
                <w:sz w:val="20"/>
                <w:szCs w:val="20"/>
                <w:color w:val="auto"/>
              </w:rPr>
            </w:pPr>
            <w:r>
              <w:rPr>
                <w:rFonts w:ascii="Arial" w:cs="Arial" w:eastAsia="Arial" w:hAnsi="Arial"/>
                <w:sz w:val="16"/>
                <w:szCs w:val="16"/>
                <w:color w:val="auto"/>
              </w:rPr>
              <w:t>Inventories</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267</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860" w:type="dxa"/>
            <w:vAlign w:val="bottom"/>
          </w:tcPr>
          <w:p>
            <w:pPr>
              <w:spacing w:after="0" w:line="173" w:lineRule="exact"/>
              <w:rPr>
                <w:sz w:val="20"/>
                <w:szCs w:val="20"/>
                <w:color w:val="auto"/>
              </w:rPr>
            </w:pPr>
            <w:r>
              <w:rPr>
                <w:rFonts w:ascii="Arial" w:cs="Arial" w:eastAsia="Arial" w:hAnsi="Arial"/>
                <w:sz w:val="16"/>
                <w:szCs w:val="16"/>
                <w:color w:val="auto"/>
              </w:rPr>
              <w:t>Regulatory balancing accounts – undercollected</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780</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860" w:type="dxa"/>
            <w:vAlign w:val="bottom"/>
          </w:tcPr>
          <w:p>
            <w:pPr>
              <w:spacing w:after="0" w:line="173" w:lineRule="exact"/>
              <w:rPr>
                <w:sz w:val="20"/>
                <w:szCs w:val="20"/>
                <w:color w:val="auto"/>
              </w:rPr>
            </w:pPr>
            <w:r>
              <w:rPr>
                <w:rFonts w:ascii="Arial" w:cs="Arial" w:eastAsia="Arial" w:hAnsi="Arial"/>
                <w:sz w:val="16"/>
                <w:szCs w:val="16"/>
                <w:color w:val="auto"/>
              </w:rPr>
              <w:t>Other regulatory assets</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40</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860" w:type="dxa"/>
            <w:vAlign w:val="bottom"/>
          </w:tcPr>
          <w:p>
            <w:pPr>
              <w:spacing w:after="0" w:line="173" w:lineRule="exact"/>
              <w:rPr>
                <w:sz w:val="20"/>
                <w:szCs w:val="20"/>
                <w:color w:val="auto"/>
              </w:rPr>
            </w:pPr>
            <w:r>
              <w:rPr>
                <w:rFonts w:ascii="Arial" w:cs="Arial" w:eastAsia="Arial" w:hAnsi="Arial"/>
                <w:sz w:val="16"/>
                <w:szCs w:val="16"/>
                <w:color w:val="auto"/>
              </w:rPr>
              <w:t>Fixed-price contracts and other derivatives</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101</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73"/>
        </w:trPr>
        <w:tc>
          <w:tcPr>
            <w:tcW w:w="7040" w:type="dxa"/>
            <w:vAlign w:val="bottom"/>
            <w:gridSpan w:val="2"/>
          </w:tcPr>
          <w:p>
            <w:pPr>
              <w:ind w:left="180"/>
              <w:spacing w:after="0" w:line="173" w:lineRule="exact"/>
              <w:rPr>
                <w:sz w:val="20"/>
                <w:szCs w:val="20"/>
                <w:color w:val="auto"/>
              </w:rPr>
            </w:pPr>
            <w:r>
              <w:rPr>
                <w:rFonts w:ascii="Arial" w:cs="Arial" w:eastAsia="Arial" w:hAnsi="Arial"/>
                <w:sz w:val="16"/>
                <w:szCs w:val="16"/>
                <w:color w:val="auto"/>
              </w:rPr>
              <w:t>Asset held for sale, power plant</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293</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6860" w:type="dxa"/>
            <w:vAlign w:val="bottom"/>
          </w:tcPr>
          <w:p>
            <w:pPr>
              <w:spacing w:after="0"/>
              <w:rPr>
                <w:sz w:val="20"/>
                <w:szCs w:val="20"/>
                <w:color w:val="auto"/>
              </w:rPr>
            </w:pPr>
            <w:r>
              <w:rPr>
                <w:rFonts w:ascii="Arial" w:cs="Arial" w:eastAsia="Arial" w:hAnsi="Arial"/>
                <w:sz w:val="16"/>
                <w:szCs w:val="16"/>
                <w:color w:val="auto"/>
              </w:rPr>
              <w:t>Other</w:t>
            </w:r>
          </w:p>
        </w:tc>
        <w:tc>
          <w:tcPr>
            <w:tcW w:w="1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6860" w:type="dxa"/>
            <w:vAlign w:val="bottom"/>
          </w:tcPr>
          <w:p>
            <w:pPr>
              <w:ind w:left="180"/>
              <w:spacing w:after="0" w:line="166" w:lineRule="exact"/>
              <w:rPr>
                <w:sz w:val="20"/>
                <w:szCs w:val="20"/>
                <w:color w:val="auto"/>
              </w:rPr>
            </w:pPr>
            <w:r>
              <w:rPr>
                <w:rFonts w:ascii="Arial" w:cs="Arial" w:eastAsia="Arial" w:hAnsi="Arial"/>
                <w:sz w:val="16"/>
                <w:szCs w:val="16"/>
                <w:color w:val="auto"/>
              </w:rPr>
              <w:t>Total current assets</w:t>
            </w:r>
          </w:p>
        </w:tc>
        <w:tc>
          <w:tcPr>
            <w:tcW w:w="1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4,195</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3,997</w:t>
            </w:r>
          </w:p>
        </w:tc>
        <w:tc>
          <w:tcPr>
            <w:tcW w:w="0" w:type="dxa"/>
            <w:vAlign w:val="bottom"/>
          </w:tcPr>
          <w:p>
            <w:pPr>
              <w:spacing w:after="0"/>
              <w:rPr>
                <w:sz w:val="1"/>
                <w:szCs w:val="1"/>
                <w:color w:val="auto"/>
              </w:rPr>
            </w:pPr>
          </w:p>
        </w:tc>
      </w:tr>
      <w:tr>
        <w:trPr>
          <w:trHeight w:val="334"/>
        </w:trPr>
        <w:tc>
          <w:tcPr>
            <w:tcW w:w="7040" w:type="dxa"/>
            <w:vAlign w:val="bottom"/>
            <w:gridSpan w:val="2"/>
          </w:tcPr>
          <w:p>
            <w:pPr>
              <w:spacing w:after="0"/>
              <w:rPr>
                <w:sz w:val="20"/>
                <w:szCs w:val="20"/>
                <w:color w:val="auto"/>
              </w:rPr>
            </w:pPr>
            <w:r>
              <w:rPr>
                <w:rFonts w:ascii="Arial" w:cs="Arial" w:eastAsia="Arial" w:hAnsi="Arial"/>
                <w:sz w:val="16"/>
                <w:szCs w:val="16"/>
                <w:color w:val="auto"/>
              </w:rPr>
              <w:t>Investments and other assets:</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860" w:type="dxa"/>
            <w:vAlign w:val="bottom"/>
          </w:tcPr>
          <w:p>
            <w:pPr>
              <w:spacing w:after="0" w:line="173" w:lineRule="exact"/>
              <w:rPr>
                <w:sz w:val="20"/>
                <w:szCs w:val="20"/>
                <w:color w:val="auto"/>
              </w:rPr>
            </w:pPr>
            <w:r>
              <w:rPr>
                <w:rFonts w:ascii="Arial" w:cs="Arial" w:eastAsia="Arial" w:hAnsi="Arial"/>
                <w:sz w:val="16"/>
                <w:szCs w:val="16"/>
                <w:color w:val="auto"/>
              </w:rPr>
              <w:t>Restricted cash</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29</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860" w:type="dxa"/>
            <w:vAlign w:val="bottom"/>
          </w:tcPr>
          <w:p>
            <w:pPr>
              <w:spacing w:after="0" w:line="173" w:lineRule="exact"/>
              <w:rPr>
                <w:sz w:val="20"/>
                <w:szCs w:val="20"/>
                <w:color w:val="auto"/>
              </w:rPr>
            </w:pPr>
            <w:r>
              <w:rPr>
                <w:rFonts w:ascii="Arial" w:cs="Arial" w:eastAsia="Arial" w:hAnsi="Arial"/>
                <w:sz w:val="16"/>
                <w:szCs w:val="16"/>
                <w:color w:val="auto"/>
              </w:rPr>
              <w:t>Due from unconsolidated affiliate</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38</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860" w:type="dxa"/>
            <w:vAlign w:val="bottom"/>
          </w:tcPr>
          <w:p>
            <w:pPr>
              <w:spacing w:after="0" w:line="173" w:lineRule="exact"/>
              <w:rPr>
                <w:sz w:val="20"/>
                <w:szCs w:val="20"/>
                <w:color w:val="auto"/>
              </w:rPr>
            </w:pPr>
            <w:r>
              <w:rPr>
                <w:rFonts w:ascii="Arial" w:cs="Arial" w:eastAsia="Arial" w:hAnsi="Arial"/>
                <w:sz w:val="16"/>
                <w:szCs w:val="16"/>
                <w:color w:val="auto"/>
              </w:rPr>
              <w:t>Regulatory assets arising from pension and other postretirement</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860" w:type="dxa"/>
            <w:vAlign w:val="bottom"/>
          </w:tcPr>
          <w:p>
            <w:pPr>
              <w:ind w:left="180"/>
              <w:spacing w:after="0" w:line="173" w:lineRule="exact"/>
              <w:rPr>
                <w:sz w:val="20"/>
                <w:szCs w:val="20"/>
                <w:color w:val="auto"/>
              </w:rPr>
            </w:pPr>
            <w:r>
              <w:rPr>
                <w:rFonts w:ascii="Arial" w:cs="Arial" w:eastAsia="Arial" w:hAnsi="Arial"/>
                <w:sz w:val="16"/>
                <w:szCs w:val="16"/>
                <w:color w:val="auto"/>
              </w:rPr>
              <w:t>benefit obligations</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449</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860" w:type="dxa"/>
            <w:vAlign w:val="bottom"/>
          </w:tcPr>
          <w:p>
            <w:pPr>
              <w:spacing w:after="0" w:line="173" w:lineRule="exact"/>
              <w:rPr>
                <w:sz w:val="20"/>
                <w:szCs w:val="20"/>
                <w:color w:val="auto"/>
              </w:rPr>
            </w:pPr>
            <w:r>
              <w:rPr>
                <w:rFonts w:ascii="Arial" w:cs="Arial" w:eastAsia="Arial" w:hAnsi="Arial"/>
                <w:sz w:val="16"/>
                <w:szCs w:val="16"/>
                <w:color w:val="auto"/>
              </w:rPr>
              <w:t>Other regulatory assets</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2,101</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2,113</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860" w:type="dxa"/>
            <w:vAlign w:val="bottom"/>
          </w:tcPr>
          <w:p>
            <w:pPr>
              <w:spacing w:after="0" w:line="173" w:lineRule="exact"/>
              <w:rPr>
                <w:sz w:val="20"/>
                <w:szCs w:val="20"/>
                <w:color w:val="auto"/>
              </w:rPr>
            </w:pPr>
            <w:r>
              <w:rPr>
                <w:rFonts w:ascii="Arial" w:cs="Arial" w:eastAsia="Arial" w:hAnsi="Arial"/>
                <w:sz w:val="16"/>
                <w:szCs w:val="16"/>
                <w:color w:val="auto"/>
              </w:rPr>
              <w:t>Nuclear decommissioning trusts</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1,096</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860" w:type="dxa"/>
            <w:vAlign w:val="bottom"/>
          </w:tcPr>
          <w:p>
            <w:pPr>
              <w:spacing w:after="0" w:line="173" w:lineRule="exact"/>
              <w:rPr>
                <w:sz w:val="20"/>
                <w:szCs w:val="20"/>
                <w:color w:val="auto"/>
              </w:rPr>
            </w:pPr>
            <w:r>
              <w:rPr>
                <w:rFonts w:ascii="Arial" w:cs="Arial" w:eastAsia="Arial" w:hAnsi="Arial"/>
                <w:sz w:val="16"/>
                <w:szCs w:val="16"/>
                <w:color w:val="auto"/>
              </w:rPr>
              <w:t>Investments</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1,769</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1,575</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860" w:type="dxa"/>
            <w:vAlign w:val="bottom"/>
          </w:tcPr>
          <w:p>
            <w:pPr>
              <w:spacing w:after="0" w:line="173" w:lineRule="exact"/>
              <w:rPr>
                <w:sz w:val="20"/>
                <w:szCs w:val="20"/>
                <w:color w:val="auto"/>
              </w:rPr>
            </w:pPr>
            <w:r>
              <w:rPr>
                <w:rFonts w:ascii="Arial" w:cs="Arial" w:eastAsia="Arial" w:hAnsi="Arial"/>
                <w:sz w:val="16"/>
                <w:szCs w:val="16"/>
                <w:color w:val="auto"/>
              </w:rPr>
              <w:t>Goodwill</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1,000</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860" w:type="dxa"/>
            <w:vAlign w:val="bottom"/>
          </w:tcPr>
          <w:p>
            <w:pPr>
              <w:spacing w:after="0" w:line="173" w:lineRule="exact"/>
              <w:rPr>
                <w:sz w:val="20"/>
                <w:szCs w:val="20"/>
                <w:color w:val="auto"/>
              </w:rPr>
            </w:pPr>
            <w:r>
              <w:rPr>
                <w:rFonts w:ascii="Arial" w:cs="Arial" w:eastAsia="Arial" w:hAnsi="Arial"/>
                <w:sz w:val="16"/>
                <w:szCs w:val="16"/>
                <w:color w:val="auto"/>
              </w:rPr>
              <w:t>Other intangible assets</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421</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6860" w:type="dxa"/>
            <w:vAlign w:val="bottom"/>
          </w:tcPr>
          <w:p>
            <w:pPr>
              <w:spacing w:after="0"/>
              <w:rPr>
                <w:sz w:val="20"/>
                <w:szCs w:val="20"/>
                <w:color w:val="auto"/>
              </w:rPr>
            </w:pPr>
            <w:r>
              <w:rPr>
                <w:rFonts w:ascii="Arial" w:cs="Arial" w:eastAsia="Arial" w:hAnsi="Arial"/>
                <w:sz w:val="16"/>
                <w:szCs w:val="16"/>
                <w:color w:val="auto"/>
              </w:rPr>
              <w:t>Sundry</w:t>
            </w:r>
          </w:p>
        </w:tc>
        <w:tc>
          <w:tcPr>
            <w:tcW w:w="1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6860" w:type="dxa"/>
            <w:vAlign w:val="bottom"/>
          </w:tcPr>
          <w:p>
            <w:pPr>
              <w:ind w:left="180"/>
              <w:spacing w:after="0" w:line="166" w:lineRule="exact"/>
              <w:rPr>
                <w:sz w:val="20"/>
                <w:szCs w:val="20"/>
                <w:color w:val="auto"/>
              </w:rPr>
            </w:pPr>
            <w:r>
              <w:rPr>
                <w:rFonts w:ascii="Arial" w:cs="Arial" w:eastAsia="Arial" w:hAnsi="Arial"/>
                <w:sz w:val="16"/>
                <w:szCs w:val="16"/>
                <w:color w:val="auto"/>
              </w:rPr>
              <w:t>Total investments and other assets</w:t>
            </w:r>
          </w:p>
        </w:tc>
        <w:tc>
          <w:tcPr>
            <w:tcW w:w="1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8,100</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7,787</w:t>
            </w:r>
          </w:p>
        </w:tc>
        <w:tc>
          <w:tcPr>
            <w:tcW w:w="0" w:type="dxa"/>
            <w:vAlign w:val="bottom"/>
          </w:tcPr>
          <w:p>
            <w:pPr>
              <w:spacing w:after="0"/>
              <w:rPr>
                <w:sz w:val="1"/>
                <w:szCs w:val="1"/>
                <w:color w:val="auto"/>
              </w:rPr>
            </w:pPr>
          </w:p>
        </w:tc>
      </w:tr>
      <w:tr>
        <w:trPr>
          <w:trHeight w:val="334"/>
        </w:trPr>
        <w:tc>
          <w:tcPr>
            <w:tcW w:w="7040" w:type="dxa"/>
            <w:vAlign w:val="bottom"/>
            <w:gridSpan w:val="2"/>
          </w:tcPr>
          <w:p>
            <w:pPr>
              <w:spacing w:after="0"/>
              <w:rPr>
                <w:sz w:val="20"/>
                <w:szCs w:val="20"/>
                <w:color w:val="auto"/>
              </w:rPr>
            </w:pPr>
            <w:r>
              <w:rPr>
                <w:rFonts w:ascii="Arial" w:cs="Arial" w:eastAsia="Arial" w:hAnsi="Arial"/>
                <w:sz w:val="16"/>
                <w:szCs w:val="16"/>
                <w:color w:val="auto"/>
              </w:rPr>
              <w:t>Property, plant and equipment:</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860" w:type="dxa"/>
            <w:vAlign w:val="bottom"/>
          </w:tcPr>
          <w:p>
            <w:pPr>
              <w:spacing w:after="0" w:line="173" w:lineRule="exact"/>
              <w:rPr>
                <w:sz w:val="20"/>
                <w:szCs w:val="20"/>
                <w:color w:val="auto"/>
              </w:rPr>
            </w:pPr>
            <w:r>
              <w:rPr>
                <w:rFonts w:ascii="Arial" w:cs="Arial" w:eastAsia="Arial" w:hAnsi="Arial"/>
                <w:sz w:val="16"/>
                <w:szCs w:val="16"/>
                <w:color w:val="auto"/>
              </w:rPr>
              <w:t>Property, plant and equipment</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35,226</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34,407</w:t>
            </w: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686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1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(9,214)</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(8,947)</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6860" w:type="dxa"/>
            <w:vAlign w:val="bottom"/>
          </w:tcPr>
          <w:p>
            <w:pPr>
              <w:ind w:left="180"/>
              <w:spacing w:after="0" w:line="135" w:lineRule="exact"/>
              <w:rPr>
                <w:sz w:val="20"/>
                <w:szCs w:val="20"/>
                <w:color w:val="auto"/>
              </w:rPr>
            </w:pPr>
            <w:r>
              <w:rPr>
                <w:rFonts w:ascii="Arial" w:cs="Arial" w:eastAsia="Arial" w:hAnsi="Arial"/>
                <w:sz w:val="15"/>
                <w:szCs w:val="15"/>
                <w:color w:val="auto"/>
              </w:rPr>
              <w:t>Property, plant and equipment, net ($424 and $438 at June 30, 2014 and</w:t>
            </w:r>
          </w:p>
        </w:tc>
        <w:tc>
          <w:tcPr>
            <w:tcW w:w="1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26,012</w:t>
            </w:r>
          </w:p>
        </w:tc>
        <w:tc>
          <w:tcPr>
            <w:tcW w:w="1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25,460</w:t>
            </w: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6860" w:type="dxa"/>
            <w:vAlign w:val="bottom"/>
          </w:tcPr>
          <w:p>
            <w:pPr>
              <w:ind w:left="360"/>
              <w:spacing w:after="0"/>
              <w:rPr>
                <w:sz w:val="20"/>
                <w:szCs w:val="20"/>
                <w:color w:val="auto"/>
              </w:rPr>
            </w:pPr>
            <w:r>
              <w:rPr>
                <w:rFonts w:ascii="Arial" w:cs="Arial" w:eastAsia="Arial" w:hAnsi="Arial"/>
                <w:sz w:val="16"/>
                <w:szCs w:val="16"/>
                <w:color w:val="auto"/>
              </w:rPr>
              <w:t>December 31, 2013, respectively, related to VIE)</w:t>
            </w:r>
          </w:p>
        </w:tc>
        <w:tc>
          <w:tcPr>
            <w:tcW w:w="1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040" w:type="dxa"/>
            <w:vAlign w:val="bottom"/>
            <w:gridSpan w:val="2"/>
          </w:tcPr>
          <w:p>
            <w:pPr>
              <w:spacing w:after="0" w:line="166" w:lineRule="exact"/>
              <w:rPr>
                <w:sz w:val="20"/>
                <w:szCs w:val="20"/>
                <w:color w:val="auto"/>
              </w:rPr>
            </w:pPr>
            <w:r>
              <w:rPr>
                <w:rFonts w:ascii="Arial" w:cs="Arial" w:eastAsia="Arial" w:hAnsi="Arial"/>
                <w:sz w:val="16"/>
                <w:szCs w:val="16"/>
                <w:color w:val="auto"/>
              </w:rPr>
              <w:t>Total assets</w:t>
            </w:r>
          </w:p>
        </w:tc>
        <w:tc>
          <w:tcPr>
            <w:tcW w:w="1560" w:type="dxa"/>
            <w:vAlign w:val="bottom"/>
          </w:tcPr>
          <w:p>
            <w:pPr>
              <w:spacing w:after="0"/>
              <w:rPr>
                <w:sz w:val="14"/>
                <w:szCs w:val="14"/>
                <w:color w:val="auto"/>
              </w:rPr>
            </w:pPr>
          </w:p>
        </w:tc>
        <w:tc>
          <w:tcPr>
            <w:tcW w:w="200" w:type="dxa"/>
            <w:vAlign w:val="bottom"/>
          </w:tcPr>
          <w:p>
            <w:pPr>
              <w:jc w:val="right"/>
              <w:ind w:right="46"/>
              <w:spacing w:after="0" w:line="167" w:lineRule="exact"/>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66" w:lineRule="exact"/>
              <w:rPr>
                <w:sz w:val="20"/>
                <w:szCs w:val="20"/>
                <w:color w:val="auto"/>
              </w:rPr>
            </w:pPr>
            <w:r>
              <w:rPr>
                <w:rFonts w:ascii="Arial" w:cs="Arial" w:eastAsia="Arial" w:hAnsi="Arial"/>
                <w:sz w:val="16"/>
                <w:szCs w:val="16"/>
                <w:color w:val="auto"/>
              </w:rPr>
              <w:t>38,307</w:t>
            </w:r>
          </w:p>
        </w:tc>
        <w:tc>
          <w:tcPr>
            <w:tcW w:w="160" w:type="dxa"/>
            <w:vAlign w:val="bottom"/>
          </w:tcPr>
          <w:p>
            <w:pPr>
              <w:jc w:val="right"/>
              <w:ind w:right="6"/>
              <w:spacing w:after="0" w:line="167" w:lineRule="exact"/>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66" w:lineRule="exact"/>
              <w:rPr>
                <w:sz w:val="20"/>
                <w:szCs w:val="20"/>
                <w:color w:val="auto"/>
              </w:rPr>
            </w:pPr>
            <w:r>
              <w:rPr>
                <w:rFonts w:ascii="Arial" w:cs="Arial" w:eastAsia="Arial" w:hAnsi="Arial"/>
                <w:sz w:val="16"/>
                <w:szCs w:val="16"/>
                <w:color w:val="auto"/>
              </w:rPr>
              <w:t>37,244</w:t>
            </w:r>
          </w:p>
        </w:tc>
        <w:tc>
          <w:tcPr>
            <w:tcW w:w="0" w:type="dxa"/>
            <w:vAlign w:val="bottom"/>
          </w:tcPr>
          <w:p>
            <w:pPr>
              <w:spacing w:after="0"/>
              <w:rPr>
                <w:sz w:val="1"/>
                <w:szCs w:val="1"/>
                <w:color w:val="auto"/>
              </w:rPr>
            </w:pPr>
          </w:p>
        </w:tc>
      </w:tr>
      <w:tr>
        <w:trPr>
          <w:trHeight w:val="80"/>
        </w:trPr>
        <w:tc>
          <w:tcPr>
            <w:tcW w:w="180" w:type="dxa"/>
            <w:vAlign w:val="bottom"/>
            <w:shd w:val="clear" w:color="auto" w:fill="000000"/>
          </w:tcPr>
          <w:p>
            <w:pPr>
              <w:spacing w:after="0"/>
              <w:rPr>
                <w:sz w:val="6"/>
                <w:szCs w:val="6"/>
                <w:color w:val="auto"/>
              </w:rPr>
            </w:pPr>
          </w:p>
        </w:tc>
        <w:tc>
          <w:tcPr>
            <w:tcW w:w="6860" w:type="dxa"/>
            <w:vAlign w:val="bottom"/>
            <w:shd w:val="clear" w:color="auto" w:fill="000000"/>
          </w:tcPr>
          <w:p>
            <w:pPr>
              <w:spacing w:after="0"/>
              <w:rPr>
                <w:sz w:val="6"/>
                <w:szCs w:val="6"/>
                <w:color w:val="auto"/>
              </w:rPr>
            </w:pPr>
          </w:p>
        </w:tc>
        <w:tc>
          <w:tcPr>
            <w:tcW w:w="15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200" w:type="dxa"/>
            <w:vAlign w:val="bottom"/>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12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80" w:type="dxa"/>
            <w:vAlign w:val="bottom"/>
          </w:tcPr>
          <w:p>
            <w:pPr>
              <w:spacing w:after="0"/>
              <w:rPr>
                <w:sz w:val="20"/>
                <w:szCs w:val="20"/>
                <w:color w:val="auto"/>
              </w:rPr>
            </w:pPr>
            <w:r>
              <w:rPr>
                <w:rFonts w:ascii="Arial" w:cs="Arial" w:eastAsia="Arial" w:hAnsi="Arial"/>
                <w:sz w:val="14"/>
                <w:szCs w:val="14"/>
                <w:i w:val="1"/>
                <w:iCs w:val="1"/>
                <w:color w:val="auto"/>
                <w:w w:val="93"/>
              </w:rPr>
              <w:t>(1)</w:t>
            </w:r>
          </w:p>
        </w:tc>
        <w:tc>
          <w:tcPr>
            <w:tcW w:w="6860" w:type="dxa"/>
            <w:vAlign w:val="bottom"/>
          </w:tcPr>
          <w:p>
            <w:pPr>
              <w:ind w:left="340"/>
              <w:spacing w:after="0"/>
              <w:rPr>
                <w:sz w:val="20"/>
                <w:szCs w:val="20"/>
                <w:color w:val="auto"/>
              </w:rPr>
            </w:pPr>
            <w:r>
              <w:rPr>
                <w:rFonts w:ascii="Arial" w:cs="Arial" w:eastAsia="Arial" w:hAnsi="Arial"/>
                <w:sz w:val="14"/>
                <w:szCs w:val="14"/>
                <w:i w:val="1"/>
                <w:iCs w:val="1"/>
                <w:color w:val="auto"/>
              </w:rPr>
              <w:t>Derived from audited financial statements.</w:t>
            </w: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040" w:type="dxa"/>
            <w:vAlign w:val="bottom"/>
            <w:gridSpan w:val="2"/>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 (CONTINUED)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60" w:type="dxa"/>
            <w:vAlign w:val="bottom"/>
          </w:tcPr>
          <w:p>
            <w:pPr>
              <w:spacing w:after="0"/>
              <w:rPr>
                <w:sz w:val="16"/>
                <w:szCs w:val="16"/>
                <w:color w:val="auto"/>
              </w:rPr>
            </w:pPr>
          </w:p>
        </w:tc>
        <w:tc>
          <w:tcPr>
            <w:tcW w:w="1260" w:type="dxa"/>
            <w:vAlign w:val="bottom"/>
            <w:vMerge w:val="restart"/>
          </w:tcPr>
          <w:p>
            <w:pPr>
              <w:jc w:val="center"/>
              <w:ind w:right="361"/>
              <w:spacing w:after="0"/>
              <w:rPr>
                <w:sz w:val="20"/>
                <w:szCs w:val="20"/>
                <w:color w:val="auto"/>
              </w:rPr>
            </w:pPr>
            <w:r>
              <w:rPr>
                <w:rFonts w:ascii="Arial" w:cs="Arial" w:eastAsia="Arial" w:hAnsi="Arial"/>
                <w:sz w:val="14"/>
                <w:szCs w:val="14"/>
                <w:color w:val="auto"/>
              </w:rPr>
              <w:t>June 30,</w:t>
            </w: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39"/>
        </w:trPr>
        <w:tc>
          <w:tcPr>
            <w:tcW w:w="8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6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2013(1)</w:t>
            </w:r>
          </w:p>
        </w:tc>
        <w:tc>
          <w:tcPr>
            <w:tcW w:w="0" w:type="dxa"/>
            <w:vAlign w:val="bottom"/>
          </w:tcPr>
          <w:p>
            <w:pPr>
              <w:spacing w:after="0"/>
              <w:rPr>
                <w:sz w:val="1"/>
                <w:szCs w:val="1"/>
                <w:color w:val="auto"/>
              </w:rPr>
            </w:pPr>
          </w:p>
        </w:tc>
      </w:tr>
      <w:tr>
        <w:trPr>
          <w:trHeight w:val="183"/>
        </w:trPr>
        <w:tc>
          <w:tcPr>
            <w:tcW w:w="8600" w:type="dxa"/>
            <w:vAlign w:val="bottom"/>
            <w:vMerge w:val="restart"/>
          </w:tcPr>
          <w:p>
            <w:pPr>
              <w:spacing w:after="0"/>
              <w:rPr>
                <w:sz w:val="20"/>
                <w:szCs w:val="20"/>
                <w:color w:val="auto"/>
              </w:rPr>
            </w:pPr>
            <w:r>
              <w:rPr>
                <w:rFonts w:ascii="Arial" w:cs="Arial" w:eastAsia="Arial" w:hAnsi="Arial"/>
                <w:sz w:val="16"/>
                <w:szCs w:val="16"/>
                <w:color w:val="auto"/>
              </w:rPr>
              <w:t>LIABILITIES AND EQUITY</w:t>
            </w:r>
          </w:p>
        </w:tc>
        <w:tc>
          <w:tcPr>
            <w:tcW w:w="260" w:type="dxa"/>
            <w:vAlign w:val="bottom"/>
          </w:tcPr>
          <w:p>
            <w:pPr>
              <w:spacing w:after="0"/>
              <w:rPr>
                <w:sz w:val="15"/>
                <w:szCs w:val="15"/>
                <w:color w:val="auto"/>
              </w:rPr>
            </w:pPr>
          </w:p>
        </w:tc>
        <w:tc>
          <w:tcPr>
            <w:tcW w:w="1260" w:type="dxa"/>
            <w:vAlign w:val="bottom"/>
          </w:tcPr>
          <w:p>
            <w:pPr>
              <w:jc w:val="center"/>
              <w:ind w:right="341"/>
              <w:spacing w:after="0"/>
              <w:rPr>
                <w:sz w:val="20"/>
                <w:szCs w:val="20"/>
                <w:color w:val="auto"/>
              </w:rPr>
            </w:pPr>
            <w:r>
              <w:rPr>
                <w:rFonts w:ascii="Arial" w:cs="Arial" w:eastAsia="Arial" w:hAnsi="Arial"/>
                <w:sz w:val="14"/>
                <w:szCs w:val="14"/>
                <w:color w:val="auto"/>
              </w:rPr>
              <w:t>(unaudited)</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6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600" w:type="dxa"/>
            <w:vAlign w:val="bottom"/>
          </w:tcPr>
          <w:p>
            <w:pPr>
              <w:spacing w:after="0" w:line="173" w:lineRule="exact"/>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600" w:type="dxa"/>
            <w:vAlign w:val="bottom"/>
          </w:tcPr>
          <w:p>
            <w:pPr>
              <w:ind w:left="180"/>
              <w:spacing w:after="0" w:line="173" w:lineRule="exact"/>
              <w:rPr>
                <w:sz w:val="20"/>
                <w:szCs w:val="20"/>
                <w:color w:val="auto"/>
              </w:rPr>
            </w:pPr>
            <w:r>
              <w:rPr>
                <w:rFonts w:ascii="Arial" w:cs="Arial" w:eastAsia="Arial" w:hAnsi="Arial"/>
                <w:sz w:val="16"/>
                <w:szCs w:val="16"/>
                <w:color w:val="auto"/>
              </w:rPr>
              <w:t>Short-term debt</w:t>
            </w:r>
          </w:p>
        </w:tc>
        <w:tc>
          <w:tcPr>
            <w:tcW w:w="2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1,238</w:t>
            </w:r>
          </w:p>
        </w:tc>
        <w:tc>
          <w:tcPr>
            <w:tcW w:w="280" w:type="dxa"/>
            <w:vAlign w:val="bottom"/>
          </w:tcPr>
          <w:p>
            <w:pPr>
              <w:ind w:left="120"/>
              <w:spacing w:after="0" w:line="173"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173"/>
        </w:trPr>
        <w:tc>
          <w:tcPr>
            <w:tcW w:w="8600" w:type="dxa"/>
            <w:vAlign w:val="bottom"/>
          </w:tcPr>
          <w:p>
            <w:pPr>
              <w:ind w:left="180"/>
              <w:spacing w:after="0" w:line="173" w:lineRule="exact"/>
              <w:rPr>
                <w:sz w:val="20"/>
                <w:szCs w:val="20"/>
                <w:color w:val="auto"/>
              </w:rPr>
            </w:pPr>
            <w:r>
              <w:rPr>
                <w:rFonts w:ascii="Arial" w:cs="Arial" w:eastAsia="Arial" w:hAnsi="Arial"/>
                <w:sz w:val="16"/>
                <w:szCs w:val="16"/>
                <w:color w:val="auto"/>
              </w:rPr>
              <w:t>Accounts payable – trade</w:t>
            </w:r>
          </w:p>
        </w:tc>
        <w:tc>
          <w:tcPr>
            <w:tcW w:w="260" w:type="dxa"/>
            <w:vAlign w:val="bottom"/>
          </w:tcPr>
          <w:p>
            <w:pPr>
              <w:spacing w:after="0"/>
              <w:rPr>
                <w:sz w:val="15"/>
                <w:szCs w:val="15"/>
                <w:color w:val="auto"/>
              </w:rPr>
            </w:pPr>
          </w:p>
        </w:tc>
        <w:tc>
          <w:tcPr>
            <w:tcW w:w="12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1,032</w:t>
            </w:r>
          </w:p>
        </w:tc>
        <w:tc>
          <w:tcPr>
            <w:tcW w:w="2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173"/>
        </w:trPr>
        <w:tc>
          <w:tcPr>
            <w:tcW w:w="8600" w:type="dxa"/>
            <w:vAlign w:val="bottom"/>
          </w:tcPr>
          <w:p>
            <w:pPr>
              <w:ind w:left="180"/>
              <w:spacing w:after="0" w:line="173" w:lineRule="exact"/>
              <w:rPr>
                <w:sz w:val="20"/>
                <w:szCs w:val="20"/>
                <w:color w:val="auto"/>
              </w:rPr>
            </w:pPr>
            <w:r>
              <w:rPr>
                <w:rFonts w:ascii="Arial" w:cs="Arial" w:eastAsia="Arial" w:hAnsi="Arial"/>
                <w:sz w:val="16"/>
                <w:szCs w:val="16"/>
                <w:color w:val="auto"/>
              </w:rPr>
              <w:t>Accounts payable – other</w:t>
            </w:r>
          </w:p>
        </w:tc>
        <w:tc>
          <w:tcPr>
            <w:tcW w:w="260" w:type="dxa"/>
            <w:vAlign w:val="bottom"/>
          </w:tcPr>
          <w:p>
            <w:pPr>
              <w:spacing w:after="0"/>
              <w:rPr>
                <w:sz w:val="15"/>
                <w:szCs w:val="15"/>
                <w:color w:val="auto"/>
              </w:rPr>
            </w:pPr>
          </w:p>
        </w:tc>
        <w:tc>
          <w:tcPr>
            <w:tcW w:w="12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122</w:t>
            </w:r>
          </w:p>
        </w:tc>
        <w:tc>
          <w:tcPr>
            <w:tcW w:w="2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73"/>
        </w:trPr>
        <w:tc>
          <w:tcPr>
            <w:tcW w:w="8600" w:type="dxa"/>
            <w:vAlign w:val="bottom"/>
          </w:tcPr>
          <w:p>
            <w:pPr>
              <w:ind w:left="180"/>
              <w:spacing w:after="0" w:line="173" w:lineRule="exact"/>
              <w:rPr>
                <w:sz w:val="20"/>
                <w:szCs w:val="20"/>
                <w:color w:val="auto"/>
              </w:rPr>
            </w:pPr>
            <w:r>
              <w:rPr>
                <w:rFonts w:ascii="Arial" w:cs="Arial" w:eastAsia="Arial" w:hAnsi="Arial"/>
                <w:sz w:val="16"/>
                <w:szCs w:val="16"/>
                <w:color w:val="auto"/>
              </w:rPr>
              <w:t>Dividends and interest payable</w:t>
            </w:r>
          </w:p>
        </w:tc>
        <w:tc>
          <w:tcPr>
            <w:tcW w:w="260" w:type="dxa"/>
            <w:vAlign w:val="bottom"/>
          </w:tcPr>
          <w:p>
            <w:pPr>
              <w:spacing w:after="0"/>
              <w:rPr>
                <w:sz w:val="15"/>
                <w:szCs w:val="15"/>
                <w:color w:val="auto"/>
              </w:rPr>
            </w:pPr>
          </w:p>
        </w:tc>
        <w:tc>
          <w:tcPr>
            <w:tcW w:w="12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277</w:t>
            </w:r>
          </w:p>
        </w:tc>
        <w:tc>
          <w:tcPr>
            <w:tcW w:w="2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173"/>
        </w:trPr>
        <w:tc>
          <w:tcPr>
            <w:tcW w:w="8600" w:type="dxa"/>
            <w:vAlign w:val="bottom"/>
          </w:tcPr>
          <w:p>
            <w:pPr>
              <w:ind w:left="180"/>
              <w:spacing w:after="0" w:line="173" w:lineRule="exact"/>
              <w:rPr>
                <w:sz w:val="20"/>
                <w:szCs w:val="20"/>
                <w:color w:val="auto"/>
              </w:rPr>
            </w:pPr>
            <w:r>
              <w:rPr>
                <w:rFonts w:ascii="Arial" w:cs="Arial" w:eastAsia="Arial" w:hAnsi="Arial"/>
                <w:sz w:val="16"/>
                <w:szCs w:val="16"/>
                <w:color w:val="auto"/>
              </w:rPr>
              <w:t>Accrued compensation and benefits</w:t>
            </w:r>
          </w:p>
        </w:tc>
        <w:tc>
          <w:tcPr>
            <w:tcW w:w="260" w:type="dxa"/>
            <w:vAlign w:val="bottom"/>
          </w:tcPr>
          <w:p>
            <w:pPr>
              <w:spacing w:after="0"/>
              <w:rPr>
                <w:sz w:val="15"/>
                <w:szCs w:val="15"/>
                <w:color w:val="auto"/>
              </w:rPr>
            </w:pPr>
          </w:p>
        </w:tc>
        <w:tc>
          <w:tcPr>
            <w:tcW w:w="12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271</w:t>
            </w:r>
          </w:p>
        </w:tc>
        <w:tc>
          <w:tcPr>
            <w:tcW w:w="2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173"/>
        </w:trPr>
        <w:tc>
          <w:tcPr>
            <w:tcW w:w="8600" w:type="dxa"/>
            <w:vAlign w:val="bottom"/>
          </w:tcPr>
          <w:p>
            <w:pPr>
              <w:ind w:left="180"/>
              <w:spacing w:after="0" w:line="173" w:lineRule="exact"/>
              <w:rPr>
                <w:sz w:val="20"/>
                <w:szCs w:val="20"/>
                <w:color w:val="auto"/>
              </w:rPr>
            </w:pPr>
            <w:r>
              <w:rPr>
                <w:rFonts w:ascii="Arial" w:cs="Arial" w:eastAsia="Arial" w:hAnsi="Arial"/>
                <w:sz w:val="16"/>
                <w:szCs w:val="16"/>
                <w:color w:val="auto"/>
              </w:rPr>
              <w:t>Regulatory balancing accounts – overcollected</w:t>
            </w:r>
          </w:p>
        </w:tc>
        <w:tc>
          <w:tcPr>
            <w:tcW w:w="260" w:type="dxa"/>
            <w:vAlign w:val="bottom"/>
          </w:tcPr>
          <w:p>
            <w:pPr>
              <w:spacing w:after="0"/>
              <w:rPr>
                <w:sz w:val="15"/>
                <w:szCs w:val="15"/>
                <w:color w:val="auto"/>
              </w:rPr>
            </w:pPr>
          </w:p>
        </w:tc>
        <w:tc>
          <w:tcPr>
            <w:tcW w:w="12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73"/>
        </w:trPr>
        <w:tc>
          <w:tcPr>
            <w:tcW w:w="8600" w:type="dxa"/>
            <w:vAlign w:val="bottom"/>
          </w:tcPr>
          <w:p>
            <w:pPr>
              <w:ind w:left="180"/>
              <w:spacing w:after="0" w:line="173" w:lineRule="exact"/>
              <w:rPr>
                <w:sz w:val="20"/>
                <w:szCs w:val="20"/>
                <w:color w:val="auto"/>
              </w:rPr>
            </w:pPr>
            <w:r>
              <w:rPr>
                <w:rFonts w:ascii="Arial" w:cs="Arial" w:eastAsia="Arial" w:hAnsi="Arial"/>
                <w:sz w:val="16"/>
                <w:szCs w:val="16"/>
                <w:color w:val="auto"/>
              </w:rPr>
              <w:t>Current portion of long-term debt</w:t>
            </w:r>
          </w:p>
        </w:tc>
        <w:tc>
          <w:tcPr>
            <w:tcW w:w="260" w:type="dxa"/>
            <w:vAlign w:val="bottom"/>
          </w:tcPr>
          <w:p>
            <w:pPr>
              <w:spacing w:after="0"/>
              <w:rPr>
                <w:sz w:val="15"/>
                <w:szCs w:val="15"/>
                <w:color w:val="auto"/>
              </w:rPr>
            </w:pPr>
          </w:p>
        </w:tc>
        <w:tc>
          <w:tcPr>
            <w:tcW w:w="12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195</w:t>
            </w:r>
          </w:p>
        </w:tc>
        <w:tc>
          <w:tcPr>
            <w:tcW w:w="2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1,147</w:t>
            </w:r>
          </w:p>
        </w:tc>
        <w:tc>
          <w:tcPr>
            <w:tcW w:w="0" w:type="dxa"/>
            <w:vAlign w:val="bottom"/>
          </w:tcPr>
          <w:p>
            <w:pPr>
              <w:spacing w:after="0"/>
              <w:rPr>
                <w:sz w:val="1"/>
                <w:szCs w:val="1"/>
                <w:color w:val="auto"/>
              </w:rPr>
            </w:pPr>
          </w:p>
        </w:tc>
      </w:tr>
      <w:tr>
        <w:trPr>
          <w:trHeight w:val="173"/>
        </w:trPr>
        <w:tc>
          <w:tcPr>
            <w:tcW w:w="8600" w:type="dxa"/>
            <w:vAlign w:val="bottom"/>
          </w:tcPr>
          <w:p>
            <w:pPr>
              <w:ind w:left="180"/>
              <w:spacing w:after="0" w:line="173" w:lineRule="exact"/>
              <w:rPr>
                <w:sz w:val="20"/>
                <w:szCs w:val="20"/>
                <w:color w:val="auto"/>
              </w:rPr>
            </w:pPr>
            <w:r>
              <w:rPr>
                <w:rFonts w:ascii="Arial" w:cs="Arial" w:eastAsia="Arial" w:hAnsi="Arial"/>
                <w:sz w:val="16"/>
                <w:szCs w:val="16"/>
                <w:color w:val="auto"/>
              </w:rPr>
              <w:t>Fixed-price contracts and other derivatives</w:t>
            </w:r>
          </w:p>
        </w:tc>
        <w:tc>
          <w:tcPr>
            <w:tcW w:w="260" w:type="dxa"/>
            <w:vAlign w:val="bottom"/>
          </w:tcPr>
          <w:p>
            <w:pPr>
              <w:spacing w:after="0"/>
              <w:rPr>
                <w:sz w:val="15"/>
                <w:szCs w:val="15"/>
                <w:color w:val="auto"/>
              </w:rPr>
            </w:pPr>
          </w:p>
        </w:tc>
        <w:tc>
          <w:tcPr>
            <w:tcW w:w="12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50</w:t>
            </w:r>
          </w:p>
        </w:tc>
        <w:tc>
          <w:tcPr>
            <w:tcW w:w="2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73"/>
        </w:trPr>
        <w:tc>
          <w:tcPr>
            <w:tcW w:w="8600" w:type="dxa"/>
            <w:vAlign w:val="bottom"/>
          </w:tcPr>
          <w:p>
            <w:pPr>
              <w:ind w:left="180"/>
              <w:spacing w:after="0" w:line="173" w:lineRule="exact"/>
              <w:rPr>
                <w:sz w:val="20"/>
                <w:szCs w:val="20"/>
                <w:color w:val="auto"/>
              </w:rPr>
            </w:pPr>
            <w:r>
              <w:rPr>
                <w:rFonts w:ascii="Arial" w:cs="Arial" w:eastAsia="Arial" w:hAnsi="Arial"/>
                <w:sz w:val="16"/>
                <w:szCs w:val="16"/>
                <w:color w:val="auto"/>
              </w:rPr>
              <w:t>Customer deposits</w:t>
            </w:r>
          </w:p>
        </w:tc>
        <w:tc>
          <w:tcPr>
            <w:tcW w:w="260" w:type="dxa"/>
            <w:vAlign w:val="bottom"/>
          </w:tcPr>
          <w:p>
            <w:pPr>
              <w:spacing w:after="0"/>
              <w:rPr>
                <w:sz w:val="15"/>
                <w:szCs w:val="15"/>
                <w:color w:val="auto"/>
              </w:rPr>
            </w:pPr>
          </w:p>
        </w:tc>
        <w:tc>
          <w:tcPr>
            <w:tcW w:w="12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149</w:t>
            </w:r>
          </w:p>
        </w:tc>
        <w:tc>
          <w:tcPr>
            <w:tcW w:w="2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4"/>
        </w:trPr>
        <w:tc>
          <w:tcPr>
            <w:tcW w:w="860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548</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166"/>
        </w:trPr>
        <w:tc>
          <w:tcPr>
            <w:tcW w:w="8600" w:type="dxa"/>
            <w:vAlign w:val="bottom"/>
          </w:tcPr>
          <w:p>
            <w:pPr>
              <w:ind w:left="360"/>
              <w:spacing w:after="0" w:line="166" w:lineRule="exact"/>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1"/>
              <w:spacing w:after="0" w:line="166" w:lineRule="exact"/>
              <w:rPr>
                <w:sz w:val="20"/>
                <w:szCs w:val="20"/>
                <w:color w:val="auto"/>
              </w:rPr>
            </w:pPr>
            <w:r>
              <w:rPr>
                <w:rFonts w:ascii="Arial" w:cs="Arial" w:eastAsia="Arial" w:hAnsi="Arial"/>
                <w:sz w:val="16"/>
                <w:szCs w:val="16"/>
                <w:color w:val="auto"/>
              </w:rPr>
              <w:t>3,882</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4,369</w:t>
            </w:r>
          </w:p>
        </w:tc>
        <w:tc>
          <w:tcPr>
            <w:tcW w:w="0" w:type="dxa"/>
            <w:vAlign w:val="bottom"/>
          </w:tcPr>
          <w:p>
            <w:pPr>
              <w:spacing w:after="0"/>
              <w:rPr>
                <w:sz w:val="1"/>
                <w:szCs w:val="1"/>
                <w:color w:val="auto"/>
              </w:rPr>
            </w:pPr>
          </w:p>
        </w:tc>
      </w:tr>
      <w:tr>
        <w:trPr>
          <w:trHeight w:val="135"/>
        </w:trPr>
        <w:tc>
          <w:tcPr>
            <w:tcW w:w="8600" w:type="dxa"/>
            <w:vAlign w:val="bottom"/>
          </w:tcPr>
          <w:p>
            <w:pPr>
              <w:spacing w:after="0" w:line="135" w:lineRule="exact"/>
              <w:rPr>
                <w:sz w:val="20"/>
                <w:szCs w:val="20"/>
                <w:color w:val="auto"/>
              </w:rPr>
            </w:pPr>
            <w:r>
              <w:rPr>
                <w:rFonts w:ascii="Arial" w:cs="Arial" w:eastAsia="Arial" w:hAnsi="Arial"/>
                <w:sz w:val="15"/>
                <w:szCs w:val="15"/>
                <w:color w:val="auto"/>
              </w:rPr>
              <w:t>Long-term debt ($320 and $325 at June 30, 2014 and December 31, 2013, respectively,</w:t>
            </w:r>
          </w:p>
        </w:tc>
        <w:tc>
          <w:tcPr>
            <w:tcW w:w="260" w:type="dxa"/>
            <w:vAlign w:val="bottom"/>
          </w:tcPr>
          <w:p>
            <w:pPr>
              <w:spacing w:after="0"/>
              <w:rPr>
                <w:sz w:val="11"/>
                <w:szCs w:val="11"/>
                <w:color w:val="auto"/>
              </w:rPr>
            </w:pPr>
          </w:p>
        </w:tc>
        <w:tc>
          <w:tcPr>
            <w:tcW w:w="1260" w:type="dxa"/>
            <w:vAlign w:val="bottom"/>
            <w:vMerge w:val="restart"/>
          </w:tcPr>
          <w:p>
            <w:pPr>
              <w:jc w:val="right"/>
              <w:ind w:right="81"/>
              <w:spacing w:after="0"/>
              <w:rPr>
                <w:sz w:val="20"/>
                <w:szCs w:val="20"/>
                <w:color w:val="auto"/>
              </w:rPr>
            </w:pPr>
            <w:r>
              <w:rPr>
                <w:rFonts w:ascii="Arial" w:cs="Arial" w:eastAsia="Arial" w:hAnsi="Arial"/>
                <w:sz w:val="16"/>
                <w:szCs w:val="16"/>
                <w:color w:val="auto"/>
              </w:rPr>
              <w:t>12,323</w:t>
            </w:r>
          </w:p>
        </w:tc>
        <w:tc>
          <w:tcPr>
            <w:tcW w:w="2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11,253</w:t>
            </w:r>
          </w:p>
        </w:tc>
        <w:tc>
          <w:tcPr>
            <w:tcW w:w="0" w:type="dxa"/>
            <w:vAlign w:val="bottom"/>
          </w:tcPr>
          <w:p>
            <w:pPr>
              <w:spacing w:after="0"/>
              <w:rPr>
                <w:sz w:val="1"/>
                <w:szCs w:val="1"/>
                <w:color w:val="auto"/>
              </w:rPr>
            </w:pPr>
          </w:p>
        </w:tc>
      </w:tr>
      <w:tr>
        <w:trPr>
          <w:trHeight w:val="191"/>
        </w:trPr>
        <w:tc>
          <w:tcPr>
            <w:tcW w:w="8600" w:type="dxa"/>
            <w:vAlign w:val="bottom"/>
          </w:tcPr>
          <w:p>
            <w:pPr>
              <w:ind w:left="220"/>
              <w:spacing w:after="0"/>
              <w:rPr>
                <w:sz w:val="20"/>
                <w:szCs w:val="20"/>
                <w:color w:val="auto"/>
              </w:rPr>
            </w:pPr>
            <w:r>
              <w:rPr>
                <w:rFonts w:ascii="Arial" w:cs="Arial" w:eastAsia="Arial" w:hAnsi="Arial"/>
                <w:sz w:val="16"/>
                <w:szCs w:val="16"/>
                <w:color w:val="auto"/>
              </w:rPr>
              <w:t>related to VIE)</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860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8600" w:type="dxa"/>
            <w:vAlign w:val="bottom"/>
          </w:tcPr>
          <w:p>
            <w:pPr>
              <w:ind w:left="180"/>
              <w:spacing w:after="0" w:line="173" w:lineRule="exact"/>
              <w:rPr>
                <w:sz w:val="20"/>
                <w:szCs w:val="20"/>
                <w:color w:val="auto"/>
              </w:rPr>
            </w:pPr>
            <w:r>
              <w:rPr>
                <w:rFonts w:ascii="Arial" w:cs="Arial" w:eastAsia="Arial" w:hAnsi="Arial"/>
                <w:sz w:val="16"/>
                <w:szCs w:val="16"/>
                <w:color w:val="auto"/>
              </w:rPr>
              <w:t>Customer advances for construction</w:t>
            </w:r>
          </w:p>
        </w:tc>
        <w:tc>
          <w:tcPr>
            <w:tcW w:w="260" w:type="dxa"/>
            <w:vAlign w:val="bottom"/>
          </w:tcPr>
          <w:p>
            <w:pPr>
              <w:spacing w:after="0"/>
              <w:rPr>
                <w:sz w:val="15"/>
                <w:szCs w:val="15"/>
                <w:color w:val="auto"/>
              </w:rPr>
            </w:pPr>
          </w:p>
        </w:tc>
        <w:tc>
          <w:tcPr>
            <w:tcW w:w="12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150</w:t>
            </w:r>
          </w:p>
        </w:tc>
        <w:tc>
          <w:tcPr>
            <w:tcW w:w="2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73"/>
        </w:trPr>
        <w:tc>
          <w:tcPr>
            <w:tcW w:w="8600" w:type="dxa"/>
            <w:vAlign w:val="bottom"/>
          </w:tcPr>
          <w:p>
            <w:pPr>
              <w:ind w:left="180"/>
              <w:spacing w:after="0" w:line="173" w:lineRule="exact"/>
              <w:rPr>
                <w:sz w:val="20"/>
                <w:szCs w:val="20"/>
                <w:color w:val="auto"/>
              </w:rPr>
            </w:pPr>
            <w:r>
              <w:rPr>
                <w:rFonts w:ascii="Arial" w:cs="Arial" w:eastAsia="Arial" w:hAnsi="Arial"/>
                <w:sz w:val="16"/>
                <w:szCs w:val="16"/>
                <w:color w:val="auto"/>
              </w:rPr>
              <w:t>Pension and other postretirement benefit obligations, net of plan assets</w:t>
            </w:r>
          </w:p>
        </w:tc>
        <w:tc>
          <w:tcPr>
            <w:tcW w:w="260" w:type="dxa"/>
            <w:vAlign w:val="bottom"/>
          </w:tcPr>
          <w:p>
            <w:pPr>
              <w:spacing w:after="0"/>
              <w:rPr>
                <w:sz w:val="15"/>
                <w:szCs w:val="15"/>
                <w:color w:val="auto"/>
              </w:rPr>
            </w:pPr>
          </w:p>
        </w:tc>
        <w:tc>
          <w:tcPr>
            <w:tcW w:w="12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675</w:t>
            </w:r>
          </w:p>
        </w:tc>
        <w:tc>
          <w:tcPr>
            <w:tcW w:w="2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173"/>
        </w:trPr>
        <w:tc>
          <w:tcPr>
            <w:tcW w:w="8600" w:type="dxa"/>
            <w:vAlign w:val="bottom"/>
          </w:tcPr>
          <w:p>
            <w:pPr>
              <w:ind w:left="180"/>
              <w:spacing w:after="0" w:line="173" w:lineRule="exact"/>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5"/>
                <w:szCs w:val="15"/>
                <w:color w:val="auto"/>
              </w:rPr>
            </w:pPr>
          </w:p>
        </w:tc>
        <w:tc>
          <w:tcPr>
            <w:tcW w:w="12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3,010</w:t>
            </w:r>
          </w:p>
        </w:tc>
        <w:tc>
          <w:tcPr>
            <w:tcW w:w="2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2,804</w:t>
            </w:r>
          </w:p>
        </w:tc>
        <w:tc>
          <w:tcPr>
            <w:tcW w:w="0" w:type="dxa"/>
            <w:vAlign w:val="bottom"/>
          </w:tcPr>
          <w:p>
            <w:pPr>
              <w:spacing w:after="0"/>
              <w:rPr>
                <w:sz w:val="1"/>
                <w:szCs w:val="1"/>
                <w:color w:val="auto"/>
              </w:rPr>
            </w:pPr>
          </w:p>
        </w:tc>
      </w:tr>
      <w:tr>
        <w:trPr>
          <w:trHeight w:val="173"/>
        </w:trPr>
        <w:tc>
          <w:tcPr>
            <w:tcW w:w="8600" w:type="dxa"/>
            <w:vAlign w:val="bottom"/>
          </w:tcPr>
          <w:p>
            <w:pPr>
              <w:ind w:left="180"/>
              <w:spacing w:after="0" w:line="173" w:lineRule="exact"/>
              <w:rPr>
                <w:sz w:val="20"/>
                <w:szCs w:val="20"/>
                <w:color w:val="auto"/>
              </w:rPr>
            </w:pPr>
            <w:r>
              <w:rPr>
                <w:rFonts w:ascii="Arial" w:cs="Arial" w:eastAsia="Arial" w:hAnsi="Arial"/>
                <w:sz w:val="16"/>
                <w:szCs w:val="16"/>
                <w:color w:val="auto"/>
              </w:rPr>
              <w:t>Deferred investment tax credits</w:t>
            </w:r>
          </w:p>
        </w:tc>
        <w:tc>
          <w:tcPr>
            <w:tcW w:w="260" w:type="dxa"/>
            <w:vAlign w:val="bottom"/>
          </w:tcPr>
          <w:p>
            <w:pPr>
              <w:spacing w:after="0"/>
              <w:rPr>
                <w:sz w:val="15"/>
                <w:szCs w:val="15"/>
                <w:color w:val="auto"/>
              </w:rPr>
            </w:pPr>
          </w:p>
        </w:tc>
        <w:tc>
          <w:tcPr>
            <w:tcW w:w="12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40</w:t>
            </w:r>
          </w:p>
        </w:tc>
        <w:tc>
          <w:tcPr>
            <w:tcW w:w="2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73"/>
        </w:trPr>
        <w:tc>
          <w:tcPr>
            <w:tcW w:w="8600" w:type="dxa"/>
            <w:vAlign w:val="bottom"/>
          </w:tcPr>
          <w:p>
            <w:pPr>
              <w:ind w:left="180"/>
              <w:spacing w:after="0" w:line="173" w:lineRule="exact"/>
              <w:rPr>
                <w:sz w:val="20"/>
                <w:szCs w:val="20"/>
                <w:color w:val="auto"/>
              </w:rPr>
            </w:pPr>
            <w:r>
              <w:rPr>
                <w:rFonts w:ascii="Arial" w:cs="Arial" w:eastAsia="Arial" w:hAnsi="Arial"/>
                <w:sz w:val="16"/>
                <w:szCs w:val="16"/>
                <w:color w:val="auto"/>
              </w:rPr>
              <w:t>Regulatory liabilities arising from removal obligations</w:t>
            </w:r>
          </w:p>
        </w:tc>
        <w:tc>
          <w:tcPr>
            <w:tcW w:w="260" w:type="dxa"/>
            <w:vAlign w:val="bottom"/>
          </w:tcPr>
          <w:p>
            <w:pPr>
              <w:spacing w:after="0"/>
              <w:rPr>
                <w:sz w:val="15"/>
                <w:szCs w:val="15"/>
                <w:color w:val="auto"/>
              </w:rPr>
            </w:pPr>
          </w:p>
        </w:tc>
        <w:tc>
          <w:tcPr>
            <w:tcW w:w="12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2,746</w:t>
            </w:r>
          </w:p>
        </w:tc>
        <w:tc>
          <w:tcPr>
            <w:tcW w:w="2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2,623</w:t>
            </w:r>
          </w:p>
        </w:tc>
        <w:tc>
          <w:tcPr>
            <w:tcW w:w="0" w:type="dxa"/>
            <w:vAlign w:val="bottom"/>
          </w:tcPr>
          <w:p>
            <w:pPr>
              <w:spacing w:after="0"/>
              <w:rPr>
                <w:sz w:val="1"/>
                <w:szCs w:val="1"/>
                <w:color w:val="auto"/>
              </w:rPr>
            </w:pPr>
          </w:p>
        </w:tc>
      </w:tr>
      <w:tr>
        <w:trPr>
          <w:trHeight w:val="173"/>
        </w:trPr>
        <w:tc>
          <w:tcPr>
            <w:tcW w:w="8600" w:type="dxa"/>
            <w:vAlign w:val="bottom"/>
          </w:tcPr>
          <w:p>
            <w:pPr>
              <w:ind w:left="180"/>
              <w:spacing w:after="0" w:line="173" w:lineRule="exact"/>
              <w:rPr>
                <w:sz w:val="20"/>
                <w:szCs w:val="20"/>
                <w:color w:val="auto"/>
              </w:rPr>
            </w:pPr>
            <w:r>
              <w:rPr>
                <w:rFonts w:ascii="Arial" w:cs="Arial" w:eastAsia="Arial" w:hAnsi="Arial"/>
                <w:sz w:val="16"/>
                <w:szCs w:val="16"/>
                <w:color w:val="auto"/>
              </w:rPr>
              <w:t>Asset retirement obligations</w:t>
            </w:r>
          </w:p>
        </w:tc>
        <w:tc>
          <w:tcPr>
            <w:tcW w:w="260" w:type="dxa"/>
            <w:vAlign w:val="bottom"/>
          </w:tcPr>
          <w:p>
            <w:pPr>
              <w:spacing w:after="0"/>
              <w:rPr>
                <w:sz w:val="15"/>
                <w:szCs w:val="15"/>
                <w:color w:val="auto"/>
              </w:rPr>
            </w:pPr>
          </w:p>
        </w:tc>
        <w:tc>
          <w:tcPr>
            <w:tcW w:w="12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2,018</w:t>
            </w:r>
          </w:p>
        </w:tc>
        <w:tc>
          <w:tcPr>
            <w:tcW w:w="2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2,084</w:t>
            </w:r>
          </w:p>
        </w:tc>
        <w:tc>
          <w:tcPr>
            <w:tcW w:w="0" w:type="dxa"/>
            <w:vAlign w:val="bottom"/>
          </w:tcPr>
          <w:p>
            <w:pPr>
              <w:spacing w:after="0"/>
              <w:rPr>
                <w:sz w:val="1"/>
                <w:szCs w:val="1"/>
                <w:color w:val="auto"/>
              </w:rPr>
            </w:pPr>
          </w:p>
        </w:tc>
      </w:tr>
      <w:tr>
        <w:trPr>
          <w:trHeight w:val="173"/>
        </w:trPr>
        <w:tc>
          <w:tcPr>
            <w:tcW w:w="8600" w:type="dxa"/>
            <w:vAlign w:val="bottom"/>
          </w:tcPr>
          <w:p>
            <w:pPr>
              <w:ind w:left="180"/>
              <w:spacing w:after="0" w:line="173" w:lineRule="exact"/>
              <w:rPr>
                <w:sz w:val="20"/>
                <w:szCs w:val="20"/>
                <w:color w:val="auto"/>
              </w:rPr>
            </w:pPr>
            <w:r>
              <w:rPr>
                <w:rFonts w:ascii="Arial" w:cs="Arial" w:eastAsia="Arial" w:hAnsi="Arial"/>
                <w:sz w:val="16"/>
                <w:szCs w:val="16"/>
                <w:color w:val="auto"/>
              </w:rPr>
              <w:t>Fixed-price contracts and other derivatives</w:t>
            </w:r>
          </w:p>
        </w:tc>
        <w:tc>
          <w:tcPr>
            <w:tcW w:w="260" w:type="dxa"/>
            <w:vAlign w:val="bottom"/>
          </w:tcPr>
          <w:p>
            <w:pPr>
              <w:spacing w:after="0"/>
              <w:rPr>
                <w:sz w:val="15"/>
                <w:szCs w:val="15"/>
                <w:color w:val="auto"/>
              </w:rPr>
            </w:pPr>
          </w:p>
        </w:tc>
        <w:tc>
          <w:tcPr>
            <w:tcW w:w="12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223</w:t>
            </w:r>
          </w:p>
        </w:tc>
        <w:tc>
          <w:tcPr>
            <w:tcW w:w="2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4"/>
        </w:trPr>
        <w:tc>
          <w:tcPr>
            <w:tcW w:w="860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1,189</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w:t>
            </w:r>
          </w:p>
        </w:tc>
        <w:tc>
          <w:tcPr>
            <w:tcW w:w="0" w:type="dxa"/>
            <w:vAlign w:val="bottom"/>
          </w:tcPr>
          <w:p>
            <w:pPr>
              <w:spacing w:after="0"/>
              <w:rPr>
                <w:sz w:val="1"/>
                <w:szCs w:val="1"/>
                <w:color w:val="auto"/>
              </w:rPr>
            </w:pPr>
          </w:p>
        </w:tc>
      </w:tr>
      <w:tr>
        <w:trPr>
          <w:trHeight w:val="166"/>
        </w:trPr>
        <w:tc>
          <w:tcPr>
            <w:tcW w:w="8600" w:type="dxa"/>
            <w:vAlign w:val="bottom"/>
          </w:tcPr>
          <w:p>
            <w:pPr>
              <w:ind w:left="360"/>
              <w:spacing w:after="0" w:line="166" w:lineRule="exact"/>
              <w:rPr>
                <w:sz w:val="20"/>
                <w:szCs w:val="20"/>
                <w:color w:val="auto"/>
              </w:rPr>
            </w:pPr>
            <w:r>
              <w:rPr>
                <w:rFonts w:ascii="Arial" w:cs="Arial" w:eastAsia="Arial" w:hAnsi="Arial"/>
                <w:sz w:val="16"/>
                <w:szCs w:val="16"/>
                <w:color w:val="auto"/>
              </w:rPr>
              <w:t>Total deferred credits and other liabilities</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1"/>
              <w:spacing w:after="0" w:line="166" w:lineRule="exact"/>
              <w:rPr>
                <w:sz w:val="20"/>
                <w:szCs w:val="20"/>
                <w:color w:val="auto"/>
              </w:rPr>
            </w:pPr>
            <w:r>
              <w:rPr>
                <w:rFonts w:ascii="Arial" w:cs="Arial" w:eastAsia="Arial" w:hAnsi="Arial"/>
                <w:sz w:val="16"/>
                <w:szCs w:val="16"/>
                <w:color w:val="auto"/>
              </w:rPr>
              <w:t>10,051</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9,772</w:t>
            </w:r>
          </w:p>
        </w:tc>
        <w:tc>
          <w:tcPr>
            <w:tcW w:w="0" w:type="dxa"/>
            <w:vAlign w:val="bottom"/>
          </w:tcPr>
          <w:p>
            <w:pPr>
              <w:spacing w:after="0"/>
              <w:rPr>
                <w:sz w:val="1"/>
                <w:szCs w:val="1"/>
                <w:color w:val="auto"/>
              </w:rPr>
            </w:pPr>
          </w:p>
        </w:tc>
      </w:tr>
      <w:tr>
        <w:trPr>
          <w:trHeight w:val="282"/>
        </w:trPr>
        <w:tc>
          <w:tcPr>
            <w:tcW w:w="8600" w:type="dxa"/>
            <w:vAlign w:val="bottom"/>
          </w:tcPr>
          <w:p>
            <w:pPr>
              <w:spacing w:after="0"/>
              <w:rPr>
                <w:sz w:val="20"/>
                <w:szCs w:val="20"/>
                <w:color w:val="auto"/>
              </w:rPr>
            </w:pPr>
            <w:r>
              <w:rPr>
                <w:rFonts w:ascii="Arial" w:cs="Arial" w:eastAsia="Arial" w:hAnsi="Arial"/>
                <w:sz w:val="16"/>
                <w:szCs w:val="16"/>
                <w:color w:val="auto"/>
              </w:rPr>
              <w:t>Commitments and contingencies (Note 11)</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00" w:type="dxa"/>
            <w:vAlign w:val="bottom"/>
          </w:tcPr>
          <w:p>
            <w:pPr>
              <w:spacing w:after="0"/>
              <w:rPr>
                <w:sz w:val="20"/>
                <w:szCs w:val="20"/>
                <w:color w:val="auto"/>
              </w:rPr>
            </w:pPr>
            <w:r>
              <w:rPr>
                <w:rFonts w:ascii="Arial" w:cs="Arial" w:eastAsia="Arial" w:hAnsi="Arial"/>
                <w:sz w:val="16"/>
                <w:szCs w:val="16"/>
                <w:color w:val="auto"/>
              </w:rPr>
              <w:t>Equity:</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8600" w:type="dxa"/>
            <w:vAlign w:val="bottom"/>
          </w:tcPr>
          <w:p>
            <w:pPr>
              <w:ind w:left="180"/>
              <w:spacing w:after="0" w:line="173" w:lineRule="exact"/>
              <w:rPr>
                <w:sz w:val="20"/>
                <w:szCs w:val="20"/>
                <w:color w:val="auto"/>
              </w:rPr>
            </w:pPr>
            <w:r>
              <w:rPr>
                <w:rFonts w:ascii="Arial" w:cs="Arial" w:eastAsia="Arial" w:hAnsi="Arial"/>
                <w:sz w:val="16"/>
                <w:szCs w:val="16"/>
                <w:color w:val="auto"/>
              </w:rPr>
              <w:t>Preferred stock (50 million shares authorized; none issued)</w:t>
            </w:r>
          </w:p>
        </w:tc>
        <w:tc>
          <w:tcPr>
            <w:tcW w:w="260" w:type="dxa"/>
            <w:vAlign w:val="bottom"/>
          </w:tcPr>
          <w:p>
            <w:pPr>
              <w:spacing w:after="0"/>
              <w:rPr>
                <w:sz w:val="15"/>
                <w:szCs w:val="15"/>
                <w:color w:val="auto"/>
              </w:rPr>
            </w:pPr>
          </w:p>
        </w:tc>
        <w:tc>
          <w:tcPr>
            <w:tcW w:w="12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8600" w:type="dxa"/>
            <w:vAlign w:val="bottom"/>
          </w:tcPr>
          <w:p>
            <w:pPr>
              <w:ind w:left="180"/>
              <w:spacing w:after="0" w:line="173" w:lineRule="exact"/>
              <w:rPr>
                <w:sz w:val="20"/>
                <w:szCs w:val="20"/>
                <w:color w:val="auto"/>
              </w:rPr>
            </w:pPr>
            <w:r>
              <w:rPr>
                <w:rFonts w:ascii="Arial" w:cs="Arial" w:eastAsia="Arial" w:hAnsi="Arial"/>
                <w:sz w:val="16"/>
                <w:szCs w:val="16"/>
                <w:color w:val="auto"/>
              </w:rPr>
              <w:t>Common stock (750 million shares authorized; 246 million and 244 million shares</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600" w:type="dxa"/>
            <w:vAlign w:val="bottom"/>
          </w:tcPr>
          <w:p>
            <w:pPr>
              <w:ind w:left="360"/>
              <w:spacing w:after="0" w:line="173" w:lineRule="exact"/>
              <w:rPr>
                <w:sz w:val="20"/>
                <w:szCs w:val="20"/>
                <w:color w:val="auto"/>
              </w:rPr>
            </w:pPr>
            <w:r>
              <w:rPr>
                <w:rFonts w:ascii="Arial" w:cs="Arial" w:eastAsia="Arial" w:hAnsi="Arial"/>
                <w:sz w:val="16"/>
                <w:szCs w:val="16"/>
                <w:color w:val="auto"/>
              </w:rPr>
              <w:t>outstanding at June 30, 2014 and December 31, 2013, respectively; no par value)</w:t>
            </w:r>
          </w:p>
        </w:tc>
        <w:tc>
          <w:tcPr>
            <w:tcW w:w="260" w:type="dxa"/>
            <w:vAlign w:val="bottom"/>
          </w:tcPr>
          <w:p>
            <w:pPr>
              <w:spacing w:after="0"/>
              <w:rPr>
                <w:sz w:val="15"/>
                <w:szCs w:val="15"/>
                <w:color w:val="auto"/>
              </w:rPr>
            </w:pPr>
          </w:p>
        </w:tc>
        <w:tc>
          <w:tcPr>
            <w:tcW w:w="12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2,448</w:t>
            </w:r>
          </w:p>
        </w:tc>
        <w:tc>
          <w:tcPr>
            <w:tcW w:w="2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2,409</w:t>
            </w:r>
          </w:p>
        </w:tc>
        <w:tc>
          <w:tcPr>
            <w:tcW w:w="0" w:type="dxa"/>
            <w:vAlign w:val="bottom"/>
          </w:tcPr>
          <w:p>
            <w:pPr>
              <w:spacing w:after="0"/>
              <w:rPr>
                <w:sz w:val="1"/>
                <w:szCs w:val="1"/>
                <w:color w:val="auto"/>
              </w:rPr>
            </w:pPr>
          </w:p>
        </w:tc>
      </w:tr>
      <w:tr>
        <w:trPr>
          <w:trHeight w:val="173"/>
        </w:trPr>
        <w:tc>
          <w:tcPr>
            <w:tcW w:w="8600" w:type="dxa"/>
            <w:vAlign w:val="bottom"/>
          </w:tcPr>
          <w:p>
            <w:pPr>
              <w:ind w:left="180"/>
              <w:spacing w:after="0" w:line="173" w:lineRule="exact"/>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15"/>
                <w:szCs w:val="15"/>
                <w:color w:val="auto"/>
              </w:rPr>
            </w:pPr>
          </w:p>
        </w:tc>
        <w:tc>
          <w:tcPr>
            <w:tcW w:w="12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9,019</w:t>
            </w:r>
          </w:p>
        </w:tc>
        <w:tc>
          <w:tcPr>
            <w:tcW w:w="2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8,827</w:t>
            </w:r>
          </w:p>
        </w:tc>
        <w:tc>
          <w:tcPr>
            <w:tcW w:w="0" w:type="dxa"/>
            <w:vAlign w:val="bottom"/>
          </w:tcPr>
          <w:p>
            <w:pPr>
              <w:spacing w:after="0"/>
              <w:rPr>
                <w:sz w:val="1"/>
                <w:szCs w:val="1"/>
                <w:color w:val="auto"/>
              </w:rPr>
            </w:pPr>
          </w:p>
        </w:tc>
      </w:tr>
      <w:tr>
        <w:trPr>
          <w:trHeight w:val="204"/>
        </w:trPr>
        <w:tc>
          <w:tcPr>
            <w:tcW w:w="860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(273)</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135"/>
        </w:trPr>
        <w:tc>
          <w:tcPr>
            <w:tcW w:w="8600" w:type="dxa"/>
            <w:vAlign w:val="bottom"/>
          </w:tcPr>
          <w:p>
            <w:pPr>
              <w:ind w:left="360"/>
              <w:spacing w:after="0" w:line="135" w:lineRule="exact"/>
              <w:rPr>
                <w:sz w:val="20"/>
                <w:szCs w:val="20"/>
                <w:color w:val="auto"/>
              </w:rPr>
            </w:pPr>
            <w:r>
              <w:rPr>
                <w:rFonts w:ascii="Arial" w:cs="Arial" w:eastAsia="Arial" w:hAnsi="Arial"/>
                <w:sz w:val="15"/>
                <w:szCs w:val="15"/>
                <w:color w:val="auto"/>
              </w:rPr>
              <w:t>Total Sempra Energy shareholders’ equity</w:t>
            </w:r>
          </w:p>
        </w:tc>
        <w:tc>
          <w:tcPr>
            <w:tcW w:w="260" w:type="dxa"/>
            <w:vAlign w:val="bottom"/>
          </w:tcPr>
          <w:p>
            <w:pPr>
              <w:spacing w:after="0"/>
              <w:rPr>
                <w:sz w:val="11"/>
                <w:szCs w:val="11"/>
                <w:color w:val="auto"/>
              </w:rPr>
            </w:pPr>
          </w:p>
        </w:tc>
        <w:tc>
          <w:tcPr>
            <w:tcW w:w="1260" w:type="dxa"/>
            <w:vAlign w:val="bottom"/>
          </w:tcPr>
          <w:p>
            <w:pPr>
              <w:jc w:val="right"/>
              <w:ind w:right="81"/>
              <w:spacing w:after="0" w:line="135" w:lineRule="exact"/>
              <w:rPr>
                <w:sz w:val="20"/>
                <w:szCs w:val="20"/>
                <w:color w:val="auto"/>
              </w:rPr>
            </w:pPr>
            <w:r>
              <w:rPr>
                <w:rFonts w:ascii="Arial" w:cs="Arial" w:eastAsia="Arial" w:hAnsi="Arial"/>
                <w:sz w:val="15"/>
                <w:szCs w:val="15"/>
                <w:color w:val="auto"/>
              </w:rPr>
              <w:t>11,194</w:t>
            </w:r>
          </w:p>
        </w:tc>
        <w:tc>
          <w:tcPr>
            <w:tcW w:w="28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5"/>
                <w:szCs w:val="15"/>
                <w:color w:val="auto"/>
              </w:rPr>
              <w:t>11,008</w:t>
            </w:r>
          </w:p>
        </w:tc>
        <w:tc>
          <w:tcPr>
            <w:tcW w:w="0" w:type="dxa"/>
            <w:vAlign w:val="bottom"/>
          </w:tcPr>
          <w:p>
            <w:pPr>
              <w:spacing w:after="0"/>
              <w:rPr>
                <w:sz w:val="1"/>
                <w:szCs w:val="1"/>
                <w:color w:val="auto"/>
              </w:rPr>
            </w:pPr>
          </w:p>
        </w:tc>
      </w:tr>
      <w:tr>
        <w:trPr>
          <w:trHeight w:val="173"/>
        </w:trPr>
        <w:tc>
          <w:tcPr>
            <w:tcW w:w="8600" w:type="dxa"/>
            <w:vAlign w:val="bottom"/>
          </w:tcPr>
          <w:p>
            <w:pPr>
              <w:ind w:left="180"/>
              <w:spacing w:after="0" w:line="173" w:lineRule="exact"/>
              <w:rPr>
                <w:sz w:val="20"/>
                <w:szCs w:val="20"/>
                <w:color w:val="auto"/>
              </w:rPr>
            </w:pPr>
            <w:r>
              <w:rPr>
                <w:rFonts w:ascii="Arial" w:cs="Arial" w:eastAsia="Arial" w:hAnsi="Arial"/>
                <w:sz w:val="16"/>
                <w:szCs w:val="16"/>
                <w:color w:val="auto"/>
              </w:rPr>
              <w:t>Preferred stock of subsidiary</w:t>
            </w:r>
          </w:p>
        </w:tc>
        <w:tc>
          <w:tcPr>
            <w:tcW w:w="260" w:type="dxa"/>
            <w:vAlign w:val="bottom"/>
          </w:tcPr>
          <w:p>
            <w:pPr>
              <w:spacing w:after="0"/>
              <w:rPr>
                <w:sz w:val="15"/>
                <w:szCs w:val="15"/>
                <w:color w:val="auto"/>
              </w:rPr>
            </w:pPr>
          </w:p>
        </w:tc>
        <w:tc>
          <w:tcPr>
            <w:tcW w:w="12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20</w:t>
            </w:r>
          </w:p>
        </w:tc>
        <w:tc>
          <w:tcPr>
            <w:tcW w:w="28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4"/>
        </w:trPr>
        <w:tc>
          <w:tcPr>
            <w:tcW w:w="8600" w:type="dxa"/>
            <w:vAlign w:val="bottom"/>
          </w:tcPr>
          <w:p>
            <w:pPr>
              <w:ind w:left="180"/>
              <w:spacing w:after="0"/>
              <w:rPr>
                <w:sz w:val="20"/>
                <w:szCs w:val="20"/>
                <w:color w:val="auto"/>
              </w:rPr>
            </w:pPr>
            <w:r>
              <w:rPr>
                <w:rFonts w:ascii="Arial" w:cs="Arial" w:eastAsia="Arial" w:hAnsi="Arial"/>
                <w:sz w:val="16"/>
                <w:szCs w:val="16"/>
                <w:color w:val="auto"/>
              </w:rPr>
              <w:t>Other noncontrolling interests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837</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166"/>
        </w:trPr>
        <w:tc>
          <w:tcPr>
            <w:tcW w:w="8600" w:type="dxa"/>
            <w:vAlign w:val="bottom"/>
          </w:tcPr>
          <w:p>
            <w:pPr>
              <w:ind w:left="360"/>
              <w:spacing w:after="0" w:line="166" w:lineRule="exact"/>
              <w:rPr>
                <w:sz w:val="20"/>
                <w:szCs w:val="20"/>
                <w:color w:val="auto"/>
              </w:rPr>
            </w:pPr>
            <w:r>
              <w:rPr>
                <w:rFonts w:ascii="Arial" w:cs="Arial" w:eastAsia="Arial" w:hAnsi="Arial"/>
                <w:sz w:val="16"/>
                <w:szCs w:val="16"/>
                <w:color w:val="auto"/>
              </w:rPr>
              <w:t>Total equity</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1"/>
              <w:spacing w:after="0" w:line="166" w:lineRule="exact"/>
              <w:rPr>
                <w:sz w:val="20"/>
                <w:szCs w:val="20"/>
                <w:color w:val="auto"/>
              </w:rPr>
            </w:pPr>
            <w:r>
              <w:rPr>
                <w:rFonts w:ascii="Arial" w:cs="Arial" w:eastAsia="Arial" w:hAnsi="Arial"/>
                <w:sz w:val="16"/>
                <w:szCs w:val="16"/>
                <w:color w:val="auto"/>
              </w:rPr>
              <w:t>12,051</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11,850</w:t>
            </w:r>
          </w:p>
        </w:tc>
        <w:tc>
          <w:tcPr>
            <w:tcW w:w="0" w:type="dxa"/>
            <w:vAlign w:val="bottom"/>
          </w:tcPr>
          <w:p>
            <w:pPr>
              <w:spacing w:after="0"/>
              <w:rPr>
                <w:sz w:val="1"/>
                <w:szCs w:val="1"/>
                <w:color w:val="auto"/>
              </w:rPr>
            </w:pPr>
          </w:p>
        </w:tc>
      </w:tr>
      <w:tr>
        <w:trPr>
          <w:trHeight w:val="166"/>
        </w:trPr>
        <w:tc>
          <w:tcPr>
            <w:tcW w:w="8600" w:type="dxa"/>
            <w:vAlign w:val="bottom"/>
          </w:tcPr>
          <w:p>
            <w:pPr>
              <w:spacing w:after="0" w:line="166" w:lineRule="exact"/>
              <w:rPr>
                <w:sz w:val="20"/>
                <w:szCs w:val="20"/>
                <w:color w:val="auto"/>
              </w:rPr>
            </w:pPr>
            <w:r>
              <w:rPr>
                <w:rFonts w:ascii="Arial" w:cs="Arial" w:eastAsia="Arial" w:hAnsi="Arial"/>
                <w:sz w:val="16"/>
                <w:szCs w:val="16"/>
                <w:color w:val="auto"/>
              </w:rPr>
              <w:t>Total liabilities and equity</w:t>
            </w:r>
          </w:p>
        </w:tc>
        <w:tc>
          <w:tcPr>
            <w:tcW w:w="26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81"/>
              <w:spacing w:after="0" w:line="166" w:lineRule="exact"/>
              <w:rPr>
                <w:sz w:val="20"/>
                <w:szCs w:val="20"/>
                <w:color w:val="auto"/>
              </w:rPr>
            </w:pPr>
            <w:r>
              <w:rPr>
                <w:rFonts w:ascii="Arial" w:cs="Arial" w:eastAsia="Arial" w:hAnsi="Arial"/>
                <w:sz w:val="16"/>
                <w:szCs w:val="16"/>
                <w:color w:val="auto"/>
              </w:rPr>
              <w:t>38,307</w:t>
            </w:r>
          </w:p>
        </w:tc>
        <w:tc>
          <w:tcPr>
            <w:tcW w:w="280" w:type="dxa"/>
            <w:vAlign w:val="bottom"/>
          </w:tcPr>
          <w:p>
            <w:pPr>
              <w:ind w:left="120"/>
              <w:spacing w:after="0" w:line="166"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6" w:lineRule="exact"/>
              <w:rPr>
                <w:sz w:val="20"/>
                <w:szCs w:val="20"/>
                <w:color w:val="auto"/>
              </w:rPr>
            </w:pPr>
            <w:r>
              <w:rPr>
                <w:rFonts w:ascii="Arial" w:cs="Arial" w:eastAsia="Arial" w:hAnsi="Arial"/>
                <w:sz w:val="16"/>
                <w:szCs w:val="16"/>
                <w:color w:val="auto"/>
              </w:rPr>
              <w:t>37,244</w:t>
            </w:r>
          </w:p>
        </w:tc>
        <w:tc>
          <w:tcPr>
            <w:tcW w:w="0" w:type="dxa"/>
            <w:vAlign w:val="bottom"/>
          </w:tcPr>
          <w:p>
            <w:pPr>
              <w:spacing w:after="0"/>
              <w:rPr>
                <w:sz w:val="1"/>
                <w:szCs w:val="1"/>
                <w:color w:val="auto"/>
              </w:rPr>
            </w:pPr>
          </w:p>
        </w:tc>
      </w:tr>
      <w:tr>
        <w:trPr>
          <w:trHeight w:val="80"/>
        </w:trPr>
        <w:tc>
          <w:tcPr>
            <w:tcW w:w="860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126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88" w:orient="portrait"/>
          <w:cols w:equalWidth="0" w:num="1">
            <w:col w:w="11420"/>
          </w:cols>
          <w:pgMar w:left="240" w:top="106" w:right="239" w:bottom="0" w:gutter="0" w:footer="0" w:header="0"/>
        </w:sectPr>
      </w:pPr>
    </w:p>
    <w:p>
      <w:pPr>
        <w:ind w:left="520" w:hanging="514"/>
        <w:spacing w:after="0"/>
        <w:tabs>
          <w:tab w:leader="none" w:pos="52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ectPr>
          <w:pgSz w:w="11900" w:h="16888" w:orient="portrait"/>
          <w:cols w:equalWidth="0" w:num="1">
            <w:col w:w="11420"/>
          </w:cols>
          <w:pgMar w:left="240" w:top="106" w:right="239" w:bottom="0" w:gutter="0" w:footer="0" w:header="0"/>
          <w:type w:val="continuous"/>
        </w:sectPr>
      </w:pPr>
    </w:p>
    <w:bookmarkStart w:id="5" w:name="page6"/>
    <w:bookmarkEnd w:id="5"/>
    <w:p>
      <w:pPr>
        <w:spacing w:after="0" w:line="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55"/>
        </w:trPr>
        <w:tc>
          <w:tcPr>
            <w:tcW w:w="7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1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Six months ended June 30,</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28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tcPr>
          <w:p>
            <w:pPr>
              <w:jc w:val="right"/>
              <w:ind w:right="423"/>
              <w:spacing w:after="0"/>
              <w:rPr>
                <w:sz w:val="20"/>
                <w:szCs w:val="20"/>
                <w:color w:val="auto"/>
              </w:rPr>
            </w:pPr>
            <w:r>
              <w:rPr>
                <w:rFonts w:ascii="Arial" w:cs="Arial" w:eastAsia="Arial" w:hAnsi="Arial"/>
                <w:sz w:val="14"/>
                <w:szCs w:val="14"/>
                <w:color w:val="auto"/>
              </w:rPr>
              <w:t>(unaudited)</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28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280" w:type="dxa"/>
            <w:vAlign w:val="bottom"/>
          </w:tcPr>
          <w:p>
            <w:pPr>
              <w:ind w:left="180"/>
              <w:spacing w:after="0" w:line="173" w:lineRule="exact"/>
              <w:rPr>
                <w:sz w:val="20"/>
                <w:szCs w:val="20"/>
                <w:color w:val="auto"/>
              </w:rPr>
            </w:pPr>
            <w:r>
              <w:rPr>
                <w:rFonts w:ascii="Arial" w:cs="Arial" w:eastAsia="Arial" w:hAnsi="Arial"/>
                <w:sz w:val="16"/>
                <w:szCs w:val="16"/>
                <w:color w:val="auto"/>
              </w:rPr>
              <w:t>Net income</w:t>
            </w:r>
          </w:p>
        </w:tc>
        <w:tc>
          <w:tcPr>
            <w:tcW w:w="2280" w:type="dxa"/>
            <w:vAlign w:val="bottom"/>
            <w:gridSpan w:val="2"/>
          </w:tcPr>
          <w:p>
            <w:pPr>
              <w:jc w:val="right"/>
              <w:ind w:right="668"/>
              <w:spacing w:after="0" w:line="173" w:lineRule="exact"/>
              <w:rPr>
                <w:sz w:val="20"/>
                <w:szCs w:val="20"/>
                <w:color w:val="auto"/>
              </w:rPr>
            </w:pPr>
            <w:r>
              <w:rPr>
                <w:rFonts w:ascii="Arial" w:cs="Arial" w:eastAsia="Arial" w:hAnsi="Arial"/>
                <w:sz w:val="16"/>
                <w:szCs w:val="16"/>
                <w:color w:val="auto"/>
              </w:rPr>
              <w:t>$</w:t>
            </w: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558</w:t>
            </w:r>
          </w:p>
        </w:tc>
        <w:tc>
          <w:tcPr>
            <w:tcW w:w="860" w:type="dxa"/>
            <w:vAlign w:val="bottom"/>
          </w:tcPr>
          <w:p>
            <w:pPr>
              <w:jc w:val="right"/>
              <w:ind w:right="683"/>
              <w:spacing w:after="0" w:line="173" w:lineRule="exact"/>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173"/>
        </w:trPr>
        <w:tc>
          <w:tcPr>
            <w:tcW w:w="7280" w:type="dxa"/>
            <w:vAlign w:val="bottom"/>
          </w:tcPr>
          <w:p>
            <w:pPr>
              <w:ind w:left="180"/>
              <w:spacing w:after="0" w:line="173" w:lineRule="exact"/>
              <w:rPr>
                <w:sz w:val="20"/>
                <w:szCs w:val="20"/>
                <w:color w:val="auto"/>
              </w:rPr>
            </w:pPr>
            <w:r>
              <w:rPr>
                <w:rFonts w:ascii="Arial" w:cs="Arial" w:eastAsia="Arial" w:hAnsi="Arial"/>
                <w:sz w:val="16"/>
                <w:szCs w:val="16"/>
                <w:color w:val="auto"/>
              </w:rPr>
              <w:t>Adjustments to reconcile net income to net cash provided by operating activities:</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80" w:type="dxa"/>
            <w:vAlign w:val="bottom"/>
          </w:tcPr>
          <w:p>
            <w:pPr>
              <w:ind w:left="360"/>
              <w:spacing w:after="0" w:line="173" w:lineRule="exact"/>
              <w:rPr>
                <w:sz w:val="20"/>
                <w:szCs w:val="20"/>
                <w:color w:val="auto"/>
              </w:rPr>
            </w:pPr>
            <w:r>
              <w:rPr>
                <w:rFonts w:ascii="Arial" w:cs="Arial" w:eastAsia="Arial" w:hAnsi="Arial"/>
                <w:sz w:val="16"/>
                <w:szCs w:val="16"/>
                <w:color w:val="auto"/>
              </w:rPr>
              <w:t>Depreciation and amortization</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574</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173"/>
        </w:trPr>
        <w:tc>
          <w:tcPr>
            <w:tcW w:w="7280" w:type="dxa"/>
            <w:vAlign w:val="bottom"/>
          </w:tcPr>
          <w:p>
            <w:pPr>
              <w:ind w:left="360"/>
              <w:spacing w:after="0" w:line="173" w:lineRule="exact"/>
              <w:rPr>
                <w:sz w:val="20"/>
                <w:szCs w:val="20"/>
                <w:color w:val="auto"/>
              </w:rPr>
            </w:pPr>
            <w:r>
              <w:rPr>
                <w:rFonts w:ascii="Arial" w:cs="Arial" w:eastAsia="Arial" w:hAnsi="Arial"/>
                <w:sz w:val="16"/>
                <w:szCs w:val="16"/>
                <w:color w:val="auto"/>
              </w:rPr>
              <w:t>Deferred income taxes and investment tax credits</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105</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173"/>
        </w:trPr>
        <w:tc>
          <w:tcPr>
            <w:tcW w:w="7280" w:type="dxa"/>
            <w:vAlign w:val="bottom"/>
          </w:tcPr>
          <w:p>
            <w:pPr>
              <w:ind w:left="360"/>
              <w:spacing w:after="0" w:line="173" w:lineRule="exact"/>
              <w:rPr>
                <w:sz w:val="20"/>
                <w:szCs w:val="20"/>
                <w:color w:val="auto"/>
              </w:rPr>
            </w:pPr>
            <w:r>
              <w:rPr>
                <w:rFonts w:ascii="Arial" w:cs="Arial" w:eastAsia="Arial" w:hAnsi="Arial"/>
                <w:sz w:val="16"/>
                <w:szCs w:val="16"/>
                <w:color w:val="auto"/>
              </w:rPr>
              <w:t>Gain on sale of equity interest and assets</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(29)</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73"/>
        </w:trPr>
        <w:tc>
          <w:tcPr>
            <w:tcW w:w="7280" w:type="dxa"/>
            <w:vAlign w:val="bottom"/>
          </w:tcPr>
          <w:p>
            <w:pPr>
              <w:ind w:left="360"/>
              <w:spacing w:after="0" w:line="173" w:lineRule="exact"/>
              <w:rPr>
                <w:sz w:val="20"/>
                <w:szCs w:val="20"/>
                <w:color w:val="auto"/>
              </w:rPr>
            </w:pPr>
            <w:r>
              <w:rPr>
                <w:rFonts w:ascii="Arial" w:cs="Arial" w:eastAsia="Arial" w:hAnsi="Arial"/>
                <w:sz w:val="16"/>
                <w:szCs w:val="16"/>
                <w:color w:val="auto"/>
              </w:rPr>
              <w:t>Plant closure (adjustment) loss</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(13)</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73"/>
        </w:trPr>
        <w:tc>
          <w:tcPr>
            <w:tcW w:w="7280" w:type="dxa"/>
            <w:vAlign w:val="bottom"/>
          </w:tcPr>
          <w:p>
            <w:pPr>
              <w:ind w:left="360"/>
              <w:spacing w:after="0" w:line="173" w:lineRule="exact"/>
              <w:rPr>
                <w:sz w:val="20"/>
                <w:szCs w:val="20"/>
                <w:color w:val="auto"/>
              </w:rPr>
            </w:pPr>
            <w:r>
              <w:rPr>
                <w:rFonts w:ascii="Arial" w:cs="Arial" w:eastAsia="Arial" w:hAnsi="Arial"/>
                <w:sz w:val="16"/>
                <w:szCs w:val="16"/>
                <w:color w:val="auto"/>
              </w:rPr>
              <w:t>Equity earnings</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(55)</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73"/>
        </w:trPr>
        <w:tc>
          <w:tcPr>
            <w:tcW w:w="7280" w:type="dxa"/>
            <w:vAlign w:val="bottom"/>
          </w:tcPr>
          <w:p>
            <w:pPr>
              <w:ind w:left="360"/>
              <w:spacing w:after="0" w:line="173" w:lineRule="exact"/>
              <w:rPr>
                <w:sz w:val="20"/>
                <w:szCs w:val="20"/>
                <w:color w:val="auto"/>
              </w:rPr>
            </w:pPr>
            <w:r>
              <w:rPr>
                <w:rFonts w:ascii="Arial" w:cs="Arial" w:eastAsia="Arial" w:hAnsi="Arial"/>
                <w:sz w:val="16"/>
                <w:szCs w:val="16"/>
                <w:color w:val="auto"/>
              </w:rPr>
              <w:t>Fixed-price contracts and other derivatives</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(17)</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73"/>
        </w:trPr>
        <w:tc>
          <w:tcPr>
            <w:tcW w:w="7280" w:type="dxa"/>
            <w:vAlign w:val="bottom"/>
          </w:tcPr>
          <w:p>
            <w:pPr>
              <w:ind w:left="360"/>
              <w:spacing w:after="0" w:line="173" w:lineRule="exact"/>
              <w:rPr>
                <w:sz w:val="20"/>
                <w:szCs w:val="20"/>
                <w:color w:val="auto"/>
              </w:rPr>
            </w:pPr>
            <w:r>
              <w:rPr>
                <w:rFonts w:ascii="Arial" w:cs="Arial" w:eastAsia="Arial" w:hAnsi="Arial"/>
                <w:sz w:val="16"/>
                <w:szCs w:val="16"/>
                <w:color w:val="auto"/>
              </w:rPr>
              <w:t>Other</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(6)</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3"/>
        </w:trPr>
        <w:tc>
          <w:tcPr>
            <w:tcW w:w="7280" w:type="dxa"/>
            <w:vAlign w:val="bottom"/>
          </w:tcPr>
          <w:p>
            <w:pPr>
              <w:ind w:left="180"/>
              <w:spacing w:after="0" w:line="173" w:lineRule="exact"/>
              <w:rPr>
                <w:sz w:val="20"/>
                <w:szCs w:val="20"/>
                <w:color w:val="auto"/>
              </w:rPr>
            </w:pPr>
            <w:r>
              <w:rPr>
                <w:rFonts w:ascii="Arial" w:cs="Arial" w:eastAsia="Arial" w:hAnsi="Arial"/>
                <w:sz w:val="16"/>
                <w:szCs w:val="16"/>
                <w:color w:val="auto"/>
              </w:rPr>
              <w:t>Net change in other working capital components</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(125)</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9"/>
        </w:trPr>
        <w:tc>
          <w:tcPr>
            <w:tcW w:w="7280" w:type="dxa"/>
            <w:vAlign w:val="bottom"/>
          </w:tcPr>
          <w:p>
            <w:pPr>
              <w:ind w:left="180"/>
              <w:spacing w:after="0"/>
              <w:rPr>
                <w:sz w:val="20"/>
                <w:szCs w:val="20"/>
                <w:color w:val="auto"/>
              </w:rPr>
            </w:pPr>
            <w:r>
              <w:rPr>
                <w:rFonts w:ascii="Arial" w:cs="Arial" w:eastAsia="Arial" w:hAnsi="Arial"/>
                <w:sz w:val="16"/>
                <w:szCs w:val="16"/>
                <w:color w:val="auto"/>
              </w:rPr>
              <w:t>Changes in other assets</w:t>
            </w:r>
          </w:p>
        </w:tc>
        <w:tc>
          <w:tcPr>
            <w:tcW w:w="1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w:t>
            </w:r>
          </w:p>
        </w:tc>
        <w:tc>
          <w:tcPr>
            <w:tcW w:w="8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04"/>
        </w:trPr>
        <w:tc>
          <w:tcPr>
            <w:tcW w:w="728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14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6"/>
        </w:trPr>
        <w:tc>
          <w:tcPr>
            <w:tcW w:w="7280" w:type="dxa"/>
            <w:vAlign w:val="bottom"/>
          </w:tcPr>
          <w:p>
            <w:pPr>
              <w:ind w:left="360"/>
              <w:spacing w:after="0" w:line="166" w:lineRule="exact"/>
              <w:rPr>
                <w:sz w:val="20"/>
                <w:szCs w:val="20"/>
                <w:color w:val="auto"/>
              </w:rPr>
            </w:pPr>
            <w:r>
              <w:rPr>
                <w:rFonts w:ascii="Arial" w:cs="Arial" w:eastAsia="Arial" w:hAnsi="Arial"/>
                <w:sz w:val="16"/>
                <w:szCs w:val="16"/>
                <w:color w:val="auto"/>
              </w:rPr>
              <w:t>Net cash provided by operating activities</w:t>
            </w:r>
          </w:p>
        </w:tc>
        <w:tc>
          <w:tcPr>
            <w:tcW w:w="14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1,034</w:t>
            </w: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1,105</w:t>
            </w:r>
          </w:p>
        </w:tc>
        <w:tc>
          <w:tcPr>
            <w:tcW w:w="0" w:type="dxa"/>
            <w:vAlign w:val="bottom"/>
          </w:tcPr>
          <w:p>
            <w:pPr>
              <w:spacing w:after="0"/>
              <w:rPr>
                <w:sz w:val="1"/>
                <w:szCs w:val="1"/>
                <w:color w:val="auto"/>
              </w:rPr>
            </w:pPr>
          </w:p>
        </w:tc>
      </w:tr>
      <w:tr>
        <w:trPr>
          <w:trHeight w:val="307"/>
        </w:trPr>
        <w:tc>
          <w:tcPr>
            <w:tcW w:w="72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280" w:type="dxa"/>
            <w:vAlign w:val="bottom"/>
          </w:tcPr>
          <w:p>
            <w:pPr>
              <w:ind w:left="180"/>
              <w:spacing w:after="0" w:line="173" w:lineRule="exact"/>
              <w:rPr>
                <w:sz w:val="20"/>
                <w:szCs w:val="20"/>
                <w:color w:val="auto"/>
              </w:rPr>
            </w:pPr>
            <w:r>
              <w:rPr>
                <w:rFonts w:ascii="Arial" w:cs="Arial" w:eastAsia="Arial" w:hAnsi="Arial"/>
                <w:sz w:val="16"/>
                <w:szCs w:val="16"/>
                <w:color w:val="auto"/>
              </w:rPr>
              <w:t>Expenditures for property, plant and equipment</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w w:val="94"/>
              </w:rPr>
              <w:t>(1,513)</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w w:val="94"/>
              </w:rPr>
              <w:t>(1,130)</w:t>
            </w:r>
          </w:p>
        </w:tc>
        <w:tc>
          <w:tcPr>
            <w:tcW w:w="0" w:type="dxa"/>
            <w:vAlign w:val="bottom"/>
          </w:tcPr>
          <w:p>
            <w:pPr>
              <w:spacing w:after="0"/>
              <w:rPr>
                <w:sz w:val="1"/>
                <w:szCs w:val="1"/>
                <w:color w:val="auto"/>
              </w:rPr>
            </w:pPr>
          </w:p>
        </w:tc>
      </w:tr>
      <w:tr>
        <w:trPr>
          <w:trHeight w:val="173"/>
        </w:trPr>
        <w:tc>
          <w:tcPr>
            <w:tcW w:w="7280" w:type="dxa"/>
            <w:vAlign w:val="bottom"/>
          </w:tcPr>
          <w:p>
            <w:pPr>
              <w:ind w:left="180"/>
              <w:spacing w:after="0" w:line="173" w:lineRule="exact"/>
              <w:rPr>
                <w:sz w:val="20"/>
                <w:szCs w:val="20"/>
                <w:color w:val="auto"/>
              </w:rPr>
            </w:pPr>
            <w:r>
              <w:rPr>
                <w:rFonts w:ascii="Arial" w:cs="Arial" w:eastAsia="Arial" w:hAnsi="Arial"/>
                <w:sz w:val="16"/>
                <w:szCs w:val="16"/>
                <w:color w:val="auto"/>
              </w:rPr>
              <w:t>Expenditures for investments</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(160)</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3"/>
        </w:trPr>
        <w:tc>
          <w:tcPr>
            <w:tcW w:w="7280" w:type="dxa"/>
            <w:vAlign w:val="bottom"/>
          </w:tcPr>
          <w:p>
            <w:pPr>
              <w:ind w:left="180"/>
              <w:spacing w:after="0" w:line="173" w:lineRule="exact"/>
              <w:rPr>
                <w:sz w:val="20"/>
                <w:szCs w:val="20"/>
                <w:color w:val="auto"/>
              </w:rPr>
            </w:pPr>
            <w:r>
              <w:rPr>
                <w:rFonts w:ascii="Arial" w:cs="Arial" w:eastAsia="Arial" w:hAnsi="Arial"/>
                <w:sz w:val="16"/>
                <w:szCs w:val="16"/>
                <w:color w:val="auto"/>
              </w:rPr>
              <w:t>Proceeds from sale of equity interest and assets, net of cash sold</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66</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173"/>
        </w:trPr>
        <w:tc>
          <w:tcPr>
            <w:tcW w:w="7280" w:type="dxa"/>
            <w:vAlign w:val="bottom"/>
          </w:tcPr>
          <w:p>
            <w:pPr>
              <w:ind w:left="180"/>
              <w:spacing w:after="0" w:line="173" w:lineRule="exact"/>
              <w:rPr>
                <w:sz w:val="20"/>
                <w:szCs w:val="20"/>
                <w:color w:val="auto"/>
              </w:rPr>
            </w:pPr>
            <w:r>
              <w:rPr>
                <w:rFonts w:ascii="Arial" w:cs="Arial" w:eastAsia="Arial" w:hAnsi="Arial"/>
                <w:sz w:val="16"/>
                <w:szCs w:val="16"/>
                <w:color w:val="auto"/>
              </w:rPr>
              <w:t>Proceeds from U.S. Treasury grants</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73"/>
        </w:trPr>
        <w:tc>
          <w:tcPr>
            <w:tcW w:w="7280" w:type="dxa"/>
            <w:vAlign w:val="bottom"/>
          </w:tcPr>
          <w:p>
            <w:pPr>
              <w:ind w:left="180"/>
              <w:spacing w:after="0" w:line="173" w:lineRule="exact"/>
              <w:rPr>
                <w:sz w:val="20"/>
                <w:szCs w:val="20"/>
                <w:color w:val="auto"/>
              </w:rPr>
            </w:pPr>
            <w:r>
              <w:rPr>
                <w:rFonts w:ascii="Arial" w:cs="Arial" w:eastAsia="Arial" w:hAnsi="Arial"/>
                <w:sz w:val="16"/>
                <w:szCs w:val="16"/>
                <w:color w:val="auto"/>
              </w:rPr>
              <w:t>Distributions from investments</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6</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73"/>
        </w:trPr>
        <w:tc>
          <w:tcPr>
            <w:tcW w:w="7280" w:type="dxa"/>
            <w:vAlign w:val="bottom"/>
          </w:tcPr>
          <w:p>
            <w:pPr>
              <w:ind w:left="180"/>
              <w:spacing w:after="0" w:line="173" w:lineRule="exact"/>
              <w:rPr>
                <w:sz w:val="20"/>
                <w:szCs w:val="20"/>
                <w:color w:val="auto"/>
              </w:rPr>
            </w:pPr>
            <w:r>
              <w:rPr>
                <w:rFonts w:ascii="Arial" w:cs="Arial" w:eastAsia="Arial" w:hAnsi="Arial"/>
                <w:sz w:val="16"/>
                <w:szCs w:val="16"/>
                <w:color w:val="auto"/>
              </w:rPr>
              <w:t>Purchases of nuclear decommissioning and other trust assets</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(356)</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173"/>
        </w:trPr>
        <w:tc>
          <w:tcPr>
            <w:tcW w:w="7280" w:type="dxa"/>
            <w:vAlign w:val="bottom"/>
          </w:tcPr>
          <w:p>
            <w:pPr>
              <w:ind w:left="180"/>
              <w:spacing w:after="0" w:line="173" w:lineRule="exact"/>
              <w:rPr>
                <w:sz w:val="20"/>
                <w:szCs w:val="20"/>
                <w:color w:val="auto"/>
              </w:rPr>
            </w:pPr>
            <w:r>
              <w:rPr>
                <w:rFonts w:ascii="Arial" w:cs="Arial" w:eastAsia="Arial" w:hAnsi="Arial"/>
                <w:sz w:val="16"/>
                <w:szCs w:val="16"/>
                <w:color w:val="auto"/>
              </w:rPr>
              <w:t>Proceeds from sales by nuclear decommissioning and other trusts</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350</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173"/>
        </w:trPr>
        <w:tc>
          <w:tcPr>
            <w:tcW w:w="7280" w:type="dxa"/>
            <w:vAlign w:val="bottom"/>
          </w:tcPr>
          <w:p>
            <w:pPr>
              <w:ind w:left="180"/>
              <w:spacing w:after="0" w:line="173" w:lineRule="exact"/>
              <w:rPr>
                <w:sz w:val="20"/>
                <w:szCs w:val="20"/>
                <w:color w:val="auto"/>
              </w:rPr>
            </w:pPr>
            <w:r>
              <w:rPr>
                <w:rFonts w:ascii="Arial" w:cs="Arial" w:eastAsia="Arial" w:hAnsi="Arial"/>
                <w:sz w:val="16"/>
                <w:szCs w:val="16"/>
                <w:color w:val="auto"/>
              </w:rPr>
              <w:t>Decrease in restricted cash</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87</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73"/>
        </w:trPr>
        <w:tc>
          <w:tcPr>
            <w:tcW w:w="7280" w:type="dxa"/>
            <w:vAlign w:val="bottom"/>
          </w:tcPr>
          <w:p>
            <w:pPr>
              <w:ind w:left="180"/>
              <w:spacing w:after="0" w:line="173" w:lineRule="exact"/>
              <w:rPr>
                <w:sz w:val="20"/>
                <w:szCs w:val="20"/>
                <w:color w:val="auto"/>
              </w:rPr>
            </w:pPr>
            <w:r>
              <w:rPr>
                <w:rFonts w:ascii="Arial" w:cs="Arial" w:eastAsia="Arial" w:hAnsi="Arial"/>
                <w:sz w:val="16"/>
                <w:szCs w:val="16"/>
                <w:color w:val="auto"/>
              </w:rPr>
              <w:t>Increase in restricted cash</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(87)</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173"/>
        </w:trPr>
        <w:tc>
          <w:tcPr>
            <w:tcW w:w="7280" w:type="dxa"/>
            <w:vAlign w:val="bottom"/>
          </w:tcPr>
          <w:p>
            <w:pPr>
              <w:ind w:left="180"/>
              <w:spacing w:after="0" w:line="173" w:lineRule="exact"/>
              <w:rPr>
                <w:sz w:val="20"/>
                <w:szCs w:val="20"/>
                <w:color w:val="auto"/>
              </w:rPr>
            </w:pPr>
            <w:r>
              <w:rPr>
                <w:rFonts w:ascii="Arial" w:cs="Arial" w:eastAsia="Arial" w:hAnsi="Arial"/>
                <w:sz w:val="16"/>
                <w:szCs w:val="16"/>
                <w:color w:val="auto"/>
              </w:rPr>
              <w:t>Advances to unconsolidated affiliates</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(24)</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7280" w:type="dxa"/>
            <w:vAlign w:val="bottom"/>
          </w:tcPr>
          <w:p>
            <w:pPr>
              <w:ind w:left="180"/>
              <w:spacing w:after="0"/>
              <w:rPr>
                <w:sz w:val="20"/>
                <w:szCs w:val="20"/>
                <w:color w:val="auto"/>
              </w:rPr>
            </w:pPr>
            <w:r>
              <w:rPr>
                <w:rFonts w:ascii="Arial" w:cs="Arial" w:eastAsia="Arial" w:hAnsi="Arial"/>
                <w:sz w:val="16"/>
                <w:szCs w:val="16"/>
                <w:color w:val="auto"/>
              </w:rPr>
              <w:t>Other</w:t>
            </w:r>
          </w:p>
        </w:tc>
        <w:tc>
          <w:tcPr>
            <w:tcW w:w="14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6"/>
        </w:trPr>
        <w:tc>
          <w:tcPr>
            <w:tcW w:w="7280" w:type="dxa"/>
            <w:vAlign w:val="bottom"/>
          </w:tcPr>
          <w:p>
            <w:pPr>
              <w:ind w:left="360"/>
              <w:spacing w:after="0" w:line="166" w:lineRule="exact"/>
              <w:rPr>
                <w:sz w:val="20"/>
                <w:szCs w:val="20"/>
                <w:color w:val="auto"/>
              </w:rPr>
            </w:pPr>
            <w:r>
              <w:rPr>
                <w:rFonts w:ascii="Arial" w:cs="Arial" w:eastAsia="Arial" w:hAnsi="Arial"/>
                <w:sz w:val="16"/>
                <w:szCs w:val="16"/>
                <w:color w:val="auto"/>
              </w:rPr>
              <w:t>Net cash used in investing activities</w:t>
            </w:r>
          </w:p>
        </w:tc>
        <w:tc>
          <w:tcPr>
            <w:tcW w:w="14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w w:val="94"/>
              </w:rPr>
              <w:t>(1,621)</w:t>
            </w: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307"/>
        </w:trPr>
        <w:tc>
          <w:tcPr>
            <w:tcW w:w="72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280" w:type="dxa"/>
            <w:vAlign w:val="bottom"/>
          </w:tcPr>
          <w:p>
            <w:pPr>
              <w:ind w:left="180"/>
              <w:spacing w:after="0" w:line="173" w:lineRule="exact"/>
              <w:rPr>
                <w:sz w:val="20"/>
                <w:szCs w:val="20"/>
                <w:color w:val="auto"/>
              </w:rPr>
            </w:pPr>
            <w:r>
              <w:rPr>
                <w:rFonts w:ascii="Arial" w:cs="Arial" w:eastAsia="Arial" w:hAnsi="Arial"/>
                <w:sz w:val="16"/>
                <w:szCs w:val="16"/>
                <w:color w:val="auto"/>
              </w:rPr>
              <w:t>Common dividends paid</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(301)</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173"/>
        </w:trPr>
        <w:tc>
          <w:tcPr>
            <w:tcW w:w="7280" w:type="dxa"/>
            <w:vAlign w:val="bottom"/>
          </w:tcPr>
          <w:p>
            <w:pPr>
              <w:ind w:left="180"/>
              <w:spacing w:after="0" w:line="173" w:lineRule="exact"/>
              <w:rPr>
                <w:sz w:val="20"/>
                <w:szCs w:val="20"/>
                <w:color w:val="auto"/>
              </w:rPr>
            </w:pPr>
            <w:r>
              <w:rPr>
                <w:rFonts w:ascii="Arial" w:cs="Arial" w:eastAsia="Arial" w:hAnsi="Arial"/>
                <w:sz w:val="16"/>
                <w:szCs w:val="16"/>
                <w:color w:val="auto"/>
              </w:rPr>
              <w:t>Preferred dividends paid by subsidiaries</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3"/>
        </w:trPr>
        <w:tc>
          <w:tcPr>
            <w:tcW w:w="7280" w:type="dxa"/>
            <w:vAlign w:val="bottom"/>
          </w:tcPr>
          <w:p>
            <w:pPr>
              <w:ind w:left="180"/>
              <w:spacing w:after="0" w:line="173" w:lineRule="exact"/>
              <w:rPr>
                <w:sz w:val="20"/>
                <w:szCs w:val="20"/>
                <w:color w:val="auto"/>
              </w:rPr>
            </w:pPr>
            <w:r>
              <w:rPr>
                <w:rFonts w:ascii="Arial" w:cs="Arial" w:eastAsia="Arial" w:hAnsi="Arial"/>
                <w:sz w:val="16"/>
                <w:szCs w:val="16"/>
                <w:color w:val="auto"/>
              </w:rPr>
              <w:t>Issuances of common stock</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28</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9"/>
        </w:trPr>
        <w:tc>
          <w:tcPr>
            <w:tcW w:w="728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1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w:t>
            </w:r>
          </w:p>
        </w:tc>
        <w:tc>
          <w:tcPr>
            <w:tcW w:w="8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73"/>
        </w:trPr>
        <w:tc>
          <w:tcPr>
            <w:tcW w:w="7280" w:type="dxa"/>
            <w:vAlign w:val="bottom"/>
          </w:tcPr>
          <w:p>
            <w:pPr>
              <w:ind w:left="180"/>
              <w:spacing w:after="0" w:line="173" w:lineRule="exact"/>
              <w:rPr>
                <w:sz w:val="20"/>
                <w:szCs w:val="20"/>
                <w:color w:val="auto"/>
              </w:rPr>
            </w:pPr>
            <w:r>
              <w:rPr>
                <w:rFonts w:ascii="Arial" w:cs="Arial" w:eastAsia="Arial" w:hAnsi="Arial"/>
                <w:sz w:val="16"/>
                <w:szCs w:val="16"/>
                <w:color w:val="auto"/>
              </w:rPr>
              <w:t>Issuances of debt (maturities greater than 90 days)</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2,345</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173"/>
        </w:trPr>
        <w:tc>
          <w:tcPr>
            <w:tcW w:w="7280" w:type="dxa"/>
            <w:vAlign w:val="bottom"/>
          </w:tcPr>
          <w:p>
            <w:pPr>
              <w:ind w:left="180"/>
              <w:spacing w:after="0" w:line="173" w:lineRule="exact"/>
              <w:rPr>
                <w:sz w:val="20"/>
                <w:szCs w:val="20"/>
                <w:color w:val="auto"/>
              </w:rPr>
            </w:pPr>
            <w:r>
              <w:rPr>
                <w:rFonts w:ascii="Arial" w:cs="Arial" w:eastAsia="Arial" w:hAnsi="Arial"/>
                <w:sz w:val="16"/>
                <w:szCs w:val="16"/>
                <w:color w:val="auto"/>
              </w:rPr>
              <w:t>Payments on debt (maturities greater than 90 days)</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w w:val="94"/>
              </w:rPr>
              <w:t>(1,475)</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w w:val="94"/>
              </w:rPr>
              <w:t>(1,134)</w:t>
            </w:r>
          </w:p>
        </w:tc>
        <w:tc>
          <w:tcPr>
            <w:tcW w:w="0" w:type="dxa"/>
            <w:vAlign w:val="bottom"/>
          </w:tcPr>
          <w:p>
            <w:pPr>
              <w:spacing w:after="0"/>
              <w:rPr>
                <w:sz w:val="1"/>
                <w:szCs w:val="1"/>
                <w:color w:val="auto"/>
              </w:rPr>
            </w:pPr>
          </w:p>
        </w:tc>
      </w:tr>
      <w:tr>
        <w:trPr>
          <w:trHeight w:val="173"/>
        </w:trPr>
        <w:tc>
          <w:tcPr>
            <w:tcW w:w="7280" w:type="dxa"/>
            <w:vAlign w:val="bottom"/>
          </w:tcPr>
          <w:p>
            <w:pPr>
              <w:ind w:left="180"/>
              <w:spacing w:after="0" w:line="173" w:lineRule="exact"/>
              <w:rPr>
                <w:sz w:val="20"/>
                <w:szCs w:val="20"/>
                <w:color w:val="auto"/>
              </w:rPr>
            </w:pPr>
            <w:r>
              <w:rPr>
                <w:rFonts w:ascii="Arial" w:cs="Arial" w:eastAsia="Arial" w:hAnsi="Arial"/>
                <w:sz w:val="16"/>
                <w:szCs w:val="16"/>
                <w:color w:val="auto"/>
              </w:rPr>
              <w:t>Proceeds from sale of noncontrolling interests, net of $25 in offering costs</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173"/>
        </w:trPr>
        <w:tc>
          <w:tcPr>
            <w:tcW w:w="7280" w:type="dxa"/>
            <w:vAlign w:val="bottom"/>
          </w:tcPr>
          <w:p>
            <w:pPr>
              <w:ind w:left="180"/>
              <w:spacing w:after="0" w:line="173" w:lineRule="exact"/>
              <w:rPr>
                <w:sz w:val="20"/>
                <w:szCs w:val="20"/>
                <w:color w:val="auto"/>
              </w:rPr>
            </w:pPr>
            <w:r>
              <w:rPr>
                <w:rFonts w:ascii="Arial" w:cs="Arial" w:eastAsia="Arial" w:hAnsi="Arial"/>
                <w:sz w:val="16"/>
                <w:szCs w:val="16"/>
                <w:color w:val="auto"/>
              </w:rPr>
              <w:t>Decrease in short-term debt, net</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(54)</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3"/>
        </w:trPr>
        <w:tc>
          <w:tcPr>
            <w:tcW w:w="7280" w:type="dxa"/>
            <w:vAlign w:val="bottom"/>
          </w:tcPr>
          <w:p>
            <w:pPr>
              <w:ind w:left="180"/>
              <w:spacing w:after="0" w:line="173" w:lineRule="exact"/>
              <w:rPr>
                <w:sz w:val="20"/>
                <w:szCs w:val="20"/>
                <w:color w:val="auto"/>
              </w:rPr>
            </w:pPr>
            <w:r>
              <w:rPr>
                <w:rFonts w:ascii="Arial" w:cs="Arial" w:eastAsia="Arial" w:hAnsi="Arial"/>
                <w:sz w:val="16"/>
                <w:szCs w:val="16"/>
                <w:color w:val="auto"/>
              </w:rPr>
              <w:t>Distributions to noncontrolling interests</w:t>
            </w: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(23)</w:t>
            </w:r>
          </w:p>
        </w:tc>
        <w:tc>
          <w:tcPr>
            <w:tcW w:w="8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4"/>
        </w:trPr>
        <w:tc>
          <w:tcPr>
            <w:tcW w:w="7280" w:type="dxa"/>
            <w:vAlign w:val="bottom"/>
          </w:tcPr>
          <w:p>
            <w:pPr>
              <w:ind w:left="180"/>
              <w:spacing w:after="0"/>
              <w:rPr>
                <w:sz w:val="20"/>
                <w:szCs w:val="20"/>
                <w:color w:val="auto"/>
              </w:rPr>
            </w:pPr>
            <w:r>
              <w:rPr>
                <w:rFonts w:ascii="Arial" w:cs="Arial" w:eastAsia="Arial" w:hAnsi="Arial"/>
                <w:sz w:val="16"/>
                <w:szCs w:val="16"/>
                <w:color w:val="auto"/>
              </w:rPr>
              <w:t>Other</w:t>
            </w:r>
          </w:p>
        </w:tc>
        <w:tc>
          <w:tcPr>
            <w:tcW w:w="14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66"/>
        </w:trPr>
        <w:tc>
          <w:tcPr>
            <w:tcW w:w="7280" w:type="dxa"/>
            <w:vAlign w:val="bottom"/>
          </w:tcPr>
          <w:p>
            <w:pPr>
              <w:ind w:left="360"/>
              <w:spacing w:after="0" w:line="166" w:lineRule="exact"/>
              <w:rPr>
                <w:sz w:val="20"/>
                <w:szCs w:val="20"/>
                <w:color w:val="auto"/>
              </w:rPr>
            </w:pPr>
            <w:r>
              <w:rPr>
                <w:rFonts w:ascii="Arial" w:cs="Arial" w:eastAsia="Arial" w:hAnsi="Arial"/>
                <w:sz w:val="16"/>
                <w:szCs w:val="16"/>
                <w:color w:val="auto"/>
              </w:rPr>
              <w:t>Net cash provided by financing activities</w:t>
            </w:r>
          </w:p>
        </w:tc>
        <w:tc>
          <w:tcPr>
            <w:tcW w:w="14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472</w:t>
            </w: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65"/>
        </w:trPr>
        <w:tc>
          <w:tcPr>
            <w:tcW w:w="728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4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4"/>
        </w:trPr>
        <w:tc>
          <w:tcPr>
            <w:tcW w:w="7280" w:type="dxa"/>
            <w:vAlign w:val="bottom"/>
          </w:tcPr>
          <w:p>
            <w:pPr>
              <w:spacing w:after="0"/>
              <w:rPr>
                <w:sz w:val="20"/>
                <w:szCs w:val="20"/>
                <w:color w:val="auto"/>
              </w:rPr>
            </w:pPr>
            <w:r>
              <w:rPr>
                <w:rFonts w:ascii="Arial" w:cs="Arial" w:eastAsia="Arial" w:hAnsi="Arial"/>
                <w:sz w:val="16"/>
                <w:szCs w:val="16"/>
                <w:color w:val="auto"/>
              </w:rPr>
              <w:t>(Decrease) increase in cash and cash equivalents</w:t>
            </w: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(115)</w:t>
            </w:r>
          </w:p>
        </w:tc>
        <w:tc>
          <w:tcPr>
            <w:tcW w:w="8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04"/>
        </w:trPr>
        <w:tc>
          <w:tcPr>
            <w:tcW w:w="728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14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166"/>
        </w:trPr>
        <w:tc>
          <w:tcPr>
            <w:tcW w:w="7280" w:type="dxa"/>
            <w:vAlign w:val="bottom"/>
          </w:tcPr>
          <w:p>
            <w:pPr>
              <w:spacing w:after="0" w:line="166" w:lineRule="exact"/>
              <w:rPr>
                <w:sz w:val="20"/>
                <w:szCs w:val="20"/>
                <w:color w:val="auto"/>
              </w:rPr>
            </w:pPr>
            <w:r>
              <w:rPr>
                <w:rFonts w:ascii="Arial" w:cs="Arial" w:eastAsia="Arial" w:hAnsi="Arial"/>
                <w:sz w:val="16"/>
                <w:szCs w:val="16"/>
                <w:color w:val="auto"/>
              </w:rPr>
              <w:t>Cash and cash equivalents, June 30</w:t>
            </w:r>
          </w:p>
        </w:tc>
        <w:tc>
          <w:tcPr>
            <w:tcW w:w="1460" w:type="dxa"/>
            <w:vAlign w:val="bottom"/>
          </w:tcPr>
          <w:p>
            <w:pPr>
              <w:spacing w:after="0"/>
              <w:rPr>
                <w:sz w:val="14"/>
                <w:szCs w:val="14"/>
                <w:color w:val="auto"/>
              </w:rPr>
            </w:pPr>
          </w:p>
        </w:tc>
        <w:tc>
          <w:tcPr>
            <w:tcW w:w="820" w:type="dxa"/>
            <w:vAlign w:val="bottom"/>
          </w:tcPr>
          <w:p>
            <w:pPr>
              <w:jc w:val="right"/>
              <w:ind w:right="668"/>
              <w:spacing w:after="0" w:line="167" w:lineRule="exact"/>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66" w:lineRule="exact"/>
              <w:rPr>
                <w:sz w:val="20"/>
                <w:szCs w:val="20"/>
                <w:color w:val="auto"/>
              </w:rPr>
            </w:pPr>
            <w:r>
              <w:rPr>
                <w:rFonts w:ascii="Arial" w:cs="Arial" w:eastAsia="Arial" w:hAnsi="Arial"/>
                <w:sz w:val="16"/>
                <w:szCs w:val="16"/>
                <w:color w:val="auto"/>
              </w:rPr>
              <w:t>789</w:t>
            </w:r>
          </w:p>
        </w:tc>
        <w:tc>
          <w:tcPr>
            <w:tcW w:w="860" w:type="dxa"/>
            <w:vAlign w:val="bottom"/>
          </w:tcPr>
          <w:p>
            <w:pPr>
              <w:jc w:val="right"/>
              <w:ind w:right="683"/>
              <w:spacing w:after="0" w:line="166" w:lineRule="exact"/>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line="166" w:lineRule="exact"/>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80"/>
        </w:trPr>
        <w:tc>
          <w:tcPr>
            <w:tcW w:w="7280" w:type="dxa"/>
            <w:vAlign w:val="bottom"/>
            <w:shd w:val="clear" w:color="auto" w:fill="000000"/>
          </w:tcPr>
          <w:p>
            <w:pPr>
              <w:spacing w:after="0"/>
              <w:rPr>
                <w:sz w:val="6"/>
                <w:szCs w:val="6"/>
                <w:color w:val="auto"/>
              </w:rPr>
            </w:pPr>
          </w:p>
        </w:tc>
        <w:tc>
          <w:tcPr>
            <w:tcW w:w="1460" w:type="dxa"/>
            <w:vAlign w:val="bottom"/>
            <w:shd w:val="clear" w:color="auto" w:fill="000000"/>
          </w:tcPr>
          <w:p>
            <w:pPr>
              <w:spacing w:after="0"/>
              <w:rPr>
                <w:sz w:val="6"/>
                <w:szCs w:val="6"/>
                <w:color w:val="auto"/>
              </w:rPr>
            </w:pPr>
          </w:p>
        </w:tc>
        <w:tc>
          <w:tcPr>
            <w:tcW w:w="82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 (CONTINUED)</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55"/>
        </w:trPr>
        <w:tc>
          <w:tcPr>
            <w:tcW w:w="8720" w:type="dxa"/>
            <w:vAlign w:val="bottom"/>
          </w:tcPr>
          <w:p>
            <w:pPr>
              <w:spacing w:after="0"/>
              <w:rPr>
                <w:sz w:val="13"/>
                <w:szCs w:val="13"/>
                <w:color w:val="auto"/>
              </w:rPr>
            </w:pPr>
          </w:p>
        </w:tc>
        <w:tc>
          <w:tcPr>
            <w:tcW w:w="2280" w:type="dxa"/>
            <w:vAlign w:val="bottom"/>
            <w:tcBorders>
              <w:bottom w:val="single" w:sz="8" w:color="auto"/>
            </w:tcBorders>
            <w:gridSpan w:val="3"/>
          </w:tcPr>
          <w:p>
            <w:pPr>
              <w:jc w:val="right"/>
              <w:ind w:right="25"/>
              <w:spacing w:after="0" w:line="155" w:lineRule="exact"/>
              <w:rPr>
                <w:sz w:val="20"/>
                <w:szCs w:val="20"/>
                <w:color w:val="auto"/>
              </w:rPr>
            </w:pPr>
            <w:r>
              <w:rPr>
                <w:rFonts w:ascii="Arial" w:cs="Arial" w:eastAsia="Arial" w:hAnsi="Arial"/>
                <w:sz w:val="14"/>
                <w:szCs w:val="14"/>
                <w:color w:val="auto"/>
              </w:rPr>
              <w:t>Six months ended June 30,</w:t>
            </w:r>
          </w:p>
        </w:tc>
        <w:tc>
          <w:tcPr>
            <w:tcW w:w="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7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2014</w:t>
            </w: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720" w:type="dxa"/>
            <w:vAlign w:val="bottom"/>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880" w:type="dxa"/>
            <w:vAlign w:val="bottom"/>
          </w:tcPr>
          <w:p>
            <w:pPr>
              <w:spacing w:after="0"/>
              <w:rPr>
                <w:sz w:val="15"/>
                <w:szCs w:val="15"/>
                <w:color w:val="auto"/>
              </w:rPr>
            </w:pPr>
          </w:p>
        </w:tc>
        <w:tc>
          <w:tcPr>
            <w:tcW w:w="1400" w:type="dxa"/>
            <w:vAlign w:val="bottom"/>
            <w:gridSpan w:val="2"/>
          </w:tcPr>
          <w:p>
            <w:pPr>
              <w:jc w:val="right"/>
              <w:ind w:right="525"/>
              <w:spacing w:after="0"/>
              <w:rPr>
                <w:sz w:val="20"/>
                <w:szCs w:val="20"/>
                <w:color w:val="auto"/>
              </w:rPr>
            </w:pPr>
            <w:r>
              <w:rPr>
                <w:rFonts w:ascii="Arial" w:cs="Arial" w:eastAsia="Arial" w:hAnsi="Arial"/>
                <w:sz w:val="14"/>
                <w:szCs w:val="14"/>
                <w:color w:val="auto"/>
              </w:rPr>
              <w:t>(unaudited)</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7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720" w:type="dxa"/>
            <w:vAlign w:val="bottom"/>
          </w:tcPr>
          <w:p>
            <w:pPr>
              <w:ind w:left="180"/>
              <w:spacing w:after="0" w:line="173" w:lineRule="exact"/>
              <w:rPr>
                <w:sz w:val="20"/>
                <w:szCs w:val="20"/>
                <w:color w:val="auto"/>
              </w:rPr>
            </w:pPr>
            <w:r>
              <w:rPr>
                <w:rFonts w:ascii="Arial" w:cs="Arial" w:eastAsia="Arial" w:hAnsi="Arial"/>
                <w:sz w:val="16"/>
                <w:szCs w:val="16"/>
                <w:color w:val="auto"/>
              </w:rPr>
              <w:t>Interest payments, net of amounts capitalized</w:t>
            </w:r>
          </w:p>
        </w:tc>
        <w:tc>
          <w:tcPr>
            <w:tcW w:w="880" w:type="dxa"/>
            <w:vAlign w:val="bottom"/>
          </w:tcPr>
          <w:p>
            <w:pPr>
              <w:jc w:val="right"/>
              <w:ind w:right="728"/>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line="173" w:lineRule="exact"/>
              <w:rPr>
                <w:sz w:val="20"/>
                <w:szCs w:val="20"/>
                <w:color w:val="auto"/>
              </w:rPr>
            </w:pPr>
            <w:r>
              <w:rPr>
                <w:rFonts w:ascii="Arial" w:cs="Arial" w:eastAsia="Arial" w:hAnsi="Arial"/>
                <w:sz w:val="16"/>
                <w:szCs w:val="16"/>
                <w:color w:val="auto"/>
              </w:rPr>
              <w:t>269</w:t>
            </w:r>
          </w:p>
        </w:tc>
        <w:tc>
          <w:tcPr>
            <w:tcW w:w="960" w:type="dxa"/>
            <w:vAlign w:val="bottom"/>
          </w:tcPr>
          <w:p>
            <w:pPr>
              <w:jc w:val="right"/>
              <w:ind w:right="785"/>
              <w:spacing w:after="0" w:line="173" w:lineRule="exact"/>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line="173" w:lineRule="exact"/>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4"/>
        </w:trPr>
        <w:tc>
          <w:tcPr>
            <w:tcW w:w="8720" w:type="dxa"/>
            <w:vAlign w:val="bottom"/>
          </w:tcPr>
          <w:p>
            <w:pPr>
              <w:ind w:left="180"/>
              <w:spacing w:after="0"/>
              <w:rPr>
                <w:sz w:val="20"/>
                <w:szCs w:val="20"/>
                <w:color w:val="auto"/>
              </w:rPr>
            </w:pPr>
            <w:r>
              <w:rPr>
                <w:rFonts w:ascii="Arial" w:cs="Arial" w:eastAsia="Arial" w:hAnsi="Arial"/>
                <w:sz w:val="16"/>
                <w:szCs w:val="16"/>
                <w:color w:val="auto"/>
              </w:rPr>
              <w:t>Income tax payments, net of refunds</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148</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04"/>
        </w:trPr>
        <w:tc>
          <w:tcPr>
            <w:tcW w:w="8720" w:type="dxa"/>
            <w:vAlign w:val="bottom"/>
          </w:tcPr>
          <w:p>
            <w:pPr>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720" w:type="dxa"/>
            <w:vAlign w:val="bottom"/>
          </w:tcPr>
          <w:p>
            <w:pPr>
              <w:ind w:left="180"/>
              <w:spacing w:after="0"/>
              <w:rPr>
                <w:sz w:val="20"/>
                <w:szCs w:val="20"/>
                <w:color w:val="auto"/>
              </w:rPr>
            </w:pPr>
            <w:r>
              <w:rPr>
                <w:rFonts w:ascii="Arial" w:cs="Arial" w:eastAsia="Arial" w:hAnsi="Arial"/>
                <w:sz w:val="16"/>
                <w:szCs w:val="16"/>
                <w:color w:val="auto"/>
              </w:rPr>
              <w:t>Nuclear facility plant reclassified to regulatory asset, net of depreciation and amortization</w:t>
            </w:r>
          </w:p>
        </w:tc>
        <w:tc>
          <w:tcPr>
            <w:tcW w:w="880" w:type="dxa"/>
            <w:vAlign w:val="bottom"/>
          </w:tcPr>
          <w:p>
            <w:pPr>
              <w:jc w:val="right"/>
              <w:ind w:right="728"/>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785"/>
              <w:spacing w:after="0"/>
              <w:rPr>
                <w:sz w:val="20"/>
                <w:szCs w:val="20"/>
                <w:color w:val="auto"/>
              </w:rPr>
            </w:pPr>
            <w:r>
              <w:rPr>
                <w:rFonts w:ascii="Arial" w:cs="Arial" w:eastAsia="Arial" w:hAnsi="Arial"/>
                <w:sz w:val="16"/>
                <w:szCs w:val="16"/>
                <w:color w:val="auto"/>
              </w:rPr>
              <w:t>― $</w:t>
            </w:r>
          </w:p>
        </w:tc>
        <w:tc>
          <w:tcPr>
            <w:tcW w:w="420" w:type="dxa"/>
            <w:vAlign w:val="bottom"/>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173"/>
        </w:trPr>
        <w:tc>
          <w:tcPr>
            <w:tcW w:w="8720" w:type="dxa"/>
            <w:vAlign w:val="bottom"/>
          </w:tcPr>
          <w:p>
            <w:pPr>
              <w:ind w:left="180"/>
              <w:spacing w:after="0" w:line="173" w:lineRule="exact"/>
              <w:rPr>
                <w:sz w:val="20"/>
                <w:szCs w:val="20"/>
                <w:color w:val="auto"/>
              </w:rPr>
            </w:pPr>
            <w:r>
              <w:rPr>
                <w:rFonts w:ascii="Arial" w:cs="Arial" w:eastAsia="Arial" w:hAnsi="Arial"/>
                <w:sz w:val="16"/>
                <w:szCs w:val="16"/>
                <w:color w:val="auto"/>
              </w:rPr>
              <w:t>Accrued capital expenditures</w:t>
            </w:r>
          </w:p>
        </w:tc>
        <w:tc>
          <w:tcPr>
            <w:tcW w:w="880" w:type="dxa"/>
            <w:vAlign w:val="bottom"/>
          </w:tcPr>
          <w:p>
            <w:pPr>
              <w:spacing w:after="0"/>
              <w:rPr>
                <w:sz w:val="15"/>
                <w:szCs w:val="15"/>
                <w:color w:val="auto"/>
              </w:rPr>
            </w:pPr>
          </w:p>
        </w:tc>
        <w:tc>
          <w:tcPr>
            <w:tcW w:w="440" w:type="dxa"/>
            <w:vAlign w:val="bottom"/>
          </w:tcPr>
          <w:p>
            <w:pPr>
              <w:jc w:val="right"/>
              <w:spacing w:after="0" w:line="173" w:lineRule="exact"/>
              <w:rPr>
                <w:sz w:val="20"/>
                <w:szCs w:val="20"/>
                <w:color w:val="auto"/>
              </w:rPr>
            </w:pPr>
            <w:r>
              <w:rPr>
                <w:rFonts w:ascii="Arial" w:cs="Arial" w:eastAsia="Arial" w:hAnsi="Arial"/>
                <w:sz w:val="16"/>
                <w:szCs w:val="16"/>
                <w:color w:val="auto"/>
              </w:rPr>
              <w:t>287</w:t>
            </w:r>
          </w:p>
        </w:tc>
        <w:tc>
          <w:tcPr>
            <w:tcW w:w="960" w:type="dxa"/>
            <w:vAlign w:val="bottom"/>
          </w:tcPr>
          <w:p>
            <w:pPr>
              <w:spacing w:after="0"/>
              <w:rPr>
                <w:sz w:val="15"/>
                <w:szCs w:val="15"/>
                <w:color w:val="auto"/>
              </w:rPr>
            </w:pPr>
          </w:p>
        </w:tc>
        <w:tc>
          <w:tcPr>
            <w:tcW w:w="420" w:type="dxa"/>
            <w:vAlign w:val="bottom"/>
          </w:tcPr>
          <w:p>
            <w:pPr>
              <w:jc w:val="right"/>
              <w:spacing w:after="0" w:line="173" w:lineRule="exact"/>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173"/>
        </w:trPr>
        <w:tc>
          <w:tcPr>
            <w:tcW w:w="8720" w:type="dxa"/>
            <w:vAlign w:val="bottom"/>
          </w:tcPr>
          <w:p>
            <w:pPr>
              <w:ind w:left="180"/>
              <w:spacing w:after="0" w:line="173" w:lineRule="exact"/>
              <w:rPr>
                <w:sz w:val="20"/>
                <w:szCs w:val="20"/>
                <w:color w:val="auto"/>
              </w:rPr>
            </w:pPr>
            <w:r>
              <w:rPr>
                <w:rFonts w:ascii="Arial" w:cs="Arial" w:eastAsia="Arial" w:hAnsi="Arial"/>
                <w:sz w:val="16"/>
                <w:szCs w:val="16"/>
                <w:color w:val="auto"/>
              </w:rPr>
              <w:t>Increase in capital lease obligations for investment in property, plant and equipment</w:t>
            </w:r>
          </w:p>
        </w:tc>
        <w:tc>
          <w:tcPr>
            <w:tcW w:w="880" w:type="dxa"/>
            <w:vAlign w:val="bottom"/>
          </w:tcPr>
          <w:p>
            <w:pPr>
              <w:spacing w:after="0"/>
              <w:rPr>
                <w:sz w:val="15"/>
                <w:szCs w:val="15"/>
                <w:color w:val="auto"/>
              </w:rPr>
            </w:pPr>
          </w:p>
        </w:tc>
        <w:tc>
          <w:tcPr>
            <w:tcW w:w="440" w:type="dxa"/>
            <w:vAlign w:val="bottom"/>
          </w:tcPr>
          <w:p>
            <w:pPr>
              <w:jc w:val="right"/>
              <w:spacing w:after="0" w:line="173" w:lineRule="exact"/>
              <w:rPr>
                <w:sz w:val="20"/>
                <w:szCs w:val="20"/>
                <w:color w:val="auto"/>
              </w:rPr>
            </w:pPr>
            <w:r>
              <w:rPr>
                <w:rFonts w:ascii="Arial" w:cs="Arial" w:eastAsia="Arial" w:hAnsi="Arial"/>
                <w:sz w:val="16"/>
                <w:szCs w:val="16"/>
                <w:color w:val="auto"/>
              </w:rPr>
              <w:t>60</w:t>
            </w:r>
          </w:p>
        </w:tc>
        <w:tc>
          <w:tcPr>
            <w:tcW w:w="960" w:type="dxa"/>
            <w:vAlign w:val="bottom"/>
          </w:tcPr>
          <w:p>
            <w:pPr>
              <w:spacing w:after="0"/>
              <w:rPr>
                <w:sz w:val="15"/>
                <w:szCs w:val="15"/>
                <w:color w:val="auto"/>
              </w:rPr>
            </w:pPr>
          </w:p>
        </w:tc>
        <w:tc>
          <w:tcPr>
            <w:tcW w:w="4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8720" w:type="dxa"/>
            <w:vAlign w:val="bottom"/>
          </w:tcPr>
          <w:p>
            <w:pPr>
              <w:ind w:left="180"/>
              <w:spacing w:after="0" w:line="173" w:lineRule="exact"/>
              <w:rPr>
                <w:sz w:val="20"/>
                <w:szCs w:val="20"/>
                <w:color w:val="auto"/>
              </w:rPr>
            </w:pPr>
            <w:r>
              <w:rPr>
                <w:rFonts w:ascii="Arial" w:cs="Arial" w:eastAsia="Arial" w:hAnsi="Arial"/>
                <w:sz w:val="16"/>
                <w:szCs w:val="16"/>
                <w:color w:val="auto"/>
              </w:rPr>
              <w:t>Capital expenditures recoverable by U.S. Treasury grants receivable</w:t>
            </w:r>
          </w:p>
        </w:tc>
        <w:tc>
          <w:tcPr>
            <w:tcW w:w="880" w:type="dxa"/>
            <w:vAlign w:val="bottom"/>
          </w:tcPr>
          <w:p>
            <w:pPr>
              <w:spacing w:after="0"/>
              <w:rPr>
                <w:sz w:val="15"/>
                <w:szCs w:val="15"/>
                <w:color w:val="auto"/>
              </w:rPr>
            </w:pPr>
          </w:p>
        </w:tc>
        <w:tc>
          <w:tcPr>
            <w:tcW w:w="4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960" w:type="dxa"/>
            <w:vAlign w:val="bottom"/>
          </w:tcPr>
          <w:p>
            <w:pPr>
              <w:spacing w:after="0"/>
              <w:rPr>
                <w:sz w:val="15"/>
                <w:szCs w:val="15"/>
                <w:color w:val="auto"/>
              </w:rPr>
            </w:pPr>
          </w:p>
        </w:tc>
        <w:tc>
          <w:tcPr>
            <w:tcW w:w="420" w:type="dxa"/>
            <w:vAlign w:val="bottom"/>
          </w:tcPr>
          <w:p>
            <w:pPr>
              <w:jc w:val="right"/>
              <w:spacing w:after="0" w:line="17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9"/>
        </w:trPr>
        <w:tc>
          <w:tcPr>
            <w:tcW w:w="8720" w:type="dxa"/>
            <w:vAlign w:val="bottom"/>
          </w:tcPr>
          <w:p>
            <w:pPr>
              <w:ind w:left="180"/>
              <w:spacing w:after="0"/>
              <w:rPr>
                <w:sz w:val="20"/>
                <w:szCs w:val="20"/>
                <w:color w:val="auto"/>
              </w:rPr>
            </w:pPr>
            <w:r>
              <w:rPr>
                <w:rFonts w:ascii="Arial" w:cs="Arial" w:eastAsia="Arial" w:hAnsi="Arial"/>
                <w:sz w:val="16"/>
                <w:szCs w:val="16"/>
                <w:color w:val="auto"/>
              </w:rPr>
              <w:t>Sequestration of U.S. Treasury grants receivable</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9"/>
        </w:trPr>
        <w:tc>
          <w:tcPr>
            <w:tcW w:w="8720" w:type="dxa"/>
            <w:vAlign w:val="bottom"/>
          </w:tcPr>
          <w:p>
            <w:pPr>
              <w:ind w:left="180"/>
              <w:spacing w:after="0"/>
              <w:rPr>
                <w:sz w:val="20"/>
                <w:szCs w:val="20"/>
                <w:color w:val="auto"/>
              </w:rPr>
            </w:pPr>
            <w:r>
              <w:rPr>
                <w:rFonts w:ascii="Arial" w:cs="Arial" w:eastAsia="Arial" w:hAnsi="Arial"/>
                <w:sz w:val="16"/>
                <w:szCs w:val="16"/>
                <w:color w:val="auto"/>
              </w:rPr>
              <w:t>Dividends declared but not paid</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165</w:t>
            </w: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4"/>
        </w:trPr>
        <w:tc>
          <w:tcPr>
            <w:tcW w:w="8720" w:type="dxa"/>
            <w:vAlign w:val="bottom"/>
          </w:tcPr>
          <w:p>
            <w:pPr>
              <w:ind w:left="180"/>
              <w:spacing w:after="0"/>
              <w:rPr>
                <w:sz w:val="20"/>
                <w:szCs w:val="20"/>
                <w:color w:val="auto"/>
              </w:rPr>
            </w:pPr>
            <w:r>
              <w:rPr>
                <w:rFonts w:ascii="Arial" w:cs="Arial" w:eastAsia="Arial" w:hAnsi="Arial"/>
                <w:sz w:val="16"/>
                <w:szCs w:val="16"/>
                <w:color w:val="auto"/>
              </w:rPr>
              <w:t>Financing of build-to-suit property</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32</w:t>
            </w: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0"/>
        </w:trPr>
        <w:tc>
          <w:tcPr>
            <w:tcW w:w="872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6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55"/>
        </w:trPr>
        <w:tc>
          <w:tcPr>
            <w:tcW w:w="5820" w:type="dxa"/>
            <w:vAlign w:val="bottom"/>
          </w:tcPr>
          <w:p>
            <w:pPr>
              <w:spacing w:after="0"/>
              <w:rPr>
                <w:sz w:val="13"/>
                <w:szCs w:val="13"/>
                <w:color w:val="auto"/>
              </w:rPr>
            </w:pPr>
          </w:p>
        </w:tc>
        <w:tc>
          <w:tcPr>
            <w:tcW w:w="23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Three months ended June 30,</w:t>
            </w:r>
          </w:p>
        </w:tc>
        <w:tc>
          <w:tcPr>
            <w:tcW w:w="3240" w:type="dxa"/>
            <w:vAlign w:val="bottom"/>
            <w:tcBorders>
              <w:bottom w:val="single" w:sz="8" w:color="auto"/>
            </w:tcBorders>
            <w:gridSpan w:val="2"/>
          </w:tcPr>
          <w:p>
            <w:pPr>
              <w:jc w:val="right"/>
              <w:ind w:right="489"/>
              <w:spacing w:after="0" w:line="155" w:lineRule="exact"/>
              <w:rPr>
                <w:sz w:val="20"/>
                <w:szCs w:val="20"/>
                <w:color w:val="auto"/>
              </w:rPr>
            </w:pPr>
            <w:r>
              <w:rPr>
                <w:rFonts w:ascii="Arial" w:cs="Arial" w:eastAsia="Arial" w:hAnsi="Arial"/>
                <w:sz w:val="14"/>
                <w:szCs w:val="14"/>
                <w:color w:val="auto"/>
              </w:rPr>
              <w:t>Six months ended June 30,</w:t>
            </w:r>
          </w:p>
        </w:tc>
      </w:tr>
      <w:tr>
        <w:trPr>
          <w:trHeight w:val="166"/>
        </w:trPr>
        <w:tc>
          <w:tcPr>
            <w:tcW w:w="58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2014</w:t>
            </w: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2013</w:t>
            </w:r>
          </w:p>
        </w:tc>
        <w:tc>
          <w:tcPr>
            <w:tcW w:w="180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2014</w:t>
            </w:r>
          </w:p>
        </w:tc>
        <w:tc>
          <w:tcPr>
            <w:tcW w:w="14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rPr>
              <w:t>2013</w:t>
            </w:r>
          </w:p>
        </w:tc>
      </w:tr>
      <w:tr>
        <w:trPr>
          <w:trHeight w:val="183"/>
        </w:trPr>
        <w:tc>
          <w:tcPr>
            <w:tcW w:w="5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0" w:type="dxa"/>
            <w:vAlign w:val="bottom"/>
          </w:tcPr>
          <w:p>
            <w:pPr>
              <w:jc w:val="right"/>
              <w:ind w:right="949"/>
              <w:spacing w:after="0"/>
              <w:rPr>
                <w:sz w:val="20"/>
                <w:szCs w:val="20"/>
                <w:color w:val="auto"/>
              </w:rPr>
            </w:pPr>
            <w:r>
              <w:rPr>
                <w:rFonts w:ascii="Arial" w:cs="Arial" w:eastAsia="Arial" w:hAnsi="Arial"/>
                <w:sz w:val="14"/>
                <w:szCs w:val="14"/>
                <w:color w:val="auto"/>
              </w:rPr>
              <w:t>(unaudited)</w:t>
            </w:r>
          </w:p>
        </w:tc>
        <w:tc>
          <w:tcPr>
            <w:tcW w:w="1440" w:type="dxa"/>
            <w:vAlign w:val="bottom"/>
          </w:tcPr>
          <w:p>
            <w:pPr>
              <w:spacing w:after="0"/>
              <w:rPr>
                <w:sz w:val="15"/>
                <w:szCs w:val="15"/>
                <w:color w:val="auto"/>
              </w:rPr>
            </w:pPr>
          </w:p>
        </w:tc>
      </w:tr>
    </w:tbl>
    <w:p>
      <w:pPr>
        <w:sectPr>
          <w:pgSz w:w="11900" w:h="16902" w:orient="portrait"/>
          <w:cols w:equalWidth="0" w:num="1">
            <w:col w:w="11420"/>
          </w:cols>
          <w:pgMar w:left="240" w:top="128" w:right="239" w:bottom="0" w:gutter="0" w:footer="0" w:header="0"/>
        </w:sectPr>
      </w:pPr>
    </w:p>
    <w:bookmarkStart w:id="6" w:name="page7"/>
    <w:bookmarkEnd w:id="6"/>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20"/>
                <w:szCs w:val="20"/>
                <w:color w:val="auto"/>
              </w:rPr>
            </w:pPr>
            <w:r>
              <w:rPr>
                <w:rFonts w:ascii="Arial" w:cs="Arial" w:eastAsia="Arial" w:hAnsi="Arial"/>
                <w:sz w:val="16"/>
                <w:szCs w:val="16"/>
                <w:color w:val="auto"/>
              </w:rPr>
              <w:t>Operating revenues</w:t>
            </w: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3"/>
        </w:trPr>
        <w:tc>
          <w:tcPr>
            <w:tcW w:w="5820" w:type="dxa"/>
            <w:vAlign w:val="bottom"/>
          </w:tcPr>
          <w:p>
            <w:pPr>
              <w:ind w:left="180"/>
              <w:spacing w:after="0" w:line="173" w:lineRule="exact"/>
              <w:rPr>
                <w:sz w:val="20"/>
                <w:szCs w:val="20"/>
                <w:color w:val="auto"/>
              </w:rPr>
            </w:pPr>
            <w:r>
              <w:rPr>
                <w:rFonts w:ascii="Arial" w:cs="Arial" w:eastAsia="Arial" w:hAnsi="Arial"/>
                <w:sz w:val="16"/>
                <w:szCs w:val="16"/>
                <w:color w:val="auto"/>
              </w:rPr>
              <w:t>Electric</w:t>
            </w:r>
          </w:p>
        </w:tc>
        <w:tc>
          <w:tcPr>
            <w:tcW w:w="580" w:type="dxa"/>
            <w:vAlign w:val="bottom"/>
          </w:tcPr>
          <w:p>
            <w:pPr>
              <w:jc w:val="right"/>
              <w:ind w:right="280"/>
              <w:spacing w:after="0" w:line="173"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948</w:t>
            </w:r>
          </w:p>
        </w:tc>
        <w:tc>
          <w:tcPr>
            <w:tcW w:w="520" w:type="dxa"/>
            <w:vAlign w:val="bottom"/>
          </w:tcPr>
          <w:p>
            <w:pPr>
              <w:jc w:val="right"/>
              <w:ind w:right="280"/>
              <w:spacing w:after="0" w:line="173"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943</w:t>
            </w:r>
          </w:p>
        </w:tc>
        <w:tc>
          <w:tcPr>
            <w:tcW w:w="520" w:type="dxa"/>
            <w:vAlign w:val="bottom"/>
          </w:tcPr>
          <w:p>
            <w:pPr>
              <w:jc w:val="right"/>
              <w:ind w:right="280"/>
              <w:spacing w:after="0" w:line="173"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1,759</w:t>
            </w:r>
          </w:p>
        </w:tc>
        <w:tc>
          <w:tcPr>
            <w:tcW w:w="520" w:type="dxa"/>
            <w:vAlign w:val="bottom"/>
          </w:tcPr>
          <w:p>
            <w:pPr>
              <w:jc w:val="right"/>
              <w:ind w:right="280"/>
              <w:spacing w:after="0" w:line="17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73" w:lineRule="exact"/>
              <w:rPr>
                <w:sz w:val="20"/>
                <w:szCs w:val="20"/>
                <w:color w:val="auto"/>
              </w:rPr>
            </w:pPr>
            <w:r>
              <w:rPr>
                <w:rFonts w:ascii="Arial" w:cs="Arial" w:eastAsia="Arial" w:hAnsi="Arial"/>
                <w:sz w:val="16"/>
                <w:szCs w:val="16"/>
                <w:color w:val="auto"/>
              </w:rPr>
              <w:t>1,715</w:t>
            </w:r>
          </w:p>
        </w:tc>
      </w:tr>
      <w:tr>
        <w:trPr>
          <w:trHeight w:val="204"/>
        </w:trPr>
        <w:tc>
          <w:tcPr>
            <w:tcW w:w="582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115</w:t>
            </w: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121</w:t>
            </w: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291</w:t>
            </w: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r>
      <w:tr>
        <w:trPr>
          <w:trHeight w:val="166"/>
        </w:trPr>
        <w:tc>
          <w:tcPr>
            <w:tcW w:w="5820" w:type="dxa"/>
            <w:vAlign w:val="bottom"/>
          </w:tcPr>
          <w:p>
            <w:pPr>
              <w:ind w:left="360"/>
              <w:spacing w:after="0" w:line="166" w:lineRule="exact"/>
              <w:rPr>
                <w:sz w:val="20"/>
                <w:szCs w:val="20"/>
                <w:color w:val="auto"/>
              </w:rPr>
            </w:pPr>
            <w:r>
              <w:rPr>
                <w:rFonts w:ascii="Arial" w:cs="Arial" w:eastAsia="Arial" w:hAnsi="Arial"/>
                <w:sz w:val="16"/>
                <w:szCs w:val="16"/>
                <w:color w:val="auto"/>
              </w:rPr>
              <w:t>Total operating revenues</w:t>
            </w: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color w:val="auto"/>
              </w:rPr>
              <w:t>1,063</w:t>
            </w: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color w:val="auto"/>
              </w:rPr>
              <w:t>1,064</w:t>
            </w: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color w:val="auto"/>
              </w:rPr>
              <w:t>2,050</w:t>
            </w: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2,003</w:t>
            </w: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5"/>
                <w:szCs w:val="15"/>
                <w:color w:val="auto"/>
              </w:rPr>
              <w:t>Operating expenses</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73"/>
        </w:trPr>
        <w:tc>
          <w:tcPr>
            <w:tcW w:w="5820" w:type="dxa"/>
            <w:vAlign w:val="bottom"/>
          </w:tcPr>
          <w:p>
            <w:pPr>
              <w:ind w:left="180"/>
              <w:spacing w:after="0" w:line="173" w:lineRule="exact"/>
              <w:rPr>
                <w:sz w:val="20"/>
                <w:szCs w:val="20"/>
                <w:color w:val="auto"/>
              </w:rPr>
            </w:pPr>
            <w:r>
              <w:rPr>
                <w:rFonts w:ascii="Arial" w:cs="Arial" w:eastAsia="Arial" w:hAnsi="Arial"/>
                <w:sz w:val="16"/>
                <w:szCs w:val="16"/>
                <w:color w:val="auto"/>
              </w:rPr>
              <w:t>Cost of electric fuel and purchased power</w:t>
            </w:r>
          </w:p>
        </w:tc>
        <w:tc>
          <w:tcPr>
            <w:tcW w:w="580" w:type="dxa"/>
            <w:vAlign w:val="bottom"/>
          </w:tcPr>
          <w:p>
            <w:pPr>
              <w:spacing w:after="0"/>
              <w:rPr>
                <w:sz w:val="15"/>
                <w:szCs w:val="15"/>
                <w:color w:val="auto"/>
              </w:rPr>
            </w:pP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329</w:t>
            </w:r>
          </w:p>
        </w:tc>
        <w:tc>
          <w:tcPr>
            <w:tcW w:w="520" w:type="dxa"/>
            <w:vAlign w:val="bottom"/>
          </w:tcPr>
          <w:p>
            <w:pPr>
              <w:spacing w:after="0"/>
              <w:rPr>
                <w:sz w:val="15"/>
                <w:szCs w:val="15"/>
                <w:color w:val="auto"/>
              </w:rPr>
            </w:pP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252</w:t>
            </w:r>
          </w:p>
        </w:tc>
        <w:tc>
          <w:tcPr>
            <w:tcW w:w="520" w:type="dxa"/>
            <w:vAlign w:val="bottom"/>
          </w:tcPr>
          <w:p>
            <w:pPr>
              <w:spacing w:after="0"/>
              <w:rPr>
                <w:sz w:val="15"/>
                <w:szCs w:val="15"/>
                <w:color w:val="auto"/>
              </w:rPr>
            </w:pP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595</w:t>
            </w:r>
          </w:p>
        </w:tc>
        <w:tc>
          <w:tcPr>
            <w:tcW w:w="520" w:type="dxa"/>
            <w:vAlign w:val="bottom"/>
          </w:tcPr>
          <w:p>
            <w:pPr>
              <w:spacing w:after="0"/>
              <w:rPr>
                <w:sz w:val="15"/>
                <w:szCs w:val="15"/>
                <w:color w:val="auto"/>
              </w:rPr>
            </w:pPr>
          </w:p>
        </w:tc>
        <w:tc>
          <w:tcPr>
            <w:tcW w:w="820" w:type="dxa"/>
            <w:vAlign w:val="bottom"/>
          </w:tcPr>
          <w:p>
            <w:pPr>
              <w:jc w:val="right"/>
              <w:spacing w:after="0" w:line="173" w:lineRule="exact"/>
              <w:rPr>
                <w:sz w:val="20"/>
                <w:szCs w:val="20"/>
                <w:color w:val="auto"/>
              </w:rPr>
            </w:pPr>
            <w:r>
              <w:rPr>
                <w:rFonts w:ascii="Arial" w:cs="Arial" w:eastAsia="Arial" w:hAnsi="Arial"/>
                <w:sz w:val="16"/>
                <w:szCs w:val="16"/>
                <w:color w:val="auto"/>
              </w:rPr>
              <w:t>461</w:t>
            </w:r>
          </w:p>
        </w:tc>
      </w:tr>
      <w:tr>
        <w:trPr>
          <w:trHeight w:val="173"/>
        </w:trPr>
        <w:tc>
          <w:tcPr>
            <w:tcW w:w="5820" w:type="dxa"/>
            <w:vAlign w:val="bottom"/>
          </w:tcPr>
          <w:p>
            <w:pPr>
              <w:ind w:left="180"/>
              <w:spacing w:after="0" w:line="173" w:lineRule="exact"/>
              <w:rPr>
                <w:sz w:val="20"/>
                <w:szCs w:val="20"/>
                <w:color w:val="auto"/>
              </w:rPr>
            </w:pPr>
            <w:r>
              <w:rPr>
                <w:rFonts w:ascii="Arial" w:cs="Arial" w:eastAsia="Arial" w:hAnsi="Arial"/>
                <w:sz w:val="16"/>
                <w:szCs w:val="16"/>
                <w:color w:val="auto"/>
              </w:rPr>
              <w:t>Cost of natural gas</w:t>
            </w:r>
          </w:p>
        </w:tc>
        <w:tc>
          <w:tcPr>
            <w:tcW w:w="580" w:type="dxa"/>
            <w:vAlign w:val="bottom"/>
          </w:tcPr>
          <w:p>
            <w:pPr>
              <w:spacing w:after="0"/>
              <w:rPr>
                <w:sz w:val="15"/>
                <w:szCs w:val="15"/>
                <w:color w:val="auto"/>
              </w:rPr>
            </w:pP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51</w:t>
            </w:r>
          </w:p>
        </w:tc>
        <w:tc>
          <w:tcPr>
            <w:tcW w:w="520" w:type="dxa"/>
            <w:vAlign w:val="bottom"/>
          </w:tcPr>
          <w:p>
            <w:pPr>
              <w:spacing w:after="0"/>
              <w:rPr>
                <w:sz w:val="15"/>
                <w:szCs w:val="15"/>
                <w:color w:val="auto"/>
              </w:rPr>
            </w:pP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45</w:t>
            </w:r>
          </w:p>
        </w:tc>
        <w:tc>
          <w:tcPr>
            <w:tcW w:w="520" w:type="dxa"/>
            <w:vAlign w:val="bottom"/>
          </w:tcPr>
          <w:p>
            <w:pPr>
              <w:spacing w:after="0"/>
              <w:rPr>
                <w:sz w:val="15"/>
                <w:szCs w:val="15"/>
                <w:color w:val="auto"/>
              </w:rPr>
            </w:pP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126</w:t>
            </w:r>
          </w:p>
        </w:tc>
        <w:tc>
          <w:tcPr>
            <w:tcW w:w="520" w:type="dxa"/>
            <w:vAlign w:val="bottom"/>
          </w:tcPr>
          <w:p>
            <w:pPr>
              <w:spacing w:after="0"/>
              <w:rPr>
                <w:sz w:val="15"/>
                <w:szCs w:val="15"/>
                <w:color w:val="auto"/>
              </w:rPr>
            </w:pPr>
          </w:p>
        </w:tc>
        <w:tc>
          <w:tcPr>
            <w:tcW w:w="820" w:type="dxa"/>
            <w:vAlign w:val="bottom"/>
          </w:tcPr>
          <w:p>
            <w:pPr>
              <w:jc w:val="right"/>
              <w:spacing w:after="0" w:line="173" w:lineRule="exact"/>
              <w:rPr>
                <w:sz w:val="20"/>
                <w:szCs w:val="20"/>
                <w:color w:val="auto"/>
              </w:rPr>
            </w:pPr>
            <w:r>
              <w:rPr>
                <w:rFonts w:ascii="Arial" w:cs="Arial" w:eastAsia="Arial" w:hAnsi="Arial"/>
                <w:sz w:val="16"/>
                <w:szCs w:val="16"/>
                <w:color w:val="auto"/>
              </w:rPr>
              <w:t>121</w:t>
            </w:r>
          </w:p>
        </w:tc>
      </w:tr>
      <w:tr>
        <w:trPr>
          <w:trHeight w:val="173"/>
        </w:trPr>
        <w:tc>
          <w:tcPr>
            <w:tcW w:w="5820" w:type="dxa"/>
            <w:vAlign w:val="bottom"/>
          </w:tcPr>
          <w:p>
            <w:pPr>
              <w:ind w:left="180"/>
              <w:spacing w:after="0" w:line="173" w:lineRule="exact"/>
              <w:rPr>
                <w:sz w:val="20"/>
                <w:szCs w:val="20"/>
                <w:color w:val="auto"/>
              </w:rPr>
            </w:pPr>
            <w:r>
              <w:rPr>
                <w:rFonts w:ascii="Arial" w:cs="Arial" w:eastAsia="Arial" w:hAnsi="Arial"/>
                <w:sz w:val="16"/>
                <w:szCs w:val="16"/>
                <w:color w:val="auto"/>
              </w:rPr>
              <w:t>Operation and maintenance</w:t>
            </w:r>
          </w:p>
        </w:tc>
        <w:tc>
          <w:tcPr>
            <w:tcW w:w="580" w:type="dxa"/>
            <w:vAlign w:val="bottom"/>
          </w:tcPr>
          <w:p>
            <w:pPr>
              <w:spacing w:after="0"/>
              <w:rPr>
                <w:sz w:val="15"/>
                <w:szCs w:val="15"/>
                <w:color w:val="auto"/>
              </w:rPr>
            </w:pP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256</w:t>
            </w:r>
          </w:p>
        </w:tc>
        <w:tc>
          <w:tcPr>
            <w:tcW w:w="520" w:type="dxa"/>
            <w:vAlign w:val="bottom"/>
          </w:tcPr>
          <w:p>
            <w:pPr>
              <w:spacing w:after="0"/>
              <w:rPr>
                <w:sz w:val="15"/>
                <w:szCs w:val="15"/>
                <w:color w:val="auto"/>
              </w:rPr>
            </w:pP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289</w:t>
            </w:r>
          </w:p>
        </w:tc>
        <w:tc>
          <w:tcPr>
            <w:tcW w:w="520" w:type="dxa"/>
            <w:vAlign w:val="bottom"/>
          </w:tcPr>
          <w:p>
            <w:pPr>
              <w:spacing w:after="0"/>
              <w:rPr>
                <w:sz w:val="15"/>
                <w:szCs w:val="15"/>
                <w:color w:val="auto"/>
              </w:rPr>
            </w:pP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508</w:t>
            </w:r>
          </w:p>
        </w:tc>
        <w:tc>
          <w:tcPr>
            <w:tcW w:w="520" w:type="dxa"/>
            <w:vAlign w:val="bottom"/>
          </w:tcPr>
          <w:p>
            <w:pPr>
              <w:spacing w:after="0"/>
              <w:rPr>
                <w:sz w:val="15"/>
                <w:szCs w:val="15"/>
                <w:color w:val="auto"/>
              </w:rPr>
            </w:pPr>
          </w:p>
        </w:tc>
        <w:tc>
          <w:tcPr>
            <w:tcW w:w="820" w:type="dxa"/>
            <w:vAlign w:val="bottom"/>
          </w:tcPr>
          <w:p>
            <w:pPr>
              <w:jc w:val="right"/>
              <w:spacing w:after="0" w:line="173" w:lineRule="exact"/>
              <w:rPr>
                <w:sz w:val="20"/>
                <w:szCs w:val="20"/>
                <w:color w:val="auto"/>
              </w:rPr>
            </w:pPr>
            <w:r>
              <w:rPr>
                <w:rFonts w:ascii="Arial" w:cs="Arial" w:eastAsia="Arial" w:hAnsi="Arial"/>
                <w:sz w:val="16"/>
                <w:szCs w:val="16"/>
                <w:color w:val="auto"/>
              </w:rPr>
              <w:t>586</w:t>
            </w:r>
          </w:p>
        </w:tc>
      </w:tr>
      <w:tr>
        <w:trPr>
          <w:trHeight w:val="173"/>
        </w:trPr>
        <w:tc>
          <w:tcPr>
            <w:tcW w:w="5820" w:type="dxa"/>
            <w:vAlign w:val="bottom"/>
          </w:tcPr>
          <w:p>
            <w:pPr>
              <w:ind w:left="180"/>
              <w:spacing w:after="0" w:line="173" w:lineRule="exact"/>
              <w:rPr>
                <w:sz w:val="20"/>
                <w:szCs w:val="20"/>
                <w:color w:val="auto"/>
              </w:rPr>
            </w:pPr>
            <w:r>
              <w:rPr>
                <w:rFonts w:ascii="Arial" w:cs="Arial" w:eastAsia="Arial" w:hAnsi="Arial"/>
                <w:sz w:val="16"/>
                <w:szCs w:val="16"/>
                <w:color w:val="auto"/>
              </w:rPr>
              <w:t>Depreciation and amortization</w:t>
            </w:r>
          </w:p>
        </w:tc>
        <w:tc>
          <w:tcPr>
            <w:tcW w:w="580" w:type="dxa"/>
            <w:vAlign w:val="bottom"/>
          </w:tcPr>
          <w:p>
            <w:pPr>
              <w:spacing w:after="0"/>
              <w:rPr>
                <w:sz w:val="15"/>
                <w:szCs w:val="15"/>
                <w:color w:val="auto"/>
              </w:rPr>
            </w:pP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131</w:t>
            </w:r>
          </w:p>
        </w:tc>
        <w:tc>
          <w:tcPr>
            <w:tcW w:w="520" w:type="dxa"/>
            <w:vAlign w:val="bottom"/>
          </w:tcPr>
          <w:p>
            <w:pPr>
              <w:spacing w:after="0"/>
              <w:rPr>
                <w:sz w:val="15"/>
                <w:szCs w:val="15"/>
                <w:color w:val="auto"/>
              </w:rPr>
            </w:pP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107</w:t>
            </w:r>
          </w:p>
        </w:tc>
        <w:tc>
          <w:tcPr>
            <w:tcW w:w="520" w:type="dxa"/>
            <w:vAlign w:val="bottom"/>
          </w:tcPr>
          <w:p>
            <w:pPr>
              <w:spacing w:after="0"/>
              <w:rPr>
                <w:sz w:val="15"/>
                <w:szCs w:val="15"/>
                <w:color w:val="auto"/>
              </w:rPr>
            </w:pP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261</w:t>
            </w:r>
          </w:p>
        </w:tc>
        <w:tc>
          <w:tcPr>
            <w:tcW w:w="520" w:type="dxa"/>
            <w:vAlign w:val="bottom"/>
          </w:tcPr>
          <w:p>
            <w:pPr>
              <w:spacing w:after="0"/>
              <w:rPr>
                <w:sz w:val="15"/>
                <w:szCs w:val="15"/>
                <w:color w:val="auto"/>
              </w:rPr>
            </w:pPr>
          </w:p>
        </w:tc>
        <w:tc>
          <w:tcPr>
            <w:tcW w:w="820" w:type="dxa"/>
            <w:vAlign w:val="bottom"/>
          </w:tcPr>
          <w:p>
            <w:pPr>
              <w:jc w:val="right"/>
              <w:spacing w:after="0" w:line="173" w:lineRule="exact"/>
              <w:rPr>
                <w:sz w:val="20"/>
                <w:szCs w:val="20"/>
                <w:color w:val="auto"/>
              </w:rPr>
            </w:pPr>
            <w:r>
              <w:rPr>
                <w:rFonts w:ascii="Arial" w:cs="Arial" w:eastAsia="Arial" w:hAnsi="Arial"/>
                <w:sz w:val="16"/>
                <w:szCs w:val="16"/>
                <w:color w:val="auto"/>
              </w:rPr>
              <w:t>241</w:t>
            </w:r>
          </w:p>
        </w:tc>
      </w:tr>
      <w:tr>
        <w:trPr>
          <w:trHeight w:val="173"/>
        </w:trPr>
        <w:tc>
          <w:tcPr>
            <w:tcW w:w="5820" w:type="dxa"/>
            <w:vAlign w:val="bottom"/>
          </w:tcPr>
          <w:p>
            <w:pPr>
              <w:ind w:left="180"/>
              <w:spacing w:after="0" w:line="173" w:lineRule="exact"/>
              <w:rPr>
                <w:sz w:val="20"/>
                <w:szCs w:val="20"/>
                <w:color w:val="auto"/>
              </w:rPr>
            </w:pPr>
            <w:r>
              <w:rPr>
                <w:rFonts w:ascii="Arial" w:cs="Arial" w:eastAsia="Arial" w:hAnsi="Arial"/>
                <w:sz w:val="16"/>
                <w:szCs w:val="16"/>
                <w:color w:val="auto"/>
              </w:rPr>
              <w:t>Franchise fees and other taxes</w:t>
            </w:r>
          </w:p>
        </w:tc>
        <w:tc>
          <w:tcPr>
            <w:tcW w:w="580" w:type="dxa"/>
            <w:vAlign w:val="bottom"/>
          </w:tcPr>
          <w:p>
            <w:pPr>
              <w:spacing w:after="0"/>
              <w:rPr>
                <w:sz w:val="15"/>
                <w:szCs w:val="15"/>
                <w:color w:val="auto"/>
              </w:rPr>
            </w:pP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54</w:t>
            </w:r>
          </w:p>
        </w:tc>
        <w:tc>
          <w:tcPr>
            <w:tcW w:w="520" w:type="dxa"/>
            <w:vAlign w:val="bottom"/>
          </w:tcPr>
          <w:p>
            <w:pPr>
              <w:spacing w:after="0"/>
              <w:rPr>
                <w:sz w:val="15"/>
                <w:szCs w:val="15"/>
                <w:color w:val="auto"/>
              </w:rPr>
            </w:pP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46</w:t>
            </w:r>
          </w:p>
        </w:tc>
        <w:tc>
          <w:tcPr>
            <w:tcW w:w="520" w:type="dxa"/>
            <w:vAlign w:val="bottom"/>
          </w:tcPr>
          <w:p>
            <w:pPr>
              <w:spacing w:after="0"/>
              <w:rPr>
                <w:sz w:val="15"/>
                <w:szCs w:val="15"/>
                <w:color w:val="auto"/>
              </w:rPr>
            </w:pP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110</w:t>
            </w:r>
          </w:p>
        </w:tc>
        <w:tc>
          <w:tcPr>
            <w:tcW w:w="520" w:type="dxa"/>
            <w:vAlign w:val="bottom"/>
          </w:tcPr>
          <w:p>
            <w:pPr>
              <w:spacing w:after="0"/>
              <w:rPr>
                <w:sz w:val="15"/>
                <w:szCs w:val="15"/>
                <w:color w:val="auto"/>
              </w:rPr>
            </w:pPr>
          </w:p>
        </w:tc>
        <w:tc>
          <w:tcPr>
            <w:tcW w:w="820" w:type="dxa"/>
            <w:vAlign w:val="bottom"/>
          </w:tcPr>
          <w:p>
            <w:pPr>
              <w:jc w:val="right"/>
              <w:spacing w:after="0" w:line="173" w:lineRule="exact"/>
              <w:rPr>
                <w:sz w:val="20"/>
                <w:szCs w:val="20"/>
                <w:color w:val="auto"/>
              </w:rPr>
            </w:pPr>
            <w:r>
              <w:rPr>
                <w:rFonts w:ascii="Arial" w:cs="Arial" w:eastAsia="Arial" w:hAnsi="Arial"/>
                <w:sz w:val="16"/>
                <w:szCs w:val="16"/>
                <w:color w:val="auto"/>
              </w:rPr>
              <w:t>101</w:t>
            </w:r>
          </w:p>
        </w:tc>
      </w:tr>
      <w:tr>
        <w:trPr>
          <w:trHeight w:val="204"/>
        </w:trPr>
        <w:tc>
          <w:tcPr>
            <w:tcW w:w="5820" w:type="dxa"/>
            <w:vAlign w:val="bottom"/>
          </w:tcPr>
          <w:p>
            <w:pPr>
              <w:ind w:left="180"/>
              <w:spacing w:after="0"/>
              <w:rPr>
                <w:sz w:val="20"/>
                <w:szCs w:val="20"/>
                <w:color w:val="auto"/>
              </w:rPr>
            </w:pPr>
            <w:r>
              <w:rPr>
                <w:rFonts w:ascii="Arial" w:cs="Arial" w:eastAsia="Arial" w:hAnsi="Arial"/>
                <w:sz w:val="16"/>
                <w:szCs w:val="16"/>
                <w:color w:val="auto"/>
              </w:rPr>
              <w:t>Plant closure loss (adjustment)</w:t>
            </w: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200</w:t>
            </w: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w:t>
            </w: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166"/>
        </w:trPr>
        <w:tc>
          <w:tcPr>
            <w:tcW w:w="5820" w:type="dxa"/>
            <w:vAlign w:val="bottom"/>
          </w:tcPr>
          <w:p>
            <w:pPr>
              <w:ind w:left="360"/>
              <w:spacing w:after="0" w:line="166" w:lineRule="exact"/>
              <w:rPr>
                <w:sz w:val="20"/>
                <w:szCs w:val="20"/>
                <w:color w:val="auto"/>
              </w:rPr>
            </w:pPr>
            <w:r>
              <w:rPr>
                <w:rFonts w:ascii="Arial" w:cs="Arial" w:eastAsia="Arial" w:hAnsi="Arial"/>
                <w:sz w:val="16"/>
                <w:szCs w:val="16"/>
                <w:color w:val="auto"/>
              </w:rPr>
              <w:t>Total operating expenses</w:t>
            </w: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color w:val="auto"/>
              </w:rPr>
              <w:t>821</w:t>
            </w: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color w:val="auto"/>
              </w:rPr>
              <w:t>939</w:t>
            </w: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color w:val="auto"/>
              </w:rPr>
              <w:t>1,587</w:t>
            </w: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1,710</w:t>
            </w: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5"/>
                <w:szCs w:val="15"/>
                <w:color w:val="auto"/>
              </w:rPr>
              <w:t>Operating income</w:t>
            </w:r>
          </w:p>
        </w:tc>
        <w:tc>
          <w:tcPr>
            <w:tcW w:w="580" w:type="dxa"/>
            <w:vAlign w:val="bottom"/>
          </w:tcPr>
          <w:p>
            <w:pPr>
              <w:spacing w:after="0"/>
              <w:rPr>
                <w:sz w:val="11"/>
                <w:szCs w:val="11"/>
                <w:color w:val="auto"/>
              </w:rPr>
            </w:pPr>
          </w:p>
        </w:tc>
        <w:tc>
          <w:tcPr>
            <w:tcW w:w="880" w:type="dxa"/>
            <w:vAlign w:val="bottom"/>
          </w:tcPr>
          <w:p>
            <w:pPr>
              <w:jc w:val="right"/>
              <w:ind w:right="41"/>
              <w:spacing w:after="0" w:line="135" w:lineRule="exact"/>
              <w:rPr>
                <w:sz w:val="20"/>
                <w:szCs w:val="20"/>
                <w:color w:val="auto"/>
              </w:rPr>
            </w:pPr>
            <w:r>
              <w:rPr>
                <w:rFonts w:ascii="Arial" w:cs="Arial" w:eastAsia="Arial" w:hAnsi="Arial"/>
                <w:sz w:val="15"/>
                <w:szCs w:val="15"/>
                <w:color w:val="auto"/>
              </w:rPr>
              <w:t>242</w:t>
            </w:r>
          </w:p>
        </w:tc>
        <w:tc>
          <w:tcPr>
            <w:tcW w:w="520" w:type="dxa"/>
            <w:vAlign w:val="bottom"/>
          </w:tcPr>
          <w:p>
            <w:pPr>
              <w:spacing w:after="0"/>
              <w:rPr>
                <w:sz w:val="11"/>
                <w:szCs w:val="11"/>
                <w:color w:val="auto"/>
              </w:rPr>
            </w:pPr>
          </w:p>
        </w:tc>
        <w:tc>
          <w:tcPr>
            <w:tcW w:w="880" w:type="dxa"/>
            <w:vAlign w:val="bottom"/>
          </w:tcPr>
          <w:p>
            <w:pPr>
              <w:jc w:val="right"/>
              <w:ind w:right="41"/>
              <w:spacing w:after="0" w:line="135" w:lineRule="exact"/>
              <w:rPr>
                <w:sz w:val="20"/>
                <w:szCs w:val="20"/>
                <w:color w:val="auto"/>
              </w:rPr>
            </w:pPr>
            <w:r>
              <w:rPr>
                <w:rFonts w:ascii="Arial" w:cs="Arial" w:eastAsia="Arial" w:hAnsi="Arial"/>
                <w:sz w:val="15"/>
                <w:szCs w:val="15"/>
                <w:color w:val="auto"/>
              </w:rPr>
              <w:t>125</w:t>
            </w:r>
          </w:p>
        </w:tc>
        <w:tc>
          <w:tcPr>
            <w:tcW w:w="520" w:type="dxa"/>
            <w:vAlign w:val="bottom"/>
          </w:tcPr>
          <w:p>
            <w:pPr>
              <w:spacing w:after="0"/>
              <w:rPr>
                <w:sz w:val="11"/>
                <w:szCs w:val="11"/>
                <w:color w:val="auto"/>
              </w:rPr>
            </w:pPr>
          </w:p>
        </w:tc>
        <w:tc>
          <w:tcPr>
            <w:tcW w:w="880" w:type="dxa"/>
            <w:vAlign w:val="bottom"/>
          </w:tcPr>
          <w:p>
            <w:pPr>
              <w:jc w:val="right"/>
              <w:ind w:right="41"/>
              <w:spacing w:after="0" w:line="135" w:lineRule="exact"/>
              <w:rPr>
                <w:sz w:val="20"/>
                <w:szCs w:val="20"/>
                <w:color w:val="auto"/>
              </w:rPr>
            </w:pPr>
            <w:r>
              <w:rPr>
                <w:rFonts w:ascii="Arial" w:cs="Arial" w:eastAsia="Arial" w:hAnsi="Arial"/>
                <w:sz w:val="15"/>
                <w:szCs w:val="15"/>
                <w:color w:val="auto"/>
              </w:rPr>
              <w:t>463</w:t>
            </w:r>
          </w:p>
        </w:tc>
        <w:tc>
          <w:tcPr>
            <w:tcW w:w="5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293</w:t>
            </w:r>
          </w:p>
        </w:tc>
      </w:tr>
      <w:tr>
        <w:trPr>
          <w:trHeight w:val="173"/>
        </w:trPr>
        <w:tc>
          <w:tcPr>
            <w:tcW w:w="5820" w:type="dxa"/>
            <w:vAlign w:val="bottom"/>
          </w:tcPr>
          <w:p>
            <w:pPr>
              <w:spacing w:after="0" w:line="173" w:lineRule="exact"/>
              <w:rPr>
                <w:sz w:val="20"/>
                <w:szCs w:val="20"/>
                <w:color w:val="auto"/>
              </w:rPr>
            </w:pPr>
            <w:r>
              <w:rPr>
                <w:rFonts w:ascii="Arial" w:cs="Arial" w:eastAsia="Arial" w:hAnsi="Arial"/>
                <w:sz w:val="16"/>
                <w:szCs w:val="16"/>
                <w:color w:val="auto"/>
              </w:rPr>
              <w:t>Other income, net</w:t>
            </w:r>
          </w:p>
        </w:tc>
        <w:tc>
          <w:tcPr>
            <w:tcW w:w="580" w:type="dxa"/>
            <w:vAlign w:val="bottom"/>
          </w:tcPr>
          <w:p>
            <w:pPr>
              <w:spacing w:after="0"/>
              <w:rPr>
                <w:sz w:val="15"/>
                <w:szCs w:val="15"/>
                <w:color w:val="auto"/>
              </w:rPr>
            </w:pP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7</w:t>
            </w:r>
          </w:p>
        </w:tc>
        <w:tc>
          <w:tcPr>
            <w:tcW w:w="520" w:type="dxa"/>
            <w:vAlign w:val="bottom"/>
          </w:tcPr>
          <w:p>
            <w:pPr>
              <w:spacing w:after="0"/>
              <w:rPr>
                <w:sz w:val="15"/>
                <w:szCs w:val="15"/>
                <w:color w:val="auto"/>
              </w:rPr>
            </w:pP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9</w:t>
            </w:r>
          </w:p>
        </w:tc>
        <w:tc>
          <w:tcPr>
            <w:tcW w:w="520" w:type="dxa"/>
            <w:vAlign w:val="bottom"/>
          </w:tcPr>
          <w:p>
            <w:pPr>
              <w:spacing w:after="0"/>
              <w:rPr>
                <w:sz w:val="15"/>
                <w:szCs w:val="15"/>
                <w:color w:val="auto"/>
              </w:rPr>
            </w:pP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20</w:t>
            </w:r>
          </w:p>
        </w:tc>
        <w:tc>
          <w:tcPr>
            <w:tcW w:w="520" w:type="dxa"/>
            <w:vAlign w:val="bottom"/>
          </w:tcPr>
          <w:p>
            <w:pPr>
              <w:spacing w:after="0"/>
              <w:rPr>
                <w:sz w:val="15"/>
                <w:szCs w:val="15"/>
                <w:color w:val="auto"/>
              </w:rPr>
            </w:pPr>
          </w:p>
        </w:tc>
        <w:tc>
          <w:tcPr>
            <w:tcW w:w="820" w:type="dxa"/>
            <w:vAlign w:val="bottom"/>
          </w:tcPr>
          <w:p>
            <w:pPr>
              <w:jc w:val="right"/>
              <w:spacing w:after="0" w:line="173" w:lineRule="exact"/>
              <w:rPr>
                <w:sz w:val="20"/>
                <w:szCs w:val="20"/>
                <w:color w:val="auto"/>
              </w:rPr>
            </w:pPr>
            <w:r>
              <w:rPr>
                <w:rFonts w:ascii="Arial" w:cs="Arial" w:eastAsia="Arial" w:hAnsi="Arial"/>
                <w:sz w:val="16"/>
                <w:szCs w:val="16"/>
                <w:color w:val="auto"/>
              </w:rPr>
              <w:t>20</w:t>
            </w:r>
          </w:p>
        </w:tc>
      </w:tr>
      <w:tr>
        <w:trPr>
          <w:trHeight w:val="173"/>
        </w:trPr>
        <w:tc>
          <w:tcPr>
            <w:tcW w:w="5820" w:type="dxa"/>
            <w:vAlign w:val="bottom"/>
          </w:tcPr>
          <w:p>
            <w:pPr>
              <w:spacing w:after="0" w:line="173" w:lineRule="exact"/>
              <w:rPr>
                <w:sz w:val="20"/>
                <w:szCs w:val="20"/>
                <w:color w:val="auto"/>
              </w:rPr>
            </w:pPr>
            <w:r>
              <w:rPr>
                <w:rFonts w:ascii="Arial" w:cs="Arial" w:eastAsia="Arial" w:hAnsi="Arial"/>
                <w:sz w:val="16"/>
                <w:szCs w:val="16"/>
                <w:color w:val="auto"/>
              </w:rPr>
              <w:t>Interest income</w:t>
            </w:r>
          </w:p>
        </w:tc>
        <w:tc>
          <w:tcPr>
            <w:tcW w:w="580" w:type="dxa"/>
            <w:vAlign w:val="bottom"/>
          </w:tcPr>
          <w:p>
            <w:pPr>
              <w:spacing w:after="0"/>
              <w:rPr>
                <w:sz w:val="15"/>
                <w:szCs w:val="15"/>
                <w:color w:val="auto"/>
              </w:rPr>
            </w:pP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w:t>
            </w:r>
          </w:p>
        </w:tc>
        <w:tc>
          <w:tcPr>
            <w:tcW w:w="520" w:type="dxa"/>
            <w:vAlign w:val="bottom"/>
          </w:tcPr>
          <w:p>
            <w:pPr>
              <w:spacing w:after="0"/>
              <w:rPr>
                <w:sz w:val="15"/>
                <w:szCs w:val="15"/>
                <w:color w:val="auto"/>
              </w:rPr>
            </w:pP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w:t>
            </w:r>
          </w:p>
        </w:tc>
        <w:tc>
          <w:tcPr>
            <w:tcW w:w="520" w:type="dxa"/>
            <w:vAlign w:val="bottom"/>
          </w:tcPr>
          <w:p>
            <w:pPr>
              <w:spacing w:after="0"/>
              <w:rPr>
                <w:sz w:val="15"/>
                <w:szCs w:val="15"/>
                <w:color w:val="auto"/>
              </w:rPr>
            </w:pPr>
          </w:p>
        </w:tc>
        <w:tc>
          <w:tcPr>
            <w:tcW w:w="8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w:t>
            </w:r>
          </w:p>
        </w:tc>
        <w:tc>
          <w:tcPr>
            <w:tcW w:w="520" w:type="dxa"/>
            <w:vAlign w:val="bottom"/>
          </w:tcPr>
          <w:p>
            <w:pPr>
              <w:spacing w:after="0"/>
              <w:rPr>
                <w:sz w:val="15"/>
                <w:szCs w:val="15"/>
                <w:color w:val="auto"/>
              </w:rPr>
            </w:pPr>
          </w:p>
        </w:tc>
        <w:tc>
          <w:tcPr>
            <w:tcW w:w="82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r>
      <w:tr>
        <w:trPr>
          <w:trHeight w:val="204"/>
        </w:trPr>
        <w:tc>
          <w:tcPr>
            <w:tcW w:w="5820" w:type="dxa"/>
            <w:vAlign w:val="bottom"/>
          </w:tcPr>
          <w:p>
            <w:pPr>
              <w:spacing w:after="0"/>
              <w:rPr>
                <w:sz w:val="20"/>
                <w:szCs w:val="20"/>
                <w:color w:val="auto"/>
              </w:rPr>
            </w:pPr>
            <w:r>
              <w:rPr>
                <w:rFonts w:ascii="Arial" w:cs="Arial" w:eastAsia="Arial" w:hAnsi="Arial"/>
                <w:sz w:val="16"/>
                <w:szCs w:val="16"/>
                <w:color w:val="auto"/>
              </w:rPr>
              <w:t>Interest expense</w:t>
            </w: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w:t>
            </w: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w:t>
            </w: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(101)</w:t>
            </w: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5"/>
                <w:szCs w:val="15"/>
                <w:color w:val="auto"/>
              </w:rPr>
              <w:t>Income before income taxes</w:t>
            </w:r>
          </w:p>
        </w:tc>
        <w:tc>
          <w:tcPr>
            <w:tcW w:w="580" w:type="dxa"/>
            <w:vAlign w:val="bottom"/>
          </w:tcPr>
          <w:p>
            <w:pPr>
              <w:spacing w:after="0"/>
              <w:rPr>
                <w:sz w:val="11"/>
                <w:szCs w:val="11"/>
                <w:color w:val="auto"/>
              </w:rPr>
            </w:pPr>
          </w:p>
        </w:tc>
        <w:tc>
          <w:tcPr>
            <w:tcW w:w="880" w:type="dxa"/>
            <w:vAlign w:val="bottom"/>
          </w:tcPr>
          <w:p>
            <w:pPr>
              <w:jc w:val="right"/>
              <w:ind w:right="41"/>
              <w:spacing w:after="0" w:line="135" w:lineRule="exact"/>
              <w:rPr>
                <w:sz w:val="20"/>
                <w:szCs w:val="20"/>
                <w:color w:val="auto"/>
              </w:rPr>
            </w:pPr>
            <w:r>
              <w:rPr>
                <w:rFonts w:ascii="Arial" w:cs="Arial" w:eastAsia="Arial" w:hAnsi="Arial"/>
                <w:sz w:val="15"/>
                <w:szCs w:val="15"/>
                <w:color w:val="auto"/>
              </w:rPr>
              <w:t>198</w:t>
            </w:r>
          </w:p>
        </w:tc>
        <w:tc>
          <w:tcPr>
            <w:tcW w:w="520" w:type="dxa"/>
            <w:vAlign w:val="bottom"/>
          </w:tcPr>
          <w:p>
            <w:pPr>
              <w:spacing w:after="0"/>
              <w:rPr>
                <w:sz w:val="11"/>
                <w:szCs w:val="11"/>
                <w:color w:val="auto"/>
              </w:rPr>
            </w:pPr>
          </w:p>
        </w:tc>
        <w:tc>
          <w:tcPr>
            <w:tcW w:w="880" w:type="dxa"/>
            <w:vAlign w:val="bottom"/>
          </w:tcPr>
          <w:p>
            <w:pPr>
              <w:jc w:val="right"/>
              <w:ind w:right="41"/>
              <w:spacing w:after="0" w:line="135" w:lineRule="exact"/>
              <w:rPr>
                <w:sz w:val="20"/>
                <w:szCs w:val="20"/>
                <w:color w:val="auto"/>
              </w:rPr>
            </w:pPr>
            <w:r>
              <w:rPr>
                <w:rFonts w:ascii="Arial" w:cs="Arial" w:eastAsia="Arial" w:hAnsi="Arial"/>
                <w:sz w:val="15"/>
                <w:szCs w:val="15"/>
                <w:color w:val="auto"/>
              </w:rPr>
              <w:t>85</w:t>
            </w:r>
          </w:p>
        </w:tc>
        <w:tc>
          <w:tcPr>
            <w:tcW w:w="520" w:type="dxa"/>
            <w:vAlign w:val="bottom"/>
          </w:tcPr>
          <w:p>
            <w:pPr>
              <w:spacing w:after="0"/>
              <w:rPr>
                <w:sz w:val="11"/>
                <w:szCs w:val="11"/>
                <w:color w:val="auto"/>
              </w:rPr>
            </w:pPr>
          </w:p>
        </w:tc>
        <w:tc>
          <w:tcPr>
            <w:tcW w:w="880" w:type="dxa"/>
            <w:vAlign w:val="bottom"/>
          </w:tcPr>
          <w:p>
            <w:pPr>
              <w:jc w:val="right"/>
              <w:ind w:right="41"/>
              <w:spacing w:after="0" w:line="135" w:lineRule="exact"/>
              <w:rPr>
                <w:sz w:val="20"/>
                <w:szCs w:val="20"/>
                <w:color w:val="auto"/>
              </w:rPr>
            </w:pPr>
            <w:r>
              <w:rPr>
                <w:rFonts w:ascii="Arial" w:cs="Arial" w:eastAsia="Arial" w:hAnsi="Arial"/>
                <w:sz w:val="15"/>
                <w:szCs w:val="15"/>
                <w:color w:val="auto"/>
              </w:rPr>
              <w:t>382</w:t>
            </w:r>
          </w:p>
        </w:tc>
        <w:tc>
          <w:tcPr>
            <w:tcW w:w="5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217</w:t>
            </w:r>
          </w:p>
        </w:tc>
      </w:tr>
      <w:tr>
        <w:trPr>
          <w:trHeight w:val="204"/>
        </w:trPr>
        <w:tc>
          <w:tcPr>
            <w:tcW w:w="5820" w:type="dxa"/>
            <w:vAlign w:val="bottom"/>
          </w:tcPr>
          <w:p>
            <w:pPr>
              <w:spacing w:after="0"/>
              <w:rPr>
                <w:sz w:val="20"/>
                <w:szCs w:val="20"/>
                <w:color w:val="auto"/>
              </w:rPr>
            </w:pPr>
            <w:r>
              <w:rPr>
                <w:rFonts w:ascii="Arial" w:cs="Arial" w:eastAsia="Arial" w:hAnsi="Arial"/>
                <w:sz w:val="16"/>
                <w:szCs w:val="16"/>
                <w:color w:val="auto"/>
              </w:rPr>
              <w:t>Income tax expense</w:t>
            </w: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(69)</w:t>
            </w: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w:t>
            </w: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(152)</w:t>
            </w: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5"/>
                <w:szCs w:val="15"/>
                <w:color w:val="auto"/>
              </w:rPr>
              <w:t>Net income</w:t>
            </w:r>
          </w:p>
        </w:tc>
        <w:tc>
          <w:tcPr>
            <w:tcW w:w="580" w:type="dxa"/>
            <w:vAlign w:val="bottom"/>
          </w:tcPr>
          <w:p>
            <w:pPr>
              <w:spacing w:after="0"/>
              <w:rPr>
                <w:sz w:val="11"/>
                <w:szCs w:val="11"/>
                <w:color w:val="auto"/>
              </w:rPr>
            </w:pPr>
          </w:p>
        </w:tc>
        <w:tc>
          <w:tcPr>
            <w:tcW w:w="880" w:type="dxa"/>
            <w:vAlign w:val="bottom"/>
          </w:tcPr>
          <w:p>
            <w:pPr>
              <w:jc w:val="right"/>
              <w:ind w:right="41"/>
              <w:spacing w:after="0" w:line="135" w:lineRule="exact"/>
              <w:rPr>
                <w:sz w:val="20"/>
                <w:szCs w:val="20"/>
                <w:color w:val="auto"/>
              </w:rPr>
            </w:pPr>
            <w:r>
              <w:rPr>
                <w:rFonts w:ascii="Arial" w:cs="Arial" w:eastAsia="Arial" w:hAnsi="Arial"/>
                <w:sz w:val="15"/>
                <w:szCs w:val="15"/>
                <w:color w:val="auto"/>
              </w:rPr>
              <w:t>129</w:t>
            </w:r>
          </w:p>
        </w:tc>
        <w:tc>
          <w:tcPr>
            <w:tcW w:w="520" w:type="dxa"/>
            <w:vAlign w:val="bottom"/>
          </w:tcPr>
          <w:p>
            <w:pPr>
              <w:spacing w:after="0"/>
              <w:rPr>
                <w:sz w:val="11"/>
                <w:szCs w:val="11"/>
                <w:color w:val="auto"/>
              </w:rPr>
            </w:pPr>
          </w:p>
        </w:tc>
        <w:tc>
          <w:tcPr>
            <w:tcW w:w="880" w:type="dxa"/>
            <w:vAlign w:val="bottom"/>
          </w:tcPr>
          <w:p>
            <w:pPr>
              <w:jc w:val="right"/>
              <w:ind w:right="41"/>
              <w:spacing w:after="0" w:line="135" w:lineRule="exact"/>
              <w:rPr>
                <w:sz w:val="20"/>
                <w:szCs w:val="20"/>
                <w:color w:val="auto"/>
              </w:rPr>
            </w:pPr>
            <w:r>
              <w:rPr>
                <w:rFonts w:ascii="Arial" w:cs="Arial" w:eastAsia="Arial" w:hAnsi="Arial"/>
                <w:sz w:val="15"/>
                <w:szCs w:val="15"/>
                <w:color w:val="auto"/>
              </w:rPr>
              <w:t>73</w:t>
            </w:r>
          </w:p>
        </w:tc>
        <w:tc>
          <w:tcPr>
            <w:tcW w:w="520" w:type="dxa"/>
            <w:vAlign w:val="bottom"/>
          </w:tcPr>
          <w:p>
            <w:pPr>
              <w:spacing w:after="0"/>
              <w:rPr>
                <w:sz w:val="11"/>
                <w:szCs w:val="11"/>
                <w:color w:val="auto"/>
              </w:rPr>
            </w:pPr>
          </w:p>
        </w:tc>
        <w:tc>
          <w:tcPr>
            <w:tcW w:w="880" w:type="dxa"/>
            <w:vAlign w:val="bottom"/>
          </w:tcPr>
          <w:p>
            <w:pPr>
              <w:jc w:val="right"/>
              <w:ind w:right="41"/>
              <w:spacing w:after="0" w:line="135" w:lineRule="exact"/>
              <w:rPr>
                <w:sz w:val="20"/>
                <w:szCs w:val="20"/>
                <w:color w:val="auto"/>
              </w:rPr>
            </w:pPr>
            <w:r>
              <w:rPr>
                <w:rFonts w:ascii="Arial" w:cs="Arial" w:eastAsia="Arial" w:hAnsi="Arial"/>
                <w:sz w:val="15"/>
                <w:szCs w:val="15"/>
                <w:color w:val="auto"/>
              </w:rPr>
              <w:t>230</w:t>
            </w:r>
          </w:p>
        </w:tc>
        <w:tc>
          <w:tcPr>
            <w:tcW w:w="5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154</w:t>
            </w:r>
          </w:p>
        </w:tc>
      </w:tr>
      <w:tr>
        <w:trPr>
          <w:trHeight w:val="204"/>
        </w:trPr>
        <w:tc>
          <w:tcPr>
            <w:tcW w:w="5820" w:type="dxa"/>
            <w:vAlign w:val="bottom"/>
          </w:tcPr>
          <w:p>
            <w:pPr>
              <w:spacing w:after="0"/>
              <w:rPr>
                <w:sz w:val="20"/>
                <w:szCs w:val="20"/>
                <w:color w:val="auto"/>
              </w:rPr>
            </w:pPr>
            <w:r>
              <w:rPr>
                <w:rFonts w:ascii="Arial" w:cs="Arial" w:eastAsia="Arial" w:hAnsi="Arial"/>
                <w:sz w:val="16"/>
                <w:szCs w:val="16"/>
                <w:color w:val="auto"/>
              </w:rPr>
              <w:t>(Earnings) losses attributable to noncontrolling interest</w:t>
            </w: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w:t>
            </w: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w:t>
            </w: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w:t>
            </w: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5"/>
                <w:szCs w:val="15"/>
                <w:color w:val="auto"/>
              </w:rPr>
              <w:t>Earnings</w:t>
            </w:r>
          </w:p>
        </w:tc>
        <w:tc>
          <w:tcPr>
            <w:tcW w:w="580" w:type="dxa"/>
            <w:vAlign w:val="bottom"/>
          </w:tcPr>
          <w:p>
            <w:pPr>
              <w:spacing w:after="0"/>
              <w:rPr>
                <w:sz w:val="11"/>
                <w:szCs w:val="11"/>
                <w:color w:val="auto"/>
              </w:rPr>
            </w:pPr>
          </w:p>
        </w:tc>
        <w:tc>
          <w:tcPr>
            <w:tcW w:w="880" w:type="dxa"/>
            <w:vAlign w:val="bottom"/>
          </w:tcPr>
          <w:p>
            <w:pPr>
              <w:jc w:val="right"/>
              <w:ind w:right="41"/>
              <w:spacing w:after="0" w:line="135" w:lineRule="exact"/>
              <w:rPr>
                <w:sz w:val="20"/>
                <w:szCs w:val="20"/>
                <w:color w:val="auto"/>
              </w:rPr>
            </w:pPr>
            <w:r>
              <w:rPr>
                <w:rFonts w:ascii="Arial" w:cs="Arial" w:eastAsia="Arial" w:hAnsi="Arial"/>
                <w:sz w:val="15"/>
                <w:szCs w:val="15"/>
                <w:color w:val="auto"/>
              </w:rPr>
              <w:t>123</w:t>
            </w:r>
          </w:p>
        </w:tc>
        <w:tc>
          <w:tcPr>
            <w:tcW w:w="520" w:type="dxa"/>
            <w:vAlign w:val="bottom"/>
          </w:tcPr>
          <w:p>
            <w:pPr>
              <w:spacing w:after="0"/>
              <w:rPr>
                <w:sz w:val="11"/>
                <w:szCs w:val="11"/>
                <w:color w:val="auto"/>
              </w:rPr>
            </w:pPr>
          </w:p>
        </w:tc>
        <w:tc>
          <w:tcPr>
            <w:tcW w:w="880" w:type="dxa"/>
            <w:vAlign w:val="bottom"/>
          </w:tcPr>
          <w:p>
            <w:pPr>
              <w:jc w:val="right"/>
              <w:ind w:right="41"/>
              <w:spacing w:after="0" w:line="135" w:lineRule="exact"/>
              <w:rPr>
                <w:sz w:val="20"/>
                <w:szCs w:val="20"/>
                <w:color w:val="auto"/>
              </w:rPr>
            </w:pPr>
            <w:r>
              <w:rPr>
                <w:rFonts w:ascii="Arial" w:cs="Arial" w:eastAsia="Arial" w:hAnsi="Arial"/>
                <w:sz w:val="15"/>
                <w:szCs w:val="15"/>
                <w:color w:val="auto"/>
              </w:rPr>
              <w:t>66</w:t>
            </w:r>
          </w:p>
        </w:tc>
        <w:tc>
          <w:tcPr>
            <w:tcW w:w="520" w:type="dxa"/>
            <w:vAlign w:val="bottom"/>
          </w:tcPr>
          <w:p>
            <w:pPr>
              <w:spacing w:after="0"/>
              <w:rPr>
                <w:sz w:val="11"/>
                <w:szCs w:val="11"/>
                <w:color w:val="auto"/>
              </w:rPr>
            </w:pPr>
          </w:p>
        </w:tc>
        <w:tc>
          <w:tcPr>
            <w:tcW w:w="880" w:type="dxa"/>
            <w:vAlign w:val="bottom"/>
          </w:tcPr>
          <w:p>
            <w:pPr>
              <w:jc w:val="right"/>
              <w:ind w:right="41"/>
              <w:spacing w:after="0" w:line="135" w:lineRule="exact"/>
              <w:rPr>
                <w:sz w:val="20"/>
                <w:szCs w:val="20"/>
                <w:color w:val="auto"/>
              </w:rPr>
            </w:pPr>
            <w:r>
              <w:rPr>
                <w:rFonts w:ascii="Arial" w:cs="Arial" w:eastAsia="Arial" w:hAnsi="Arial"/>
                <w:sz w:val="15"/>
                <w:szCs w:val="15"/>
                <w:color w:val="auto"/>
              </w:rPr>
              <w:t>222</w:t>
            </w:r>
          </w:p>
        </w:tc>
        <w:tc>
          <w:tcPr>
            <w:tcW w:w="5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158</w:t>
            </w:r>
          </w:p>
        </w:tc>
      </w:tr>
      <w:tr>
        <w:trPr>
          <w:trHeight w:val="204"/>
        </w:trPr>
        <w:tc>
          <w:tcPr>
            <w:tcW w:w="5820" w:type="dxa"/>
            <w:vAlign w:val="bottom"/>
          </w:tcPr>
          <w:p>
            <w:pPr>
              <w:spacing w:after="0"/>
              <w:rPr>
                <w:sz w:val="20"/>
                <w:szCs w:val="20"/>
                <w:color w:val="auto"/>
              </w:rPr>
            </w:pPr>
            <w:r>
              <w:rPr>
                <w:rFonts w:ascii="Arial" w:cs="Arial" w:eastAsia="Arial" w:hAnsi="Arial"/>
                <w:sz w:val="16"/>
                <w:szCs w:val="16"/>
                <w:color w:val="auto"/>
              </w:rPr>
              <w:t>Preferred dividend requirements</w:t>
            </w: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66"/>
        </w:trPr>
        <w:tc>
          <w:tcPr>
            <w:tcW w:w="5820" w:type="dxa"/>
            <w:vAlign w:val="bottom"/>
          </w:tcPr>
          <w:p>
            <w:pPr>
              <w:spacing w:after="0" w:line="166" w:lineRule="exact"/>
              <w:rPr>
                <w:sz w:val="20"/>
                <w:szCs w:val="20"/>
                <w:color w:val="auto"/>
              </w:rPr>
            </w:pPr>
            <w:r>
              <w:rPr>
                <w:rFonts w:ascii="Arial" w:cs="Arial" w:eastAsia="Arial" w:hAnsi="Arial"/>
                <w:sz w:val="16"/>
                <w:szCs w:val="16"/>
                <w:color w:val="auto"/>
              </w:rPr>
              <w:t>Earnings attributable to common shares</w:t>
            </w:r>
          </w:p>
        </w:tc>
        <w:tc>
          <w:tcPr>
            <w:tcW w:w="580" w:type="dxa"/>
            <w:vAlign w:val="bottom"/>
          </w:tcPr>
          <w:p>
            <w:pPr>
              <w:jc w:val="right"/>
              <w:ind w:right="280"/>
              <w:spacing w:after="0" w:line="166"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line="166" w:lineRule="exact"/>
              <w:rPr>
                <w:sz w:val="20"/>
                <w:szCs w:val="20"/>
                <w:color w:val="auto"/>
              </w:rPr>
            </w:pPr>
            <w:r>
              <w:rPr>
                <w:rFonts w:ascii="Arial" w:cs="Arial" w:eastAsia="Arial" w:hAnsi="Arial"/>
                <w:sz w:val="16"/>
                <w:szCs w:val="16"/>
                <w:color w:val="auto"/>
              </w:rPr>
              <w:t>123</w:t>
            </w:r>
          </w:p>
        </w:tc>
        <w:tc>
          <w:tcPr>
            <w:tcW w:w="520" w:type="dxa"/>
            <w:vAlign w:val="bottom"/>
          </w:tcPr>
          <w:p>
            <w:pPr>
              <w:jc w:val="right"/>
              <w:ind w:right="280"/>
              <w:spacing w:after="0" w:line="166"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line="166" w:lineRule="exact"/>
              <w:rPr>
                <w:sz w:val="20"/>
                <w:szCs w:val="20"/>
                <w:color w:val="auto"/>
              </w:rPr>
            </w:pPr>
            <w:r>
              <w:rPr>
                <w:rFonts w:ascii="Arial" w:cs="Arial" w:eastAsia="Arial" w:hAnsi="Arial"/>
                <w:sz w:val="16"/>
                <w:szCs w:val="16"/>
                <w:color w:val="auto"/>
              </w:rPr>
              <w:t>65</w:t>
            </w:r>
          </w:p>
        </w:tc>
        <w:tc>
          <w:tcPr>
            <w:tcW w:w="520" w:type="dxa"/>
            <w:vAlign w:val="bottom"/>
          </w:tcPr>
          <w:p>
            <w:pPr>
              <w:jc w:val="right"/>
              <w:ind w:right="280"/>
              <w:spacing w:after="0" w:line="166"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line="166" w:lineRule="exact"/>
              <w:rPr>
                <w:sz w:val="20"/>
                <w:szCs w:val="20"/>
                <w:color w:val="auto"/>
              </w:rPr>
            </w:pPr>
            <w:r>
              <w:rPr>
                <w:rFonts w:ascii="Arial" w:cs="Arial" w:eastAsia="Arial" w:hAnsi="Arial"/>
                <w:sz w:val="16"/>
                <w:szCs w:val="16"/>
                <w:color w:val="auto"/>
              </w:rPr>
              <w:t>222</w:t>
            </w:r>
          </w:p>
        </w:tc>
        <w:tc>
          <w:tcPr>
            <w:tcW w:w="520" w:type="dxa"/>
            <w:vAlign w:val="bottom"/>
          </w:tcPr>
          <w:p>
            <w:pPr>
              <w:jc w:val="right"/>
              <w:ind w:right="280"/>
              <w:spacing w:after="0" w:line="166"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156</w:t>
            </w:r>
          </w:p>
        </w:tc>
      </w:tr>
      <w:tr>
        <w:trPr>
          <w:trHeight w:val="80"/>
        </w:trPr>
        <w:tc>
          <w:tcPr>
            <w:tcW w:w="5820" w:type="dxa"/>
            <w:vAlign w:val="bottom"/>
            <w:shd w:val="clear" w:color="auto" w:fill="000000"/>
          </w:tcPr>
          <w:p>
            <w:pPr>
              <w:spacing w:after="0"/>
              <w:rPr>
                <w:sz w:val="6"/>
                <w:szCs w:val="6"/>
                <w:color w:val="auto"/>
              </w:rPr>
            </w:pPr>
          </w:p>
        </w:tc>
        <w:tc>
          <w:tcPr>
            <w:tcW w:w="58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52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52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520" w:type="dxa"/>
            <w:vAlign w:val="bottom"/>
            <w:shd w:val="clear" w:color="auto" w:fill="000000"/>
          </w:tcPr>
          <w:p>
            <w:pPr>
              <w:spacing w:after="0"/>
              <w:rPr>
                <w:sz w:val="6"/>
                <w:szCs w:val="6"/>
                <w:color w:val="auto"/>
              </w:rPr>
            </w:pPr>
          </w:p>
        </w:tc>
        <w:tc>
          <w:tcPr>
            <w:tcW w:w="820" w:type="dxa"/>
            <w:vAlign w:val="bottom"/>
            <w:shd w:val="clear" w:color="auto" w:fill="000000"/>
          </w:tcPr>
          <w:p>
            <w:pPr>
              <w:spacing w:after="0"/>
              <w:rPr>
                <w:sz w:val="6"/>
                <w:szCs w:val="6"/>
                <w:color w:val="auto"/>
              </w:rPr>
            </w:pPr>
          </w:p>
        </w:tc>
      </w:tr>
    </w:tbl>
    <w:p>
      <w:pPr>
        <w:spacing w:after="0" w:line="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ind w:right="5600"/>
        <w:spacing w:after="0" w:line="227"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55"/>
        </w:trPr>
        <w:tc>
          <w:tcPr>
            <w:tcW w:w="42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jc w:val="center"/>
              <w:ind w:left="81"/>
              <w:spacing w:after="0" w:line="155" w:lineRule="exact"/>
              <w:rPr>
                <w:sz w:val="20"/>
                <w:szCs w:val="20"/>
                <w:color w:val="auto"/>
              </w:rPr>
            </w:pPr>
            <w:r>
              <w:rPr>
                <w:rFonts w:ascii="Arial" w:cs="Arial" w:eastAsia="Arial" w:hAnsi="Arial"/>
                <w:sz w:val="14"/>
                <w:szCs w:val="14"/>
                <w:color w:val="auto"/>
              </w:rPr>
              <w:t>SDG&amp;E Shareholder's Equity</w:t>
            </w: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80" w:type="dxa"/>
            <w:vAlign w:val="bottom"/>
            <w:vMerge w:val="restart"/>
          </w:tcPr>
          <w:p>
            <w:pPr>
              <w:jc w:val="right"/>
              <w:ind w:right="102"/>
              <w:spacing w:after="0"/>
              <w:rPr>
                <w:sz w:val="20"/>
                <w:szCs w:val="20"/>
                <w:color w:val="auto"/>
              </w:rPr>
            </w:pPr>
            <w:r>
              <w:rPr>
                <w:rFonts w:ascii="Arial" w:cs="Arial" w:eastAsia="Arial" w:hAnsi="Arial"/>
                <w:sz w:val="14"/>
                <w:szCs w:val="14"/>
                <w:color w:val="auto"/>
              </w:rPr>
              <w:t>Noncontrolling</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200" w:type="dxa"/>
            <w:vAlign w:val="bottom"/>
          </w:tcPr>
          <w:p>
            <w:pPr>
              <w:spacing w:after="0"/>
              <w:rPr>
                <w:sz w:val="14"/>
                <w:szCs w:val="14"/>
                <w:color w:val="auto"/>
              </w:rPr>
            </w:pPr>
          </w:p>
        </w:tc>
        <w:tc>
          <w:tcPr>
            <w:tcW w:w="860" w:type="dxa"/>
            <w:vAlign w:val="bottom"/>
          </w:tcPr>
          <w:p>
            <w:pPr>
              <w:ind w:left="380"/>
              <w:spacing w:after="0"/>
              <w:rPr>
                <w:sz w:val="20"/>
                <w:szCs w:val="20"/>
                <w:color w:val="auto"/>
              </w:rPr>
            </w:pPr>
            <w:r>
              <w:rPr>
                <w:rFonts w:ascii="Arial" w:cs="Arial" w:eastAsia="Arial" w:hAnsi="Arial"/>
                <w:sz w:val="14"/>
                <w:szCs w:val="14"/>
                <w:color w:val="auto"/>
              </w:rPr>
              <w:t>Pretax</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center"/>
              <w:ind w:right="561"/>
              <w:spacing w:after="0"/>
              <w:rPr>
                <w:sz w:val="20"/>
                <w:szCs w:val="20"/>
                <w:color w:val="auto"/>
              </w:rPr>
            </w:pPr>
            <w:r>
              <w:rPr>
                <w:rFonts w:ascii="Arial" w:cs="Arial" w:eastAsia="Arial" w:hAnsi="Arial"/>
                <w:sz w:val="14"/>
                <w:szCs w:val="14"/>
                <w:color w:val="auto"/>
                <w:w w:val="98"/>
              </w:rPr>
              <w:t>Income Tax</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Net-of-Tax</w:t>
            </w:r>
          </w:p>
        </w:tc>
        <w:tc>
          <w:tcPr>
            <w:tcW w:w="14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200" w:type="dxa"/>
            <w:vAlign w:val="bottom"/>
          </w:tcPr>
          <w:p>
            <w:pPr>
              <w:spacing w:after="0"/>
              <w:rPr>
                <w:sz w:val="13"/>
                <w:szCs w:val="13"/>
                <w:color w:val="auto"/>
              </w:rPr>
            </w:pPr>
          </w:p>
        </w:tc>
        <w:tc>
          <w:tcPr>
            <w:tcW w:w="860" w:type="dxa"/>
            <w:vAlign w:val="bottom"/>
          </w:tcPr>
          <w:p>
            <w:pPr>
              <w:ind w:left="340"/>
              <w:spacing w:after="0" w:line="159" w:lineRule="exact"/>
              <w:rPr>
                <w:sz w:val="20"/>
                <w:szCs w:val="20"/>
                <w:color w:val="auto"/>
              </w:rPr>
            </w:pPr>
            <w:r>
              <w:rPr>
                <w:rFonts w:ascii="Arial" w:cs="Arial" w:eastAsia="Arial" w:hAnsi="Arial"/>
                <w:sz w:val="14"/>
                <w:szCs w:val="14"/>
                <w:color w:val="auto"/>
              </w:rPr>
              <w:t>Amount</w:t>
            </w:r>
          </w:p>
        </w:tc>
        <w:tc>
          <w:tcPr>
            <w:tcW w:w="460" w:type="dxa"/>
            <w:vAlign w:val="bottom"/>
          </w:tcPr>
          <w:p>
            <w:pPr>
              <w:spacing w:after="0"/>
              <w:rPr>
                <w:sz w:val="13"/>
                <w:szCs w:val="13"/>
                <w:color w:val="auto"/>
              </w:rPr>
            </w:pPr>
          </w:p>
        </w:tc>
        <w:tc>
          <w:tcPr>
            <w:tcW w:w="1740" w:type="dxa"/>
            <w:vAlign w:val="bottom"/>
            <w:gridSpan w:val="2"/>
          </w:tcPr>
          <w:p>
            <w:pPr>
              <w:jc w:val="center"/>
              <w:ind w:right="241"/>
              <w:spacing w:after="0" w:line="159" w:lineRule="exact"/>
              <w:rPr>
                <w:sz w:val="20"/>
                <w:szCs w:val="20"/>
                <w:color w:val="auto"/>
              </w:rPr>
            </w:pPr>
            <w:r>
              <w:rPr>
                <w:rFonts w:ascii="Arial" w:cs="Arial" w:eastAsia="Arial" w:hAnsi="Arial"/>
                <w:sz w:val="14"/>
                <w:szCs w:val="14"/>
                <w:color w:val="auto"/>
              </w:rPr>
              <w:t>(Expense) Benefit</w:t>
            </w:r>
          </w:p>
        </w:tc>
        <w:tc>
          <w:tcPr>
            <w:tcW w:w="720" w:type="dxa"/>
            <w:vAlign w:val="bottom"/>
          </w:tcPr>
          <w:p>
            <w:pPr>
              <w:ind w:left="200"/>
              <w:spacing w:after="0" w:line="159" w:lineRule="exact"/>
              <w:rPr>
                <w:sz w:val="20"/>
                <w:szCs w:val="20"/>
                <w:color w:val="auto"/>
              </w:rPr>
            </w:pPr>
            <w:r>
              <w:rPr>
                <w:rFonts w:ascii="Arial" w:cs="Arial" w:eastAsia="Arial" w:hAnsi="Arial"/>
                <w:sz w:val="14"/>
                <w:szCs w:val="14"/>
                <w:color w:val="auto"/>
              </w:rPr>
              <w:t>Amount</w:t>
            </w:r>
          </w:p>
        </w:tc>
        <w:tc>
          <w:tcPr>
            <w:tcW w:w="340" w:type="dxa"/>
            <w:vAlign w:val="bottom"/>
          </w:tcPr>
          <w:p>
            <w:pPr>
              <w:spacing w:after="0"/>
              <w:rPr>
                <w:sz w:val="13"/>
                <w:szCs w:val="13"/>
                <w:color w:val="auto"/>
              </w:rPr>
            </w:pPr>
          </w:p>
        </w:tc>
        <w:tc>
          <w:tcPr>
            <w:tcW w:w="1480" w:type="dxa"/>
            <w:vAlign w:val="bottom"/>
          </w:tcPr>
          <w:p>
            <w:pPr>
              <w:jc w:val="right"/>
              <w:spacing w:after="0" w:line="159" w:lineRule="exact"/>
              <w:rPr>
                <w:sz w:val="20"/>
                <w:szCs w:val="20"/>
                <w:color w:val="auto"/>
              </w:rPr>
            </w:pPr>
            <w:r>
              <w:rPr>
                <w:rFonts w:ascii="Arial" w:cs="Arial" w:eastAsia="Arial" w:hAnsi="Arial"/>
                <w:sz w:val="14"/>
                <w:szCs w:val="14"/>
                <w:color w:val="auto"/>
              </w:rPr>
              <w:t>Interest (After-Tax)</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jc w:val="right"/>
              <w:ind w:right="481"/>
              <w:spacing w:after="0" w:line="15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4"/>
                <w:szCs w:val="14"/>
                <w:color w:val="auto"/>
              </w:rPr>
              <w:t>Three months ended June 30, 2014 and 2013</w:t>
            </w:r>
          </w:p>
        </w:tc>
        <w:tc>
          <w:tcPr>
            <w:tcW w:w="4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(unaudited)</w:t>
            </w:r>
          </w:p>
        </w:tc>
        <w:tc>
          <w:tcPr>
            <w:tcW w:w="1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line="148" w:lineRule="exact"/>
              <w:rPr>
                <w:sz w:val="20"/>
                <w:szCs w:val="20"/>
                <w:color w:val="auto"/>
              </w:rPr>
            </w:pPr>
            <w:r>
              <w:rPr>
                <w:rFonts w:ascii="Arial" w:cs="Arial" w:eastAsia="Arial" w:hAnsi="Arial"/>
                <w:sz w:val="16"/>
                <w:szCs w:val="16"/>
                <w:b w:val="1"/>
                <w:bCs w:val="1"/>
                <w:color w:val="auto"/>
              </w:rPr>
              <w:t>2014:</w:t>
            </w:r>
          </w:p>
        </w:tc>
        <w:tc>
          <w:tcPr>
            <w:tcW w:w="86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ind w:right="81"/>
              <w:spacing w:after="0"/>
              <w:rPr>
                <w:sz w:val="20"/>
                <w:szCs w:val="20"/>
                <w:color w:val="auto"/>
              </w:rPr>
            </w:pPr>
            <w:r>
              <w:rPr>
                <w:rFonts w:ascii="Arial" w:cs="Arial" w:eastAsia="Arial" w:hAnsi="Arial"/>
                <w:sz w:val="16"/>
                <w:szCs w:val="16"/>
                <w:color w:val="auto"/>
              </w:rPr>
              <w:t>192</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0" w:type="dxa"/>
            <w:vAlign w:val="bottom"/>
            <w:vMerge w:val="restart"/>
          </w:tcPr>
          <w:p>
            <w:pPr>
              <w:jc w:val="right"/>
              <w:ind w:right="81"/>
              <w:spacing w:after="0"/>
              <w:rPr>
                <w:sz w:val="20"/>
                <w:szCs w:val="20"/>
                <w:color w:val="auto"/>
              </w:rPr>
            </w:pPr>
            <w:r>
              <w:rPr>
                <w:rFonts w:ascii="Arial" w:cs="Arial" w:eastAsia="Arial" w:hAnsi="Arial"/>
                <w:sz w:val="16"/>
                <w:szCs w:val="16"/>
                <w:color w:val="auto"/>
              </w:rPr>
              <w:t>(69)</w:t>
            </w:r>
          </w:p>
        </w:tc>
        <w:tc>
          <w:tcPr>
            <w:tcW w:w="72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123</w:t>
            </w:r>
          </w:p>
        </w:tc>
        <w:tc>
          <w:tcPr>
            <w:tcW w:w="1480" w:type="dxa"/>
            <w:vAlign w:val="bottom"/>
            <w:vMerge w:val="restart"/>
          </w:tcPr>
          <w:p>
            <w:pPr>
              <w:jc w:val="right"/>
              <w:ind w:right="942"/>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jc w:val="right"/>
              <w:ind w:right="160"/>
              <w:spacing w:after="0"/>
              <w:rPr>
                <w:sz w:val="20"/>
                <w:szCs w:val="20"/>
                <w:color w:val="auto"/>
              </w:rPr>
            </w:pPr>
            <w:r>
              <w:rPr>
                <w:rFonts w:ascii="Arial" w:cs="Arial" w:eastAsia="Arial" w:hAnsi="Arial"/>
                <w:sz w:val="16"/>
                <w:szCs w:val="16"/>
                <w:color w:val="auto"/>
              </w:rPr>
              <w:t>6</w:t>
            </w: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20"/>
                <w:szCs w:val="20"/>
                <w:color w:val="auto"/>
              </w:rPr>
            </w:pPr>
            <w:r>
              <w:rPr>
                <w:rFonts w:ascii="Arial" w:cs="Arial" w:eastAsia="Arial" w:hAnsi="Arial"/>
                <w:sz w:val="16"/>
                <w:szCs w:val="16"/>
                <w:color w:val="auto"/>
              </w:rPr>
              <w:t>Net income</w:t>
            </w:r>
          </w:p>
        </w:tc>
        <w:tc>
          <w:tcPr>
            <w:tcW w:w="8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5"/>
                <w:szCs w:val="15"/>
                <w:color w:val="auto"/>
              </w:rPr>
              <w:t>Other comprehensive income (loss):</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200" w:type="dxa"/>
            <w:vAlign w:val="bottom"/>
          </w:tcPr>
          <w:p>
            <w:pPr>
              <w:ind w:left="180"/>
              <w:spacing w:after="0" w:line="173" w:lineRule="exact"/>
              <w:rPr>
                <w:sz w:val="20"/>
                <w:szCs w:val="20"/>
                <w:color w:val="auto"/>
              </w:rPr>
            </w:pPr>
            <w:r>
              <w:rPr>
                <w:rFonts w:ascii="Arial" w:cs="Arial" w:eastAsia="Arial" w:hAnsi="Arial"/>
                <w:sz w:val="16"/>
                <w:szCs w:val="16"/>
                <w:color w:val="auto"/>
              </w:rPr>
              <w:t>Pension and other postretirement benefits</w:t>
            </w:r>
          </w:p>
        </w:tc>
        <w:tc>
          <w:tcPr>
            <w:tcW w:w="860" w:type="dxa"/>
            <w:vAlign w:val="bottom"/>
          </w:tcPr>
          <w:p>
            <w:pPr>
              <w:spacing w:after="0"/>
              <w:rPr>
                <w:sz w:val="15"/>
                <w:szCs w:val="15"/>
                <w:color w:val="auto"/>
              </w:rPr>
            </w:pPr>
          </w:p>
        </w:tc>
        <w:tc>
          <w:tcPr>
            <w:tcW w:w="4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2</w:t>
            </w:r>
          </w:p>
        </w:tc>
        <w:tc>
          <w:tcPr>
            <w:tcW w:w="340" w:type="dxa"/>
            <w:vAlign w:val="bottom"/>
          </w:tcPr>
          <w:p>
            <w:pPr>
              <w:spacing w:after="0"/>
              <w:rPr>
                <w:sz w:val="15"/>
                <w:szCs w:val="15"/>
                <w:color w:val="auto"/>
              </w:rPr>
            </w:pPr>
          </w:p>
        </w:tc>
        <w:tc>
          <w:tcPr>
            <w:tcW w:w="1400" w:type="dxa"/>
            <w:vAlign w:val="bottom"/>
          </w:tcPr>
          <w:p>
            <w:pPr>
              <w:jc w:val="right"/>
              <w:ind w:right="81"/>
              <w:spacing w:after="0" w:line="173" w:lineRule="exact"/>
              <w:rPr>
                <w:sz w:val="20"/>
                <w:szCs w:val="20"/>
                <w:color w:val="auto"/>
              </w:rPr>
            </w:pPr>
            <w:r>
              <w:rPr>
                <w:rFonts w:ascii="Arial" w:cs="Arial" w:eastAsia="Arial" w:hAnsi="Arial"/>
                <w:sz w:val="16"/>
                <w:szCs w:val="16"/>
                <w:color w:val="auto"/>
              </w:rPr>
              <w:t>(1)</w:t>
            </w:r>
          </w:p>
        </w:tc>
        <w:tc>
          <w:tcPr>
            <w:tcW w:w="720" w:type="dxa"/>
            <w:vAlign w:val="bottom"/>
          </w:tcPr>
          <w:p>
            <w:pPr>
              <w:spacing w:after="0"/>
              <w:rPr>
                <w:sz w:val="15"/>
                <w:szCs w:val="15"/>
                <w:color w:val="auto"/>
              </w:rPr>
            </w:pPr>
          </w:p>
        </w:tc>
        <w:tc>
          <w:tcPr>
            <w:tcW w:w="34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1480" w:type="dxa"/>
            <w:vAlign w:val="bottom"/>
          </w:tcPr>
          <w:p>
            <w:pPr>
              <w:spacing w:after="0"/>
              <w:rPr>
                <w:sz w:val="15"/>
                <w:szCs w:val="15"/>
                <w:color w:val="auto"/>
              </w:rPr>
            </w:pPr>
          </w:p>
        </w:tc>
        <w:tc>
          <w:tcPr>
            <w:tcW w:w="440" w:type="dxa"/>
            <w:vAlign w:val="bottom"/>
          </w:tcPr>
          <w:p>
            <w:pPr>
              <w:jc w:val="right"/>
              <w:ind w:right="160"/>
              <w:spacing w:after="0" w:line="173"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4"/>
        </w:trPr>
        <w:tc>
          <w:tcPr>
            <w:tcW w:w="420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3"/>
        </w:trPr>
        <w:tc>
          <w:tcPr>
            <w:tcW w:w="4200" w:type="dxa"/>
            <w:vAlign w:val="bottom"/>
          </w:tcPr>
          <w:p>
            <w:pPr>
              <w:ind w:left="180"/>
              <w:spacing w:after="0" w:line="166" w:lineRule="exact"/>
              <w:rPr>
                <w:sz w:val="20"/>
                <w:szCs w:val="20"/>
                <w:color w:val="auto"/>
              </w:rPr>
            </w:pPr>
            <w:r>
              <w:rPr>
                <w:rFonts w:ascii="Arial" w:cs="Arial" w:eastAsia="Arial" w:hAnsi="Arial"/>
                <w:sz w:val="16"/>
                <w:szCs w:val="16"/>
                <w:color w:val="auto"/>
              </w:rPr>
              <w:t>Total other comprehensive income (loss)</w:t>
            </w: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81"/>
              <w:spacing w:after="0" w:line="166" w:lineRule="exact"/>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1"/>
              <w:spacing w:after="0" w:line="166" w:lineRule="exact"/>
              <w:rPr>
                <w:sz w:val="20"/>
                <w:szCs w:val="20"/>
                <w:color w:val="auto"/>
              </w:rPr>
            </w:pPr>
            <w:r>
              <w:rPr>
                <w:rFonts w:ascii="Arial" w:cs="Arial" w:eastAsia="Arial" w:hAnsi="Arial"/>
                <w:sz w:val="16"/>
                <w:szCs w:val="16"/>
                <w:color w:val="auto"/>
              </w:rPr>
              <w:t>(1)</w:t>
            </w: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14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00"/>
              <w:spacing w:after="0" w:line="166" w:lineRule="exact"/>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4200" w:type="dxa"/>
            <w:vAlign w:val="bottom"/>
          </w:tcPr>
          <w:p>
            <w:pPr>
              <w:spacing w:after="0" w:line="173" w:lineRule="exact"/>
              <w:rPr>
                <w:sz w:val="20"/>
                <w:szCs w:val="20"/>
                <w:color w:val="auto"/>
              </w:rPr>
            </w:pPr>
            <w:r>
              <w:rPr>
                <w:rFonts w:ascii="Arial" w:cs="Arial" w:eastAsia="Arial" w:hAnsi="Arial"/>
                <w:sz w:val="16"/>
                <w:szCs w:val="16"/>
                <w:color w:val="auto"/>
              </w:rPr>
              <w:t>Comprehensive income</w:t>
            </w:r>
          </w:p>
        </w:tc>
        <w:tc>
          <w:tcPr>
            <w:tcW w:w="860" w:type="dxa"/>
            <w:vAlign w:val="bottom"/>
          </w:tcPr>
          <w:p>
            <w:pPr>
              <w:ind w:left="340"/>
              <w:spacing w:after="0" w:line="173" w:lineRule="exact"/>
              <w:rPr>
                <w:sz w:val="20"/>
                <w:szCs w:val="20"/>
                <w:color w:val="auto"/>
              </w:rPr>
            </w:pPr>
            <w:r>
              <w:rPr>
                <w:rFonts w:ascii="Arial" w:cs="Arial" w:eastAsia="Arial" w:hAnsi="Arial"/>
                <w:sz w:val="16"/>
                <w:szCs w:val="16"/>
                <w:color w:val="auto"/>
              </w:rPr>
              <w:t>$</w:t>
            </w:r>
          </w:p>
        </w:tc>
        <w:tc>
          <w:tcPr>
            <w:tcW w:w="4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194</w:t>
            </w:r>
          </w:p>
        </w:tc>
        <w:tc>
          <w:tcPr>
            <w:tcW w:w="3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line="173" w:lineRule="exact"/>
              <w:rPr>
                <w:sz w:val="20"/>
                <w:szCs w:val="20"/>
                <w:color w:val="auto"/>
              </w:rPr>
            </w:pPr>
            <w:r>
              <w:rPr>
                <w:rFonts w:ascii="Arial" w:cs="Arial" w:eastAsia="Arial" w:hAnsi="Arial"/>
                <w:sz w:val="16"/>
                <w:szCs w:val="16"/>
                <w:color w:val="auto"/>
              </w:rPr>
              <w:t>(70)</w:t>
            </w:r>
          </w:p>
        </w:tc>
        <w:tc>
          <w:tcPr>
            <w:tcW w:w="720" w:type="dxa"/>
            <w:vAlign w:val="bottom"/>
          </w:tcPr>
          <w:p>
            <w:pPr>
              <w:ind w:left="200"/>
              <w:spacing w:after="0" w:line="173"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73" w:lineRule="exact"/>
              <w:rPr>
                <w:sz w:val="20"/>
                <w:szCs w:val="20"/>
                <w:color w:val="auto"/>
              </w:rPr>
            </w:pPr>
            <w:r>
              <w:rPr>
                <w:rFonts w:ascii="Arial" w:cs="Arial" w:eastAsia="Arial" w:hAnsi="Arial"/>
                <w:sz w:val="16"/>
                <w:szCs w:val="16"/>
                <w:color w:val="auto"/>
              </w:rPr>
              <w:t>124</w:t>
            </w:r>
          </w:p>
        </w:tc>
        <w:tc>
          <w:tcPr>
            <w:tcW w:w="1480" w:type="dxa"/>
            <w:vAlign w:val="bottom"/>
          </w:tcPr>
          <w:p>
            <w:pPr>
              <w:jc w:val="right"/>
              <w:ind w:right="942"/>
              <w:spacing w:after="0" w:line="173"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160"/>
              <w:spacing w:after="0" w:line="173" w:lineRule="exact"/>
              <w:rPr>
                <w:sz w:val="20"/>
                <w:szCs w:val="20"/>
                <w:color w:val="auto"/>
              </w:rPr>
            </w:pPr>
            <w:r>
              <w:rPr>
                <w:rFonts w:ascii="Arial" w:cs="Arial" w:eastAsia="Arial" w:hAnsi="Arial"/>
                <w:sz w:val="16"/>
                <w:szCs w:val="16"/>
                <w:color w:val="auto"/>
              </w:rPr>
              <w:t>5</w:t>
            </w:r>
          </w:p>
        </w:tc>
        <w:tc>
          <w:tcPr>
            <w:tcW w:w="3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80"/>
        </w:trPr>
        <w:tc>
          <w:tcPr>
            <w:tcW w:w="420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40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48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line="155" w:lineRule="exact"/>
              <w:rPr>
                <w:sz w:val="20"/>
                <w:szCs w:val="20"/>
                <w:color w:val="auto"/>
              </w:rPr>
            </w:pPr>
            <w:r>
              <w:rPr>
                <w:rFonts w:ascii="Arial" w:cs="Arial" w:eastAsia="Arial" w:hAnsi="Arial"/>
                <w:sz w:val="16"/>
                <w:szCs w:val="16"/>
                <w:b w:val="1"/>
                <w:bCs w:val="1"/>
                <w:color w:val="auto"/>
              </w:rPr>
              <w:t>2013:</w:t>
            </w:r>
          </w:p>
        </w:tc>
        <w:tc>
          <w:tcPr>
            <w:tcW w:w="86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ind w:right="81"/>
              <w:spacing w:after="0"/>
              <w:rPr>
                <w:sz w:val="20"/>
                <w:szCs w:val="20"/>
                <w:color w:val="auto"/>
              </w:rPr>
            </w:pPr>
            <w:r>
              <w:rPr>
                <w:rFonts w:ascii="Arial" w:cs="Arial" w:eastAsia="Arial" w:hAnsi="Arial"/>
                <w:sz w:val="16"/>
                <w:szCs w:val="16"/>
                <w:color w:val="auto"/>
              </w:rPr>
              <w:t>78</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0" w:type="dxa"/>
            <w:vAlign w:val="bottom"/>
            <w:vMerge w:val="restart"/>
          </w:tcPr>
          <w:p>
            <w:pPr>
              <w:jc w:val="right"/>
              <w:ind w:right="81"/>
              <w:spacing w:after="0"/>
              <w:rPr>
                <w:sz w:val="20"/>
                <w:szCs w:val="20"/>
                <w:color w:val="auto"/>
              </w:rPr>
            </w:pPr>
            <w:r>
              <w:rPr>
                <w:rFonts w:ascii="Arial" w:cs="Arial" w:eastAsia="Arial" w:hAnsi="Arial"/>
                <w:sz w:val="16"/>
                <w:szCs w:val="16"/>
                <w:color w:val="auto"/>
              </w:rPr>
              <w:t>(12)</w:t>
            </w:r>
          </w:p>
        </w:tc>
        <w:tc>
          <w:tcPr>
            <w:tcW w:w="72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66</w:t>
            </w:r>
          </w:p>
        </w:tc>
        <w:tc>
          <w:tcPr>
            <w:tcW w:w="1480" w:type="dxa"/>
            <w:vAlign w:val="bottom"/>
            <w:vMerge w:val="restart"/>
          </w:tcPr>
          <w:p>
            <w:pPr>
              <w:jc w:val="right"/>
              <w:ind w:right="942"/>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jc w:val="right"/>
              <w:ind w:right="160"/>
              <w:spacing w:after="0"/>
              <w:rPr>
                <w:sz w:val="20"/>
                <w:szCs w:val="20"/>
                <w:color w:val="auto"/>
              </w:rPr>
            </w:pPr>
            <w:r>
              <w:rPr>
                <w:rFonts w:ascii="Arial" w:cs="Arial" w:eastAsia="Arial" w:hAnsi="Arial"/>
                <w:sz w:val="16"/>
                <w:szCs w:val="16"/>
                <w:color w:val="auto"/>
              </w:rPr>
              <w:t>7</w:t>
            </w: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20"/>
                <w:szCs w:val="20"/>
                <w:color w:val="auto"/>
              </w:rPr>
            </w:pPr>
            <w:r>
              <w:rPr>
                <w:rFonts w:ascii="Arial" w:cs="Arial" w:eastAsia="Arial" w:hAnsi="Arial"/>
                <w:sz w:val="16"/>
                <w:szCs w:val="16"/>
                <w:color w:val="auto"/>
              </w:rPr>
              <w:t>Net income</w:t>
            </w:r>
          </w:p>
        </w:tc>
        <w:tc>
          <w:tcPr>
            <w:tcW w:w="8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5"/>
                <w:szCs w:val="15"/>
                <w:color w:val="auto"/>
              </w:rPr>
              <w:t>Other comprehensive income:</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200" w:type="dxa"/>
            <w:vAlign w:val="bottom"/>
          </w:tcPr>
          <w:p>
            <w:pPr>
              <w:ind w:left="180"/>
              <w:spacing w:after="0" w:line="173" w:lineRule="exact"/>
              <w:rPr>
                <w:sz w:val="20"/>
                <w:szCs w:val="20"/>
                <w:color w:val="auto"/>
              </w:rPr>
            </w:pPr>
            <w:r>
              <w:rPr>
                <w:rFonts w:ascii="Arial" w:cs="Arial" w:eastAsia="Arial" w:hAnsi="Arial"/>
                <w:sz w:val="16"/>
                <w:szCs w:val="16"/>
                <w:color w:val="auto"/>
              </w:rPr>
              <w:t>Pension and other postretirement benefits</w:t>
            </w:r>
          </w:p>
        </w:tc>
        <w:tc>
          <w:tcPr>
            <w:tcW w:w="860" w:type="dxa"/>
            <w:vAlign w:val="bottom"/>
          </w:tcPr>
          <w:p>
            <w:pPr>
              <w:spacing w:after="0"/>
              <w:rPr>
                <w:sz w:val="15"/>
                <w:szCs w:val="15"/>
                <w:color w:val="auto"/>
              </w:rPr>
            </w:pPr>
          </w:p>
        </w:tc>
        <w:tc>
          <w:tcPr>
            <w:tcW w:w="4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1</w:t>
            </w:r>
          </w:p>
        </w:tc>
        <w:tc>
          <w:tcPr>
            <w:tcW w:w="340" w:type="dxa"/>
            <w:vAlign w:val="bottom"/>
          </w:tcPr>
          <w:p>
            <w:pPr>
              <w:spacing w:after="0"/>
              <w:rPr>
                <w:sz w:val="15"/>
                <w:szCs w:val="15"/>
                <w:color w:val="auto"/>
              </w:rPr>
            </w:pPr>
          </w:p>
        </w:tc>
        <w:tc>
          <w:tcPr>
            <w:tcW w:w="1400" w:type="dxa"/>
            <w:vAlign w:val="bottom"/>
          </w:tcPr>
          <w:p>
            <w:pPr>
              <w:jc w:val="right"/>
              <w:ind w:right="121"/>
              <w:spacing w:after="0" w:line="173" w:lineRule="exact"/>
              <w:rPr>
                <w:sz w:val="20"/>
                <w:szCs w:val="20"/>
                <w:color w:val="auto"/>
              </w:rPr>
            </w:pPr>
            <w:r>
              <w:rPr>
                <w:rFonts w:ascii="Arial" w:cs="Arial" w:eastAsia="Arial" w:hAnsi="Arial"/>
                <w:sz w:val="16"/>
                <w:szCs w:val="16"/>
                <w:color w:val="auto"/>
              </w:rPr>
              <w:t>―</w:t>
            </w:r>
          </w:p>
        </w:tc>
        <w:tc>
          <w:tcPr>
            <w:tcW w:w="720" w:type="dxa"/>
            <w:vAlign w:val="bottom"/>
          </w:tcPr>
          <w:p>
            <w:pPr>
              <w:spacing w:after="0"/>
              <w:rPr>
                <w:sz w:val="15"/>
                <w:szCs w:val="15"/>
                <w:color w:val="auto"/>
              </w:rPr>
            </w:pPr>
          </w:p>
        </w:tc>
        <w:tc>
          <w:tcPr>
            <w:tcW w:w="34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1480" w:type="dxa"/>
            <w:vAlign w:val="bottom"/>
          </w:tcPr>
          <w:p>
            <w:pPr>
              <w:spacing w:after="0"/>
              <w:rPr>
                <w:sz w:val="15"/>
                <w:szCs w:val="15"/>
                <w:color w:val="auto"/>
              </w:rPr>
            </w:pPr>
          </w:p>
        </w:tc>
        <w:tc>
          <w:tcPr>
            <w:tcW w:w="440" w:type="dxa"/>
            <w:vAlign w:val="bottom"/>
          </w:tcPr>
          <w:p>
            <w:pPr>
              <w:jc w:val="right"/>
              <w:ind w:right="160"/>
              <w:spacing w:after="0" w:line="173"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4"/>
        </w:trPr>
        <w:tc>
          <w:tcPr>
            <w:tcW w:w="420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12</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66"/>
        </w:trPr>
        <w:tc>
          <w:tcPr>
            <w:tcW w:w="4200" w:type="dxa"/>
            <w:vAlign w:val="bottom"/>
          </w:tcPr>
          <w:p>
            <w:pPr>
              <w:ind w:left="180"/>
              <w:spacing w:after="0" w:line="166" w:lineRule="exact"/>
              <w:rPr>
                <w:sz w:val="20"/>
                <w:szCs w:val="20"/>
                <w:color w:val="auto"/>
              </w:rPr>
            </w:pPr>
            <w:r>
              <w:rPr>
                <w:rFonts w:ascii="Arial" w:cs="Arial" w:eastAsia="Arial" w:hAnsi="Arial"/>
                <w:sz w:val="16"/>
                <w:szCs w:val="16"/>
                <w:color w:val="auto"/>
              </w:rPr>
              <w:t>Total other comprehensive income</w:t>
            </w: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1"/>
              <w:spacing w:after="0" w:line="166" w:lineRule="exact"/>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21"/>
              <w:spacing w:after="0" w:line="166"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1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60"/>
              <w:spacing w:after="0" w:line="166" w:lineRule="exact"/>
              <w:rPr>
                <w:sz w:val="20"/>
                <w:szCs w:val="20"/>
                <w:color w:val="auto"/>
              </w:rPr>
            </w:pPr>
            <w:r>
              <w:rPr>
                <w:rFonts w:ascii="Arial" w:cs="Arial" w:eastAsia="Arial" w:hAnsi="Arial"/>
                <w:sz w:val="16"/>
                <w:szCs w:val="16"/>
                <w:color w:val="auto"/>
              </w:rPr>
              <w:t>12</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6"/>
        </w:trPr>
        <w:tc>
          <w:tcPr>
            <w:tcW w:w="4200" w:type="dxa"/>
            <w:vAlign w:val="bottom"/>
          </w:tcPr>
          <w:p>
            <w:pPr>
              <w:spacing w:after="0" w:line="166" w:lineRule="exact"/>
              <w:rPr>
                <w:sz w:val="20"/>
                <w:szCs w:val="20"/>
                <w:color w:val="auto"/>
              </w:rPr>
            </w:pPr>
            <w:r>
              <w:rPr>
                <w:rFonts w:ascii="Arial" w:cs="Arial" w:eastAsia="Arial" w:hAnsi="Arial"/>
                <w:sz w:val="16"/>
                <w:szCs w:val="16"/>
                <w:color w:val="auto"/>
              </w:rPr>
              <w:t>Comprehensive income</w:t>
            </w:r>
          </w:p>
        </w:tc>
        <w:tc>
          <w:tcPr>
            <w:tcW w:w="860" w:type="dxa"/>
            <w:vAlign w:val="bottom"/>
          </w:tcPr>
          <w:p>
            <w:pPr>
              <w:ind w:left="340"/>
              <w:spacing w:after="0" w:line="166" w:lineRule="exact"/>
              <w:rPr>
                <w:sz w:val="20"/>
                <w:szCs w:val="20"/>
                <w:color w:val="auto"/>
              </w:rPr>
            </w:pPr>
            <w:r>
              <w:rPr>
                <w:rFonts w:ascii="Arial" w:cs="Arial" w:eastAsia="Arial" w:hAnsi="Arial"/>
                <w:sz w:val="16"/>
                <w:szCs w:val="16"/>
                <w:color w:val="auto"/>
              </w:rPr>
              <w:t>$</w:t>
            </w:r>
          </w:p>
        </w:tc>
        <w:tc>
          <w:tcPr>
            <w:tcW w:w="460" w:type="dxa"/>
            <w:vAlign w:val="bottom"/>
          </w:tcPr>
          <w:p>
            <w:pPr>
              <w:jc w:val="right"/>
              <w:ind w:right="81"/>
              <w:spacing w:after="0" w:line="166" w:lineRule="exact"/>
              <w:rPr>
                <w:sz w:val="20"/>
                <w:szCs w:val="20"/>
                <w:color w:val="auto"/>
              </w:rPr>
            </w:pPr>
            <w:r>
              <w:rPr>
                <w:rFonts w:ascii="Arial" w:cs="Arial" w:eastAsia="Arial" w:hAnsi="Arial"/>
                <w:sz w:val="16"/>
                <w:szCs w:val="16"/>
                <w:color w:val="auto"/>
              </w:rPr>
              <w:t>79</w:t>
            </w:r>
          </w:p>
        </w:tc>
        <w:tc>
          <w:tcPr>
            <w:tcW w:w="34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line="166" w:lineRule="exact"/>
              <w:rPr>
                <w:sz w:val="20"/>
                <w:szCs w:val="20"/>
                <w:color w:val="auto"/>
              </w:rPr>
            </w:pPr>
            <w:r>
              <w:rPr>
                <w:rFonts w:ascii="Arial" w:cs="Arial" w:eastAsia="Arial" w:hAnsi="Arial"/>
                <w:sz w:val="16"/>
                <w:szCs w:val="16"/>
                <w:color w:val="auto"/>
              </w:rPr>
              <w:t>(12)</w:t>
            </w:r>
          </w:p>
        </w:tc>
        <w:tc>
          <w:tcPr>
            <w:tcW w:w="720" w:type="dxa"/>
            <w:vAlign w:val="bottom"/>
          </w:tcPr>
          <w:p>
            <w:pPr>
              <w:ind w:left="200"/>
              <w:spacing w:after="0" w:line="166"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66" w:lineRule="exact"/>
              <w:rPr>
                <w:sz w:val="20"/>
                <w:szCs w:val="20"/>
                <w:color w:val="auto"/>
              </w:rPr>
            </w:pPr>
            <w:r>
              <w:rPr>
                <w:rFonts w:ascii="Arial" w:cs="Arial" w:eastAsia="Arial" w:hAnsi="Arial"/>
                <w:sz w:val="16"/>
                <w:szCs w:val="16"/>
                <w:color w:val="auto"/>
              </w:rPr>
              <w:t>67</w:t>
            </w:r>
          </w:p>
        </w:tc>
        <w:tc>
          <w:tcPr>
            <w:tcW w:w="1480" w:type="dxa"/>
            <w:vAlign w:val="bottom"/>
          </w:tcPr>
          <w:p>
            <w:pPr>
              <w:jc w:val="right"/>
              <w:ind w:right="942"/>
              <w:spacing w:after="0" w:line="166"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160"/>
              <w:spacing w:after="0" w:line="166" w:lineRule="exact"/>
              <w:rPr>
                <w:sz w:val="20"/>
                <w:szCs w:val="20"/>
                <w:color w:val="auto"/>
              </w:rPr>
            </w:pPr>
            <w:r>
              <w:rPr>
                <w:rFonts w:ascii="Arial" w:cs="Arial" w:eastAsia="Arial" w:hAnsi="Arial"/>
                <w:sz w:val="16"/>
                <w:szCs w:val="16"/>
                <w:color w:val="auto"/>
              </w:rPr>
              <w:t>19</w:t>
            </w:r>
          </w:p>
        </w:tc>
        <w:tc>
          <w:tcPr>
            <w:tcW w:w="30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66" w:lineRule="exact"/>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80"/>
        </w:trPr>
        <w:tc>
          <w:tcPr>
            <w:tcW w:w="420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3940" w:type="dxa"/>
            <w:vAlign w:val="bottom"/>
            <w:gridSpan w:val="4"/>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359"/>
        </w:trPr>
        <w:tc>
          <w:tcPr>
            <w:tcW w:w="42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4"/>
                <w:szCs w:val="14"/>
                <w:color w:val="auto"/>
              </w:rPr>
              <w:t>Six months ended June 30, 2014 and 2013</w:t>
            </w: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(unaudited)</w:t>
            </w:r>
          </w:p>
        </w:tc>
        <w:tc>
          <w:tcPr>
            <w:tcW w:w="1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line="148" w:lineRule="exact"/>
              <w:rPr>
                <w:sz w:val="20"/>
                <w:szCs w:val="20"/>
                <w:color w:val="auto"/>
              </w:rPr>
            </w:pPr>
            <w:r>
              <w:rPr>
                <w:rFonts w:ascii="Arial" w:cs="Arial" w:eastAsia="Arial" w:hAnsi="Arial"/>
                <w:sz w:val="16"/>
                <w:szCs w:val="16"/>
                <w:b w:val="1"/>
                <w:bCs w:val="1"/>
                <w:color w:val="auto"/>
              </w:rPr>
              <w:t>2014:</w:t>
            </w:r>
          </w:p>
        </w:tc>
        <w:tc>
          <w:tcPr>
            <w:tcW w:w="86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ind w:right="81"/>
              <w:spacing w:after="0"/>
              <w:rPr>
                <w:sz w:val="20"/>
                <w:szCs w:val="20"/>
                <w:color w:val="auto"/>
              </w:rPr>
            </w:pPr>
            <w:r>
              <w:rPr>
                <w:rFonts w:ascii="Arial" w:cs="Arial" w:eastAsia="Arial" w:hAnsi="Arial"/>
                <w:sz w:val="16"/>
                <w:szCs w:val="16"/>
                <w:color w:val="auto"/>
              </w:rPr>
              <w:t>374</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0" w:type="dxa"/>
            <w:vAlign w:val="bottom"/>
            <w:vMerge w:val="restart"/>
          </w:tcPr>
          <w:p>
            <w:pPr>
              <w:jc w:val="right"/>
              <w:ind w:right="81"/>
              <w:spacing w:after="0"/>
              <w:rPr>
                <w:sz w:val="20"/>
                <w:szCs w:val="20"/>
                <w:color w:val="auto"/>
              </w:rPr>
            </w:pPr>
            <w:r>
              <w:rPr>
                <w:rFonts w:ascii="Arial" w:cs="Arial" w:eastAsia="Arial" w:hAnsi="Arial"/>
                <w:sz w:val="16"/>
                <w:szCs w:val="16"/>
                <w:color w:val="auto"/>
              </w:rPr>
              <w:t>(152)</w:t>
            </w:r>
          </w:p>
        </w:tc>
        <w:tc>
          <w:tcPr>
            <w:tcW w:w="72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222</w:t>
            </w:r>
          </w:p>
        </w:tc>
        <w:tc>
          <w:tcPr>
            <w:tcW w:w="1480" w:type="dxa"/>
            <w:vAlign w:val="bottom"/>
            <w:vMerge w:val="restart"/>
          </w:tcPr>
          <w:p>
            <w:pPr>
              <w:jc w:val="right"/>
              <w:ind w:right="942"/>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jc w:val="right"/>
              <w:ind w:right="160"/>
              <w:spacing w:after="0"/>
              <w:rPr>
                <w:sz w:val="20"/>
                <w:szCs w:val="20"/>
                <w:color w:val="auto"/>
              </w:rPr>
            </w:pPr>
            <w:r>
              <w:rPr>
                <w:rFonts w:ascii="Arial" w:cs="Arial" w:eastAsia="Arial" w:hAnsi="Arial"/>
                <w:sz w:val="16"/>
                <w:szCs w:val="16"/>
                <w:color w:val="auto"/>
              </w:rPr>
              <w:t>8</w:t>
            </w: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20"/>
                <w:szCs w:val="20"/>
                <w:color w:val="auto"/>
              </w:rPr>
            </w:pPr>
            <w:r>
              <w:rPr>
                <w:rFonts w:ascii="Arial" w:cs="Arial" w:eastAsia="Arial" w:hAnsi="Arial"/>
                <w:sz w:val="16"/>
                <w:szCs w:val="16"/>
                <w:color w:val="auto"/>
              </w:rPr>
              <w:t>Net income</w:t>
            </w:r>
          </w:p>
        </w:tc>
        <w:tc>
          <w:tcPr>
            <w:tcW w:w="8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5"/>
                <w:szCs w:val="15"/>
                <w:color w:val="auto"/>
              </w:rPr>
              <w:t>Other comprehensive income (loss):</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200" w:type="dxa"/>
            <w:vAlign w:val="bottom"/>
          </w:tcPr>
          <w:p>
            <w:pPr>
              <w:ind w:left="180"/>
              <w:spacing w:after="0" w:line="173" w:lineRule="exact"/>
              <w:rPr>
                <w:sz w:val="20"/>
                <w:szCs w:val="20"/>
                <w:color w:val="auto"/>
              </w:rPr>
            </w:pPr>
            <w:r>
              <w:rPr>
                <w:rFonts w:ascii="Arial" w:cs="Arial" w:eastAsia="Arial" w:hAnsi="Arial"/>
                <w:sz w:val="16"/>
                <w:szCs w:val="16"/>
                <w:color w:val="auto"/>
              </w:rPr>
              <w:t>Pension and other postretirement benefits</w:t>
            </w:r>
          </w:p>
        </w:tc>
        <w:tc>
          <w:tcPr>
            <w:tcW w:w="860" w:type="dxa"/>
            <w:vAlign w:val="bottom"/>
          </w:tcPr>
          <w:p>
            <w:pPr>
              <w:spacing w:after="0"/>
              <w:rPr>
                <w:sz w:val="15"/>
                <w:szCs w:val="15"/>
                <w:color w:val="auto"/>
              </w:rPr>
            </w:pPr>
          </w:p>
        </w:tc>
        <w:tc>
          <w:tcPr>
            <w:tcW w:w="4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2</w:t>
            </w:r>
          </w:p>
        </w:tc>
        <w:tc>
          <w:tcPr>
            <w:tcW w:w="340" w:type="dxa"/>
            <w:vAlign w:val="bottom"/>
          </w:tcPr>
          <w:p>
            <w:pPr>
              <w:spacing w:after="0"/>
              <w:rPr>
                <w:sz w:val="15"/>
                <w:szCs w:val="15"/>
                <w:color w:val="auto"/>
              </w:rPr>
            </w:pPr>
          </w:p>
        </w:tc>
        <w:tc>
          <w:tcPr>
            <w:tcW w:w="1400" w:type="dxa"/>
            <w:vAlign w:val="bottom"/>
          </w:tcPr>
          <w:p>
            <w:pPr>
              <w:jc w:val="right"/>
              <w:ind w:right="81"/>
              <w:spacing w:after="0" w:line="173" w:lineRule="exact"/>
              <w:rPr>
                <w:sz w:val="20"/>
                <w:szCs w:val="20"/>
                <w:color w:val="auto"/>
              </w:rPr>
            </w:pPr>
            <w:r>
              <w:rPr>
                <w:rFonts w:ascii="Arial" w:cs="Arial" w:eastAsia="Arial" w:hAnsi="Arial"/>
                <w:sz w:val="16"/>
                <w:szCs w:val="16"/>
                <w:color w:val="auto"/>
              </w:rPr>
              <w:t>(1)</w:t>
            </w:r>
          </w:p>
        </w:tc>
        <w:tc>
          <w:tcPr>
            <w:tcW w:w="720" w:type="dxa"/>
            <w:vAlign w:val="bottom"/>
          </w:tcPr>
          <w:p>
            <w:pPr>
              <w:spacing w:after="0"/>
              <w:rPr>
                <w:sz w:val="15"/>
                <w:szCs w:val="15"/>
                <w:color w:val="auto"/>
              </w:rPr>
            </w:pPr>
          </w:p>
        </w:tc>
        <w:tc>
          <w:tcPr>
            <w:tcW w:w="34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1480" w:type="dxa"/>
            <w:vAlign w:val="bottom"/>
          </w:tcPr>
          <w:p>
            <w:pPr>
              <w:spacing w:after="0"/>
              <w:rPr>
                <w:sz w:val="15"/>
                <w:szCs w:val="15"/>
                <w:color w:val="auto"/>
              </w:rPr>
            </w:pPr>
          </w:p>
        </w:tc>
        <w:tc>
          <w:tcPr>
            <w:tcW w:w="440" w:type="dxa"/>
            <w:vAlign w:val="bottom"/>
          </w:tcPr>
          <w:p>
            <w:pPr>
              <w:jc w:val="right"/>
              <w:ind w:right="160"/>
              <w:spacing w:after="0" w:line="173"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4"/>
        </w:trPr>
        <w:tc>
          <w:tcPr>
            <w:tcW w:w="420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6"/>
        </w:trPr>
        <w:tc>
          <w:tcPr>
            <w:tcW w:w="4200" w:type="dxa"/>
            <w:vAlign w:val="bottom"/>
          </w:tcPr>
          <w:p>
            <w:pPr>
              <w:ind w:left="180"/>
              <w:spacing w:after="0" w:line="166" w:lineRule="exact"/>
              <w:rPr>
                <w:sz w:val="20"/>
                <w:szCs w:val="20"/>
                <w:color w:val="auto"/>
              </w:rPr>
            </w:pPr>
            <w:r>
              <w:rPr>
                <w:rFonts w:ascii="Arial" w:cs="Arial" w:eastAsia="Arial" w:hAnsi="Arial"/>
                <w:sz w:val="16"/>
                <w:szCs w:val="16"/>
                <w:color w:val="auto"/>
              </w:rPr>
              <w:t>Total other comprehensive income (loss)</w:t>
            </w: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1"/>
              <w:spacing w:after="0" w:line="166" w:lineRule="exact"/>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81"/>
              <w:spacing w:after="0" w:line="166" w:lineRule="exact"/>
              <w:rPr>
                <w:sz w:val="20"/>
                <w:szCs w:val="20"/>
                <w:color w:val="auto"/>
              </w:rPr>
            </w:pPr>
            <w:r>
              <w:rPr>
                <w:rFonts w:ascii="Arial" w:cs="Arial" w:eastAsia="Arial" w:hAnsi="Arial"/>
                <w:sz w:val="16"/>
                <w:szCs w:val="16"/>
                <w:color w:val="auto"/>
              </w:rPr>
              <w:t>(1)</w:t>
            </w: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1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00"/>
              <w:spacing w:after="0" w:line="166" w:lineRule="exact"/>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4200" w:type="dxa"/>
            <w:vAlign w:val="bottom"/>
          </w:tcPr>
          <w:p>
            <w:pPr>
              <w:spacing w:after="0" w:line="166" w:lineRule="exact"/>
              <w:rPr>
                <w:sz w:val="20"/>
                <w:szCs w:val="20"/>
                <w:color w:val="auto"/>
              </w:rPr>
            </w:pPr>
            <w:r>
              <w:rPr>
                <w:rFonts w:ascii="Arial" w:cs="Arial" w:eastAsia="Arial" w:hAnsi="Arial"/>
                <w:sz w:val="16"/>
                <w:szCs w:val="16"/>
                <w:color w:val="auto"/>
              </w:rPr>
              <w:t>Comprehensive income</w:t>
            </w:r>
          </w:p>
        </w:tc>
        <w:tc>
          <w:tcPr>
            <w:tcW w:w="860" w:type="dxa"/>
            <w:vAlign w:val="bottom"/>
          </w:tcPr>
          <w:p>
            <w:pPr>
              <w:ind w:left="340"/>
              <w:spacing w:after="0" w:line="166" w:lineRule="exact"/>
              <w:rPr>
                <w:sz w:val="20"/>
                <w:szCs w:val="20"/>
                <w:color w:val="auto"/>
              </w:rPr>
            </w:pPr>
            <w:r>
              <w:rPr>
                <w:rFonts w:ascii="Arial" w:cs="Arial" w:eastAsia="Arial" w:hAnsi="Arial"/>
                <w:sz w:val="16"/>
                <w:szCs w:val="16"/>
                <w:color w:val="auto"/>
              </w:rPr>
              <w:t>$</w:t>
            </w:r>
          </w:p>
        </w:tc>
        <w:tc>
          <w:tcPr>
            <w:tcW w:w="460" w:type="dxa"/>
            <w:vAlign w:val="bottom"/>
          </w:tcPr>
          <w:p>
            <w:pPr>
              <w:jc w:val="right"/>
              <w:ind w:right="81"/>
              <w:spacing w:after="0" w:line="166" w:lineRule="exact"/>
              <w:rPr>
                <w:sz w:val="20"/>
                <w:szCs w:val="20"/>
                <w:color w:val="auto"/>
              </w:rPr>
            </w:pPr>
            <w:r>
              <w:rPr>
                <w:rFonts w:ascii="Arial" w:cs="Arial" w:eastAsia="Arial" w:hAnsi="Arial"/>
                <w:sz w:val="16"/>
                <w:szCs w:val="16"/>
                <w:color w:val="auto"/>
              </w:rPr>
              <w:t>376</w:t>
            </w:r>
          </w:p>
        </w:tc>
        <w:tc>
          <w:tcPr>
            <w:tcW w:w="34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line="166" w:lineRule="exact"/>
              <w:rPr>
                <w:sz w:val="20"/>
                <w:szCs w:val="20"/>
                <w:color w:val="auto"/>
              </w:rPr>
            </w:pPr>
            <w:r>
              <w:rPr>
                <w:rFonts w:ascii="Arial" w:cs="Arial" w:eastAsia="Arial" w:hAnsi="Arial"/>
                <w:sz w:val="16"/>
                <w:szCs w:val="16"/>
                <w:color w:val="auto"/>
              </w:rPr>
              <w:t>(153)</w:t>
            </w:r>
          </w:p>
        </w:tc>
        <w:tc>
          <w:tcPr>
            <w:tcW w:w="720" w:type="dxa"/>
            <w:vAlign w:val="bottom"/>
          </w:tcPr>
          <w:p>
            <w:pPr>
              <w:ind w:left="200"/>
              <w:spacing w:after="0" w:line="166"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66" w:lineRule="exact"/>
              <w:rPr>
                <w:sz w:val="20"/>
                <w:szCs w:val="20"/>
                <w:color w:val="auto"/>
              </w:rPr>
            </w:pPr>
            <w:r>
              <w:rPr>
                <w:rFonts w:ascii="Arial" w:cs="Arial" w:eastAsia="Arial" w:hAnsi="Arial"/>
                <w:sz w:val="16"/>
                <w:szCs w:val="16"/>
                <w:color w:val="auto"/>
              </w:rPr>
              <w:t>223</w:t>
            </w:r>
          </w:p>
        </w:tc>
        <w:tc>
          <w:tcPr>
            <w:tcW w:w="1480" w:type="dxa"/>
            <w:vAlign w:val="bottom"/>
          </w:tcPr>
          <w:p>
            <w:pPr>
              <w:jc w:val="right"/>
              <w:ind w:right="942"/>
              <w:spacing w:after="0" w:line="166"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160"/>
              <w:spacing w:after="0" w:line="166" w:lineRule="exact"/>
              <w:rPr>
                <w:sz w:val="20"/>
                <w:szCs w:val="20"/>
                <w:color w:val="auto"/>
              </w:rPr>
            </w:pPr>
            <w:r>
              <w:rPr>
                <w:rFonts w:ascii="Arial" w:cs="Arial" w:eastAsia="Arial" w:hAnsi="Arial"/>
                <w:sz w:val="16"/>
                <w:szCs w:val="16"/>
                <w:color w:val="auto"/>
              </w:rPr>
              <w:t>7</w:t>
            </w:r>
          </w:p>
        </w:tc>
        <w:tc>
          <w:tcPr>
            <w:tcW w:w="30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66" w:lineRule="exact"/>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80"/>
        </w:trPr>
        <w:tc>
          <w:tcPr>
            <w:tcW w:w="420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40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48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line="155" w:lineRule="exact"/>
              <w:rPr>
                <w:sz w:val="20"/>
                <w:szCs w:val="20"/>
                <w:color w:val="auto"/>
              </w:rPr>
            </w:pPr>
            <w:r>
              <w:rPr>
                <w:rFonts w:ascii="Arial" w:cs="Arial" w:eastAsia="Arial" w:hAnsi="Arial"/>
                <w:sz w:val="16"/>
                <w:szCs w:val="16"/>
                <w:b w:val="1"/>
                <w:bCs w:val="1"/>
                <w:color w:val="auto"/>
              </w:rPr>
              <w:t>2013:</w:t>
            </w:r>
          </w:p>
        </w:tc>
        <w:tc>
          <w:tcPr>
            <w:tcW w:w="86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ind w:right="81"/>
              <w:spacing w:after="0"/>
              <w:rPr>
                <w:sz w:val="20"/>
                <w:szCs w:val="20"/>
                <w:color w:val="auto"/>
              </w:rPr>
            </w:pPr>
            <w:r>
              <w:rPr>
                <w:rFonts w:ascii="Arial" w:cs="Arial" w:eastAsia="Arial" w:hAnsi="Arial"/>
                <w:sz w:val="16"/>
                <w:szCs w:val="16"/>
                <w:color w:val="auto"/>
              </w:rPr>
              <w:t>221</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0" w:type="dxa"/>
            <w:vAlign w:val="bottom"/>
            <w:vMerge w:val="restart"/>
          </w:tcPr>
          <w:p>
            <w:pPr>
              <w:jc w:val="right"/>
              <w:ind w:right="81"/>
              <w:spacing w:after="0"/>
              <w:rPr>
                <w:sz w:val="20"/>
                <w:szCs w:val="20"/>
                <w:color w:val="auto"/>
              </w:rPr>
            </w:pPr>
            <w:r>
              <w:rPr>
                <w:rFonts w:ascii="Arial" w:cs="Arial" w:eastAsia="Arial" w:hAnsi="Arial"/>
                <w:sz w:val="16"/>
                <w:szCs w:val="16"/>
                <w:color w:val="auto"/>
              </w:rPr>
              <w:t>(63)</w:t>
            </w:r>
          </w:p>
        </w:tc>
        <w:tc>
          <w:tcPr>
            <w:tcW w:w="72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158</w:t>
            </w:r>
          </w:p>
        </w:tc>
        <w:tc>
          <w:tcPr>
            <w:tcW w:w="1480" w:type="dxa"/>
            <w:vAlign w:val="bottom"/>
            <w:vMerge w:val="restart"/>
          </w:tcPr>
          <w:p>
            <w:pPr>
              <w:jc w:val="right"/>
              <w:ind w:right="942"/>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jc w:val="right"/>
              <w:ind w:right="100"/>
              <w:spacing w:after="0"/>
              <w:rPr>
                <w:sz w:val="20"/>
                <w:szCs w:val="20"/>
                <w:color w:val="auto"/>
              </w:rPr>
            </w:pPr>
            <w:r>
              <w:rPr>
                <w:rFonts w:ascii="Arial" w:cs="Arial" w:eastAsia="Arial" w:hAnsi="Arial"/>
                <w:sz w:val="16"/>
                <w:szCs w:val="16"/>
                <w:color w:val="auto"/>
              </w:rPr>
              <w:t>(4)</w:t>
            </w: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20"/>
                <w:szCs w:val="20"/>
                <w:color w:val="auto"/>
              </w:rPr>
            </w:pPr>
            <w:r>
              <w:rPr>
                <w:rFonts w:ascii="Arial" w:cs="Arial" w:eastAsia="Arial" w:hAnsi="Arial"/>
                <w:sz w:val="16"/>
                <w:szCs w:val="16"/>
                <w:color w:val="auto"/>
              </w:rPr>
              <w:t>Net income (loss)</w:t>
            </w:r>
          </w:p>
        </w:tc>
        <w:tc>
          <w:tcPr>
            <w:tcW w:w="8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5"/>
                <w:szCs w:val="15"/>
                <w:color w:val="auto"/>
              </w:rPr>
              <w:t>Other comprehensive income:</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200" w:type="dxa"/>
            <w:vAlign w:val="bottom"/>
          </w:tcPr>
          <w:p>
            <w:pPr>
              <w:ind w:left="180"/>
              <w:spacing w:after="0" w:line="173" w:lineRule="exact"/>
              <w:rPr>
                <w:sz w:val="20"/>
                <w:szCs w:val="20"/>
                <w:color w:val="auto"/>
              </w:rPr>
            </w:pPr>
            <w:r>
              <w:rPr>
                <w:rFonts w:ascii="Arial" w:cs="Arial" w:eastAsia="Arial" w:hAnsi="Arial"/>
                <w:sz w:val="16"/>
                <w:szCs w:val="16"/>
                <w:color w:val="auto"/>
              </w:rPr>
              <w:t>Pension and other postretirement benefits</w:t>
            </w:r>
          </w:p>
        </w:tc>
        <w:tc>
          <w:tcPr>
            <w:tcW w:w="860" w:type="dxa"/>
            <w:vAlign w:val="bottom"/>
          </w:tcPr>
          <w:p>
            <w:pPr>
              <w:spacing w:after="0"/>
              <w:rPr>
                <w:sz w:val="15"/>
                <w:szCs w:val="15"/>
                <w:color w:val="auto"/>
              </w:rPr>
            </w:pPr>
          </w:p>
        </w:tc>
        <w:tc>
          <w:tcPr>
            <w:tcW w:w="4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1</w:t>
            </w:r>
          </w:p>
        </w:tc>
        <w:tc>
          <w:tcPr>
            <w:tcW w:w="340" w:type="dxa"/>
            <w:vAlign w:val="bottom"/>
          </w:tcPr>
          <w:p>
            <w:pPr>
              <w:spacing w:after="0"/>
              <w:rPr>
                <w:sz w:val="15"/>
                <w:szCs w:val="15"/>
                <w:color w:val="auto"/>
              </w:rPr>
            </w:pPr>
          </w:p>
        </w:tc>
        <w:tc>
          <w:tcPr>
            <w:tcW w:w="1400" w:type="dxa"/>
            <w:vAlign w:val="bottom"/>
          </w:tcPr>
          <w:p>
            <w:pPr>
              <w:jc w:val="right"/>
              <w:ind w:right="121"/>
              <w:spacing w:after="0" w:line="173" w:lineRule="exact"/>
              <w:rPr>
                <w:sz w:val="20"/>
                <w:szCs w:val="20"/>
                <w:color w:val="auto"/>
              </w:rPr>
            </w:pPr>
            <w:r>
              <w:rPr>
                <w:rFonts w:ascii="Arial" w:cs="Arial" w:eastAsia="Arial" w:hAnsi="Arial"/>
                <w:sz w:val="16"/>
                <w:szCs w:val="16"/>
                <w:color w:val="auto"/>
              </w:rPr>
              <w:t>―</w:t>
            </w:r>
          </w:p>
        </w:tc>
        <w:tc>
          <w:tcPr>
            <w:tcW w:w="720" w:type="dxa"/>
            <w:vAlign w:val="bottom"/>
          </w:tcPr>
          <w:p>
            <w:pPr>
              <w:spacing w:after="0"/>
              <w:rPr>
                <w:sz w:val="15"/>
                <w:szCs w:val="15"/>
                <w:color w:val="auto"/>
              </w:rPr>
            </w:pPr>
          </w:p>
        </w:tc>
        <w:tc>
          <w:tcPr>
            <w:tcW w:w="34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1480" w:type="dxa"/>
            <w:vAlign w:val="bottom"/>
          </w:tcPr>
          <w:p>
            <w:pPr>
              <w:spacing w:after="0"/>
              <w:rPr>
                <w:sz w:val="15"/>
                <w:szCs w:val="15"/>
                <w:color w:val="auto"/>
              </w:rPr>
            </w:pPr>
          </w:p>
        </w:tc>
        <w:tc>
          <w:tcPr>
            <w:tcW w:w="440" w:type="dxa"/>
            <w:vAlign w:val="bottom"/>
          </w:tcPr>
          <w:p>
            <w:pPr>
              <w:jc w:val="right"/>
              <w:ind w:right="160"/>
              <w:spacing w:after="0" w:line="173"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4"/>
        </w:trPr>
        <w:tc>
          <w:tcPr>
            <w:tcW w:w="420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15</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6"/>
        </w:trPr>
        <w:tc>
          <w:tcPr>
            <w:tcW w:w="4200" w:type="dxa"/>
            <w:vAlign w:val="bottom"/>
          </w:tcPr>
          <w:p>
            <w:pPr>
              <w:ind w:left="180"/>
              <w:spacing w:after="0" w:line="166" w:lineRule="exact"/>
              <w:rPr>
                <w:sz w:val="20"/>
                <w:szCs w:val="20"/>
                <w:color w:val="auto"/>
              </w:rPr>
            </w:pPr>
            <w:r>
              <w:rPr>
                <w:rFonts w:ascii="Arial" w:cs="Arial" w:eastAsia="Arial" w:hAnsi="Arial"/>
                <w:sz w:val="16"/>
                <w:szCs w:val="16"/>
                <w:color w:val="auto"/>
              </w:rPr>
              <w:t>Total other comprehensive income</w:t>
            </w: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1"/>
              <w:spacing w:after="0" w:line="166" w:lineRule="exact"/>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21"/>
              <w:spacing w:after="0" w:line="166"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1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60"/>
              <w:spacing w:after="0" w:line="166" w:lineRule="exact"/>
              <w:rPr>
                <w:sz w:val="20"/>
                <w:szCs w:val="20"/>
                <w:color w:val="auto"/>
              </w:rPr>
            </w:pPr>
            <w:r>
              <w:rPr>
                <w:rFonts w:ascii="Arial" w:cs="Arial" w:eastAsia="Arial" w:hAnsi="Arial"/>
                <w:sz w:val="16"/>
                <w:szCs w:val="16"/>
                <w:color w:val="auto"/>
              </w:rPr>
              <w:t>15</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66"/>
        </w:trPr>
        <w:tc>
          <w:tcPr>
            <w:tcW w:w="4200" w:type="dxa"/>
            <w:vAlign w:val="bottom"/>
          </w:tcPr>
          <w:p>
            <w:pPr>
              <w:spacing w:after="0" w:line="166" w:lineRule="exact"/>
              <w:rPr>
                <w:sz w:val="20"/>
                <w:szCs w:val="20"/>
                <w:color w:val="auto"/>
              </w:rPr>
            </w:pPr>
            <w:r>
              <w:rPr>
                <w:rFonts w:ascii="Arial" w:cs="Arial" w:eastAsia="Arial" w:hAnsi="Arial"/>
                <w:sz w:val="16"/>
                <w:szCs w:val="16"/>
                <w:color w:val="auto"/>
              </w:rPr>
              <w:t>Comprehensive income</w:t>
            </w:r>
          </w:p>
        </w:tc>
        <w:tc>
          <w:tcPr>
            <w:tcW w:w="860" w:type="dxa"/>
            <w:vAlign w:val="bottom"/>
          </w:tcPr>
          <w:p>
            <w:pPr>
              <w:ind w:left="340"/>
              <w:spacing w:after="0" w:line="166" w:lineRule="exact"/>
              <w:rPr>
                <w:sz w:val="20"/>
                <w:szCs w:val="20"/>
                <w:color w:val="auto"/>
              </w:rPr>
            </w:pPr>
            <w:r>
              <w:rPr>
                <w:rFonts w:ascii="Arial" w:cs="Arial" w:eastAsia="Arial" w:hAnsi="Arial"/>
                <w:sz w:val="16"/>
                <w:szCs w:val="16"/>
                <w:color w:val="auto"/>
              </w:rPr>
              <w:t>$</w:t>
            </w:r>
          </w:p>
        </w:tc>
        <w:tc>
          <w:tcPr>
            <w:tcW w:w="460" w:type="dxa"/>
            <w:vAlign w:val="bottom"/>
          </w:tcPr>
          <w:p>
            <w:pPr>
              <w:jc w:val="right"/>
              <w:ind w:right="81"/>
              <w:spacing w:after="0" w:line="166" w:lineRule="exact"/>
              <w:rPr>
                <w:sz w:val="20"/>
                <w:szCs w:val="20"/>
                <w:color w:val="auto"/>
              </w:rPr>
            </w:pPr>
            <w:r>
              <w:rPr>
                <w:rFonts w:ascii="Arial" w:cs="Arial" w:eastAsia="Arial" w:hAnsi="Arial"/>
                <w:sz w:val="16"/>
                <w:szCs w:val="16"/>
                <w:color w:val="auto"/>
              </w:rPr>
              <w:t>222</w:t>
            </w:r>
          </w:p>
        </w:tc>
        <w:tc>
          <w:tcPr>
            <w:tcW w:w="34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line="166" w:lineRule="exact"/>
              <w:rPr>
                <w:sz w:val="20"/>
                <w:szCs w:val="20"/>
                <w:color w:val="auto"/>
              </w:rPr>
            </w:pPr>
            <w:r>
              <w:rPr>
                <w:rFonts w:ascii="Arial" w:cs="Arial" w:eastAsia="Arial" w:hAnsi="Arial"/>
                <w:sz w:val="16"/>
                <w:szCs w:val="16"/>
                <w:color w:val="auto"/>
              </w:rPr>
              <w:t>(63)</w:t>
            </w:r>
          </w:p>
        </w:tc>
        <w:tc>
          <w:tcPr>
            <w:tcW w:w="720" w:type="dxa"/>
            <w:vAlign w:val="bottom"/>
          </w:tcPr>
          <w:p>
            <w:pPr>
              <w:ind w:left="200"/>
              <w:spacing w:after="0" w:line="166"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66" w:lineRule="exact"/>
              <w:rPr>
                <w:sz w:val="20"/>
                <w:szCs w:val="20"/>
                <w:color w:val="auto"/>
              </w:rPr>
            </w:pPr>
            <w:r>
              <w:rPr>
                <w:rFonts w:ascii="Arial" w:cs="Arial" w:eastAsia="Arial" w:hAnsi="Arial"/>
                <w:sz w:val="16"/>
                <w:szCs w:val="16"/>
                <w:color w:val="auto"/>
              </w:rPr>
              <w:t>159</w:t>
            </w:r>
          </w:p>
        </w:tc>
        <w:tc>
          <w:tcPr>
            <w:tcW w:w="1480" w:type="dxa"/>
            <w:vAlign w:val="bottom"/>
          </w:tcPr>
          <w:p>
            <w:pPr>
              <w:jc w:val="right"/>
              <w:ind w:right="942"/>
              <w:spacing w:after="0" w:line="166"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160"/>
              <w:spacing w:after="0" w:line="166" w:lineRule="exact"/>
              <w:rPr>
                <w:sz w:val="20"/>
                <w:szCs w:val="20"/>
                <w:color w:val="auto"/>
              </w:rPr>
            </w:pPr>
            <w:r>
              <w:rPr>
                <w:rFonts w:ascii="Arial" w:cs="Arial" w:eastAsia="Arial" w:hAnsi="Arial"/>
                <w:sz w:val="16"/>
                <w:szCs w:val="16"/>
                <w:color w:val="auto"/>
              </w:rPr>
              <w:t>11</w:t>
            </w:r>
          </w:p>
        </w:tc>
        <w:tc>
          <w:tcPr>
            <w:tcW w:w="30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66" w:lineRule="exact"/>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80"/>
        </w:trPr>
        <w:tc>
          <w:tcPr>
            <w:tcW w:w="420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40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48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4020" w:type="dxa"/>
            <w:vAlign w:val="bottom"/>
          </w:tcPr>
          <w:p>
            <w:pPr>
              <w:jc w:val="center"/>
              <w:ind w:left="3167"/>
              <w:spacing w:after="0"/>
              <w:rPr>
                <w:sz w:val="20"/>
                <w:szCs w:val="20"/>
                <w:color w:val="auto"/>
              </w:rPr>
            </w:pPr>
            <w:r>
              <w:rPr>
                <w:rFonts w:ascii="Arial" w:cs="Arial" w:eastAsia="Arial" w:hAnsi="Arial"/>
                <w:sz w:val="14"/>
                <w:szCs w:val="14"/>
                <w:color w:val="auto"/>
              </w:rPr>
              <w:t>June 30,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2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3"/>
        </w:trPr>
        <w:tc>
          <w:tcPr>
            <w:tcW w:w="564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tcPr>
          <w:p>
            <w:pPr>
              <w:jc w:val="center"/>
              <w:ind w:left="3187"/>
              <w:spacing w:after="0"/>
              <w:rPr>
                <w:sz w:val="20"/>
                <w:szCs w:val="20"/>
                <w:color w:val="auto"/>
              </w:rPr>
            </w:pPr>
            <w:r>
              <w:rPr>
                <w:rFonts w:ascii="Arial" w:cs="Arial" w:eastAsia="Arial" w:hAnsi="Arial"/>
                <w:sz w:val="14"/>
                <w:szCs w:val="14"/>
                <w:color w:val="auto"/>
              </w:rPr>
              <w:t>2014</w:t>
            </w: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2013(1)</w:t>
            </w:r>
          </w:p>
        </w:tc>
        <w:tc>
          <w:tcPr>
            <w:tcW w:w="0" w:type="dxa"/>
            <w:vAlign w:val="bottom"/>
          </w:tcPr>
          <w:p>
            <w:pPr>
              <w:spacing w:after="0"/>
              <w:rPr>
                <w:sz w:val="1"/>
                <w:szCs w:val="1"/>
                <w:color w:val="auto"/>
              </w:rPr>
            </w:pPr>
          </w:p>
        </w:tc>
      </w:tr>
      <w:tr>
        <w:trPr>
          <w:trHeight w:val="183"/>
        </w:trPr>
        <w:tc>
          <w:tcPr>
            <w:tcW w:w="5640" w:type="dxa"/>
            <w:vAlign w:val="bottom"/>
            <w:vMerge w:val="restart"/>
          </w:tcPr>
          <w:p>
            <w:pPr>
              <w:spacing w:after="0"/>
              <w:rPr>
                <w:sz w:val="20"/>
                <w:szCs w:val="20"/>
                <w:color w:val="auto"/>
              </w:rPr>
            </w:pPr>
            <w:r>
              <w:rPr>
                <w:rFonts w:ascii="Arial" w:cs="Arial" w:eastAsia="Arial" w:hAnsi="Arial"/>
                <w:sz w:val="16"/>
                <w:szCs w:val="16"/>
                <w:color w:val="auto"/>
              </w:rPr>
              <w:t>ASSETS</w:t>
            </w:r>
          </w:p>
        </w:tc>
        <w:tc>
          <w:tcPr>
            <w:tcW w:w="4020" w:type="dxa"/>
            <w:vAlign w:val="bottom"/>
          </w:tcPr>
          <w:p>
            <w:pPr>
              <w:jc w:val="center"/>
              <w:ind w:left="3187"/>
              <w:spacing w:after="0"/>
              <w:rPr>
                <w:sz w:val="20"/>
                <w:szCs w:val="20"/>
                <w:color w:val="auto"/>
              </w:rPr>
            </w:pPr>
            <w:r>
              <w:rPr>
                <w:rFonts w:ascii="Arial" w:cs="Arial" w:eastAsia="Arial" w:hAnsi="Arial"/>
                <w:sz w:val="14"/>
                <w:szCs w:val="14"/>
                <w:color w:val="auto"/>
              </w:rPr>
              <w:t>(unaudited)</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5640" w:type="dxa"/>
            <w:vAlign w:val="bottom"/>
            <w:vMerge w:val="continue"/>
          </w:tcPr>
          <w:p>
            <w:pPr>
              <w:spacing w:after="0"/>
              <w:rPr>
                <w:sz w:val="10"/>
                <w:szCs w:val="10"/>
                <w:color w:val="auto"/>
              </w:rPr>
            </w:pPr>
          </w:p>
        </w:tc>
        <w:tc>
          <w:tcPr>
            <w:tcW w:w="4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40" w:type="dxa"/>
            <w:vAlign w:val="bottom"/>
          </w:tcPr>
          <w:p>
            <w:pPr>
              <w:spacing w:after="0" w:line="173" w:lineRule="exact"/>
              <w:rPr>
                <w:sz w:val="20"/>
                <w:szCs w:val="20"/>
                <w:color w:val="auto"/>
              </w:rPr>
            </w:pPr>
            <w:r>
              <w:rPr>
                <w:rFonts w:ascii="Arial" w:cs="Arial" w:eastAsia="Arial" w:hAnsi="Arial"/>
                <w:sz w:val="16"/>
                <w:szCs w:val="16"/>
                <w:color w:val="auto"/>
              </w:rPr>
              <w:t>Current assets:</w:t>
            </w:r>
          </w:p>
        </w:tc>
        <w:tc>
          <w:tcPr>
            <w:tcW w:w="4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640" w:type="dxa"/>
            <w:vAlign w:val="bottom"/>
          </w:tcPr>
          <w:p>
            <w:pPr>
              <w:ind w:left="180"/>
              <w:spacing w:after="0" w:line="173" w:lineRule="exact"/>
              <w:rPr>
                <w:sz w:val="20"/>
                <w:szCs w:val="20"/>
                <w:color w:val="auto"/>
              </w:rPr>
            </w:pPr>
            <w:r>
              <w:rPr>
                <w:rFonts w:ascii="Arial" w:cs="Arial" w:eastAsia="Arial" w:hAnsi="Arial"/>
                <w:sz w:val="16"/>
                <w:szCs w:val="16"/>
                <w:color w:val="auto"/>
              </w:rPr>
              <w:t>Cash and cash equivalents</w:t>
            </w:r>
          </w:p>
        </w:tc>
        <w:tc>
          <w:tcPr>
            <w:tcW w:w="4020" w:type="dxa"/>
            <w:vAlign w:val="bottom"/>
          </w:tcPr>
          <w:p>
            <w:pPr>
              <w:jc w:val="right"/>
              <w:ind w:right="907"/>
              <w:spacing w:after="0" w:line="173" w:lineRule="exact"/>
              <w:rPr>
                <w:sz w:val="20"/>
                <w:szCs w:val="20"/>
                <w:color w:val="auto"/>
              </w:rPr>
            </w:pPr>
            <w:r>
              <w:rPr>
                <w:rFonts w:ascii="Arial" w:cs="Arial" w:eastAsia="Arial" w:hAnsi="Arial"/>
                <w:sz w:val="16"/>
                <w:szCs w:val="16"/>
                <w:color w:val="auto"/>
              </w:rPr>
              <w:t>$</w:t>
            </w:r>
          </w:p>
        </w:tc>
        <w:tc>
          <w:tcPr>
            <w:tcW w:w="320" w:type="dxa"/>
            <w:vAlign w:val="bottom"/>
          </w:tcPr>
          <w:p>
            <w:pPr>
              <w:jc w:val="right"/>
              <w:spacing w:after="0" w:line="173" w:lineRule="exact"/>
              <w:rPr>
                <w:sz w:val="20"/>
                <w:szCs w:val="20"/>
                <w:color w:val="auto"/>
              </w:rPr>
            </w:pPr>
            <w:r>
              <w:rPr>
                <w:rFonts w:ascii="Arial" w:cs="Arial" w:eastAsia="Arial" w:hAnsi="Arial"/>
                <w:sz w:val="16"/>
                <w:szCs w:val="16"/>
                <w:color w:val="auto"/>
              </w:rPr>
              <w:t>21</w:t>
            </w:r>
          </w:p>
        </w:tc>
        <w:tc>
          <w:tcPr>
            <w:tcW w:w="180" w:type="dxa"/>
            <w:vAlign w:val="bottom"/>
          </w:tcPr>
          <w:p>
            <w:pPr>
              <w:jc w:val="right"/>
              <w:spacing w:after="0" w:line="173"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73"/>
        </w:trPr>
        <w:tc>
          <w:tcPr>
            <w:tcW w:w="5640" w:type="dxa"/>
            <w:vAlign w:val="bottom"/>
          </w:tcPr>
          <w:p>
            <w:pPr>
              <w:ind w:left="180"/>
              <w:spacing w:after="0" w:line="173" w:lineRule="exact"/>
              <w:rPr>
                <w:sz w:val="20"/>
                <w:szCs w:val="20"/>
                <w:color w:val="auto"/>
              </w:rPr>
            </w:pPr>
            <w:r>
              <w:rPr>
                <w:rFonts w:ascii="Arial" w:cs="Arial" w:eastAsia="Arial" w:hAnsi="Arial"/>
                <w:sz w:val="16"/>
                <w:szCs w:val="16"/>
                <w:color w:val="auto"/>
              </w:rPr>
              <w:t>Restricted cash</w:t>
            </w:r>
          </w:p>
        </w:tc>
        <w:tc>
          <w:tcPr>
            <w:tcW w:w="4020" w:type="dxa"/>
            <w:vAlign w:val="bottom"/>
          </w:tcPr>
          <w:p>
            <w:pPr>
              <w:spacing w:after="0"/>
              <w:rPr>
                <w:sz w:val="15"/>
                <w:szCs w:val="15"/>
                <w:color w:val="auto"/>
              </w:rPr>
            </w:pPr>
          </w:p>
        </w:tc>
        <w:tc>
          <w:tcPr>
            <w:tcW w:w="32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18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73"/>
        </w:trPr>
        <w:tc>
          <w:tcPr>
            <w:tcW w:w="5640" w:type="dxa"/>
            <w:vAlign w:val="bottom"/>
          </w:tcPr>
          <w:p>
            <w:pPr>
              <w:ind w:left="180"/>
              <w:spacing w:after="0" w:line="173" w:lineRule="exact"/>
              <w:rPr>
                <w:sz w:val="20"/>
                <w:szCs w:val="20"/>
                <w:color w:val="auto"/>
              </w:rPr>
            </w:pPr>
            <w:r>
              <w:rPr>
                <w:rFonts w:ascii="Arial" w:cs="Arial" w:eastAsia="Arial" w:hAnsi="Arial"/>
                <w:sz w:val="16"/>
                <w:szCs w:val="16"/>
                <w:color w:val="auto"/>
              </w:rPr>
              <w:t>Accounts receivable – trade, net</w:t>
            </w:r>
          </w:p>
        </w:tc>
        <w:tc>
          <w:tcPr>
            <w:tcW w:w="4020" w:type="dxa"/>
            <w:vAlign w:val="bottom"/>
          </w:tcPr>
          <w:p>
            <w:pPr>
              <w:spacing w:after="0"/>
              <w:rPr>
                <w:sz w:val="15"/>
                <w:szCs w:val="15"/>
                <w:color w:val="auto"/>
              </w:rPr>
            </w:pPr>
          </w:p>
        </w:tc>
        <w:tc>
          <w:tcPr>
            <w:tcW w:w="320" w:type="dxa"/>
            <w:vAlign w:val="bottom"/>
          </w:tcPr>
          <w:p>
            <w:pPr>
              <w:jc w:val="right"/>
              <w:spacing w:after="0" w:line="173" w:lineRule="exact"/>
              <w:rPr>
                <w:sz w:val="20"/>
                <w:szCs w:val="20"/>
                <w:color w:val="auto"/>
              </w:rPr>
            </w:pPr>
            <w:r>
              <w:rPr>
                <w:rFonts w:ascii="Arial" w:cs="Arial" w:eastAsia="Arial" w:hAnsi="Arial"/>
                <w:sz w:val="16"/>
                <w:szCs w:val="16"/>
                <w:color w:val="auto"/>
              </w:rPr>
              <w:t>300</w:t>
            </w:r>
          </w:p>
        </w:tc>
        <w:tc>
          <w:tcPr>
            <w:tcW w:w="18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173"/>
        </w:trPr>
        <w:tc>
          <w:tcPr>
            <w:tcW w:w="5640" w:type="dxa"/>
            <w:vAlign w:val="bottom"/>
          </w:tcPr>
          <w:p>
            <w:pPr>
              <w:ind w:left="180"/>
              <w:spacing w:after="0" w:line="173" w:lineRule="exact"/>
              <w:rPr>
                <w:sz w:val="20"/>
                <w:szCs w:val="20"/>
                <w:color w:val="auto"/>
              </w:rPr>
            </w:pPr>
            <w:r>
              <w:rPr>
                <w:rFonts w:ascii="Arial" w:cs="Arial" w:eastAsia="Arial" w:hAnsi="Arial"/>
                <w:sz w:val="16"/>
                <w:szCs w:val="16"/>
                <w:color w:val="auto"/>
              </w:rPr>
              <w:t>Accounts receivable – other, net</w:t>
            </w:r>
          </w:p>
        </w:tc>
        <w:tc>
          <w:tcPr>
            <w:tcW w:w="4020" w:type="dxa"/>
            <w:vAlign w:val="bottom"/>
          </w:tcPr>
          <w:p>
            <w:pPr>
              <w:spacing w:after="0"/>
              <w:rPr>
                <w:sz w:val="15"/>
                <w:szCs w:val="15"/>
                <w:color w:val="auto"/>
              </w:rPr>
            </w:pPr>
          </w:p>
        </w:tc>
        <w:tc>
          <w:tcPr>
            <w:tcW w:w="320" w:type="dxa"/>
            <w:vAlign w:val="bottom"/>
          </w:tcPr>
          <w:p>
            <w:pPr>
              <w:jc w:val="right"/>
              <w:spacing w:after="0" w:line="173" w:lineRule="exact"/>
              <w:rPr>
                <w:sz w:val="20"/>
                <w:szCs w:val="20"/>
                <w:color w:val="auto"/>
              </w:rPr>
            </w:pPr>
            <w:r>
              <w:rPr>
                <w:rFonts w:ascii="Arial" w:cs="Arial" w:eastAsia="Arial" w:hAnsi="Arial"/>
                <w:sz w:val="16"/>
                <w:szCs w:val="16"/>
                <w:color w:val="auto"/>
              </w:rPr>
              <w:t>16</w:t>
            </w:r>
          </w:p>
        </w:tc>
        <w:tc>
          <w:tcPr>
            <w:tcW w:w="18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73"/>
        </w:trPr>
        <w:tc>
          <w:tcPr>
            <w:tcW w:w="5640" w:type="dxa"/>
            <w:vAlign w:val="bottom"/>
          </w:tcPr>
          <w:p>
            <w:pPr>
              <w:ind w:left="180"/>
              <w:spacing w:after="0" w:line="173" w:lineRule="exact"/>
              <w:rPr>
                <w:sz w:val="20"/>
                <w:szCs w:val="20"/>
                <w:color w:val="auto"/>
              </w:rPr>
            </w:pPr>
            <w:r>
              <w:rPr>
                <w:rFonts w:ascii="Arial" w:cs="Arial" w:eastAsia="Arial" w:hAnsi="Arial"/>
                <w:sz w:val="16"/>
                <w:szCs w:val="16"/>
                <w:color w:val="auto"/>
              </w:rPr>
              <w:t>Due from unconsolidated affiliates</w:t>
            </w:r>
          </w:p>
        </w:tc>
        <w:tc>
          <w:tcPr>
            <w:tcW w:w="4020" w:type="dxa"/>
            <w:vAlign w:val="bottom"/>
          </w:tcPr>
          <w:p>
            <w:pPr>
              <w:spacing w:after="0"/>
              <w:rPr>
                <w:sz w:val="15"/>
                <w:szCs w:val="15"/>
                <w:color w:val="auto"/>
              </w:rPr>
            </w:pPr>
          </w:p>
        </w:tc>
        <w:tc>
          <w:tcPr>
            <w:tcW w:w="32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18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3"/>
        </w:trPr>
        <w:tc>
          <w:tcPr>
            <w:tcW w:w="5640" w:type="dxa"/>
            <w:vAlign w:val="bottom"/>
          </w:tcPr>
          <w:p>
            <w:pPr>
              <w:ind w:left="180"/>
              <w:spacing w:after="0" w:line="173" w:lineRule="exact"/>
              <w:rPr>
                <w:sz w:val="20"/>
                <w:szCs w:val="20"/>
                <w:color w:val="auto"/>
              </w:rPr>
            </w:pPr>
            <w:r>
              <w:rPr>
                <w:rFonts w:ascii="Arial" w:cs="Arial" w:eastAsia="Arial" w:hAnsi="Arial"/>
                <w:sz w:val="16"/>
                <w:szCs w:val="16"/>
                <w:color w:val="auto"/>
              </w:rPr>
              <w:t>Income taxes receivable</w:t>
            </w:r>
          </w:p>
        </w:tc>
        <w:tc>
          <w:tcPr>
            <w:tcW w:w="4020" w:type="dxa"/>
            <w:vAlign w:val="bottom"/>
          </w:tcPr>
          <w:p>
            <w:pPr>
              <w:spacing w:after="0"/>
              <w:rPr>
                <w:sz w:val="15"/>
                <w:szCs w:val="15"/>
                <w:color w:val="auto"/>
              </w:rPr>
            </w:pPr>
          </w:p>
        </w:tc>
        <w:tc>
          <w:tcPr>
            <w:tcW w:w="320" w:type="dxa"/>
            <w:vAlign w:val="bottom"/>
          </w:tcPr>
          <w:p>
            <w:pPr>
              <w:jc w:val="right"/>
              <w:spacing w:after="0" w:line="173" w:lineRule="exact"/>
              <w:rPr>
                <w:sz w:val="20"/>
                <w:szCs w:val="20"/>
                <w:color w:val="auto"/>
              </w:rPr>
            </w:pPr>
            <w:r>
              <w:rPr>
                <w:rFonts w:ascii="Arial" w:cs="Arial" w:eastAsia="Arial" w:hAnsi="Arial"/>
                <w:sz w:val="16"/>
                <w:szCs w:val="16"/>
                <w:color w:val="auto"/>
              </w:rPr>
              <w:t>12</w:t>
            </w:r>
          </w:p>
        </w:tc>
        <w:tc>
          <w:tcPr>
            <w:tcW w:w="18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73"/>
        </w:trPr>
        <w:tc>
          <w:tcPr>
            <w:tcW w:w="5640" w:type="dxa"/>
            <w:vAlign w:val="bottom"/>
          </w:tcPr>
          <w:p>
            <w:pPr>
              <w:ind w:left="180"/>
              <w:spacing w:after="0" w:line="173" w:lineRule="exact"/>
              <w:rPr>
                <w:sz w:val="20"/>
                <w:szCs w:val="20"/>
                <w:color w:val="auto"/>
              </w:rPr>
            </w:pPr>
            <w:r>
              <w:rPr>
                <w:rFonts w:ascii="Arial" w:cs="Arial" w:eastAsia="Arial" w:hAnsi="Arial"/>
                <w:sz w:val="16"/>
                <w:szCs w:val="16"/>
                <w:color w:val="auto"/>
              </w:rPr>
              <w:t>Deferred income taxes</w:t>
            </w:r>
          </w:p>
        </w:tc>
        <w:tc>
          <w:tcPr>
            <w:tcW w:w="4020" w:type="dxa"/>
            <w:vAlign w:val="bottom"/>
          </w:tcPr>
          <w:p>
            <w:pPr>
              <w:spacing w:after="0"/>
              <w:rPr>
                <w:sz w:val="15"/>
                <w:szCs w:val="15"/>
                <w:color w:val="auto"/>
              </w:rPr>
            </w:pPr>
          </w:p>
        </w:tc>
        <w:tc>
          <w:tcPr>
            <w:tcW w:w="3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73"/>
        </w:trPr>
        <w:tc>
          <w:tcPr>
            <w:tcW w:w="5640" w:type="dxa"/>
            <w:vAlign w:val="bottom"/>
          </w:tcPr>
          <w:p>
            <w:pPr>
              <w:ind w:left="180"/>
              <w:spacing w:after="0" w:line="173" w:lineRule="exact"/>
              <w:rPr>
                <w:sz w:val="20"/>
                <w:szCs w:val="20"/>
                <w:color w:val="auto"/>
              </w:rPr>
            </w:pPr>
            <w:r>
              <w:rPr>
                <w:rFonts w:ascii="Arial" w:cs="Arial" w:eastAsia="Arial" w:hAnsi="Arial"/>
                <w:sz w:val="16"/>
                <w:szCs w:val="16"/>
                <w:color w:val="auto"/>
              </w:rPr>
              <w:t>Inventories</w:t>
            </w:r>
          </w:p>
        </w:tc>
        <w:tc>
          <w:tcPr>
            <w:tcW w:w="4020" w:type="dxa"/>
            <w:vAlign w:val="bottom"/>
          </w:tcPr>
          <w:p>
            <w:pPr>
              <w:spacing w:after="0"/>
              <w:rPr>
                <w:sz w:val="15"/>
                <w:szCs w:val="15"/>
                <w:color w:val="auto"/>
              </w:rPr>
            </w:pPr>
          </w:p>
        </w:tc>
        <w:tc>
          <w:tcPr>
            <w:tcW w:w="320" w:type="dxa"/>
            <w:vAlign w:val="bottom"/>
          </w:tcPr>
          <w:p>
            <w:pPr>
              <w:jc w:val="right"/>
              <w:spacing w:after="0" w:line="173" w:lineRule="exact"/>
              <w:rPr>
                <w:sz w:val="20"/>
                <w:szCs w:val="20"/>
                <w:color w:val="auto"/>
              </w:rPr>
            </w:pPr>
            <w:r>
              <w:rPr>
                <w:rFonts w:ascii="Arial" w:cs="Arial" w:eastAsia="Arial" w:hAnsi="Arial"/>
                <w:sz w:val="16"/>
                <w:szCs w:val="16"/>
                <w:color w:val="auto"/>
              </w:rPr>
              <w:t>74</w:t>
            </w:r>
          </w:p>
        </w:tc>
        <w:tc>
          <w:tcPr>
            <w:tcW w:w="18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4"/>
        </w:trPr>
        <w:tc>
          <w:tcPr>
            <w:tcW w:w="5640" w:type="dxa"/>
            <w:vAlign w:val="bottom"/>
          </w:tcPr>
          <w:p>
            <w:pPr>
              <w:ind w:left="180"/>
              <w:spacing w:after="0"/>
              <w:rPr>
                <w:sz w:val="20"/>
                <w:szCs w:val="20"/>
                <w:color w:val="auto"/>
              </w:rPr>
            </w:pPr>
            <w:r>
              <w:rPr>
                <w:rFonts w:ascii="Arial" w:cs="Arial" w:eastAsia="Arial" w:hAnsi="Arial"/>
                <w:sz w:val="16"/>
                <w:szCs w:val="16"/>
                <w:color w:val="auto"/>
              </w:rPr>
              <w:t>Regulatory balancing accounts, net</w:t>
            </w:r>
          </w:p>
        </w:tc>
        <w:tc>
          <w:tcPr>
            <w:tcW w:w="40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776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bl>
    <w:p>
      <w:pPr>
        <w:sectPr>
          <w:pgSz w:w="11900" w:h="16895" w:orient="portrait"/>
          <w:cols w:equalWidth="0" w:num="1">
            <w:col w:w="11420"/>
          </w:cols>
          <w:pgMar w:left="240" w:top="97"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1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w:t>
            </w: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73"/>
        </w:trPr>
        <w:tc>
          <w:tcPr>
            <w:tcW w:w="7040" w:type="dxa"/>
            <w:vAlign w:val="bottom"/>
          </w:tcPr>
          <w:p>
            <w:pPr>
              <w:ind w:left="180"/>
              <w:spacing w:after="0" w:line="173" w:lineRule="exact"/>
              <w:rPr>
                <w:sz w:val="20"/>
                <w:szCs w:val="20"/>
                <w:color w:val="auto"/>
              </w:rPr>
            </w:pPr>
            <w:r>
              <w:rPr>
                <w:rFonts w:ascii="Arial" w:cs="Arial" w:eastAsia="Arial" w:hAnsi="Arial"/>
                <w:sz w:val="16"/>
                <w:szCs w:val="16"/>
                <w:color w:val="auto"/>
              </w:rPr>
              <w:t>Fixed-price contracts and other derivatives</w:t>
            </w: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spacing w:after="0" w:line="173" w:lineRule="exact"/>
              <w:rPr>
                <w:sz w:val="20"/>
                <w:szCs w:val="20"/>
                <w:color w:val="auto"/>
              </w:rPr>
            </w:pPr>
            <w:r>
              <w:rPr>
                <w:rFonts w:ascii="Arial" w:cs="Arial" w:eastAsia="Arial" w:hAnsi="Arial"/>
                <w:sz w:val="16"/>
                <w:szCs w:val="16"/>
                <w:color w:val="auto"/>
              </w:rPr>
              <w:t>53</w:t>
            </w:r>
          </w:p>
        </w:tc>
        <w:tc>
          <w:tcPr>
            <w:tcW w:w="48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4"/>
        </w:trPr>
        <w:tc>
          <w:tcPr>
            <w:tcW w:w="7040" w:type="dxa"/>
            <w:vAlign w:val="bottom"/>
          </w:tcPr>
          <w:p>
            <w:pPr>
              <w:ind w:left="180"/>
              <w:spacing w:after="0"/>
              <w:rPr>
                <w:sz w:val="20"/>
                <w:szCs w:val="20"/>
                <w:color w:val="auto"/>
              </w:rPr>
            </w:pPr>
            <w:r>
              <w:rPr>
                <w:rFonts w:ascii="Arial" w:cs="Arial" w:eastAsia="Arial" w:hAnsi="Arial"/>
                <w:sz w:val="16"/>
                <w:szCs w:val="16"/>
                <w:color w:val="auto"/>
              </w:rPr>
              <w:t>Other</w:t>
            </w:r>
          </w:p>
        </w:tc>
        <w:tc>
          <w:tcPr>
            <w:tcW w:w="15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66"/>
        </w:trPr>
        <w:tc>
          <w:tcPr>
            <w:tcW w:w="7040" w:type="dxa"/>
            <w:vAlign w:val="bottom"/>
          </w:tcPr>
          <w:p>
            <w:pPr>
              <w:ind w:left="360"/>
              <w:spacing w:after="0" w:line="166" w:lineRule="exact"/>
              <w:rPr>
                <w:sz w:val="20"/>
                <w:szCs w:val="20"/>
                <w:color w:val="auto"/>
              </w:rPr>
            </w:pPr>
            <w:r>
              <w:rPr>
                <w:rFonts w:ascii="Arial" w:cs="Arial" w:eastAsia="Arial" w:hAnsi="Arial"/>
                <w:sz w:val="16"/>
                <w:szCs w:val="16"/>
                <w:color w:val="auto"/>
              </w:rPr>
              <w:t>Total current assets</w:t>
            </w:r>
          </w:p>
        </w:tc>
        <w:tc>
          <w:tcPr>
            <w:tcW w:w="15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1,338</w:t>
            </w: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361"/>
        </w:trPr>
        <w:tc>
          <w:tcPr>
            <w:tcW w:w="7040" w:type="dxa"/>
            <w:vAlign w:val="bottom"/>
          </w:tcPr>
          <w:p>
            <w:pPr>
              <w:spacing w:after="0"/>
              <w:rPr>
                <w:sz w:val="20"/>
                <w:szCs w:val="20"/>
                <w:color w:val="auto"/>
              </w:rPr>
            </w:pPr>
            <w:r>
              <w:rPr>
                <w:rFonts w:ascii="Arial" w:cs="Arial" w:eastAsia="Arial" w:hAnsi="Arial"/>
                <w:sz w:val="16"/>
                <w:szCs w:val="16"/>
                <w:color w:val="auto"/>
              </w:rPr>
              <w:t>Other assets:</w:t>
            </w: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040" w:type="dxa"/>
            <w:vAlign w:val="bottom"/>
          </w:tcPr>
          <w:p>
            <w:pPr>
              <w:ind w:left="180"/>
              <w:spacing w:after="0" w:line="173" w:lineRule="exact"/>
              <w:rPr>
                <w:sz w:val="20"/>
                <w:szCs w:val="20"/>
                <w:color w:val="auto"/>
              </w:rPr>
            </w:pPr>
            <w:r>
              <w:rPr>
                <w:rFonts w:ascii="Arial" w:cs="Arial" w:eastAsia="Arial" w:hAnsi="Arial"/>
                <w:sz w:val="16"/>
                <w:szCs w:val="16"/>
                <w:color w:val="auto"/>
              </w:rPr>
              <w:t>Restricted cash</w:t>
            </w: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spacing w:after="0" w:line="173" w:lineRule="exact"/>
              <w:rPr>
                <w:sz w:val="20"/>
                <w:szCs w:val="20"/>
                <w:color w:val="auto"/>
              </w:rPr>
            </w:pPr>
            <w:r>
              <w:rPr>
                <w:rFonts w:ascii="Arial" w:cs="Arial" w:eastAsia="Arial" w:hAnsi="Arial"/>
                <w:sz w:val="16"/>
                <w:szCs w:val="16"/>
                <w:color w:val="auto"/>
              </w:rPr>
              <w:t>29</w:t>
            </w:r>
          </w:p>
        </w:tc>
        <w:tc>
          <w:tcPr>
            <w:tcW w:w="48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3"/>
        </w:trPr>
        <w:tc>
          <w:tcPr>
            <w:tcW w:w="7040" w:type="dxa"/>
            <w:vAlign w:val="bottom"/>
          </w:tcPr>
          <w:p>
            <w:pPr>
              <w:ind w:left="180"/>
              <w:spacing w:after="0" w:line="173" w:lineRule="exact"/>
              <w:rPr>
                <w:sz w:val="20"/>
                <w:szCs w:val="20"/>
                <w:color w:val="auto"/>
              </w:rPr>
            </w:pPr>
            <w:r>
              <w:rPr>
                <w:rFonts w:ascii="Arial" w:cs="Arial" w:eastAsia="Arial" w:hAnsi="Arial"/>
                <w:sz w:val="16"/>
                <w:szCs w:val="16"/>
                <w:color w:val="auto"/>
              </w:rPr>
              <w:t>Deferred taxes recoverable in rates</w:t>
            </w: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spacing w:after="0" w:line="173" w:lineRule="exact"/>
              <w:rPr>
                <w:sz w:val="20"/>
                <w:szCs w:val="20"/>
                <w:color w:val="auto"/>
              </w:rPr>
            </w:pPr>
            <w:r>
              <w:rPr>
                <w:rFonts w:ascii="Arial" w:cs="Arial" w:eastAsia="Arial" w:hAnsi="Arial"/>
                <w:sz w:val="16"/>
                <w:szCs w:val="16"/>
                <w:color w:val="auto"/>
              </w:rPr>
              <w:t>764</w:t>
            </w:r>
          </w:p>
        </w:tc>
        <w:tc>
          <w:tcPr>
            <w:tcW w:w="48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173"/>
        </w:trPr>
        <w:tc>
          <w:tcPr>
            <w:tcW w:w="7040" w:type="dxa"/>
            <w:vAlign w:val="bottom"/>
          </w:tcPr>
          <w:p>
            <w:pPr>
              <w:ind w:left="180"/>
              <w:spacing w:after="0" w:line="173" w:lineRule="exact"/>
              <w:rPr>
                <w:sz w:val="20"/>
                <w:szCs w:val="20"/>
                <w:color w:val="auto"/>
              </w:rPr>
            </w:pPr>
            <w:r>
              <w:rPr>
                <w:rFonts w:ascii="Arial" w:cs="Arial" w:eastAsia="Arial" w:hAnsi="Arial"/>
                <w:sz w:val="16"/>
                <w:szCs w:val="16"/>
                <w:color w:val="auto"/>
              </w:rPr>
              <w:t>Regulatory assets arising from fixed-price contracts and other derivatives</w:t>
            </w: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spacing w:after="0" w:line="173" w:lineRule="exact"/>
              <w:rPr>
                <w:sz w:val="20"/>
                <w:szCs w:val="20"/>
                <w:color w:val="auto"/>
              </w:rPr>
            </w:pPr>
            <w:r>
              <w:rPr>
                <w:rFonts w:ascii="Arial" w:cs="Arial" w:eastAsia="Arial" w:hAnsi="Arial"/>
                <w:sz w:val="16"/>
                <w:szCs w:val="16"/>
                <w:color w:val="auto"/>
              </w:rPr>
              <w:t>52</w:t>
            </w:r>
          </w:p>
        </w:tc>
        <w:tc>
          <w:tcPr>
            <w:tcW w:w="48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73"/>
        </w:trPr>
        <w:tc>
          <w:tcPr>
            <w:tcW w:w="7040" w:type="dxa"/>
            <w:vAlign w:val="bottom"/>
          </w:tcPr>
          <w:p>
            <w:pPr>
              <w:ind w:left="180"/>
              <w:spacing w:after="0" w:line="173" w:lineRule="exact"/>
              <w:rPr>
                <w:sz w:val="20"/>
                <w:szCs w:val="20"/>
                <w:color w:val="auto"/>
              </w:rPr>
            </w:pPr>
            <w:r>
              <w:rPr>
                <w:rFonts w:ascii="Arial" w:cs="Arial" w:eastAsia="Arial" w:hAnsi="Arial"/>
                <w:sz w:val="16"/>
                <w:szCs w:val="16"/>
                <w:color w:val="auto"/>
              </w:rPr>
              <w:t>Regulatory assets arising from pension and other postretirement</w:t>
            </w: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40" w:type="dxa"/>
            <w:vAlign w:val="bottom"/>
          </w:tcPr>
          <w:p>
            <w:pPr>
              <w:ind w:left="360"/>
              <w:spacing w:after="0" w:line="173" w:lineRule="exact"/>
              <w:rPr>
                <w:sz w:val="20"/>
                <w:szCs w:val="20"/>
                <w:color w:val="auto"/>
              </w:rPr>
            </w:pPr>
            <w:r>
              <w:rPr>
                <w:rFonts w:ascii="Arial" w:cs="Arial" w:eastAsia="Arial" w:hAnsi="Arial"/>
                <w:sz w:val="16"/>
                <w:szCs w:val="16"/>
                <w:color w:val="auto"/>
              </w:rPr>
              <w:t>benefit obligations</w:t>
            </w: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spacing w:after="0" w:line="173" w:lineRule="exact"/>
              <w:rPr>
                <w:sz w:val="20"/>
                <w:szCs w:val="20"/>
                <w:color w:val="auto"/>
              </w:rPr>
            </w:pPr>
            <w:r>
              <w:rPr>
                <w:rFonts w:ascii="Arial" w:cs="Arial" w:eastAsia="Arial" w:hAnsi="Arial"/>
                <w:sz w:val="16"/>
                <w:szCs w:val="16"/>
                <w:color w:val="auto"/>
              </w:rPr>
              <w:t>105</w:t>
            </w:r>
          </w:p>
        </w:tc>
        <w:tc>
          <w:tcPr>
            <w:tcW w:w="48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73"/>
        </w:trPr>
        <w:tc>
          <w:tcPr>
            <w:tcW w:w="7040" w:type="dxa"/>
            <w:vAlign w:val="bottom"/>
          </w:tcPr>
          <w:p>
            <w:pPr>
              <w:ind w:left="180"/>
              <w:spacing w:after="0" w:line="173" w:lineRule="exact"/>
              <w:rPr>
                <w:sz w:val="20"/>
                <w:szCs w:val="20"/>
                <w:color w:val="auto"/>
              </w:rPr>
            </w:pPr>
            <w:r>
              <w:rPr>
                <w:rFonts w:ascii="Arial" w:cs="Arial" w:eastAsia="Arial" w:hAnsi="Arial"/>
                <w:sz w:val="16"/>
                <w:szCs w:val="16"/>
                <w:color w:val="auto"/>
              </w:rPr>
              <w:t>Other regulatory assets</w:t>
            </w: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spacing w:after="0" w:line="173" w:lineRule="exact"/>
              <w:rPr>
                <w:sz w:val="20"/>
                <w:szCs w:val="20"/>
                <w:color w:val="auto"/>
              </w:rPr>
            </w:pPr>
            <w:r>
              <w:rPr>
                <w:rFonts w:ascii="Arial" w:cs="Arial" w:eastAsia="Arial" w:hAnsi="Arial"/>
                <w:sz w:val="16"/>
                <w:szCs w:val="16"/>
                <w:color w:val="auto"/>
              </w:rPr>
              <w:t>935</w:t>
            </w:r>
          </w:p>
        </w:tc>
        <w:tc>
          <w:tcPr>
            <w:tcW w:w="48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173"/>
        </w:trPr>
        <w:tc>
          <w:tcPr>
            <w:tcW w:w="7040" w:type="dxa"/>
            <w:vAlign w:val="bottom"/>
          </w:tcPr>
          <w:p>
            <w:pPr>
              <w:ind w:left="180"/>
              <w:spacing w:after="0" w:line="173" w:lineRule="exact"/>
              <w:rPr>
                <w:sz w:val="20"/>
                <w:szCs w:val="20"/>
                <w:color w:val="auto"/>
              </w:rPr>
            </w:pPr>
            <w:r>
              <w:rPr>
                <w:rFonts w:ascii="Arial" w:cs="Arial" w:eastAsia="Arial" w:hAnsi="Arial"/>
                <w:sz w:val="16"/>
                <w:szCs w:val="16"/>
                <w:color w:val="auto"/>
              </w:rPr>
              <w:t>Nuclear decommissioning trusts</w:t>
            </w: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spacing w:after="0" w:line="173" w:lineRule="exact"/>
              <w:rPr>
                <w:sz w:val="20"/>
                <w:szCs w:val="20"/>
                <w:color w:val="auto"/>
              </w:rPr>
            </w:pPr>
            <w:r>
              <w:rPr>
                <w:rFonts w:ascii="Arial" w:cs="Arial" w:eastAsia="Arial" w:hAnsi="Arial"/>
                <w:sz w:val="16"/>
                <w:szCs w:val="16"/>
                <w:color w:val="auto"/>
              </w:rPr>
              <w:t>1,096</w:t>
            </w:r>
          </w:p>
        </w:tc>
        <w:tc>
          <w:tcPr>
            <w:tcW w:w="48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204"/>
        </w:trPr>
        <w:tc>
          <w:tcPr>
            <w:tcW w:w="7040" w:type="dxa"/>
            <w:vAlign w:val="bottom"/>
          </w:tcPr>
          <w:p>
            <w:pPr>
              <w:ind w:left="180"/>
              <w:spacing w:after="0"/>
              <w:rPr>
                <w:sz w:val="20"/>
                <w:szCs w:val="20"/>
                <w:color w:val="auto"/>
              </w:rPr>
            </w:pPr>
            <w:r>
              <w:rPr>
                <w:rFonts w:ascii="Arial" w:cs="Arial" w:eastAsia="Arial" w:hAnsi="Arial"/>
                <w:sz w:val="16"/>
                <w:szCs w:val="16"/>
                <w:color w:val="auto"/>
              </w:rPr>
              <w:t>Sundry</w:t>
            </w:r>
          </w:p>
        </w:tc>
        <w:tc>
          <w:tcPr>
            <w:tcW w:w="15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166"/>
        </w:trPr>
        <w:tc>
          <w:tcPr>
            <w:tcW w:w="7040" w:type="dxa"/>
            <w:vAlign w:val="bottom"/>
          </w:tcPr>
          <w:p>
            <w:pPr>
              <w:ind w:left="360"/>
              <w:spacing w:after="0" w:line="166" w:lineRule="exact"/>
              <w:rPr>
                <w:sz w:val="20"/>
                <w:szCs w:val="20"/>
                <w:color w:val="auto"/>
              </w:rPr>
            </w:pPr>
            <w:r>
              <w:rPr>
                <w:rFonts w:ascii="Arial" w:cs="Arial" w:eastAsia="Arial" w:hAnsi="Arial"/>
                <w:sz w:val="16"/>
                <w:szCs w:val="16"/>
                <w:color w:val="auto"/>
              </w:rPr>
              <w:t>Total other assets</w:t>
            </w:r>
          </w:p>
        </w:tc>
        <w:tc>
          <w:tcPr>
            <w:tcW w:w="15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3,259</w:t>
            </w: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3,261</w:t>
            </w:r>
          </w:p>
        </w:tc>
        <w:tc>
          <w:tcPr>
            <w:tcW w:w="0" w:type="dxa"/>
            <w:vAlign w:val="bottom"/>
          </w:tcPr>
          <w:p>
            <w:pPr>
              <w:spacing w:after="0"/>
              <w:rPr>
                <w:sz w:val="1"/>
                <w:szCs w:val="1"/>
                <w:color w:val="auto"/>
              </w:rPr>
            </w:pPr>
          </w:p>
        </w:tc>
      </w:tr>
      <w:tr>
        <w:trPr>
          <w:trHeight w:val="334"/>
        </w:trPr>
        <w:tc>
          <w:tcPr>
            <w:tcW w:w="704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040" w:type="dxa"/>
            <w:vAlign w:val="bottom"/>
          </w:tcPr>
          <w:p>
            <w:pPr>
              <w:ind w:left="180"/>
              <w:spacing w:after="0" w:line="173" w:lineRule="exact"/>
              <w:rPr>
                <w:sz w:val="20"/>
                <w:szCs w:val="20"/>
                <w:color w:val="auto"/>
              </w:rPr>
            </w:pPr>
            <w:r>
              <w:rPr>
                <w:rFonts w:ascii="Arial" w:cs="Arial" w:eastAsia="Arial" w:hAnsi="Arial"/>
                <w:sz w:val="16"/>
                <w:szCs w:val="16"/>
                <w:color w:val="auto"/>
              </w:rPr>
              <w:t>Property, plant and equipment</w:t>
            </w: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spacing w:after="0" w:line="173" w:lineRule="exact"/>
              <w:rPr>
                <w:sz w:val="20"/>
                <w:szCs w:val="20"/>
                <w:color w:val="auto"/>
              </w:rPr>
            </w:pPr>
            <w:r>
              <w:rPr>
                <w:rFonts w:ascii="Arial" w:cs="Arial" w:eastAsia="Arial" w:hAnsi="Arial"/>
                <w:sz w:val="16"/>
                <w:szCs w:val="16"/>
                <w:color w:val="auto"/>
              </w:rPr>
              <w:t>14,845</w:t>
            </w:r>
          </w:p>
        </w:tc>
        <w:tc>
          <w:tcPr>
            <w:tcW w:w="48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14,346</w:t>
            </w:r>
          </w:p>
        </w:tc>
        <w:tc>
          <w:tcPr>
            <w:tcW w:w="0" w:type="dxa"/>
            <w:vAlign w:val="bottom"/>
          </w:tcPr>
          <w:p>
            <w:pPr>
              <w:spacing w:after="0"/>
              <w:rPr>
                <w:sz w:val="1"/>
                <w:szCs w:val="1"/>
                <w:color w:val="auto"/>
              </w:rPr>
            </w:pPr>
          </w:p>
        </w:tc>
      </w:tr>
      <w:tr>
        <w:trPr>
          <w:trHeight w:val="204"/>
        </w:trPr>
        <w:tc>
          <w:tcPr>
            <w:tcW w:w="7040" w:type="dxa"/>
            <w:vAlign w:val="bottom"/>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15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(3,675)</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135"/>
        </w:trPr>
        <w:tc>
          <w:tcPr>
            <w:tcW w:w="7040" w:type="dxa"/>
            <w:vAlign w:val="bottom"/>
          </w:tcPr>
          <w:p>
            <w:pPr>
              <w:ind w:left="360"/>
              <w:spacing w:after="0" w:line="135" w:lineRule="exact"/>
              <w:rPr>
                <w:sz w:val="20"/>
                <w:szCs w:val="20"/>
                <w:color w:val="auto"/>
              </w:rPr>
            </w:pPr>
            <w:r>
              <w:rPr>
                <w:rFonts w:ascii="Arial" w:cs="Arial" w:eastAsia="Arial" w:hAnsi="Arial"/>
                <w:sz w:val="15"/>
                <w:szCs w:val="15"/>
                <w:color w:val="auto"/>
              </w:rPr>
              <w:t>Property, plant and equipment, net ($424 and $438 at June 30, 2014 and</w:t>
            </w:r>
          </w:p>
        </w:tc>
        <w:tc>
          <w:tcPr>
            <w:tcW w:w="1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11,170</w:t>
            </w:r>
          </w:p>
        </w:tc>
        <w:tc>
          <w:tcPr>
            <w:tcW w:w="4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10,846</w:t>
            </w:r>
          </w:p>
        </w:tc>
        <w:tc>
          <w:tcPr>
            <w:tcW w:w="0" w:type="dxa"/>
            <w:vAlign w:val="bottom"/>
          </w:tcPr>
          <w:p>
            <w:pPr>
              <w:spacing w:after="0"/>
              <w:rPr>
                <w:sz w:val="1"/>
                <w:szCs w:val="1"/>
                <w:color w:val="auto"/>
              </w:rPr>
            </w:pPr>
          </w:p>
        </w:tc>
      </w:tr>
      <w:tr>
        <w:trPr>
          <w:trHeight w:val="191"/>
        </w:trPr>
        <w:tc>
          <w:tcPr>
            <w:tcW w:w="7040" w:type="dxa"/>
            <w:vAlign w:val="bottom"/>
          </w:tcPr>
          <w:p>
            <w:pPr>
              <w:ind w:left="540"/>
              <w:spacing w:after="0"/>
              <w:rPr>
                <w:sz w:val="20"/>
                <w:szCs w:val="20"/>
                <w:color w:val="auto"/>
              </w:rPr>
            </w:pPr>
            <w:r>
              <w:rPr>
                <w:rFonts w:ascii="Arial" w:cs="Arial" w:eastAsia="Arial" w:hAnsi="Arial"/>
                <w:sz w:val="16"/>
                <w:szCs w:val="16"/>
                <w:color w:val="auto"/>
              </w:rPr>
              <w:t>December 31, 2013, respectively, related to VIE)</w:t>
            </w:r>
          </w:p>
        </w:tc>
        <w:tc>
          <w:tcPr>
            <w:tcW w:w="15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040" w:type="dxa"/>
            <w:vAlign w:val="bottom"/>
          </w:tcPr>
          <w:p>
            <w:pPr>
              <w:spacing w:after="0" w:line="166" w:lineRule="exact"/>
              <w:rPr>
                <w:sz w:val="20"/>
                <w:szCs w:val="20"/>
                <w:color w:val="auto"/>
              </w:rPr>
            </w:pPr>
            <w:r>
              <w:rPr>
                <w:rFonts w:ascii="Arial" w:cs="Arial" w:eastAsia="Arial" w:hAnsi="Arial"/>
                <w:sz w:val="16"/>
                <w:szCs w:val="16"/>
                <w:color w:val="auto"/>
              </w:rPr>
              <w:t>Total assets</w:t>
            </w:r>
          </w:p>
        </w:tc>
        <w:tc>
          <w:tcPr>
            <w:tcW w:w="1560" w:type="dxa"/>
            <w:vAlign w:val="bottom"/>
          </w:tcPr>
          <w:p>
            <w:pPr>
              <w:spacing w:after="0"/>
              <w:rPr>
                <w:sz w:val="14"/>
                <w:szCs w:val="14"/>
                <w:color w:val="auto"/>
              </w:rPr>
            </w:pPr>
          </w:p>
        </w:tc>
        <w:tc>
          <w:tcPr>
            <w:tcW w:w="480" w:type="dxa"/>
            <w:vAlign w:val="bottom"/>
          </w:tcPr>
          <w:p>
            <w:pPr>
              <w:jc w:val="right"/>
              <w:ind w:right="326"/>
              <w:spacing w:after="0" w:line="167"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66" w:lineRule="exact"/>
              <w:rPr>
                <w:sz w:val="20"/>
                <w:szCs w:val="20"/>
                <w:color w:val="auto"/>
              </w:rPr>
            </w:pPr>
            <w:r>
              <w:rPr>
                <w:rFonts w:ascii="Arial" w:cs="Arial" w:eastAsia="Arial" w:hAnsi="Arial"/>
                <w:sz w:val="16"/>
                <w:szCs w:val="16"/>
                <w:color w:val="auto"/>
              </w:rPr>
              <w:t>15,767</w:t>
            </w:r>
          </w:p>
        </w:tc>
        <w:tc>
          <w:tcPr>
            <w:tcW w:w="480" w:type="dxa"/>
            <w:vAlign w:val="bottom"/>
          </w:tcPr>
          <w:p>
            <w:pPr>
              <w:jc w:val="right"/>
              <w:ind w:right="326"/>
              <w:spacing w:after="0" w:line="167" w:lineRule="exact"/>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66" w:lineRule="exact"/>
              <w:rPr>
                <w:sz w:val="20"/>
                <w:szCs w:val="20"/>
                <w:color w:val="auto"/>
              </w:rPr>
            </w:pPr>
            <w:r>
              <w:rPr>
                <w:rFonts w:ascii="Arial" w:cs="Arial" w:eastAsia="Arial" w:hAnsi="Arial"/>
                <w:sz w:val="16"/>
                <w:szCs w:val="16"/>
                <w:color w:val="auto"/>
              </w:rPr>
              <w:t>15,377</w:t>
            </w:r>
          </w:p>
        </w:tc>
        <w:tc>
          <w:tcPr>
            <w:tcW w:w="0" w:type="dxa"/>
            <w:vAlign w:val="bottom"/>
          </w:tcPr>
          <w:p>
            <w:pPr>
              <w:spacing w:after="0"/>
              <w:rPr>
                <w:sz w:val="1"/>
                <w:szCs w:val="1"/>
                <w:color w:val="auto"/>
              </w:rPr>
            </w:pPr>
          </w:p>
        </w:tc>
      </w:tr>
      <w:tr>
        <w:trPr>
          <w:trHeight w:val="80"/>
        </w:trPr>
        <w:tc>
          <w:tcPr>
            <w:tcW w:w="7040" w:type="dxa"/>
            <w:vAlign w:val="bottom"/>
            <w:shd w:val="clear" w:color="auto" w:fill="000000"/>
          </w:tcPr>
          <w:p>
            <w:pPr>
              <w:spacing w:after="0"/>
              <w:rPr>
                <w:sz w:val="6"/>
                <w:szCs w:val="6"/>
                <w:color w:val="auto"/>
              </w:rPr>
            </w:pPr>
          </w:p>
        </w:tc>
        <w:tc>
          <w:tcPr>
            <w:tcW w:w="156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520" w:hanging="514"/>
        <w:spacing w:after="0"/>
        <w:tabs>
          <w:tab w:leader="none" w:pos="5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 (CONTINUED)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restart"/>
          </w:tcPr>
          <w:p>
            <w:pPr>
              <w:jc w:val="center"/>
              <w:ind w:right="181"/>
              <w:spacing w:after="0"/>
              <w:rPr>
                <w:sz w:val="20"/>
                <w:szCs w:val="20"/>
                <w:color w:val="auto"/>
              </w:rPr>
            </w:pPr>
            <w:r>
              <w:rPr>
                <w:rFonts w:ascii="Arial" w:cs="Arial" w:eastAsia="Arial" w:hAnsi="Arial"/>
                <w:sz w:val="14"/>
                <w:szCs w:val="14"/>
                <w:color w:val="auto"/>
              </w:rPr>
              <w:t>June 30,</w:t>
            </w:r>
          </w:p>
        </w:tc>
        <w:tc>
          <w:tcPr>
            <w:tcW w:w="160" w:type="dxa"/>
            <w:vAlign w:val="bottom"/>
          </w:tcPr>
          <w:p>
            <w:pPr>
              <w:spacing w:after="0"/>
              <w:rPr>
                <w:sz w:val="16"/>
                <w:szCs w:val="16"/>
                <w:color w:val="auto"/>
              </w:rPr>
            </w:pPr>
          </w:p>
        </w:tc>
        <w:tc>
          <w:tcPr>
            <w:tcW w:w="1260" w:type="dxa"/>
            <w:vAlign w:val="bottom"/>
            <w:vMerge w:val="restart"/>
          </w:tcPr>
          <w:p>
            <w:pPr>
              <w:jc w:val="right"/>
              <w:ind w:right="20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0" w:type="dxa"/>
            <w:vAlign w:val="bottom"/>
            <w:tcBorders>
              <w:bottom w:val="single" w:sz="8" w:color="auto"/>
            </w:tcBorders>
          </w:tcPr>
          <w:p>
            <w:pPr>
              <w:spacing w:after="0"/>
              <w:rPr>
                <w:sz w:val="15"/>
                <w:szCs w:val="15"/>
                <w:color w:val="auto"/>
              </w:rPr>
            </w:pPr>
          </w:p>
        </w:tc>
        <w:tc>
          <w:tcPr>
            <w:tcW w:w="69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rPr>
              <w:t>2014</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2013(1)</w:t>
            </w:r>
          </w:p>
        </w:tc>
        <w:tc>
          <w:tcPr>
            <w:tcW w:w="0" w:type="dxa"/>
            <w:vAlign w:val="bottom"/>
          </w:tcPr>
          <w:p>
            <w:pPr>
              <w:spacing w:after="0"/>
              <w:rPr>
                <w:sz w:val="1"/>
                <w:szCs w:val="1"/>
                <w:color w:val="auto"/>
              </w:rPr>
            </w:pPr>
          </w:p>
        </w:tc>
      </w:tr>
      <w:tr>
        <w:trPr>
          <w:trHeight w:val="183"/>
        </w:trPr>
        <w:tc>
          <w:tcPr>
            <w:tcW w:w="7140" w:type="dxa"/>
            <w:vAlign w:val="bottom"/>
            <w:gridSpan w:val="2"/>
            <w:vMerge w:val="restart"/>
          </w:tcPr>
          <w:p>
            <w:pPr>
              <w:spacing w:after="0"/>
              <w:rPr>
                <w:sz w:val="20"/>
                <w:szCs w:val="20"/>
                <w:color w:val="auto"/>
              </w:rPr>
            </w:pPr>
            <w:r>
              <w:rPr>
                <w:rFonts w:ascii="Arial" w:cs="Arial" w:eastAsia="Arial" w:hAnsi="Arial"/>
                <w:sz w:val="16"/>
                <w:szCs w:val="16"/>
                <w:color w:val="auto"/>
              </w:rPr>
              <w:t>LIABILITIES AND EQUITY</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61"/>
              <w:spacing w:after="0"/>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40" w:type="dxa"/>
            <w:vAlign w:val="bottom"/>
            <w:gridSpan w:val="2"/>
            <w:vMerge w:val="continue"/>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140" w:type="dxa"/>
            <w:vAlign w:val="bottom"/>
            <w:gridSpan w:val="2"/>
          </w:tcPr>
          <w:p>
            <w:pPr>
              <w:spacing w:after="0" w:line="173" w:lineRule="exact"/>
              <w:rPr>
                <w:sz w:val="20"/>
                <w:szCs w:val="20"/>
                <w:color w:val="auto"/>
              </w:rPr>
            </w:pPr>
            <w:r>
              <w:rPr>
                <w:rFonts w:ascii="Arial" w:cs="Arial" w:eastAsia="Arial" w:hAnsi="Arial"/>
                <w:sz w:val="16"/>
                <w:szCs w:val="16"/>
                <w:color w:val="auto"/>
              </w:rPr>
              <w:t>Current liabilities:</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Short-term debt</w:t>
            </w:r>
          </w:p>
        </w:tc>
        <w:tc>
          <w:tcPr>
            <w:tcW w:w="166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127</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99"/>
        </w:trPr>
        <w:tc>
          <w:tcPr>
            <w:tcW w:w="7140" w:type="dxa"/>
            <w:vAlign w:val="bottom"/>
            <w:gridSpan w:val="2"/>
          </w:tcPr>
          <w:p>
            <w:pPr>
              <w:ind w:left="180"/>
              <w:spacing w:after="0"/>
              <w:rPr>
                <w:sz w:val="20"/>
                <w:szCs w:val="20"/>
                <w:color w:val="auto"/>
              </w:rPr>
            </w:pPr>
            <w:r>
              <w:rPr>
                <w:rFonts w:ascii="Arial" w:cs="Arial" w:eastAsia="Arial" w:hAnsi="Arial"/>
                <w:sz w:val="16"/>
                <w:szCs w:val="16"/>
                <w:color w:val="auto"/>
              </w:rPr>
              <w:t>Accounts payable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374</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Due to unconsolidated affiliates</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Deferred income taxes</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60" w:type="dxa"/>
            <w:vAlign w:val="bottom"/>
          </w:tcPr>
          <w:p>
            <w:pPr>
              <w:spacing w:after="0" w:line="173" w:lineRule="exact"/>
              <w:rPr>
                <w:sz w:val="20"/>
                <w:szCs w:val="20"/>
                <w:color w:val="auto"/>
              </w:rPr>
            </w:pPr>
            <w:r>
              <w:rPr>
                <w:rFonts w:ascii="Arial" w:cs="Arial" w:eastAsia="Arial" w:hAnsi="Arial"/>
                <w:sz w:val="16"/>
                <w:szCs w:val="16"/>
                <w:color w:val="auto"/>
              </w:rPr>
              <w:t>Dividends and interest payable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40</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73"/>
        </w:trPr>
        <w:tc>
          <w:tcPr>
            <w:tcW w:w="7140" w:type="dxa"/>
            <w:vAlign w:val="bottom"/>
            <w:gridSpan w:val="2"/>
          </w:tcPr>
          <w:p>
            <w:pPr>
              <w:ind w:left="180"/>
              <w:spacing w:after="0" w:line="173" w:lineRule="exact"/>
              <w:rPr>
                <w:sz w:val="20"/>
                <w:szCs w:val="20"/>
                <w:color w:val="auto"/>
              </w:rPr>
            </w:pPr>
            <w:r>
              <w:rPr>
                <w:rFonts w:ascii="Arial" w:cs="Arial" w:eastAsia="Arial" w:hAnsi="Arial"/>
                <w:sz w:val="16"/>
                <w:szCs w:val="16"/>
                <w:color w:val="auto"/>
              </w:rPr>
              <w:t>Accrued compensation and benefits</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76</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60" w:type="dxa"/>
            <w:vAlign w:val="bottom"/>
          </w:tcPr>
          <w:p>
            <w:pPr>
              <w:spacing w:after="0" w:line="173" w:lineRule="exact"/>
              <w:rPr>
                <w:sz w:val="20"/>
                <w:szCs w:val="20"/>
                <w:color w:val="auto"/>
              </w:rPr>
            </w:pPr>
            <w:r>
              <w:rPr>
                <w:rFonts w:ascii="Arial" w:cs="Arial" w:eastAsia="Arial" w:hAnsi="Arial"/>
                <w:sz w:val="16"/>
                <w:szCs w:val="16"/>
                <w:color w:val="auto"/>
              </w:rPr>
              <w:t>Current portion of long-term debt</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115</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60" w:type="dxa"/>
            <w:vAlign w:val="bottom"/>
          </w:tcPr>
          <w:p>
            <w:pPr>
              <w:spacing w:after="0" w:line="173" w:lineRule="exact"/>
              <w:rPr>
                <w:sz w:val="20"/>
                <w:szCs w:val="20"/>
                <w:color w:val="auto"/>
              </w:rPr>
            </w:pPr>
            <w:r>
              <w:rPr>
                <w:rFonts w:ascii="Arial" w:cs="Arial" w:eastAsia="Arial" w:hAnsi="Arial"/>
                <w:sz w:val="16"/>
                <w:szCs w:val="16"/>
                <w:color w:val="auto"/>
              </w:rPr>
              <w:t>Fixed-price contracts and other derivatives</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38</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60" w:type="dxa"/>
            <w:vAlign w:val="bottom"/>
          </w:tcPr>
          <w:p>
            <w:pPr>
              <w:spacing w:after="0" w:line="173" w:lineRule="exact"/>
              <w:rPr>
                <w:sz w:val="20"/>
                <w:szCs w:val="20"/>
                <w:color w:val="auto"/>
              </w:rPr>
            </w:pPr>
            <w:r>
              <w:rPr>
                <w:rFonts w:ascii="Arial" w:cs="Arial" w:eastAsia="Arial" w:hAnsi="Arial"/>
                <w:sz w:val="16"/>
                <w:szCs w:val="16"/>
                <w:color w:val="auto"/>
              </w:rPr>
              <w:t>Customer deposits</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68</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Other</w:t>
            </w:r>
          </w:p>
        </w:tc>
        <w:tc>
          <w:tcPr>
            <w:tcW w:w="1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6960" w:type="dxa"/>
            <w:vAlign w:val="bottom"/>
          </w:tcPr>
          <w:p>
            <w:pPr>
              <w:ind w:left="180"/>
              <w:spacing w:after="0" w:line="166" w:lineRule="exact"/>
              <w:rPr>
                <w:sz w:val="20"/>
                <w:szCs w:val="20"/>
                <w:color w:val="auto"/>
              </w:rPr>
            </w:pPr>
            <w:r>
              <w:rPr>
                <w:rFonts w:ascii="Arial" w:cs="Arial" w:eastAsia="Arial" w:hAnsi="Arial"/>
                <w:sz w:val="16"/>
                <w:szCs w:val="16"/>
                <w:color w:val="auto"/>
              </w:rPr>
              <w:t>Total current liabilities</w:t>
            </w:r>
          </w:p>
        </w:tc>
        <w:tc>
          <w:tcPr>
            <w:tcW w:w="1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1,274</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1,079</w:t>
            </w:r>
          </w:p>
        </w:tc>
        <w:tc>
          <w:tcPr>
            <w:tcW w:w="0" w:type="dxa"/>
            <w:vAlign w:val="bottom"/>
          </w:tcPr>
          <w:p>
            <w:pPr>
              <w:spacing w:after="0"/>
              <w:rPr>
                <w:sz w:val="1"/>
                <w:szCs w:val="1"/>
                <w:color w:val="auto"/>
              </w:rPr>
            </w:pPr>
          </w:p>
        </w:tc>
      </w:tr>
      <w:tr>
        <w:trPr>
          <w:trHeight w:val="135"/>
        </w:trPr>
        <w:tc>
          <w:tcPr>
            <w:tcW w:w="7140" w:type="dxa"/>
            <w:vAlign w:val="bottom"/>
            <w:gridSpan w:val="2"/>
          </w:tcPr>
          <w:p>
            <w:pPr>
              <w:spacing w:after="0" w:line="135" w:lineRule="exact"/>
              <w:rPr>
                <w:sz w:val="20"/>
                <w:szCs w:val="20"/>
                <w:color w:val="auto"/>
              </w:rPr>
            </w:pPr>
            <w:r>
              <w:rPr>
                <w:rFonts w:ascii="Arial" w:cs="Arial" w:eastAsia="Arial" w:hAnsi="Arial"/>
                <w:sz w:val="15"/>
                <w:szCs w:val="15"/>
                <w:color w:val="auto"/>
              </w:rPr>
              <w:t>Long-term debt ($320 and $325 at June 30, 2014 and December 31, 2013,</w:t>
            </w: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4,577</w:t>
            </w:r>
          </w:p>
        </w:tc>
        <w:tc>
          <w:tcPr>
            <w:tcW w:w="1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4,525</w:t>
            </w: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respectively, related to VIE)</w:t>
            </w:r>
          </w:p>
        </w:tc>
        <w:tc>
          <w:tcPr>
            <w:tcW w:w="1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7140" w:type="dxa"/>
            <w:vAlign w:val="bottom"/>
            <w:gridSpan w:val="2"/>
          </w:tcPr>
          <w:p>
            <w:pPr>
              <w:spacing w:after="0"/>
              <w:rPr>
                <w:sz w:val="20"/>
                <w:szCs w:val="20"/>
                <w:color w:val="auto"/>
              </w:rPr>
            </w:pPr>
            <w:r>
              <w:rPr>
                <w:rFonts w:ascii="Arial" w:cs="Arial" w:eastAsia="Arial" w:hAnsi="Arial"/>
                <w:sz w:val="16"/>
                <w:szCs w:val="16"/>
                <w:color w:val="auto"/>
              </w:rPr>
              <w:t>Deferred credits and other liabilities:</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60" w:type="dxa"/>
            <w:vAlign w:val="bottom"/>
          </w:tcPr>
          <w:p>
            <w:pPr>
              <w:spacing w:after="0" w:line="173" w:lineRule="exact"/>
              <w:rPr>
                <w:sz w:val="20"/>
                <w:szCs w:val="20"/>
                <w:color w:val="auto"/>
              </w:rPr>
            </w:pPr>
            <w:r>
              <w:rPr>
                <w:rFonts w:ascii="Arial" w:cs="Arial" w:eastAsia="Arial" w:hAnsi="Arial"/>
                <w:sz w:val="16"/>
                <w:szCs w:val="16"/>
                <w:color w:val="auto"/>
              </w:rPr>
              <w:t>Customer advances for construction</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39</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60" w:type="dxa"/>
            <w:vAlign w:val="bottom"/>
          </w:tcPr>
          <w:p>
            <w:pPr>
              <w:spacing w:after="0" w:line="173" w:lineRule="exact"/>
              <w:rPr>
                <w:sz w:val="20"/>
                <w:szCs w:val="20"/>
                <w:color w:val="auto"/>
              </w:rPr>
            </w:pPr>
            <w:r>
              <w:rPr>
                <w:rFonts w:ascii="Arial" w:cs="Arial" w:eastAsia="Arial" w:hAnsi="Arial"/>
                <w:sz w:val="16"/>
                <w:szCs w:val="16"/>
                <w:color w:val="auto"/>
              </w:rPr>
              <w:t>Pension and other postretirement benefit obligations, net of plan assets</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134</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60" w:type="dxa"/>
            <w:vAlign w:val="bottom"/>
          </w:tcPr>
          <w:p>
            <w:pPr>
              <w:spacing w:after="0" w:line="173" w:lineRule="exact"/>
              <w:rPr>
                <w:sz w:val="20"/>
                <w:szCs w:val="20"/>
                <w:color w:val="auto"/>
              </w:rPr>
            </w:pPr>
            <w:r>
              <w:rPr>
                <w:rFonts w:ascii="Arial" w:cs="Arial" w:eastAsia="Arial" w:hAnsi="Arial"/>
                <w:sz w:val="16"/>
                <w:szCs w:val="16"/>
                <w:color w:val="auto"/>
              </w:rPr>
              <w:t>Deferred income taxes</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1,902</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60" w:type="dxa"/>
            <w:vAlign w:val="bottom"/>
          </w:tcPr>
          <w:p>
            <w:pPr>
              <w:spacing w:after="0" w:line="173" w:lineRule="exact"/>
              <w:rPr>
                <w:sz w:val="20"/>
                <w:szCs w:val="20"/>
                <w:color w:val="auto"/>
              </w:rPr>
            </w:pPr>
            <w:r>
              <w:rPr>
                <w:rFonts w:ascii="Arial" w:cs="Arial" w:eastAsia="Arial" w:hAnsi="Arial"/>
                <w:sz w:val="16"/>
                <w:szCs w:val="16"/>
                <w:color w:val="auto"/>
              </w:rPr>
              <w:t>Deferred investment tax credits</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23</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60" w:type="dxa"/>
            <w:vAlign w:val="bottom"/>
          </w:tcPr>
          <w:p>
            <w:pPr>
              <w:spacing w:after="0" w:line="173" w:lineRule="exact"/>
              <w:rPr>
                <w:sz w:val="20"/>
                <w:szCs w:val="20"/>
                <w:color w:val="auto"/>
              </w:rPr>
            </w:pPr>
            <w:r>
              <w:rPr>
                <w:rFonts w:ascii="Arial" w:cs="Arial" w:eastAsia="Arial" w:hAnsi="Arial"/>
                <w:sz w:val="16"/>
                <w:szCs w:val="16"/>
                <w:color w:val="auto"/>
              </w:rPr>
              <w:t>Regulatory liabilities arising from removal obligations</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1,551</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1,403</w:t>
            </w:r>
          </w:p>
        </w:tc>
        <w:tc>
          <w:tcPr>
            <w:tcW w:w="0" w:type="dxa"/>
            <w:vAlign w:val="bottom"/>
          </w:tcPr>
          <w:p>
            <w:pPr>
              <w:spacing w:after="0"/>
              <w:rPr>
                <w:sz w:val="1"/>
                <w:szCs w:val="1"/>
                <w:color w:val="auto"/>
              </w:rPr>
            </w:pPr>
          </w:p>
        </w:tc>
      </w:tr>
      <w:tr>
        <w:trPr>
          <w:trHeight w:val="173"/>
        </w:trPr>
        <w:tc>
          <w:tcPr>
            <w:tcW w:w="7140" w:type="dxa"/>
            <w:vAlign w:val="bottom"/>
            <w:gridSpan w:val="2"/>
          </w:tcPr>
          <w:p>
            <w:pPr>
              <w:ind w:left="180"/>
              <w:spacing w:after="0" w:line="173" w:lineRule="exact"/>
              <w:rPr>
                <w:sz w:val="20"/>
                <w:szCs w:val="20"/>
                <w:color w:val="auto"/>
              </w:rPr>
            </w:pPr>
            <w:r>
              <w:rPr>
                <w:rFonts w:ascii="Arial" w:cs="Arial" w:eastAsia="Arial" w:hAnsi="Arial"/>
                <w:sz w:val="16"/>
                <w:szCs w:val="16"/>
                <w:color w:val="auto"/>
              </w:rPr>
              <w:t>Asset retirement obligations</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751</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60" w:type="dxa"/>
            <w:vAlign w:val="bottom"/>
          </w:tcPr>
          <w:p>
            <w:pPr>
              <w:spacing w:after="0" w:line="173" w:lineRule="exact"/>
              <w:rPr>
                <w:sz w:val="20"/>
                <w:szCs w:val="20"/>
                <w:color w:val="auto"/>
              </w:rPr>
            </w:pPr>
            <w:r>
              <w:rPr>
                <w:rFonts w:ascii="Arial" w:cs="Arial" w:eastAsia="Arial" w:hAnsi="Arial"/>
                <w:sz w:val="16"/>
                <w:szCs w:val="16"/>
                <w:color w:val="auto"/>
              </w:rPr>
              <w:t>Fixed-price contracts and other derivatives</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166</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Deferred credits and other</w:t>
            </w:r>
          </w:p>
        </w:tc>
        <w:tc>
          <w:tcPr>
            <w:tcW w:w="1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6960" w:type="dxa"/>
            <w:vAlign w:val="bottom"/>
          </w:tcPr>
          <w:p>
            <w:pPr>
              <w:ind w:left="180"/>
              <w:spacing w:after="0" w:line="166" w:lineRule="exact"/>
              <w:rPr>
                <w:sz w:val="20"/>
                <w:szCs w:val="20"/>
                <w:color w:val="auto"/>
              </w:rPr>
            </w:pPr>
            <w:r>
              <w:rPr>
                <w:rFonts w:ascii="Arial" w:cs="Arial" w:eastAsia="Arial" w:hAnsi="Arial"/>
                <w:sz w:val="16"/>
                <w:szCs w:val="16"/>
                <w:color w:val="auto"/>
              </w:rPr>
              <w:t>Total deferred credits and other liabilities</w:t>
            </w:r>
          </w:p>
        </w:tc>
        <w:tc>
          <w:tcPr>
            <w:tcW w:w="1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4,980</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5,054</w:t>
            </w:r>
          </w:p>
        </w:tc>
        <w:tc>
          <w:tcPr>
            <w:tcW w:w="0" w:type="dxa"/>
            <w:vAlign w:val="bottom"/>
          </w:tcPr>
          <w:p>
            <w:pPr>
              <w:spacing w:after="0"/>
              <w:rPr>
                <w:sz w:val="1"/>
                <w:szCs w:val="1"/>
                <w:color w:val="auto"/>
              </w:rPr>
            </w:pPr>
          </w:p>
        </w:tc>
      </w:tr>
      <w:tr>
        <w:trPr>
          <w:trHeight w:val="376"/>
        </w:trPr>
        <w:tc>
          <w:tcPr>
            <w:tcW w:w="7140" w:type="dxa"/>
            <w:vAlign w:val="bottom"/>
            <w:gridSpan w:val="2"/>
          </w:tcPr>
          <w:p>
            <w:pPr>
              <w:spacing w:after="0"/>
              <w:rPr>
                <w:sz w:val="20"/>
                <w:szCs w:val="20"/>
                <w:color w:val="auto"/>
              </w:rPr>
            </w:pPr>
            <w:r>
              <w:rPr>
                <w:rFonts w:ascii="Arial" w:cs="Arial" w:eastAsia="Arial" w:hAnsi="Arial"/>
                <w:sz w:val="16"/>
                <w:szCs w:val="16"/>
                <w:color w:val="auto"/>
              </w:rPr>
              <w:t>Commitments and contingencies (Note 11)</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7140" w:type="dxa"/>
            <w:vAlign w:val="bottom"/>
            <w:gridSpan w:val="2"/>
          </w:tcPr>
          <w:p>
            <w:pPr>
              <w:spacing w:after="0"/>
              <w:rPr>
                <w:sz w:val="20"/>
                <w:szCs w:val="20"/>
                <w:color w:val="auto"/>
              </w:rPr>
            </w:pPr>
            <w:r>
              <w:rPr>
                <w:rFonts w:ascii="Arial" w:cs="Arial" w:eastAsia="Arial" w:hAnsi="Arial"/>
                <w:sz w:val="16"/>
                <w:szCs w:val="16"/>
                <w:color w:val="auto"/>
              </w:rPr>
              <w:t>Equity:</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60" w:type="dxa"/>
            <w:vAlign w:val="bottom"/>
          </w:tcPr>
          <w:p>
            <w:pPr>
              <w:spacing w:after="0" w:line="173" w:lineRule="exact"/>
              <w:rPr>
                <w:sz w:val="20"/>
                <w:szCs w:val="20"/>
                <w:color w:val="auto"/>
              </w:rPr>
            </w:pPr>
            <w:r>
              <w:rPr>
                <w:rFonts w:ascii="Arial" w:cs="Arial" w:eastAsia="Arial" w:hAnsi="Arial"/>
                <w:sz w:val="16"/>
                <w:szCs w:val="16"/>
                <w:color w:val="auto"/>
              </w:rPr>
              <w:t>Common stock (255 million shares authorized; 117 million shares outstanding;</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60" w:type="dxa"/>
            <w:vAlign w:val="bottom"/>
          </w:tcPr>
          <w:p>
            <w:pPr>
              <w:ind w:left="180"/>
              <w:spacing w:after="0" w:line="173" w:lineRule="exact"/>
              <w:rPr>
                <w:sz w:val="20"/>
                <w:szCs w:val="20"/>
                <w:color w:val="auto"/>
              </w:rPr>
            </w:pPr>
            <w:r>
              <w:rPr>
                <w:rFonts w:ascii="Arial" w:cs="Arial" w:eastAsia="Arial" w:hAnsi="Arial"/>
                <w:sz w:val="16"/>
                <w:szCs w:val="16"/>
                <w:color w:val="auto"/>
              </w:rPr>
              <w:t>no par value)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1,338</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1,338</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60" w:type="dxa"/>
            <w:vAlign w:val="bottom"/>
          </w:tcPr>
          <w:p>
            <w:pPr>
              <w:spacing w:after="0" w:line="173" w:lineRule="exact"/>
              <w:rPr>
                <w:sz w:val="20"/>
                <w:szCs w:val="20"/>
                <w:color w:val="auto"/>
              </w:rPr>
            </w:pPr>
            <w:r>
              <w:rPr>
                <w:rFonts w:ascii="Arial" w:cs="Arial" w:eastAsia="Arial" w:hAnsi="Arial"/>
                <w:sz w:val="16"/>
                <w:szCs w:val="16"/>
                <w:color w:val="auto"/>
              </w:rPr>
              <w:t>Retained earnings</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3,521</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3,299</w:t>
            </w:r>
          </w:p>
        </w:tc>
        <w:tc>
          <w:tcPr>
            <w:tcW w:w="0" w:type="dxa"/>
            <w:vAlign w:val="bottom"/>
          </w:tcPr>
          <w:p>
            <w:pPr>
              <w:spacing w:after="0"/>
              <w:rPr>
                <w:sz w:val="1"/>
                <w:szCs w:val="1"/>
                <w:color w:val="auto"/>
              </w:rPr>
            </w:pPr>
          </w:p>
        </w:tc>
      </w:tr>
      <w:tr>
        <w:trPr>
          <w:trHeight w:val="204"/>
        </w:trPr>
        <w:tc>
          <w:tcPr>
            <w:tcW w:w="7140" w:type="dxa"/>
            <w:vAlign w:val="bottom"/>
            <w:gridSpan w:val="2"/>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1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6960" w:type="dxa"/>
            <w:vAlign w:val="bottom"/>
          </w:tcPr>
          <w:p>
            <w:pPr>
              <w:ind w:left="180"/>
              <w:spacing w:after="0" w:line="135" w:lineRule="exact"/>
              <w:rPr>
                <w:sz w:val="20"/>
                <w:szCs w:val="20"/>
                <w:color w:val="auto"/>
              </w:rPr>
            </w:pPr>
            <w:r>
              <w:rPr>
                <w:rFonts w:ascii="Arial" w:cs="Arial" w:eastAsia="Arial" w:hAnsi="Arial"/>
                <w:sz w:val="15"/>
                <w:szCs w:val="15"/>
                <w:color w:val="auto"/>
              </w:rPr>
              <w:t>Total SDG&amp;E shareholder's equity</w:t>
            </w: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5"/>
                <w:szCs w:val="15"/>
                <w:color w:val="auto"/>
              </w:rPr>
              <w:t>4,851</w:t>
            </w:r>
          </w:p>
        </w:tc>
        <w:tc>
          <w:tcPr>
            <w:tcW w:w="16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5"/>
                <w:szCs w:val="15"/>
                <w:color w:val="auto"/>
              </w:rPr>
              <w:t>4,628</w:t>
            </w: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6960" w:type="dxa"/>
            <w:vAlign w:val="bottom"/>
          </w:tcPr>
          <w:p>
            <w:pPr>
              <w:ind w:left="180"/>
              <w:spacing w:after="0" w:line="166" w:lineRule="exact"/>
              <w:rPr>
                <w:sz w:val="20"/>
                <w:szCs w:val="20"/>
                <w:color w:val="auto"/>
              </w:rPr>
            </w:pPr>
            <w:r>
              <w:rPr>
                <w:rFonts w:ascii="Arial" w:cs="Arial" w:eastAsia="Arial" w:hAnsi="Arial"/>
                <w:sz w:val="16"/>
                <w:szCs w:val="16"/>
                <w:color w:val="auto"/>
              </w:rPr>
              <w:t>Total equity</w:t>
            </w:r>
          </w:p>
        </w:tc>
        <w:tc>
          <w:tcPr>
            <w:tcW w:w="1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4,936</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4,719</w:t>
            </w:r>
          </w:p>
        </w:tc>
        <w:tc>
          <w:tcPr>
            <w:tcW w:w="0" w:type="dxa"/>
            <w:vAlign w:val="bottom"/>
          </w:tcPr>
          <w:p>
            <w:pPr>
              <w:spacing w:after="0"/>
              <w:rPr>
                <w:sz w:val="1"/>
                <w:szCs w:val="1"/>
                <w:color w:val="auto"/>
              </w:rPr>
            </w:pPr>
          </w:p>
        </w:tc>
      </w:tr>
      <w:tr>
        <w:trPr>
          <w:trHeight w:val="166"/>
        </w:trPr>
        <w:tc>
          <w:tcPr>
            <w:tcW w:w="7140" w:type="dxa"/>
            <w:vAlign w:val="bottom"/>
            <w:gridSpan w:val="2"/>
          </w:tcPr>
          <w:p>
            <w:pPr>
              <w:spacing w:after="0" w:line="166" w:lineRule="exact"/>
              <w:rPr>
                <w:sz w:val="20"/>
                <w:szCs w:val="20"/>
                <w:color w:val="auto"/>
              </w:rPr>
            </w:pPr>
            <w:r>
              <w:rPr>
                <w:rFonts w:ascii="Arial" w:cs="Arial" w:eastAsia="Arial" w:hAnsi="Arial"/>
                <w:sz w:val="16"/>
                <w:szCs w:val="16"/>
                <w:color w:val="auto"/>
              </w:rPr>
              <w:t>Total liabilities and equity</w:t>
            </w:r>
          </w:p>
        </w:tc>
        <w:tc>
          <w:tcPr>
            <w:tcW w:w="1460" w:type="dxa"/>
            <w:vAlign w:val="bottom"/>
          </w:tcPr>
          <w:p>
            <w:pPr>
              <w:spacing w:after="0"/>
              <w:rPr>
                <w:sz w:val="14"/>
                <w:szCs w:val="14"/>
                <w:color w:val="auto"/>
              </w:rPr>
            </w:pPr>
          </w:p>
        </w:tc>
        <w:tc>
          <w:tcPr>
            <w:tcW w:w="200" w:type="dxa"/>
            <w:vAlign w:val="bottom"/>
          </w:tcPr>
          <w:p>
            <w:pPr>
              <w:jc w:val="right"/>
              <w:ind w:right="46"/>
              <w:spacing w:after="0" w:line="167" w:lineRule="exact"/>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66" w:lineRule="exact"/>
              <w:rPr>
                <w:sz w:val="20"/>
                <w:szCs w:val="20"/>
                <w:color w:val="auto"/>
              </w:rPr>
            </w:pPr>
            <w:r>
              <w:rPr>
                <w:rFonts w:ascii="Arial" w:cs="Arial" w:eastAsia="Arial" w:hAnsi="Arial"/>
                <w:sz w:val="16"/>
                <w:szCs w:val="16"/>
                <w:color w:val="auto"/>
              </w:rPr>
              <w:t>15,767</w:t>
            </w:r>
          </w:p>
        </w:tc>
        <w:tc>
          <w:tcPr>
            <w:tcW w:w="160" w:type="dxa"/>
            <w:vAlign w:val="bottom"/>
          </w:tcPr>
          <w:p>
            <w:pPr>
              <w:jc w:val="right"/>
              <w:ind w:right="6"/>
              <w:spacing w:after="0" w:line="167" w:lineRule="exact"/>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66" w:lineRule="exact"/>
              <w:rPr>
                <w:sz w:val="20"/>
                <w:szCs w:val="20"/>
                <w:color w:val="auto"/>
              </w:rPr>
            </w:pPr>
            <w:r>
              <w:rPr>
                <w:rFonts w:ascii="Arial" w:cs="Arial" w:eastAsia="Arial" w:hAnsi="Arial"/>
                <w:sz w:val="16"/>
                <w:szCs w:val="16"/>
                <w:color w:val="auto"/>
              </w:rPr>
              <w:t>15,377</w:t>
            </w:r>
          </w:p>
        </w:tc>
        <w:tc>
          <w:tcPr>
            <w:tcW w:w="0" w:type="dxa"/>
            <w:vAlign w:val="bottom"/>
          </w:tcPr>
          <w:p>
            <w:pPr>
              <w:spacing w:after="0"/>
              <w:rPr>
                <w:sz w:val="1"/>
                <w:szCs w:val="1"/>
                <w:color w:val="auto"/>
              </w:rPr>
            </w:pPr>
          </w:p>
        </w:tc>
      </w:tr>
      <w:tr>
        <w:trPr>
          <w:trHeight w:val="80"/>
        </w:trPr>
        <w:tc>
          <w:tcPr>
            <w:tcW w:w="180" w:type="dxa"/>
            <w:vAlign w:val="bottom"/>
            <w:shd w:val="clear" w:color="auto" w:fill="000000"/>
          </w:tcPr>
          <w:p>
            <w:pPr>
              <w:spacing w:after="0"/>
              <w:rPr>
                <w:sz w:val="6"/>
                <w:szCs w:val="6"/>
                <w:color w:val="auto"/>
              </w:rPr>
            </w:pPr>
          </w:p>
        </w:tc>
        <w:tc>
          <w:tcPr>
            <w:tcW w:w="6960" w:type="dxa"/>
            <w:vAlign w:val="bottom"/>
            <w:shd w:val="clear" w:color="auto" w:fill="000000"/>
          </w:tcPr>
          <w:p>
            <w:pPr>
              <w:spacing w:after="0"/>
              <w:rPr>
                <w:sz w:val="6"/>
                <w:szCs w:val="6"/>
                <w:color w:val="auto"/>
              </w:rPr>
            </w:pPr>
          </w:p>
        </w:tc>
        <w:tc>
          <w:tcPr>
            <w:tcW w:w="14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200" w:type="dxa"/>
            <w:vAlign w:val="bottom"/>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12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20"/>
                <w:szCs w:val="20"/>
                <w:color w:val="auto"/>
              </w:rPr>
            </w:pPr>
            <w:r>
              <w:rPr>
                <w:rFonts w:ascii="Arial" w:cs="Arial" w:eastAsia="Arial" w:hAnsi="Arial"/>
                <w:sz w:val="14"/>
                <w:szCs w:val="14"/>
                <w:i w:val="1"/>
                <w:iCs w:val="1"/>
                <w:color w:val="auto"/>
                <w:w w:val="93"/>
              </w:rPr>
              <w:t>(1)</w:t>
            </w:r>
          </w:p>
        </w:tc>
        <w:tc>
          <w:tcPr>
            <w:tcW w:w="6960" w:type="dxa"/>
            <w:vAlign w:val="bottom"/>
          </w:tcPr>
          <w:p>
            <w:pPr>
              <w:ind w:left="340"/>
              <w:spacing w:after="0"/>
              <w:rPr>
                <w:sz w:val="20"/>
                <w:szCs w:val="20"/>
                <w:color w:val="auto"/>
              </w:rPr>
            </w:pPr>
            <w:r>
              <w:rPr>
                <w:rFonts w:ascii="Arial" w:cs="Arial" w:eastAsia="Arial" w:hAnsi="Arial"/>
                <w:sz w:val="14"/>
                <w:szCs w:val="14"/>
                <w:i w:val="1"/>
                <w:iCs w:val="1"/>
                <w:color w:val="auto"/>
              </w:rPr>
              <w:t>Derived from audited financial statements.</w:t>
            </w: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140" w:type="dxa"/>
            <w:vAlign w:val="bottom"/>
            <w:gridSpan w:val="2"/>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ind w:left="9460"/>
        <w:spacing w:after="0" w:line="237" w:lineRule="auto"/>
        <w:rPr>
          <w:sz w:val="20"/>
          <w:szCs w:val="20"/>
          <w:color w:val="auto"/>
        </w:rPr>
      </w:pPr>
      <w:r>
        <w:rPr>
          <w:rFonts w:ascii="Arial" w:cs="Arial" w:eastAsia="Arial" w:hAnsi="Arial"/>
          <w:sz w:val="14"/>
          <w:szCs w:val="14"/>
          <w:color w:val="auto"/>
        </w:rPr>
        <w:t>Six months ended</w:t>
      </w:r>
    </w:p>
    <w:tbl>
      <w:tblPr>
        <w:tblLayout w:type="fixed"/>
        <w:tblInd w:w="0" w:type="dxa"/>
        <w:tblCellMar>
          <w:top w:w="0" w:type="dxa"/>
          <w:left w:w="0" w:type="dxa"/>
          <w:bottom w:w="0" w:type="dxa"/>
          <w:right w:w="0" w:type="dxa"/>
        </w:tblCellMar>
      </w:tblPr>
      <w:tr>
        <w:trPr>
          <w:trHeight w:val="155"/>
        </w:trPr>
        <w:tc>
          <w:tcPr>
            <w:tcW w:w="7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2014</w:t>
            </w:r>
          </w:p>
        </w:tc>
        <w:tc>
          <w:tcPr>
            <w:tcW w:w="9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83"/>
        </w:trPr>
        <w:tc>
          <w:tcPr>
            <w:tcW w:w="722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(unaudited)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22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72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340" w:type="dxa"/>
            <w:vAlign w:val="bottom"/>
            <w:gridSpan w:val="2"/>
          </w:tcPr>
          <w:p>
            <w:pPr>
              <w:jc w:val="right"/>
              <w:ind w:right="789"/>
              <w:spacing w:after="0"/>
              <w:rPr>
                <w:sz w:val="20"/>
                <w:szCs w:val="20"/>
                <w:color w:val="auto"/>
              </w:rPr>
            </w:pPr>
            <w:r>
              <w:rPr>
                <w:rFonts w:ascii="Arial" w:cs="Arial" w:eastAsia="Arial" w:hAnsi="Arial"/>
                <w:sz w:val="16"/>
                <w:szCs w:val="16"/>
                <w:color w:val="auto"/>
              </w:rPr>
              <w:t>$</w:t>
            </w:r>
          </w:p>
        </w:tc>
        <w:tc>
          <w:tcPr>
            <w:tcW w:w="920" w:type="dxa"/>
            <w:vAlign w:val="bottom"/>
          </w:tcPr>
          <w:p>
            <w:pPr>
              <w:ind w:left="200"/>
              <w:spacing w:after="0"/>
              <w:rPr>
                <w:sz w:val="20"/>
                <w:szCs w:val="20"/>
                <w:color w:val="auto"/>
              </w:rPr>
            </w:pPr>
            <w:r>
              <w:rPr>
                <w:rFonts w:ascii="Arial" w:cs="Arial" w:eastAsia="Arial" w:hAnsi="Arial"/>
                <w:sz w:val="16"/>
                <w:szCs w:val="16"/>
                <w:color w:val="auto"/>
              </w:rPr>
              <w:t>230 $</w:t>
            </w:r>
          </w:p>
        </w:tc>
        <w:tc>
          <w:tcPr>
            <w:tcW w:w="94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73"/>
        </w:trPr>
        <w:tc>
          <w:tcPr>
            <w:tcW w:w="7220" w:type="dxa"/>
            <w:vAlign w:val="bottom"/>
          </w:tcPr>
          <w:p>
            <w:pPr>
              <w:ind w:left="180"/>
              <w:spacing w:after="0" w:line="173" w:lineRule="exact"/>
              <w:rPr>
                <w:sz w:val="20"/>
                <w:szCs w:val="20"/>
                <w:color w:val="auto"/>
              </w:rPr>
            </w:pPr>
            <w:r>
              <w:rPr>
                <w:rFonts w:ascii="Arial" w:cs="Arial" w:eastAsia="Arial" w:hAnsi="Arial"/>
                <w:sz w:val="16"/>
                <w:szCs w:val="16"/>
                <w:color w:val="auto"/>
              </w:rPr>
              <w:t>Adjustments to reconcile net income to net cash provided by operating activities:</w:t>
            </w:r>
          </w:p>
        </w:tc>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20" w:type="dxa"/>
            <w:vAlign w:val="bottom"/>
          </w:tcPr>
          <w:p>
            <w:pPr>
              <w:ind w:left="360"/>
              <w:spacing w:after="0" w:line="173" w:lineRule="exact"/>
              <w:rPr>
                <w:sz w:val="20"/>
                <w:szCs w:val="20"/>
                <w:color w:val="auto"/>
              </w:rPr>
            </w:pPr>
            <w:r>
              <w:rPr>
                <w:rFonts w:ascii="Arial" w:cs="Arial" w:eastAsia="Arial" w:hAnsi="Arial"/>
                <w:sz w:val="16"/>
                <w:szCs w:val="16"/>
                <w:color w:val="auto"/>
              </w:rPr>
              <w:t>Depreciation and amortization</w:t>
            </w:r>
          </w:p>
        </w:tc>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ind w:left="200"/>
              <w:spacing w:after="0" w:line="173" w:lineRule="exact"/>
              <w:rPr>
                <w:sz w:val="20"/>
                <w:szCs w:val="20"/>
                <w:color w:val="auto"/>
              </w:rPr>
            </w:pPr>
            <w:r>
              <w:rPr>
                <w:rFonts w:ascii="Arial" w:cs="Arial" w:eastAsia="Arial" w:hAnsi="Arial"/>
                <w:sz w:val="16"/>
                <w:szCs w:val="16"/>
                <w:color w:val="auto"/>
              </w:rPr>
              <w:t>261</w:t>
            </w: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4"/>
        </w:trPr>
        <w:tc>
          <w:tcPr>
            <w:tcW w:w="7220" w:type="dxa"/>
            <w:vAlign w:val="bottom"/>
          </w:tcPr>
          <w:p>
            <w:pPr>
              <w:ind w:left="360"/>
              <w:spacing w:after="0"/>
              <w:rPr>
                <w:sz w:val="20"/>
                <w:szCs w:val="20"/>
                <w:color w:val="auto"/>
              </w:rPr>
            </w:pPr>
            <w:r>
              <w:rPr>
                <w:rFonts w:ascii="Arial" w:cs="Arial" w:eastAsia="Arial" w:hAnsi="Arial"/>
                <w:sz w:val="16"/>
                <w:szCs w:val="16"/>
                <w:color w:val="auto"/>
              </w:rPr>
              <w:t>Deferred income taxes and investment tax credits</w:t>
            </w:r>
          </w:p>
        </w:tc>
        <w:tc>
          <w:tcPr>
            <w:tcW w:w="1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ind w:left="200"/>
              <w:spacing w:after="0"/>
              <w:rPr>
                <w:sz w:val="20"/>
                <w:szCs w:val="20"/>
                <w:color w:val="auto"/>
              </w:rPr>
            </w:pPr>
            <w:r>
              <w:rPr>
                <w:rFonts w:ascii="Arial" w:cs="Arial" w:eastAsia="Arial" w:hAnsi="Arial"/>
                <w:sz w:val="16"/>
                <w:szCs w:val="16"/>
                <w:color w:val="auto"/>
              </w:rPr>
              <w:t>132</w:t>
            </w:r>
          </w:p>
        </w:tc>
        <w:tc>
          <w:tcPr>
            <w:tcW w:w="94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bl>
    <w:p>
      <w:pPr>
        <w:sectPr>
          <w:pgSz w:w="11900" w:h="16838" w:orient="portrait"/>
          <w:cols w:equalWidth="0" w:num="1">
            <w:col w:w="11420"/>
          </w:cols>
          <w:pgMar w:left="240" w:top="97" w:right="239" w:bottom="0" w:gutter="0" w:footer="0" w:header="0"/>
        </w:sectPr>
      </w:pPr>
    </w:p>
    <w:bookmarkStart w:id="8" w:name="page9"/>
    <w:bookmarkEnd w:id="8"/>
    <w:p>
      <w:pPr>
        <w:ind w:left="360"/>
        <w:spacing w:after="0"/>
        <w:rPr>
          <w:sz w:val="20"/>
          <w:szCs w:val="20"/>
          <w:color w:val="auto"/>
        </w:rPr>
      </w:pPr>
      <w:r>
        <w:rPr>
          <w:rFonts w:ascii="Arial" w:cs="Arial" w:eastAsia="Arial" w:hAnsi="Arial"/>
          <w:sz w:val="16"/>
          <w:szCs w:val="16"/>
          <w:color w:val="auto"/>
        </w:rPr>
        <w:t>Plant closure (adjustment) loss</w:t>
      </w:r>
    </w:p>
    <w:p>
      <w:pPr>
        <w:ind w:left="360"/>
        <w:spacing w:after="0" w:line="237" w:lineRule="auto"/>
        <w:rPr>
          <w:sz w:val="20"/>
          <w:szCs w:val="20"/>
          <w:color w:val="auto"/>
        </w:rPr>
      </w:pPr>
      <w:r>
        <w:rPr>
          <w:rFonts w:ascii="Arial" w:cs="Arial" w:eastAsia="Arial" w:hAnsi="Arial"/>
          <w:sz w:val="16"/>
          <w:szCs w:val="16"/>
          <w:color w:val="auto"/>
        </w:rPr>
        <w:t>Fixed-price contracts and other derivatives</w:t>
      </w:r>
    </w:p>
    <w:p>
      <w:pPr>
        <w:ind w:left="360"/>
        <w:spacing w:after="0" w:line="225" w:lineRule="auto"/>
        <w:rPr>
          <w:sz w:val="20"/>
          <w:szCs w:val="20"/>
          <w:color w:val="auto"/>
        </w:rPr>
      </w:pPr>
      <w:r>
        <w:rPr>
          <w:rFonts w:ascii="Arial" w:cs="Arial" w:eastAsia="Arial" w:hAnsi="Arial"/>
          <w:sz w:val="16"/>
          <w:szCs w:val="16"/>
          <w:color w:val="auto"/>
        </w:rPr>
        <w:t>Other</w:t>
      </w:r>
    </w:p>
    <w:p>
      <w:pPr>
        <w:ind w:left="180"/>
        <w:spacing w:after="0" w:line="226" w:lineRule="auto"/>
        <w:rPr>
          <w:sz w:val="20"/>
          <w:szCs w:val="20"/>
          <w:color w:val="auto"/>
        </w:rPr>
      </w:pPr>
      <w:r>
        <w:rPr>
          <w:rFonts w:ascii="Arial" w:cs="Arial" w:eastAsia="Arial" w:hAnsi="Arial"/>
          <w:sz w:val="16"/>
          <w:szCs w:val="16"/>
          <w:color w:val="auto"/>
        </w:rPr>
        <w:t>Net change in other working capital components</w:t>
      </w:r>
    </w:p>
    <w:p>
      <w:pPr>
        <w:ind w:left="180"/>
        <w:spacing w:after="0"/>
        <w:rPr>
          <w:sz w:val="20"/>
          <w:szCs w:val="20"/>
          <w:color w:val="auto"/>
        </w:rPr>
      </w:pPr>
      <w:r>
        <w:rPr>
          <w:rFonts w:ascii="Arial" w:cs="Arial" w:eastAsia="Arial" w:hAnsi="Arial"/>
          <w:sz w:val="16"/>
          <w:szCs w:val="16"/>
          <w:color w:val="auto"/>
        </w:rPr>
        <w:t>Changes in other assets</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Changes in other liabilities</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operating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INVESTING ACTIVITIES</w:t>
      </w:r>
    </w:p>
    <w:p>
      <w:pPr>
        <w:ind w:left="180"/>
        <w:spacing w:after="0" w:line="236" w:lineRule="auto"/>
        <w:rPr>
          <w:sz w:val="20"/>
          <w:szCs w:val="20"/>
          <w:color w:val="auto"/>
        </w:rPr>
      </w:pPr>
      <w:r>
        <w:rPr>
          <w:rFonts w:ascii="Arial" w:cs="Arial" w:eastAsia="Arial" w:hAnsi="Arial"/>
          <w:sz w:val="16"/>
          <w:szCs w:val="16"/>
          <w:color w:val="auto"/>
        </w:rPr>
        <w:t>Expenditures for property, plant and equipment</w:t>
      </w:r>
    </w:p>
    <w:p>
      <w:pPr>
        <w:ind w:left="180"/>
        <w:spacing w:after="0" w:line="226" w:lineRule="auto"/>
        <w:rPr>
          <w:sz w:val="20"/>
          <w:szCs w:val="20"/>
          <w:color w:val="auto"/>
        </w:rPr>
      </w:pPr>
      <w:r>
        <w:rPr>
          <w:rFonts w:ascii="Arial" w:cs="Arial" w:eastAsia="Arial" w:hAnsi="Arial"/>
          <w:sz w:val="16"/>
          <w:szCs w:val="16"/>
          <w:color w:val="auto"/>
        </w:rPr>
        <w:t>Purchases of nuclear decommissioning trust assets</w:t>
      </w:r>
    </w:p>
    <w:p>
      <w:pPr>
        <w:ind w:left="180"/>
        <w:spacing w:after="0" w:line="225" w:lineRule="auto"/>
        <w:rPr>
          <w:sz w:val="20"/>
          <w:szCs w:val="20"/>
          <w:color w:val="auto"/>
        </w:rPr>
      </w:pPr>
      <w:r>
        <w:rPr>
          <w:rFonts w:ascii="Arial" w:cs="Arial" w:eastAsia="Arial" w:hAnsi="Arial"/>
          <w:sz w:val="16"/>
          <w:szCs w:val="16"/>
          <w:color w:val="auto"/>
        </w:rPr>
        <w:t>Proceeds from sales by nuclear decommissioning trusts</w:t>
      </w:r>
    </w:p>
    <w:p>
      <w:pPr>
        <w:ind w:left="180"/>
        <w:spacing w:after="0"/>
        <w:rPr>
          <w:sz w:val="20"/>
          <w:szCs w:val="20"/>
          <w:color w:val="auto"/>
        </w:rPr>
      </w:pPr>
      <w:r>
        <w:rPr>
          <w:rFonts w:ascii="Arial" w:cs="Arial" w:eastAsia="Arial" w:hAnsi="Arial"/>
          <w:sz w:val="16"/>
          <w:szCs w:val="16"/>
          <w:color w:val="auto"/>
        </w:rPr>
        <w:t>Decrease in restricted cash</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Increase in restricted cash</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investing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FINANCING ACTIVITIES</w:t>
      </w:r>
    </w:p>
    <w:p>
      <w:pPr>
        <w:ind w:left="180"/>
        <w:spacing w:after="0" w:line="236" w:lineRule="auto"/>
        <w:rPr>
          <w:sz w:val="20"/>
          <w:szCs w:val="20"/>
          <w:color w:val="auto"/>
        </w:rPr>
      </w:pPr>
      <w:r>
        <w:rPr>
          <w:rFonts w:ascii="Arial" w:cs="Arial" w:eastAsia="Arial" w:hAnsi="Arial"/>
          <w:sz w:val="16"/>
          <w:szCs w:val="16"/>
          <w:color w:val="auto"/>
        </w:rPr>
        <w:t>Preferred dividends paid</w:t>
      </w:r>
    </w:p>
    <w:p>
      <w:pPr>
        <w:ind w:left="180"/>
        <w:spacing w:after="0" w:line="226" w:lineRule="auto"/>
        <w:rPr>
          <w:sz w:val="20"/>
          <w:szCs w:val="20"/>
          <w:color w:val="auto"/>
        </w:rPr>
      </w:pPr>
      <w:r>
        <w:rPr>
          <w:rFonts w:ascii="Arial" w:cs="Arial" w:eastAsia="Arial" w:hAnsi="Arial"/>
          <w:sz w:val="16"/>
          <w:szCs w:val="16"/>
          <w:color w:val="auto"/>
        </w:rPr>
        <w:t>Issuances of long-term debt</w:t>
      </w:r>
    </w:p>
    <w:p>
      <w:pPr>
        <w:ind w:left="180"/>
        <w:spacing w:after="0" w:line="225" w:lineRule="auto"/>
        <w:rPr>
          <w:sz w:val="20"/>
          <w:szCs w:val="20"/>
          <w:color w:val="auto"/>
        </w:rPr>
      </w:pPr>
      <w:r>
        <w:rPr>
          <w:rFonts w:ascii="Arial" w:cs="Arial" w:eastAsia="Arial" w:hAnsi="Arial"/>
          <w:sz w:val="16"/>
          <w:szCs w:val="16"/>
          <w:color w:val="auto"/>
        </w:rPr>
        <w:t>Payments on long-term debt</w:t>
      </w:r>
    </w:p>
    <w:p>
      <w:pPr>
        <w:ind w:left="180"/>
        <w:spacing w:after="0" w:line="225" w:lineRule="auto"/>
        <w:rPr>
          <w:sz w:val="20"/>
          <w:szCs w:val="20"/>
          <w:color w:val="auto"/>
        </w:rPr>
      </w:pPr>
      <w:r>
        <w:rPr>
          <w:rFonts w:ascii="Arial" w:cs="Arial" w:eastAsia="Arial" w:hAnsi="Arial"/>
          <w:sz w:val="16"/>
          <w:szCs w:val="16"/>
          <w:color w:val="auto"/>
        </w:rPr>
        <w:t>Increase in short-term debt, net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Capital distribution made by Otay Mesa VIE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financing activities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Decrease in cash and cash equivalents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January 1</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June 30</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SUPPLEMENTAL DISCLOSURE OF CASH FLOW INFORMATION</w:t>
      </w:r>
    </w:p>
    <w:p>
      <w:pPr>
        <w:ind w:left="180"/>
        <w:spacing w:after="0" w:line="236" w:lineRule="auto"/>
        <w:rPr>
          <w:sz w:val="20"/>
          <w:szCs w:val="20"/>
          <w:color w:val="auto"/>
        </w:rPr>
      </w:pPr>
      <w:r>
        <w:rPr>
          <w:rFonts w:ascii="Arial" w:cs="Arial" w:eastAsia="Arial" w:hAnsi="Arial"/>
          <w:sz w:val="16"/>
          <w:szCs w:val="16"/>
          <w:color w:val="auto"/>
        </w:rPr>
        <w:t>Interest payments, net of amounts capitalized</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 payments, net of refunds</w:t>
      </w:r>
    </w:p>
    <w:p>
      <w:pPr>
        <w:spacing w:after="0" w:line="142" w:lineRule="exact"/>
        <w:rPr>
          <w:sz w:val="20"/>
          <w:szCs w:val="20"/>
          <w:color w:val="auto"/>
        </w:rPr>
      </w:pPr>
    </w:p>
    <w:p>
      <w:pPr>
        <w:ind w:left="180" w:right="1320" w:hanging="176"/>
        <w:spacing w:after="0" w:line="269" w:lineRule="auto"/>
        <w:rPr>
          <w:sz w:val="20"/>
          <w:szCs w:val="20"/>
          <w:color w:val="auto"/>
        </w:rPr>
      </w:pPr>
      <w:r>
        <w:rPr>
          <w:rFonts w:ascii="Arial" w:cs="Arial" w:eastAsia="Arial" w:hAnsi="Arial"/>
          <w:sz w:val="15"/>
          <w:szCs w:val="15"/>
          <w:color w:val="auto"/>
        </w:rPr>
        <w:t>SUPPLEMENTAL DISCLOSURE OF NONCASH INVESTING AND FINANCING ACTIVITIES Nuclear facility plant reclassified to regulatory asset, net of depreciation and amortization</w:t>
      </w:r>
    </w:p>
    <w:p>
      <w:pPr>
        <w:ind w:left="180"/>
        <w:spacing w:after="0" w:line="232" w:lineRule="auto"/>
        <w:rPr>
          <w:sz w:val="20"/>
          <w:szCs w:val="20"/>
          <w:color w:val="auto"/>
        </w:rPr>
      </w:pPr>
      <w:r>
        <w:rPr>
          <w:rFonts w:ascii="Arial" w:cs="Arial" w:eastAsia="Arial" w:hAnsi="Arial"/>
          <w:sz w:val="16"/>
          <w:szCs w:val="16"/>
          <w:color w:val="auto"/>
        </w:rPr>
        <w:t>Accrued capital expenditures</w:t>
      </w:r>
    </w:p>
    <w:p>
      <w:pPr>
        <w:ind w:left="180" w:right="1840"/>
        <w:spacing w:after="0" w:line="239" w:lineRule="auto"/>
        <w:rPr>
          <w:sz w:val="20"/>
          <w:szCs w:val="20"/>
          <w:color w:val="auto"/>
        </w:rPr>
      </w:pPr>
      <w:r>
        <w:rPr>
          <w:rFonts w:ascii="Arial" w:cs="Arial" w:eastAsia="Arial" w:hAnsi="Arial"/>
          <w:sz w:val="16"/>
          <w:szCs w:val="16"/>
          <w:color w:val="auto"/>
        </w:rPr>
        <w:t>Increase in capital lease obligations for investment in property, plant and equipment Dividends declared but not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724852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8525" cy="50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500" w:hanging="1337"/>
        <w:spacing w:after="0"/>
        <w:tabs>
          <w:tab w:leader="none" w:pos="2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200</w:t>
      </w:r>
    </w:p>
    <w:p>
      <w:pPr>
        <w:ind w:left="2600" w:hanging="1349"/>
        <w:spacing w:after="0" w:line="237" w:lineRule="auto"/>
        <w:tabs>
          <w:tab w:leader="none" w:pos="2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(5)</w:t>
      </w:r>
    </w:p>
    <w:p>
      <w:pPr>
        <w:ind w:left="2600" w:hanging="1437"/>
        <w:spacing w:after="0" w:line="225" w:lineRule="auto"/>
        <w:tabs>
          <w:tab w:leader="none" w:pos="2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(9)</w:t>
      </w:r>
    </w:p>
    <w:p>
      <w:pPr>
        <w:spacing w:after="0" w:line="1" w:lineRule="exact"/>
        <w:rPr>
          <w:sz w:val="20"/>
          <w:szCs w:val="20"/>
          <w:color w:val="auto"/>
        </w:rPr>
      </w:pPr>
    </w:p>
    <w:p>
      <w:pPr>
        <w:ind w:left="2440" w:hanging="1366"/>
        <w:spacing w:after="0"/>
        <w:tabs>
          <w:tab w:leader="none" w:pos="24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(115)</w:t>
      </w:r>
    </w:p>
    <w:tbl>
      <w:tblPr>
        <w:tblLayout w:type="fixed"/>
        <w:tblInd w:w="0" w:type="dxa"/>
        <w:tblCellMar>
          <w:top w:w="0" w:type="dxa"/>
          <w:left w:w="0" w:type="dxa"/>
          <w:bottom w:w="0" w:type="dxa"/>
          <w:right w:w="0" w:type="dxa"/>
        </w:tblCellMar>
      </w:tblPr>
      <w:tr>
        <w:trPr>
          <w:trHeight w:val="153"/>
        </w:trPr>
        <w:tc>
          <w:tcPr>
            <w:tcW w:w="1920" w:type="dxa"/>
            <w:vAlign w:val="bottom"/>
          </w:tcPr>
          <w:p>
            <w:pPr>
              <w:jc w:val="right"/>
              <w:ind w:right="440"/>
              <w:spacing w:after="0" w:line="153" w:lineRule="exact"/>
              <w:rPr>
                <w:sz w:val="20"/>
                <w:szCs w:val="20"/>
                <w:color w:val="auto"/>
              </w:rPr>
            </w:pPr>
            <w:r>
              <w:rPr>
                <w:rFonts w:ascii="Arial" w:cs="Arial" w:eastAsia="Arial" w:hAnsi="Arial"/>
                <w:sz w:val="16"/>
                <w:szCs w:val="16"/>
                <w:color w:val="auto"/>
              </w:rPr>
              <w:t>37</w:t>
            </w:r>
          </w:p>
        </w:tc>
        <w:tc>
          <w:tcPr>
            <w:tcW w:w="880" w:type="dxa"/>
            <w:vAlign w:val="bottom"/>
          </w:tcPr>
          <w:p>
            <w:pPr>
              <w:jc w:val="right"/>
              <w:spacing w:after="0" w:line="153" w:lineRule="exact"/>
              <w:rPr>
                <w:sz w:val="20"/>
                <w:szCs w:val="20"/>
                <w:color w:val="auto"/>
              </w:rPr>
            </w:pPr>
            <w:r>
              <w:rPr>
                <w:rFonts w:ascii="Arial" w:cs="Arial" w:eastAsia="Arial" w:hAnsi="Arial"/>
                <w:sz w:val="16"/>
                <w:szCs w:val="16"/>
                <w:color w:val="auto"/>
              </w:rPr>
              <w:t>(177)</w:t>
            </w:r>
          </w:p>
        </w:tc>
      </w:tr>
      <w:tr>
        <w:trPr>
          <w:trHeight w:val="204"/>
        </w:trPr>
        <w:tc>
          <w:tcPr>
            <w:tcW w:w="192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19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66"/>
        </w:trPr>
        <w:tc>
          <w:tcPr>
            <w:tcW w:w="1920" w:type="dxa"/>
            <w:vAlign w:val="bottom"/>
            <w:tcBorders>
              <w:bottom w:val="single" w:sz="8" w:color="auto"/>
            </w:tcBorders>
          </w:tcPr>
          <w:p>
            <w:pPr>
              <w:jc w:val="right"/>
              <w:ind w:right="440"/>
              <w:spacing w:after="0" w:line="166" w:lineRule="exact"/>
              <w:rPr>
                <w:sz w:val="20"/>
                <w:szCs w:val="20"/>
                <w:color w:val="auto"/>
              </w:rPr>
            </w:pPr>
            <w:r>
              <w:rPr>
                <w:rFonts w:ascii="Arial" w:cs="Arial" w:eastAsia="Arial" w:hAnsi="Arial"/>
                <w:sz w:val="16"/>
                <w:szCs w:val="16"/>
                <w:color w:val="auto"/>
              </w:rPr>
              <w:t>408</w:t>
            </w:r>
          </w:p>
        </w:tc>
        <w:tc>
          <w:tcPr>
            <w:tcW w:w="8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329</w:t>
            </w:r>
          </w:p>
        </w:tc>
      </w:tr>
    </w:tbl>
    <w:p>
      <w:pPr>
        <w:spacing w:after="0" w:line="341" w:lineRule="exact"/>
        <w:rPr>
          <w:sz w:val="20"/>
          <w:szCs w:val="20"/>
          <w:color w:val="auto"/>
        </w:rPr>
      </w:pPr>
    </w:p>
    <w:p>
      <w:pPr>
        <w:ind w:left="2420" w:hanging="1346"/>
        <w:spacing w:after="0"/>
        <w:tabs>
          <w:tab w:leader="none" w:pos="2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(446)</w:t>
      </w:r>
    </w:p>
    <w:p>
      <w:pPr>
        <w:ind w:left="2420" w:hanging="1346"/>
        <w:spacing w:after="0" w:line="236" w:lineRule="auto"/>
        <w:tabs>
          <w:tab w:leader="none" w:pos="2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(327)</w:t>
      </w:r>
    </w:p>
    <w:tbl>
      <w:tblPr>
        <w:tblLayout w:type="fixed"/>
        <w:tblInd w:w="1140" w:type="dxa"/>
        <w:tblCellMar>
          <w:top w:w="0" w:type="dxa"/>
          <w:left w:w="0" w:type="dxa"/>
          <w:bottom w:w="0" w:type="dxa"/>
          <w:right w:w="0" w:type="dxa"/>
        </w:tblCellMar>
      </w:tblPr>
      <w:tr>
        <w:trPr>
          <w:trHeight w:val="153"/>
        </w:trPr>
        <w:tc>
          <w:tcPr>
            <w:tcW w:w="800" w:type="dxa"/>
            <w:vAlign w:val="bottom"/>
          </w:tcPr>
          <w:p>
            <w:pPr>
              <w:jc w:val="right"/>
              <w:ind w:right="460"/>
              <w:spacing w:after="0" w:line="154" w:lineRule="exact"/>
              <w:rPr>
                <w:sz w:val="20"/>
                <w:szCs w:val="20"/>
                <w:color w:val="auto"/>
              </w:rPr>
            </w:pPr>
            <w:r>
              <w:rPr>
                <w:rFonts w:ascii="Arial" w:cs="Arial" w:eastAsia="Arial" w:hAnsi="Arial"/>
                <w:sz w:val="16"/>
                <w:szCs w:val="16"/>
                <w:color w:val="auto"/>
                <w:w w:val="89"/>
              </w:rPr>
              <w:t>350</w:t>
            </w:r>
          </w:p>
        </w:tc>
        <w:tc>
          <w:tcPr>
            <w:tcW w:w="820" w:type="dxa"/>
            <w:vAlign w:val="bottom"/>
          </w:tcPr>
          <w:p>
            <w:pPr>
              <w:jc w:val="right"/>
              <w:spacing w:after="0" w:line="154" w:lineRule="exact"/>
              <w:rPr>
                <w:sz w:val="20"/>
                <w:szCs w:val="20"/>
                <w:color w:val="auto"/>
              </w:rPr>
            </w:pPr>
            <w:r>
              <w:rPr>
                <w:rFonts w:ascii="Arial" w:cs="Arial" w:eastAsia="Arial" w:hAnsi="Arial"/>
                <w:sz w:val="16"/>
                <w:szCs w:val="16"/>
                <w:color w:val="auto"/>
              </w:rPr>
              <w:t>326</w:t>
            </w:r>
          </w:p>
        </w:tc>
      </w:tr>
      <w:tr>
        <w:trPr>
          <w:trHeight w:val="193"/>
        </w:trPr>
        <w:tc>
          <w:tcPr>
            <w:tcW w:w="800" w:type="dxa"/>
            <w:vAlign w:val="bottom"/>
          </w:tcPr>
          <w:p>
            <w:pPr>
              <w:jc w:val="right"/>
              <w:ind w:right="460"/>
              <w:spacing w:after="0"/>
              <w:rPr>
                <w:sz w:val="20"/>
                <w:szCs w:val="20"/>
                <w:color w:val="auto"/>
              </w:rPr>
            </w:pPr>
            <w:r>
              <w:rPr>
                <w:rFonts w:ascii="Arial" w:cs="Arial" w:eastAsia="Arial" w:hAnsi="Arial"/>
                <w:sz w:val="16"/>
                <w:szCs w:val="16"/>
                <w:color w:val="auto"/>
              </w:rPr>
              <w:t>62</w:t>
            </w:r>
          </w:p>
        </w:tc>
        <w:tc>
          <w:tcPr>
            <w:tcW w:w="820" w:type="dxa"/>
            <w:vAlign w:val="bottom"/>
          </w:tcPr>
          <w:p>
            <w:pPr>
              <w:jc w:val="right"/>
              <w:spacing w:after="0"/>
              <w:rPr>
                <w:sz w:val="20"/>
                <w:szCs w:val="20"/>
                <w:color w:val="auto"/>
              </w:rPr>
            </w:pPr>
            <w:r>
              <w:rPr>
                <w:rFonts w:ascii="Arial" w:cs="Arial" w:eastAsia="Arial" w:hAnsi="Arial"/>
                <w:sz w:val="16"/>
                <w:szCs w:val="16"/>
                <w:color w:val="auto"/>
              </w:rPr>
              <w:t>40</w:t>
            </w:r>
          </w:p>
        </w:tc>
      </w:tr>
    </w:tbl>
    <w:p>
      <w:pPr>
        <w:ind w:left="2520" w:hanging="1357"/>
        <w:spacing w:after="0"/>
        <w:tabs>
          <w:tab w:leader="none" w:pos="25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17805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0540" cy="17145"/>
                    </a:xfrm>
                    <a:prstGeom prst="rect">
                      <a:avLst/>
                    </a:prstGeom>
                    <a:noFill/>
                  </pic:spPr>
                </pic:pic>
              </a:graphicData>
            </a:graphic>
          </wp:anchor>
        </w:drawing>
      </w:r>
    </w:p>
    <w:p>
      <w:pPr>
        <w:spacing w:after="0" w:line="2" w:lineRule="exact"/>
        <w:rPr>
          <w:sz w:val="20"/>
          <w:szCs w:val="20"/>
          <w:color w:val="auto"/>
        </w:rPr>
      </w:pPr>
    </w:p>
    <w:p>
      <w:pPr>
        <w:ind w:left="2420" w:hanging="1346"/>
        <w:spacing w:after="0"/>
        <w:tabs>
          <w:tab w:leader="none" w:pos="2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17805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0540" cy="8255"/>
                    </a:xfrm>
                    <a:prstGeom prst="rect">
                      <a:avLst/>
                    </a:prstGeom>
                    <a:noFill/>
                  </pic:spPr>
                </pic:pic>
              </a:graphicData>
            </a:graphic>
          </wp:anchor>
        </w:drawing>
      </w:r>
    </w:p>
    <w:p>
      <w:pPr>
        <w:spacing w:after="0" w:line="339" w:lineRule="exact"/>
        <w:rPr>
          <w:sz w:val="20"/>
          <w:szCs w:val="20"/>
          <w:color w:val="auto"/>
        </w:rPr>
      </w:pPr>
    </w:p>
    <w:p>
      <w:pPr>
        <w:ind w:left="2600" w:hanging="1357"/>
        <w:spacing w:after="0"/>
        <w:tabs>
          <w:tab w:leader="none" w:pos="2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(2)</w:t>
      </w:r>
    </w:p>
    <w:p>
      <w:pPr>
        <w:ind w:left="2600" w:hanging="1464"/>
        <w:spacing w:after="0" w:line="236" w:lineRule="auto"/>
        <w:tabs>
          <w:tab w:leader="none" w:pos="2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p>
    <w:p>
      <w:pPr>
        <w:ind w:left="2600" w:hanging="1437"/>
        <w:spacing w:after="0" w:line="225" w:lineRule="auto"/>
        <w:tabs>
          <w:tab w:leader="none" w:pos="26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(5)</w:t>
      </w:r>
    </w:p>
    <w:p>
      <w:pPr>
        <w:ind w:left="1220"/>
        <w:spacing w:after="0" w:line="225" w:lineRule="auto"/>
        <w:tabs>
          <w:tab w:leader="none" w:pos="2560" w:val="left"/>
        </w:tabs>
        <w:rPr>
          <w:sz w:val="20"/>
          <w:szCs w:val="20"/>
          <w:color w:val="auto"/>
        </w:rPr>
      </w:pPr>
      <w:r>
        <w:rPr>
          <w:rFonts w:ascii="Arial" w:cs="Arial" w:eastAsia="Arial" w:hAnsi="Arial"/>
          <w:sz w:val="16"/>
          <w:szCs w:val="16"/>
          <w:color w:val="auto"/>
        </w:rPr>
        <w:t>68</w:t>
      </w:r>
      <w:r>
        <w:rPr>
          <w:sz w:val="20"/>
          <w:szCs w:val="20"/>
          <w:color w:val="auto"/>
        </w:rPr>
        <w:tab/>
      </w:r>
      <w:r>
        <w:rPr>
          <w:rFonts w:ascii="Arial" w:cs="Arial" w:eastAsia="Arial" w:hAnsi="Arial"/>
          <w:sz w:val="16"/>
          <w:szCs w:val="16"/>
          <w:color w:val="auto"/>
        </w:rPr>
        <w:t>53</w:t>
      </w:r>
    </w:p>
    <w:p>
      <w:pPr>
        <w:ind w:left="2600" w:hanging="1437"/>
        <w:spacing w:after="0" w:line="226" w:lineRule="auto"/>
        <w:tabs>
          <w:tab w:leader="none" w:pos="2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p>
    <w:p>
      <w:pPr>
        <w:ind w:left="2600" w:hanging="1357"/>
        <w:spacing w:after="0"/>
        <w:tabs>
          <w:tab w:leader="none" w:pos="2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(4)</w:t>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135</w:t>
            </w:r>
          </w:p>
        </w:tc>
        <w:tc>
          <w:tcPr>
            <w:tcW w:w="5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42</w:t>
            </w:r>
          </w:p>
        </w:tc>
      </w:tr>
      <w:tr>
        <w:trPr>
          <w:trHeight w:val="30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5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04"/>
        </w:trPr>
        <w:tc>
          <w:tcPr>
            <w:tcW w:w="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5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166"/>
        </w:trPr>
        <w:tc>
          <w:tcPr>
            <w:tcW w:w="20" w:type="dxa"/>
            <w:vAlign w:val="bottom"/>
          </w:tcPr>
          <w:p>
            <w:pPr>
              <w:spacing w:after="0"/>
              <w:rPr>
                <w:sz w:val="14"/>
                <w:szCs w:val="14"/>
                <w:color w:val="auto"/>
              </w:rPr>
            </w:pPr>
          </w:p>
        </w:tc>
        <w:tc>
          <w:tcPr>
            <w:tcW w:w="600" w:type="dxa"/>
            <w:vAlign w:val="bottom"/>
          </w:tcPr>
          <w:p>
            <w:pPr>
              <w:jc w:val="right"/>
              <w:ind w:right="48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21</w:t>
            </w:r>
          </w:p>
        </w:tc>
        <w:tc>
          <w:tcPr>
            <w:tcW w:w="580" w:type="dxa"/>
            <w:vAlign w:val="bottom"/>
          </w:tcPr>
          <w:p>
            <w:pPr>
              <w:jc w:val="right"/>
              <w:ind w:right="400"/>
              <w:spacing w:after="0" w:line="166"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66" w:lineRule="exact"/>
              <w:rPr>
                <w:sz w:val="20"/>
                <w:szCs w:val="20"/>
                <w:color w:val="auto"/>
              </w:rPr>
            </w:pPr>
            <w:r>
              <w:rPr>
                <w:rFonts w:ascii="Arial" w:cs="Arial" w:eastAsia="Arial" w:hAnsi="Arial"/>
                <w:sz w:val="16"/>
                <w:szCs w:val="16"/>
                <w:color w:val="auto"/>
              </w:rPr>
              <w:t>13</w:t>
            </w:r>
          </w:p>
        </w:tc>
      </w:tr>
      <w:tr>
        <w:trPr>
          <w:trHeight w:val="80"/>
        </w:trPr>
        <w:tc>
          <w:tcPr>
            <w:tcW w:w="620" w:type="dxa"/>
            <w:vAlign w:val="bottom"/>
            <w:gridSpan w:val="2"/>
            <w:shd w:val="clear" w:color="auto" w:fill="000000"/>
          </w:tcPr>
          <w:p>
            <w:pPr>
              <w:spacing w:after="0"/>
              <w:rPr>
                <w:sz w:val="6"/>
                <w:szCs w:val="6"/>
                <w:color w:val="auto"/>
              </w:rPr>
            </w:pPr>
          </w:p>
        </w:tc>
        <w:tc>
          <w:tcPr>
            <w:tcW w:w="820" w:type="dxa"/>
            <w:vAlign w:val="bottom"/>
            <w:shd w:val="clear" w:color="auto" w:fill="000000"/>
          </w:tcPr>
          <w:p>
            <w:pPr>
              <w:spacing w:after="0"/>
              <w:rPr>
                <w:sz w:val="6"/>
                <w:szCs w:val="6"/>
                <w:color w:val="auto"/>
              </w:rPr>
            </w:pPr>
          </w:p>
        </w:tc>
        <w:tc>
          <w:tcPr>
            <w:tcW w:w="58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r>
      <w:tr>
        <w:trPr>
          <w:trHeight w:val="487"/>
        </w:trPr>
        <w:tc>
          <w:tcPr>
            <w:tcW w:w="620" w:type="dxa"/>
            <w:vAlign w:val="bottom"/>
            <w:gridSpan w:val="2"/>
          </w:tcPr>
          <w:p>
            <w:pPr>
              <w:jc w:val="right"/>
              <w:ind w:right="489"/>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98</w:t>
            </w:r>
          </w:p>
        </w:tc>
        <w:tc>
          <w:tcPr>
            <w:tcW w:w="580" w:type="dxa"/>
            <w:vAlign w:val="bottom"/>
          </w:tcPr>
          <w:p>
            <w:pPr>
              <w:jc w:val="right"/>
              <w:ind w:right="40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4"/>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5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503"/>
        </w:trPr>
        <w:tc>
          <w:tcPr>
            <w:tcW w:w="620" w:type="dxa"/>
            <w:vAlign w:val="bottom"/>
            <w:gridSpan w:val="2"/>
          </w:tcPr>
          <w:p>
            <w:pPr>
              <w:jc w:val="right"/>
              <w:ind w:right="489"/>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400"/>
              <w:spacing w:after="0"/>
              <w:rPr>
                <w:sz w:val="20"/>
                <w:szCs w:val="20"/>
                <w:color w:val="auto"/>
              </w:rPr>
            </w:pPr>
            <w:r>
              <w:rPr>
                <w:rFonts w:ascii="Arial" w:cs="Arial" w:eastAsia="Arial" w:hAnsi="Arial"/>
                <w:sz w:val="16"/>
                <w:szCs w:val="16"/>
                <w:color w:val="auto"/>
              </w:rPr>
              <w:t>― $</w:t>
            </w:r>
          </w:p>
        </w:tc>
        <w:tc>
          <w:tcPr>
            <w:tcW w:w="780" w:type="dxa"/>
            <w:vAlign w:val="bottom"/>
          </w:tcPr>
          <w:p>
            <w:pPr>
              <w:jc w:val="right"/>
              <w:spacing w:after="0"/>
              <w:rPr>
                <w:sz w:val="20"/>
                <w:szCs w:val="20"/>
                <w:color w:val="auto"/>
              </w:rPr>
            </w:pPr>
            <w:r>
              <w:rPr>
                <w:rFonts w:ascii="Arial" w:cs="Arial" w:eastAsia="Arial" w:hAnsi="Arial"/>
                <w:sz w:val="16"/>
                <w:szCs w:val="16"/>
                <w:color w:val="auto"/>
              </w:rPr>
              <w:t>512</w:t>
            </w:r>
          </w:p>
        </w:tc>
      </w:tr>
      <w:tr>
        <w:trPr>
          <w:trHeight w:val="173"/>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jc w:val="right"/>
              <w:spacing w:after="0" w:line="173" w:lineRule="exact"/>
              <w:rPr>
                <w:sz w:val="20"/>
                <w:szCs w:val="20"/>
                <w:color w:val="auto"/>
              </w:rPr>
            </w:pPr>
            <w:r>
              <w:rPr>
                <w:rFonts w:ascii="Arial" w:cs="Arial" w:eastAsia="Arial" w:hAnsi="Arial"/>
                <w:sz w:val="16"/>
                <w:szCs w:val="16"/>
                <w:color w:val="auto"/>
              </w:rPr>
              <w:t>103</w:t>
            </w:r>
          </w:p>
        </w:tc>
        <w:tc>
          <w:tcPr>
            <w:tcW w:w="58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68</w:t>
            </w:r>
          </w:p>
        </w:tc>
      </w:tr>
      <w:tr>
        <w:trPr>
          <w:trHeight w:val="173"/>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jc w:val="right"/>
              <w:spacing w:after="0" w:line="173" w:lineRule="exact"/>
              <w:rPr>
                <w:sz w:val="20"/>
                <w:szCs w:val="20"/>
                <w:color w:val="auto"/>
              </w:rPr>
            </w:pPr>
            <w:r>
              <w:rPr>
                <w:rFonts w:ascii="Arial" w:cs="Arial" w:eastAsia="Arial" w:hAnsi="Arial"/>
                <w:sz w:val="16"/>
                <w:szCs w:val="16"/>
                <w:color w:val="auto"/>
              </w:rPr>
              <w:t>60</w:t>
            </w:r>
          </w:p>
        </w:tc>
        <w:tc>
          <w:tcPr>
            <w:tcW w:w="580" w:type="dxa"/>
            <w:vAlign w:val="bottom"/>
          </w:tcPr>
          <w:p>
            <w:pPr>
              <w:spacing w:after="0"/>
              <w:rPr>
                <w:sz w:val="15"/>
                <w:szCs w:val="15"/>
                <w:color w:val="auto"/>
              </w:rPr>
            </w:pPr>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r>
      <w:tr>
        <w:trPr>
          <w:trHeight w:val="214"/>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58" w:lineRule="exact"/>
        <w:rPr>
          <w:sz w:val="20"/>
          <w:szCs w:val="20"/>
          <w:color w:val="auto"/>
        </w:rPr>
      </w:pPr>
    </w:p>
    <w:p>
      <w:pPr>
        <w:sectPr>
          <w:pgSz w:w="11900" w:h="16838" w:orient="portrait"/>
          <w:cols w:equalWidth="0" w:num="2">
            <w:col w:w="7900" w:space="720"/>
            <w:col w:w="2800"/>
          </w:cols>
          <w:pgMar w:left="240" w:top="108" w:right="239" w:bottom="0" w:gutter="0" w:footer="0" w:header="0"/>
        </w:sect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OPERATIONS</w:t>
      </w:r>
    </w:p>
    <w:tbl>
      <w:tblPr>
        <w:tblLayout w:type="fixed"/>
        <w:tblInd w:w="0" w:type="dxa"/>
        <w:tblCellMar>
          <w:top w:w="0" w:type="dxa"/>
          <w:left w:w="0" w:type="dxa"/>
          <w:bottom w:w="0" w:type="dxa"/>
          <w:right w:w="0" w:type="dxa"/>
        </w:tblCellMar>
      </w:tblPr>
      <w:tr>
        <w:trPr>
          <w:trHeight w:val="160"/>
        </w:trPr>
        <w:tc>
          <w:tcPr>
            <w:tcW w:w="5880" w:type="dxa"/>
            <w:vAlign w:val="bottom"/>
            <w:gridSpan w:val="2"/>
          </w:tcPr>
          <w:p>
            <w:pPr>
              <w:spacing w:after="0" w:line="160" w:lineRule="exact"/>
              <w:rPr>
                <w:sz w:val="20"/>
                <w:szCs w:val="20"/>
                <w:color w:val="auto"/>
              </w:rPr>
            </w:pPr>
            <w:r>
              <w:rPr>
                <w:rFonts w:ascii="Arial" w:cs="Arial" w:eastAsia="Arial" w:hAnsi="Arial"/>
                <w:sz w:val="14"/>
                <w:szCs w:val="14"/>
                <w:i w:val="1"/>
                <w:iCs w:val="1"/>
                <w:color w:val="auto"/>
              </w:rPr>
              <w:t>(Dollars in millions)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3"/>
            <w:vMerge w:val="restart"/>
          </w:tcPr>
          <w:p>
            <w:pPr>
              <w:jc w:val="right"/>
              <w:ind w:right="443"/>
              <w:spacing w:after="0"/>
              <w:rPr>
                <w:sz w:val="20"/>
                <w:szCs w:val="20"/>
                <w:color w:val="auto"/>
              </w:rPr>
            </w:pPr>
            <w:r>
              <w:rPr>
                <w:rFonts w:ascii="Arial" w:cs="Arial" w:eastAsia="Arial" w:hAnsi="Arial"/>
                <w:sz w:val="14"/>
                <w:szCs w:val="14"/>
                <w:color w:val="auto"/>
              </w:rPr>
              <w:t>Three months ended June 30,</w:t>
            </w:r>
          </w:p>
        </w:tc>
        <w:tc>
          <w:tcPr>
            <w:tcW w:w="320" w:type="dxa"/>
            <w:vAlign w:val="bottom"/>
          </w:tcPr>
          <w:p>
            <w:pPr>
              <w:spacing w:after="0"/>
              <w:rPr>
                <w:sz w:val="13"/>
                <w:szCs w:val="13"/>
                <w:color w:val="auto"/>
              </w:rPr>
            </w:pPr>
          </w:p>
        </w:tc>
        <w:tc>
          <w:tcPr>
            <w:tcW w:w="100" w:type="dxa"/>
            <w:vAlign w:val="bottom"/>
            <w:shd w:val="clear" w:color="auto" w:fill="C0C0C0"/>
          </w:tcPr>
          <w:p>
            <w:pPr>
              <w:spacing w:after="0"/>
              <w:rPr>
                <w:sz w:val="13"/>
                <w:szCs w:val="13"/>
                <w:color w:val="auto"/>
              </w:rPr>
            </w:pPr>
          </w:p>
        </w:tc>
        <w:tc>
          <w:tcPr>
            <w:tcW w:w="1020" w:type="dxa"/>
            <w:vAlign w:val="bottom"/>
            <w:shd w:val="clear" w:color="auto" w:fill="C0C0C0"/>
          </w:tcPr>
          <w:p>
            <w:pPr>
              <w:spacing w:after="0"/>
              <w:rPr>
                <w:sz w:val="13"/>
                <w:szCs w:val="13"/>
                <w:color w:val="auto"/>
              </w:rPr>
            </w:pPr>
          </w:p>
        </w:tc>
        <w:tc>
          <w:tcPr>
            <w:tcW w:w="840" w:type="dxa"/>
            <w:vAlign w:val="bottom"/>
            <w:shd w:val="clear" w:color="auto" w:fill="C0C0C0"/>
          </w:tcPr>
          <w:p>
            <w:pPr>
              <w:spacing w:after="0"/>
              <w:rPr>
                <w:sz w:val="13"/>
                <w:szCs w:val="13"/>
                <w:color w:val="auto"/>
              </w:rPr>
            </w:pPr>
          </w:p>
        </w:tc>
        <w:tc>
          <w:tcPr>
            <w:tcW w:w="480" w:type="dxa"/>
            <w:vAlign w:val="bottom"/>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8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3"/>
              <w:spacing w:after="0" w:line="159" w:lineRule="exact"/>
              <w:rPr>
                <w:sz w:val="20"/>
                <w:szCs w:val="20"/>
                <w:color w:val="auto"/>
              </w:rPr>
            </w:pPr>
            <w:r>
              <w:rPr>
                <w:rFonts w:ascii="Arial" w:cs="Arial" w:eastAsia="Arial" w:hAnsi="Arial"/>
                <w:sz w:val="14"/>
                <w:szCs w:val="14"/>
                <w:color w:val="auto"/>
              </w:rPr>
              <w:t>Six months ended June 30,</w:t>
            </w: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color w:val="auto"/>
              </w:rPr>
              <w:t>2013</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color w:val="auto"/>
              </w:rPr>
              <w:t>2014</w:t>
            </w: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gridSpan w:val="3"/>
          </w:tcPr>
          <w:p>
            <w:pPr>
              <w:ind w:left="620"/>
              <w:spacing w:after="0"/>
              <w:rPr>
                <w:sz w:val="20"/>
                <w:szCs w:val="20"/>
                <w:color w:val="auto"/>
              </w:rPr>
            </w:pPr>
            <w:r>
              <w:rPr>
                <w:rFonts w:ascii="Arial" w:cs="Arial" w:eastAsia="Arial" w:hAnsi="Arial"/>
                <w:sz w:val="14"/>
                <w:szCs w:val="14"/>
                <w:color w:val="auto"/>
              </w:rPr>
              <w:t>(unaudited)</w:t>
            </w: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5880" w:type="dxa"/>
            <w:vAlign w:val="bottom"/>
            <w:gridSpan w:val="2"/>
          </w:tcPr>
          <w:p>
            <w:pPr>
              <w:spacing w:after="0"/>
              <w:rPr>
                <w:sz w:val="20"/>
                <w:szCs w:val="20"/>
                <w:color w:val="auto"/>
              </w:rPr>
            </w:pPr>
            <w:r>
              <w:rPr>
                <w:rFonts w:ascii="Arial" w:cs="Arial" w:eastAsia="Arial" w:hAnsi="Arial"/>
                <w:sz w:val="16"/>
                <w:szCs w:val="16"/>
                <w:color w:val="auto"/>
              </w:rPr>
              <w:t>Operating revenues</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917</w:t>
            </w:r>
          </w:p>
        </w:tc>
        <w:tc>
          <w:tcPr>
            <w:tcW w:w="4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904</w:t>
            </w:r>
          </w:p>
        </w:tc>
        <w:tc>
          <w:tcPr>
            <w:tcW w:w="3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2,002</w:t>
            </w:r>
          </w:p>
        </w:tc>
        <w:tc>
          <w:tcPr>
            <w:tcW w:w="840" w:type="dxa"/>
            <w:vAlign w:val="bottom"/>
          </w:tcPr>
          <w:p>
            <w:pPr>
              <w:jc w:val="right"/>
              <w:ind w:right="623"/>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1,887</w:t>
            </w:r>
          </w:p>
        </w:tc>
        <w:tc>
          <w:tcPr>
            <w:tcW w:w="0" w:type="dxa"/>
            <w:vAlign w:val="bottom"/>
          </w:tcPr>
          <w:p>
            <w:pPr>
              <w:spacing w:after="0"/>
              <w:rPr>
                <w:sz w:val="1"/>
                <w:szCs w:val="1"/>
                <w:color w:val="auto"/>
              </w:rPr>
            </w:pP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5"/>
                <w:szCs w:val="15"/>
                <w:color w:val="auto"/>
              </w:rPr>
              <w:t>Operating expenses</w:t>
            </w: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880" w:type="dxa"/>
            <w:vAlign w:val="bottom"/>
            <w:gridSpan w:val="2"/>
          </w:tcPr>
          <w:p>
            <w:pPr>
              <w:ind w:left="180"/>
              <w:spacing w:after="0" w:line="173" w:lineRule="exact"/>
              <w:rPr>
                <w:sz w:val="20"/>
                <w:szCs w:val="20"/>
                <w:color w:val="auto"/>
              </w:rPr>
            </w:pPr>
            <w:r>
              <w:rPr>
                <w:rFonts w:ascii="Arial" w:cs="Arial" w:eastAsia="Arial" w:hAnsi="Arial"/>
                <w:sz w:val="16"/>
                <w:szCs w:val="16"/>
                <w:color w:val="auto"/>
              </w:rPr>
              <w:t>Cost of natural gas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321</w:t>
            </w:r>
          </w:p>
        </w:tc>
        <w:tc>
          <w:tcPr>
            <w:tcW w:w="400" w:type="dxa"/>
            <w:vAlign w:val="bottom"/>
          </w:tcPr>
          <w:p>
            <w:pPr>
              <w:spacing w:after="0"/>
              <w:rPr>
                <w:sz w:val="15"/>
                <w:szCs w:val="15"/>
                <w:color w:val="auto"/>
              </w:rPr>
            </w:pPr>
          </w:p>
        </w:tc>
        <w:tc>
          <w:tcPr>
            <w:tcW w:w="1040" w:type="dxa"/>
            <w:vAlign w:val="bottom"/>
          </w:tcPr>
          <w:p>
            <w:pPr>
              <w:jc w:val="right"/>
              <w:ind w:right="23"/>
              <w:spacing w:after="0" w:line="173" w:lineRule="exact"/>
              <w:rPr>
                <w:sz w:val="20"/>
                <w:szCs w:val="20"/>
                <w:color w:val="auto"/>
              </w:rPr>
            </w:pPr>
            <w:r>
              <w:rPr>
                <w:rFonts w:ascii="Arial" w:cs="Arial" w:eastAsia="Arial" w:hAnsi="Arial"/>
                <w:sz w:val="16"/>
                <w:szCs w:val="16"/>
                <w:color w:val="auto"/>
              </w:rPr>
              <w:t>303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62"/>
              <w:spacing w:after="0" w:line="173" w:lineRule="exact"/>
              <w:rPr>
                <w:sz w:val="20"/>
                <w:szCs w:val="20"/>
                <w:color w:val="auto"/>
              </w:rPr>
            </w:pPr>
            <w:r>
              <w:rPr>
                <w:rFonts w:ascii="Arial" w:cs="Arial" w:eastAsia="Arial" w:hAnsi="Arial"/>
                <w:sz w:val="16"/>
                <w:szCs w:val="16"/>
                <w:color w:val="auto"/>
              </w:rPr>
              <w:t>829</w:t>
            </w:r>
          </w:p>
        </w:tc>
        <w:tc>
          <w:tcPr>
            <w:tcW w:w="840" w:type="dxa"/>
            <w:vAlign w:val="bottom"/>
          </w:tcPr>
          <w:p>
            <w:pPr>
              <w:spacing w:after="0"/>
              <w:rPr>
                <w:sz w:val="15"/>
                <w:szCs w:val="15"/>
                <w:color w:val="auto"/>
              </w:rPr>
            </w:pPr>
          </w:p>
        </w:tc>
        <w:tc>
          <w:tcPr>
            <w:tcW w:w="480" w:type="dxa"/>
            <w:vAlign w:val="bottom"/>
          </w:tcPr>
          <w:p>
            <w:pPr>
              <w:jc w:val="right"/>
              <w:spacing w:after="0" w:line="173" w:lineRule="exact"/>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173"/>
        </w:trPr>
        <w:tc>
          <w:tcPr>
            <w:tcW w:w="5880" w:type="dxa"/>
            <w:vAlign w:val="bottom"/>
            <w:gridSpan w:val="2"/>
          </w:tcPr>
          <w:p>
            <w:pPr>
              <w:ind w:left="180"/>
              <w:spacing w:after="0" w:line="173" w:lineRule="exact"/>
              <w:rPr>
                <w:sz w:val="20"/>
                <w:szCs w:val="20"/>
                <w:color w:val="auto"/>
              </w:rPr>
            </w:pPr>
            <w:r>
              <w:rPr>
                <w:rFonts w:ascii="Arial" w:cs="Arial" w:eastAsia="Arial" w:hAnsi="Arial"/>
                <w:sz w:val="16"/>
                <w:szCs w:val="16"/>
                <w:color w:val="auto"/>
              </w:rPr>
              <w:t>Operation and maintenance</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337</w:t>
            </w:r>
          </w:p>
        </w:tc>
        <w:tc>
          <w:tcPr>
            <w:tcW w:w="400" w:type="dxa"/>
            <w:vAlign w:val="bottom"/>
          </w:tcPr>
          <w:p>
            <w:pPr>
              <w:spacing w:after="0"/>
              <w:rPr>
                <w:sz w:val="15"/>
                <w:szCs w:val="15"/>
                <w:color w:val="auto"/>
              </w:rPr>
            </w:pPr>
          </w:p>
        </w:tc>
        <w:tc>
          <w:tcPr>
            <w:tcW w:w="1040" w:type="dxa"/>
            <w:vAlign w:val="bottom"/>
          </w:tcPr>
          <w:p>
            <w:pPr>
              <w:jc w:val="right"/>
              <w:ind w:right="23"/>
              <w:spacing w:after="0" w:line="173" w:lineRule="exact"/>
              <w:rPr>
                <w:sz w:val="20"/>
                <w:szCs w:val="20"/>
                <w:color w:val="auto"/>
              </w:rPr>
            </w:pPr>
            <w:r>
              <w:rPr>
                <w:rFonts w:ascii="Arial" w:cs="Arial" w:eastAsia="Arial" w:hAnsi="Arial"/>
                <w:sz w:val="16"/>
                <w:szCs w:val="16"/>
                <w:color w:val="auto"/>
              </w:rPr>
              <w:t>316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62"/>
              <w:spacing w:after="0" w:line="173" w:lineRule="exact"/>
              <w:rPr>
                <w:sz w:val="20"/>
                <w:szCs w:val="20"/>
                <w:color w:val="auto"/>
              </w:rPr>
            </w:pPr>
            <w:r>
              <w:rPr>
                <w:rFonts w:ascii="Arial" w:cs="Arial" w:eastAsia="Arial" w:hAnsi="Arial"/>
                <w:sz w:val="16"/>
                <w:szCs w:val="16"/>
                <w:color w:val="auto"/>
              </w:rPr>
              <w:t>642</w:t>
            </w:r>
          </w:p>
        </w:tc>
        <w:tc>
          <w:tcPr>
            <w:tcW w:w="840" w:type="dxa"/>
            <w:vAlign w:val="bottom"/>
          </w:tcPr>
          <w:p>
            <w:pPr>
              <w:spacing w:after="0"/>
              <w:rPr>
                <w:sz w:val="15"/>
                <w:szCs w:val="15"/>
                <w:color w:val="auto"/>
              </w:rPr>
            </w:pPr>
          </w:p>
        </w:tc>
        <w:tc>
          <w:tcPr>
            <w:tcW w:w="480" w:type="dxa"/>
            <w:vAlign w:val="bottom"/>
          </w:tcPr>
          <w:p>
            <w:pPr>
              <w:jc w:val="right"/>
              <w:spacing w:after="0" w:line="173" w:lineRule="exact"/>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173"/>
        </w:trPr>
        <w:tc>
          <w:tcPr>
            <w:tcW w:w="5880" w:type="dxa"/>
            <w:vAlign w:val="bottom"/>
            <w:gridSpan w:val="2"/>
          </w:tcPr>
          <w:p>
            <w:pPr>
              <w:ind w:left="180"/>
              <w:spacing w:after="0" w:line="173" w:lineRule="exact"/>
              <w:rPr>
                <w:sz w:val="20"/>
                <w:szCs w:val="20"/>
                <w:color w:val="auto"/>
              </w:rPr>
            </w:pPr>
            <w:r>
              <w:rPr>
                <w:rFonts w:ascii="Arial" w:cs="Arial" w:eastAsia="Arial" w:hAnsi="Arial"/>
                <w:sz w:val="16"/>
                <w:szCs w:val="16"/>
                <w:color w:val="auto"/>
              </w:rPr>
              <w:t>Depreciation and amortization</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107</w:t>
            </w:r>
          </w:p>
        </w:tc>
        <w:tc>
          <w:tcPr>
            <w:tcW w:w="400" w:type="dxa"/>
            <w:vAlign w:val="bottom"/>
          </w:tcPr>
          <w:p>
            <w:pPr>
              <w:spacing w:after="0"/>
              <w:rPr>
                <w:sz w:val="15"/>
                <w:szCs w:val="15"/>
                <w:color w:val="auto"/>
              </w:rPr>
            </w:pPr>
          </w:p>
        </w:tc>
        <w:tc>
          <w:tcPr>
            <w:tcW w:w="1040" w:type="dxa"/>
            <w:vAlign w:val="bottom"/>
          </w:tcPr>
          <w:p>
            <w:pPr>
              <w:jc w:val="right"/>
              <w:ind w:right="23"/>
              <w:spacing w:after="0" w:line="173" w:lineRule="exact"/>
              <w:rPr>
                <w:sz w:val="20"/>
                <w:szCs w:val="20"/>
                <w:color w:val="auto"/>
              </w:rPr>
            </w:pPr>
            <w:r>
              <w:rPr>
                <w:rFonts w:ascii="Arial" w:cs="Arial" w:eastAsia="Arial" w:hAnsi="Arial"/>
                <w:sz w:val="16"/>
                <w:szCs w:val="16"/>
                <w:color w:val="auto"/>
              </w:rPr>
              <w:t>80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62"/>
              <w:spacing w:after="0" w:line="173" w:lineRule="exact"/>
              <w:rPr>
                <w:sz w:val="20"/>
                <w:szCs w:val="20"/>
                <w:color w:val="auto"/>
              </w:rPr>
            </w:pPr>
            <w:r>
              <w:rPr>
                <w:rFonts w:ascii="Arial" w:cs="Arial" w:eastAsia="Arial" w:hAnsi="Arial"/>
                <w:sz w:val="16"/>
                <w:szCs w:val="16"/>
                <w:color w:val="auto"/>
              </w:rPr>
              <w:t>212</w:t>
            </w:r>
          </w:p>
        </w:tc>
        <w:tc>
          <w:tcPr>
            <w:tcW w:w="840" w:type="dxa"/>
            <w:vAlign w:val="bottom"/>
          </w:tcPr>
          <w:p>
            <w:pPr>
              <w:spacing w:after="0"/>
              <w:rPr>
                <w:sz w:val="15"/>
                <w:szCs w:val="15"/>
                <w:color w:val="auto"/>
              </w:rPr>
            </w:pPr>
          </w:p>
        </w:tc>
        <w:tc>
          <w:tcPr>
            <w:tcW w:w="480" w:type="dxa"/>
            <w:vAlign w:val="bottom"/>
          </w:tcPr>
          <w:p>
            <w:pPr>
              <w:jc w:val="right"/>
              <w:spacing w:after="0" w:line="173" w:lineRule="exact"/>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4"/>
        </w:trPr>
        <w:tc>
          <w:tcPr>
            <w:tcW w:w="5880" w:type="dxa"/>
            <w:vAlign w:val="bottom"/>
            <w:gridSpan w:val="2"/>
          </w:tcPr>
          <w:p>
            <w:pPr>
              <w:ind w:left="180"/>
              <w:spacing w:after="0"/>
              <w:rPr>
                <w:sz w:val="20"/>
                <w:szCs w:val="20"/>
                <w:color w:val="auto"/>
              </w:rPr>
            </w:pPr>
            <w:r>
              <w:rPr>
                <w:rFonts w:ascii="Arial" w:cs="Arial" w:eastAsia="Arial" w:hAnsi="Arial"/>
                <w:sz w:val="16"/>
                <w:szCs w:val="16"/>
                <w:color w:val="auto"/>
              </w:rPr>
              <w:t>Franchise fees and other taxes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c>
          <w:tcPr>
            <w:tcW w:w="40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68</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66"/>
        </w:trPr>
        <w:tc>
          <w:tcPr>
            <w:tcW w:w="5820" w:type="dxa"/>
            <w:vAlign w:val="bottom"/>
          </w:tcPr>
          <w:p>
            <w:pPr>
              <w:ind w:left="360"/>
              <w:spacing w:after="0" w:line="166" w:lineRule="exact"/>
              <w:rPr>
                <w:sz w:val="20"/>
                <w:szCs w:val="20"/>
                <w:color w:val="auto"/>
              </w:rPr>
            </w:pPr>
            <w:r>
              <w:rPr>
                <w:rFonts w:ascii="Arial" w:cs="Arial" w:eastAsia="Arial" w:hAnsi="Arial"/>
                <w:sz w:val="16"/>
                <w:szCs w:val="16"/>
                <w:color w:val="auto"/>
              </w:rPr>
              <w:t>Total operating expenses</w:t>
            </w:r>
          </w:p>
        </w:tc>
        <w:tc>
          <w:tcPr>
            <w:tcW w:w="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795</w:t>
            </w:r>
          </w:p>
        </w:tc>
        <w:tc>
          <w:tcPr>
            <w:tcW w:w="4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3"/>
              <w:spacing w:after="0" w:line="166" w:lineRule="exact"/>
              <w:rPr>
                <w:sz w:val="20"/>
                <w:szCs w:val="20"/>
                <w:color w:val="auto"/>
              </w:rPr>
            </w:pPr>
            <w:r>
              <w:rPr>
                <w:rFonts w:ascii="Arial" w:cs="Arial" w:eastAsia="Arial" w:hAnsi="Arial"/>
                <w:sz w:val="16"/>
                <w:szCs w:val="16"/>
                <w:color w:val="auto"/>
              </w:rPr>
              <w:t>725</w:t>
            </w:r>
          </w:p>
        </w:tc>
        <w:tc>
          <w:tcPr>
            <w:tcW w:w="3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62"/>
              <w:spacing w:after="0" w:line="166" w:lineRule="exact"/>
              <w:rPr>
                <w:sz w:val="20"/>
                <w:szCs w:val="20"/>
                <w:color w:val="auto"/>
              </w:rPr>
            </w:pPr>
            <w:r>
              <w:rPr>
                <w:rFonts w:ascii="Arial" w:cs="Arial" w:eastAsia="Arial" w:hAnsi="Arial"/>
                <w:sz w:val="16"/>
                <w:szCs w:val="16"/>
                <w:color w:val="auto"/>
              </w:rPr>
              <w:t>1,751</w:t>
            </w:r>
          </w:p>
        </w:tc>
        <w:tc>
          <w:tcPr>
            <w:tcW w:w="8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1,625</w:t>
            </w:r>
          </w:p>
        </w:tc>
        <w:tc>
          <w:tcPr>
            <w:tcW w:w="0" w:type="dxa"/>
            <w:vAlign w:val="bottom"/>
          </w:tcPr>
          <w:p>
            <w:pPr>
              <w:spacing w:after="0"/>
              <w:rPr>
                <w:sz w:val="1"/>
                <w:szCs w:val="1"/>
                <w:color w:val="auto"/>
              </w:rPr>
            </w:pP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5"/>
                <w:szCs w:val="15"/>
                <w:color w:val="auto"/>
              </w:rPr>
              <w:t>Operating income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5"/>
                <w:szCs w:val="15"/>
                <w:color w:val="auto"/>
              </w:rPr>
              <w:t>122</w:t>
            </w:r>
          </w:p>
        </w:tc>
        <w:tc>
          <w:tcPr>
            <w:tcW w:w="400" w:type="dxa"/>
            <w:vAlign w:val="bottom"/>
          </w:tcPr>
          <w:p>
            <w:pPr>
              <w:spacing w:after="0"/>
              <w:rPr>
                <w:sz w:val="11"/>
                <w:szCs w:val="11"/>
                <w:color w:val="auto"/>
              </w:rPr>
            </w:pPr>
          </w:p>
        </w:tc>
        <w:tc>
          <w:tcPr>
            <w:tcW w:w="1040" w:type="dxa"/>
            <w:vAlign w:val="bottom"/>
          </w:tcPr>
          <w:p>
            <w:pPr>
              <w:jc w:val="right"/>
              <w:ind w:right="23"/>
              <w:spacing w:after="0" w:line="135" w:lineRule="exact"/>
              <w:rPr>
                <w:sz w:val="20"/>
                <w:szCs w:val="20"/>
                <w:color w:val="auto"/>
              </w:rPr>
            </w:pPr>
            <w:r>
              <w:rPr>
                <w:rFonts w:ascii="Arial" w:cs="Arial" w:eastAsia="Arial" w:hAnsi="Arial"/>
                <w:sz w:val="15"/>
                <w:szCs w:val="15"/>
                <w:color w:val="auto"/>
              </w:rPr>
              <w:t>179</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62"/>
              <w:spacing w:after="0" w:line="135" w:lineRule="exact"/>
              <w:rPr>
                <w:sz w:val="20"/>
                <w:szCs w:val="20"/>
                <w:color w:val="auto"/>
              </w:rPr>
            </w:pPr>
            <w:r>
              <w:rPr>
                <w:rFonts w:ascii="Arial" w:cs="Arial" w:eastAsia="Arial" w:hAnsi="Arial"/>
                <w:sz w:val="15"/>
                <w:szCs w:val="15"/>
                <w:color w:val="auto"/>
              </w:rPr>
              <w:t>251</w:t>
            </w:r>
          </w:p>
        </w:tc>
        <w:tc>
          <w:tcPr>
            <w:tcW w:w="8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5"/>
                <w:szCs w:val="15"/>
                <w:color w:val="auto"/>
              </w:rPr>
              <w:t>262</w:t>
            </w:r>
          </w:p>
        </w:tc>
        <w:tc>
          <w:tcPr>
            <w:tcW w:w="0" w:type="dxa"/>
            <w:vAlign w:val="bottom"/>
          </w:tcPr>
          <w:p>
            <w:pPr>
              <w:spacing w:after="0"/>
              <w:rPr>
                <w:sz w:val="1"/>
                <w:szCs w:val="1"/>
                <w:color w:val="auto"/>
              </w:rPr>
            </w:pPr>
          </w:p>
        </w:tc>
      </w:tr>
      <w:tr>
        <w:trPr>
          <w:trHeight w:val="173"/>
        </w:trPr>
        <w:tc>
          <w:tcPr>
            <w:tcW w:w="5880" w:type="dxa"/>
            <w:vAlign w:val="bottom"/>
            <w:gridSpan w:val="2"/>
          </w:tcPr>
          <w:p>
            <w:pPr>
              <w:spacing w:after="0" w:line="173" w:lineRule="exact"/>
              <w:rPr>
                <w:sz w:val="20"/>
                <w:szCs w:val="20"/>
                <w:color w:val="auto"/>
              </w:rPr>
            </w:pPr>
            <w:r>
              <w:rPr>
                <w:rFonts w:ascii="Arial" w:cs="Arial" w:eastAsia="Arial" w:hAnsi="Arial"/>
                <w:sz w:val="16"/>
                <w:szCs w:val="16"/>
                <w:color w:val="auto"/>
              </w:rPr>
              <w:t>Other income, net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3</w:t>
            </w:r>
          </w:p>
        </w:tc>
        <w:tc>
          <w:tcPr>
            <w:tcW w:w="400" w:type="dxa"/>
            <w:vAlign w:val="bottom"/>
          </w:tcPr>
          <w:p>
            <w:pPr>
              <w:spacing w:after="0"/>
              <w:rPr>
                <w:sz w:val="15"/>
                <w:szCs w:val="15"/>
                <w:color w:val="auto"/>
              </w:rPr>
            </w:pPr>
          </w:p>
        </w:tc>
        <w:tc>
          <w:tcPr>
            <w:tcW w:w="1040" w:type="dxa"/>
            <w:vAlign w:val="bottom"/>
          </w:tcPr>
          <w:p>
            <w:pPr>
              <w:jc w:val="right"/>
              <w:ind w:right="23"/>
              <w:spacing w:after="0" w:line="173" w:lineRule="exact"/>
              <w:rPr>
                <w:sz w:val="20"/>
                <w:szCs w:val="20"/>
                <w:color w:val="auto"/>
              </w:rPr>
            </w:pPr>
            <w:r>
              <w:rPr>
                <w:rFonts w:ascii="Arial" w:cs="Arial" w:eastAsia="Arial" w:hAnsi="Arial"/>
                <w:sz w:val="16"/>
                <w:szCs w:val="16"/>
                <w:color w:val="auto"/>
              </w:rPr>
              <w:t>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62"/>
              <w:spacing w:after="0" w:line="173" w:lineRule="exact"/>
              <w:rPr>
                <w:sz w:val="20"/>
                <w:szCs w:val="20"/>
                <w:color w:val="auto"/>
              </w:rPr>
            </w:pPr>
            <w:r>
              <w:rPr>
                <w:rFonts w:ascii="Arial" w:cs="Arial" w:eastAsia="Arial" w:hAnsi="Arial"/>
                <w:sz w:val="16"/>
                <w:szCs w:val="16"/>
                <w:color w:val="auto"/>
              </w:rPr>
              <w:t>7</w:t>
            </w:r>
          </w:p>
        </w:tc>
        <w:tc>
          <w:tcPr>
            <w:tcW w:w="840" w:type="dxa"/>
            <w:vAlign w:val="bottom"/>
          </w:tcPr>
          <w:p>
            <w:pPr>
              <w:spacing w:after="0"/>
              <w:rPr>
                <w:sz w:val="15"/>
                <w:szCs w:val="15"/>
                <w:color w:val="auto"/>
              </w:rPr>
            </w:pPr>
          </w:p>
        </w:tc>
        <w:tc>
          <w:tcPr>
            <w:tcW w:w="480" w:type="dxa"/>
            <w:vAlign w:val="bottom"/>
          </w:tcPr>
          <w:p>
            <w:pPr>
              <w:jc w:val="right"/>
              <w:spacing w:after="0" w:line="173"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4"/>
        </w:trPr>
        <w:tc>
          <w:tcPr>
            <w:tcW w:w="588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w:t>
            </w: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(33)</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5"/>
                <w:szCs w:val="15"/>
                <w:color w:val="auto"/>
              </w:rPr>
              <w:t>Income before income taxes</w:t>
            </w: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5"/>
                <w:szCs w:val="15"/>
                <w:color w:val="auto"/>
              </w:rPr>
              <w:t>109</w:t>
            </w:r>
          </w:p>
        </w:tc>
        <w:tc>
          <w:tcPr>
            <w:tcW w:w="4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23"/>
              <w:spacing w:after="0" w:line="135" w:lineRule="exact"/>
              <w:rPr>
                <w:sz w:val="20"/>
                <w:szCs w:val="20"/>
                <w:color w:val="auto"/>
              </w:rPr>
            </w:pPr>
            <w:r>
              <w:rPr>
                <w:rFonts w:ascii="Arial" w:cs="Arial" w:eastAsia="Arial" w:hAnsi="Arial"/>
                <w:sz w:val="15"/>
                <w:szCs w:val="15"/>
                <w:color w:val="auto"/>
              </w:rPr>
              <w:t>164</w:t>
            </w: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62"/>
              <w:spacing w:after="0" w:line="135" w:lineRule="exact"/>
              <w:rPr>
                <w:sz w:val="20"/>
                <w:szCs w:val="20"/>
                <w:color w:val="auto"/>
              </w:rPr>
            </w:pPr>
            <w:r>
              <w:rPr>
                <w:rFonts w:ascii="Arial" w:cs="Arial" w:eastAsia="Arial" w:hAnsi="Arial"/>
                <w:sz w:val="15"/>
                <w:szCs w:val="15"/>
                <w:color w:val="auto"/>
              </w:rPr>
              <w:t>225</w:t>
            </w:r>
          </w:p>
        </w:tc>
        <w:tc>
          <w:tcPr>
            <w:tcW w:w="8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5"/>
                <w:szCs w:val="15"/>
                <w:color w:val="auto"/>
              </w:rPr>
              <w:t>234</w:t>
            </w:r>
          </w:p>
        </w:tc>
        <w:tc>
          <w:tcPr>
            <w:tcW w:w="0" w:type="dxa"/>
            <w:vAlign w:val="bottom"/>
          </w:tcPr>
          <w:p>
            <w:pPr>
              <w:spacing w:after="0"/>
              <w:rPr>
                <w:sz w:val="1"/>
                <w:szCs w:val="1"/>
                <w:color w:val="auto"/>
              </w:rPr>
            </w:pPr>
          </w:p>
        </w:tc>
      </w:tr>
      <w:tr>
        <w:trPr>
          <w:trHeight w:val="204"/>
        </w:trPr>
        <w:tc>
          <w:tcPr>
            <w:tcW w:w="588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w:t>
            </w: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(66)</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5"/>
                <w:szCs w:val="15"/>
                <w:color w:val="auto"/>
              </w:rPr>
              <w:t>Net income</w:t>
            </w: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5"/>
                <w:szCs w:val="15"/>
                <w:color w:val="auto"/>
              </w:rPr>
              <w:t>81</w:t>
            </w:r>
          </w:p>
        </w:tc>
        <w:tc>
          <w:tcPr>
            <w:tcW w:w="4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23"/>
              <w:spacing w:after="0" w:line="135" w:lineRule="exact"/>
              <w:rPr>
                <w:sz w:val="20"/>
                <w:szCs w:val="20"/>
                <w:color w:val="auto"/>
              </w:rPr>
            </w:pPr>
            <w:r>
              <w:rPr>
                <w:rFonts w:ascii="Arial" w:cs="Arial" w:eastAsia="Arial" w:hAnsi="Arial"/>
                <w:sz w:val="15"/>
                <w:szCs w:val="15"/>
                <w:color w:val="auto"/>
              </w:rPr>
              <w:t>119</w:t>
            </w: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62"/>
              <w:spacing w:after="0" w:line="135" w:lineRule="exact"/>
              <w:rPr>
                <w:sz w:val="20"/>
                <w:szCs w:val="20"/>
                <w:color w:val="auto"/>
              </w:rPr>
            </w:pPr>
            <w:r>
              <w:rPr>
                <w:rFonts w:ascii="Arial" w:cs="Arial" w:eastAsia="Arial" w:hAnsi="Arial"/>
                <w:sz w:val="15"/>
                <w:szCs w:val="15"/>
                <w:color w:val="auto"/>
              </w:rPr>
              <w:t>159</w:t>
            </w:r>
          </w:p>
        </w:tc>
        <w:tc>
          <w:tcPr>
            <w:tcW w:w="8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204"/>
        </w:trPr>
        <w:tc>
          <w:tcPr>
            <w:tcW w:w="5880" w:type="dxa"/>
            <w:vAlign w:val="bottom"/>
            <w:gridSpan w:val="2"/>
          </w:tcPr>
          <w:p>
            <w:pPr>
              <w:spacing w:after="0"/>
              <w:rPr>
                <w:sz w:val="20"/>
                <w:szCs w:val="20"/>
                <w:color w:val="auto"/>
              </w:rPr>
            </w:pPr>
            <w:r>
              <w:rPr>
                <w:rFonts w:ascii="Arial" w:cs="Arial" w:eastAsia="Arial" w:hAnsi="Arial"/>
                <w:sz w:val="16"/>
                <w:szCs w:val="16"/>
                <w:color w:val="auto"/>
              </w:rPr>
              <w:t>Preferred dividend requirements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6"/>
        </w:trPr>
        <w:tc>
          <w:tcPr>
            <w:tcW w:w="5820" w:type="dxa"/>
            <w:vAlign w:val="bottom"/>
          </w:tcPr>
          <w:p>
            <w:pPr>
              <w:spacing w:after="0" w:line="166" w:lineRule="exact"/>
              <w:rPr>
                <w:sz w:val="20"/>
                <w:szCs w:val="20"/>
                <w:color w:val="auto"/>
              </w:rPr>
            </w:pPr>
            <w:r>
              <w:rPr>
                <w:rFonts w:ascii="Arial" w:cs="Arial" w:eastAsia="Arial" w:hAnsi="Arial"/>
                <w:sz w:val="16"/>
                <w:szCs w:val="16"/>
                <w:color w:val="auto"/>
              </w:rPr>
              <w:t>Earnings attributable to common shares</w:t>
            </w:r>
          </w:p>
        </w:tc>
        <w:tc>
          <w:tcPr>
            <w:tcW w:w="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gridSpan w:val="2"/>
          </w:tcPr>
          <w:p>
            <w:pPr>
              <w:jc w:val="right"/>
              <w:ind w:right="120"/>
              <w:spacing w:after="0" w:line="166" w:lineRule="exact"/>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6"/>
                <w:szCs w:val="16"/>
                <w:color w:val="auto"/>
              </w:rPr>
              <w:t>80</w:t>
            </w:r>
          </w:p>
        </w:tc>
        <w:tc>
          <w:tcPr>
            <w:tcW w:w="400" w:type="dxa"/>
            <w:vAlign w:val="bottom"/>
            <w:tcBorders>
              <w:top w:val="single" w:sz="8" w:color="auto"/>
            </w:tcBorders>
          </w:tcPr>
          <w:p>
            <w:pPr>
              <w:jc w:val="right"/>
              <w:ind w:right="122"/>
              <w:spacing w:after="0" w:line="166" w:lineRule="exact"/>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3"/>
              <w:spacing w:after="0" w:line="166" w:lineRule="exact"/>
              <w:rPr>
                <w:sz w:val="20"/>
                <w:szCs w:val="20"/>
                <w:color w:val="auto"/>
              </w:rPr>
            </w:pPr>
            <w:r>
              <w:rPr>
                <w:rFonts w:ascii="Arial" w:cs="Arial" w:eastAsia="Arial" w:hAnsi="Arial"/>
                <w:sz w:val="16"/>
                <w:szCs w:val="16"/>
                <w:color w:val="auto"/>
              </w:rPr>
              <w:t>118</w:t>
            </w:r>
          </w:p>
        </w:tc>
        <w:tc>
          <w:tcPr>
            <w:tcW w:w="320" w:type="dxa"/>
            <w:vAlign w:val="bottom"/>
            <w:tcBorders>
              <w:top w:val="single" w:sz="8" w:color="auto"/>
            </w:tcBorders>
          </w:tcPr>
          <w:p>
            <w:pPr>
              <w:jc w:val="right"/>
              <w:ind w:right="80"/>
              <w:spacing w:after="0" w:line="166"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62"/>
              <w:spacing w:after="0" w:line="166" w:lineRule="exact"/>
              <w:rPr>
                <w:sz w:val="20"/>
                <w:szCs w:val="20"/>
                <w:color w:val="auto"/>
              </w:rPr>
            </w:pPr>
            <w:r>
              <w:rPr>
                <w:rFonts w:ascii="Arial" w:cs="Arial" w:eastAsia="Arial" w:hAnsi="Arial"/>
                <w:sz w:val="16"/>
                <w:szCs w:val="16"/>
                <w:color w:val="auto"/>
              </w:rPr>
              <w:t>158</w:t>
            </w:r>
          </w:p>
        </w:tc>
        <w:tc>
          <w:tcPr>
            <w:tcW w:w="840" w:type="dxa"/>
            <w:vAlign w:val="bottom"/>
            <w:tcBorders>
              <w:top w:val="single" w:sz="8" w:color="auto"/>
            </w:tcBorders>
          </w:tcPr>
          <w:p>
            <w:pPr>
              <w:jc w:val="right"/>
              <w:ind w:right="663"/>
              <w:spacing w:after="0" w:line="166" w:lineRule="exact"/>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80"/>
        </w:trPr>
        <w:tc>
          <w:tcPr>
            <w:tcW w:w="5880" w:type="dxa"/>
            <w:vAlign w:val="bottom"/>
            <w:gridSpan w:val="2"/>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84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880" w:type="dxa"/>
            <w:vAlign w:val="bottom"/>
            <w:gridSpan w:val="2"/>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9"/>
        </w:trPr>
        <w:tc>
          <w:tcPr>
            <w:tcW w:w="588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80" w:type="dxa"/>
            <w:vAlign w:val="bottom"/>
            <w:gridSpan w:val="2"/>
            <w:shd w:val="clear" w:color="auto" w:fill="C0C0C0"/>
          </w:tcPr>
          <w:p>
            <w:pPr>
              <w:spacing w:after="0" w:line="133" w:lineRule="exact"/>
              <w:rPr>
                <w:sz w:val="20"/>
                <w:szCs w:val="20"/>
                <w:color w:val="auto"/>
              </w:rPr>
            </w:pPr>
            <w:r>
              <w:rPr>
                <w:rFonts w:ascii="Arial" w:cs="Arial" w:eastAsia="Arial" w:hAnsi="Arial"/>
                <w:sz w:val="15"/>
                <w:szCs w:val="15"/>
                <w:b w:val="1"/>
                <w:bCs w:val="1"/>
                <w:color w:val="auto"/>
              </w:rPr>
              <w:t>SOUTHERN CALIFORNIA GAS COMPANY</w:t>
            </w:r>
          </w:p>
        </w:tc>
        <w:tc>
          <w:tcPr>
            <w:tcW w:w="60" w:type="dxa"/>
            <w:vAlign w:val="bottom"/>
            <w:shd w:val="clear" w:color="auto" w:fill="C0C0C0"/>
          </w:tcPr>
          <w:p>
            <w:pPr>
              <w:spacing w:after="0"/>
              <w:rPr>
                <w:sz w:val="11"/>
                <w:szCs w:val="11"/>
                <w:color w:val="auto"/>
              </w:rPr>
            </w:pPr>
          </w:p>
        </w:tc>
        <w:tc>
          <w:tcPr>
            <w:tcW w:w="200" w:type="dxa"/>
            <w:vAlign w:val="bottom"/>
            <w:shd w:val="clear" w:color="auto" w:fill="C0C0C0"/>
          </w:tcPr>
          <w:p>
            <w:pPr>
              <w:spacing w:after="0"/>
              <w:rPr>
                <w:sz w:val="11"/>
                <w:szCs w:val="11"/>
                <w:color w:val="auto"/>
              </w:rPr>
            </w:pPr>
          </w:p>
        </w:tc>
        <w:tc>
          <w:tcPr>
            <w:tcW w:w="1080" w:type="dxa"/>
            <w:vAlign w:val="bottom"/>
            <w:shd w:val="clear" w:color="auto" w:fill="C0C0C0"/>
          </w:tcPr>
          <w:p>
            <w:pPr>
              <w:spacing w:after="0"/>
              <w:rPr>
                <w:sz w:val="11"/>
                <w:szCs w:val="11"/>
                <w:color w:val="auto"/>
              </w:rPr>
            </w:pPr>
          </w:p>
        </w:tc>
        <w:tc>
          <w:tcPr>
            <w:tcW w:w="400" w:type="dxa"/>
            <w:vAlign w:val="bottom"/>
            <w:shd w:val="clear" w:color="auto" w:fill="C0C0C0"/>
          </w:tcPr>
          <w:p>
            <w:pPr>
              <w:spacing w:after="0"/>
              <w:rPr>
                <w:sz w:val="11"/>
                <w:szCs w:val="11"/>
                <w:color w:val="auto"/>
              </w:rPr>
            </w:pPr>
          </w:p>
        </w:tc>
        <w:tc>
          <w:tcPr>
            <w:tcW w:w="1040" w:type="dxa"/>
            <w:vAlign w:val="bottom"/>
            <w:shd w:val="clear" w:color="auto" w:fill="C0C0C0"/>
          </w:tcPr>
          <w:p>
            <w:pPr>
              <w:spacing w:after="0"/>
              <w:rPr>
                <w:sz w:val="11"/>
                <w:szCs w:val="11"/>
                <w:color w:val="auto"/>
              </w:rPr>
            </w:pPr>
          </w:p>
        </w:tc>
        <w:tc>
          <w:tcPr>
            <w:tcW w:w="320" w:type="dxa"/>
            <w:vAlign w:val="bottom"/>
            <w:shd w:val="clear" w:color="auto" w:fill="C0C0C0"/>
          </w:tcPr>
          <w:p>
            <w:pPr>
              <w:spacing w:after="0"/>
              <w:rPr>
                <w:sz w:val="11"/>
                <w:szCs w:val="11"/>
                <w:color w:val="auto"/>
              </w:rPr>
            </w:pPr>
          </w:p>
        </w:tc>
        <w:tc>
          <w:tcPr>
            <w:tcW w:w="100" w:type="dxa"/>
            <w:vAlign w:val="bottom"/>
            <w:shd w:val="clear" w:color="auto" w:fill="C0C0C0"/>
          </w:tcPr>
          <w:p>
            <w:pPr>
              <w:spacing w:after="0"/>
              <w:rPr>
                <w:sz w:val="11"/>
                <w:szCs w:val="11"/>
                <w:color w:val="auto"/>
              </w:rPr>
            </w:pPr>
          </w:p>
        </w:tc>
        <w:tc>
          <w:tcPr>
            <w:tcW w:w="1020" w:type="dxa"/>
            <w:vAlign w:val="bottom"/>
            <w:shd w:val="clear" w:color="auto" w:fill="C0C0C0"/>
          </w:tcPr>
          <w:p>
            <w:pPr>
              <w:spacing w:after="0"/>
              <w:rPr>
                <w:sz w:val="11"/>
                <w:szCs w:val="11"/>
                <w:color w:val="auto"/>
              </w:rPr>
            </w:pPr>
          </w:p>
        </w:tc>
        <w:tc>
          <w:tcPr>
            <w:tcW w:w="840" w:type="dxa"/>
            <w:vAlign w:val="bottom"/>
            <w:shd w:val="clear" w:color="auto" w:fill="C0C0C0"/>
          </w:tcPr>
          <w:p>
            <w:pPr>
              <w:spacing w:after="0"/>
              <w:rPr>
                <w:sz w:val="11"/>
                <w:szCs w:val="11"/>
                <w:color w:val="auto"/>
              </w:rPr>
            </w:pPr>
          </w:p>
        </w:tc>
        <w:tc>
          <w:tcPr>
            <w:tcW w:w="480" w:type="dxa"/>
            <w:vAlign w:val="bottom"/>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880" w:type="dxa"/>
            <w:vAlign w:val="bottom"/>
            <w:gridSpan w:val="2"/>
            <w:shd w:val="clear" w:color="auto" w:fill="C0C0C0"/>
          </w:tcPr>
          <w:p>
            <w:pPr>
              <w:spacing w:after="0"/>
              <w:rPr>
                <w:sz w:val="20"/>
                <w:szCs w:val="20"/>
                <w:color w:val="auto"/>
              </w:rPr>
            </w:pPr>
            <w:r>
              <w:rPr>
                <w:rFonts w:ascii="Arial" w:cs="Arial" w:eastAsia="Arial" w:hAnsi="Arial"/>
                <w:sz w:val="16"/>
                <w:szCs w:val="16"/>
                <w:b w:val="1"/>
                <w:bCs w:val="1"/>
                <w:color w:val="auto"/>
                <w:w w:val="99"/>
              </w:rPr>
              <w:t>CONDENSED CONSOLIDATED STATEMENTS OF COMPREHENSIVE INCOME</w:t>
            </w:r>
          </w:p>
        </w:tc>
        <w:tc>
          <w:tcPr>
            <w:tcW w:w="6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1080" w:type="dxa"/>
            <w:vAlign w:val="bottom"/>
            <w:shd w:val="clear" w:color="auto" w:fill="C0C0C0"/>
          </w:tcPr>
          <w:p>
            <w:pPr>
              <w:spacing w:after="0"/>
              <w:rPr>
                <w:sz w:val="16"/>
                <w:szCs w:val="16"/>
                <w:color w:val="auto"/>
              </w:rPr>
            </w:pPr>
          </w:p>
        </w:tc>
        <w:tc>
          <w:tcPr>
            <w:tcW w:w="400" w:type="dxa"/>
            <w:vAlign w:val="bottom"/>
            <w:shd w:val="clear" w:color="auto" w:fill="C0C0C0"/>
          </w:tcPr>
          <w:p>
            <w:pPr>
              <w:spacing w:after="0"/>
              <w:rPr>
                <w:sz w:val="16"/>
                <w:szCs w:val="16"/>
                <w:color w:val="auto"/>
              </w:rPr>
            </w:pPr>
          </w:p>
        </w:tc>
        <w:tc>
          <w:tcPr>
            <w:tcW w:w="1040" w:type="dxa"/>
            <w:vAlign w:val="bottom"/>
            <w:shd w:val="clear" w:color="auto" w:fill="C0C0C0"/>
          </w:tcPr>
          <w:p>
            <w:pPr>
              <w:spacing w:after="0"/>
              <w:rPr>
                <w:sz w:val="16"/>
                <w:szCs w:val="16"/>
                <w:color w:val="auto"/>
              </w:rPr>
            </w:pPr>
          </w:p>
        </w:tc>
        <w:tc>
          <w:tcPr>
            <w:tcW w:w="3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1020" w:type="dxa"/>
            <w:vAlign w:val="bottom"/>
            <w:shd w:val="clear" w:color="auto" w:fill="C0C0C0"/>
          </w:tcPr>
          <w:p>
            <w:pPr>
              <w:spacing w:after="0"/>
              <w:rPr>
                <w:sz w:val="16"/>
                <w:szCs w:val="16"/>
                <w:color w:val="auto"/>
              </w:rPr>
            </w:pPr>
          </w:p>
        </w:tc>
        <w:tc>
          <w:tcPr>
            <w:tcW w:w="84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880" w:type="dxa"/>
            <w:vAlign w:val="bottom"/>
            <w:gridSpan w:val="2"/>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6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080" w:type="dxa"/>
            <w:vAlign w:val="bottom"/>
            <w:shd w:val="clear" w:color="auto" w:fill="C0C0C0"/>
          </w:tcPr>
          <w:p>
            <w:pPr>
              <w:spacing w:after="0"/>
              <w:rPr>
                <w:sz w:val="14"/>
                <w:szCs w:val="14"/>
                <w:color w:val="auto"/>
              </w:rPr>
            </w:pPr>
          </w:p>
        </w:tc>
        <w:tc>
          <w:tcPr>
            <w:tcW w:w="400" w:type="dxa"/>
            <w:vAlign w:val="bottom"/>
            <w:shd w:val="clear" w:color="auto" w:fill="C0C0C0"/>
          </w:tcPr>
          <w:p>
            <w:pPr>
              <w:spacing w:after="0"/>
              <w:rPr>
                <w:sz w:val="14"/>
                <w:szCs w:val="14"/>
                <w:color w:val="auto"/>
              </w:rPr>
            </w:pPr>
          </w:p>
        </w:tc>
        <w:tc>
          <w:tcPr>
            <w:tcW w:w="1040" w:type="dxa"/>
            <w:vAlign w:val="bottom"/>
            <w:shd w:val="clear" w:color="auto" w:fill="C0C0C0"/>
          </w:tcPr>
          <w:p>
            <w:pPr>
              <w:spacing w:after="0"/>
              <w:rPr>
                <w:sz w:val="14"/>
                <w:szCs w:val="14"/>
                <w:color w:val="auto"/>
              </w:rPr>
            </w:pPr>
          </w:p>
        </w:tc>
        <w:tc>
          <w:tcPr>
            <w:tcW w:w="32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020" w:type="dxa"/>
            <w:vAlign w:val="bottom"/>
            <w:shd w:val="clear" w:color="auto" w:fill="C0C0C0"/>
          </w:tcPr>
          <w:p>
            <w:pPr>
              <w:spacing w:after="0"/>
              <w:rPr>
                <w:sz w:val="14"/>
                <w:szCs w:val="14"/>
                <w:color w:val="auto"/>
              </w:rPr>
            </w:pPr>
          </w:p>
        </w:tc>
        <w:tc>
          <w:tcPr>
            <w:tcW w:w="840" w:type="dxa"/>
            <w:vAlign w:val="bottom"/>
            <w:shd w:val="clear" w:color="auto" w:fill="C0C0C0"/>
          </w:tcPr>
          <w:p>
            <w:pPr>
              <w:spacing w:after="0"/>
              <w:rPr>
                <w:sz w:val="14"/>
                <w:szCs w:val="14"/>
                <w:color w:val="auto"/>
              </w:rPr>
            </w:pPr>
          </w:p>
        </w:tc>
        <w:tc>
          <w:tcPr>
            <w:tcW w:w="48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23"/>
              <w:spacing w:after="0" w:line="159" w:lineRule="exact"/>
              <w:rPr>
                <w:sz w:val="20"/>
                <w:szCs w:val="20"/>
                <w:color w:val="auto"/>
              </w:rPr>
            </w:pPr>
            <w:r>
              <w:rPr>
                <w:rFonts w:ascii="Arial" w:cs="Arial" w:eastAsia="Arial" w:hAnsi="Arial"/>
                <w:sz w:val="14"/>
                <w:szCs w:val="14"/>
                <w:color w:val="auto"/>
              </w:rPr>
              <w:t>Pretax</w:t>
            </w:r>
          </w:p>
        </w:tc>
        <w:tc>
          <w:tcPr>
            <w:tcW w:w="400" w:type="dxa"/>
            <w:vAlign w:val="bottom"/>
          </w:tcPr>
          <w:p>
            <w:pPr>
              <w:spacing w:after="0"/>
              <w:rPr>
                <w:sz w:val="13"/>
                <w:szCs w:val="13"/>
                <w:color w:val="auto"/>
              </w:rPr>
            </w:pPr>
          </w:p>
        </w:tc>
        <w:tc>
          <w:tcPr>
            <w:tcW w:w="1460" w:type="dxa"/>
            <w:vAlign w:val="bottom"/>
            <w:gridSpan w:val="3"/>
          </w:tcPr>
          <w:p>
            <w:pPr>
              <w:jc w:val="center"/>
              <w:ind w:left="503"/>
              <w:spacing w:after="0" w:line="159" w:lineRule="exact"/>
              <w:rPr>
                <w:sz w:val="20"/>
                <w:szCs w:val="20"/>
                <w:color w:val="auto"/>
              </w:rPr>
            </w:pPr>
            <w:r>
              <w:rPr>
                <w:rFonts w:ascii="Arial" w:cs="Arial" w:eastAsia="Arial" w:hAnsi="Arial"/>
                <w:sz w:val="14"/>
                <w:szCs w:val="14"/>
                <w:color w:val="auto"/>
                <w:w w:val="98"/>
              </w:rPr>
              <w:t>Income Tax</w:t>
            </w:r>
          </w:p>
        </w:tc>
        <w:tc>
          <w:tcPr>
            <w:tcW w:w="102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Net-of-Tax</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color w:val="auto"/>
              </w:rPr>
              <w:t>Amount</w:t>
            </w:r>
          </w:p>
        </w:tc>
        <w:tc>
          <w:tcPr>
            <w:tcW w:w="4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center"/>
              <w:ind w:right="322"/>
              <w:spacing w:after="0"/>
              <w:rPr>
                <w:sz w:val="20"/>
                <w:szCs w:val="20"/>
                <w:color w:val="auto"/>
              </w:rPr>
            </w:pPr>
            <w:r>
              <w:rPr>
                <w:rFonts w:ascii="Arial" w:cs="Arial" w:eastAsia="Arial" w:hAnsi="Arial"/>
                <w:sz w:val="14"/>
                <w:szCs w:val="14"/>
                <w:color w:val="auto"/>
              </w:rPr>
              <w:t>(Expense) Benefit</w:t>
            </w: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Amount</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5"/>
          </w:tcPr>
          <w:p>
            <w:pPr>
              <w:jc w:val="center"/>
              <w:spacing w:after="0" w:line="153" w:lineRule="exact"/>
              <w:rPr>
                <w:sz w:val="20"/>
                <w:szCs w:val="20"/>
                <w:color w:val="auto"/>
              </w:rPr>
            </w:pPr>
            <w:r>
              <w:rPr>
                <w:rFonts w:ascii="Arial" w:cs="Arial" w:eastAsia="Arial" w:hAnsi="Arial"/>
                <w:sz w:val="14"/>
                <w:szCs w:val="14"/>
                <w:color w:val="auto"/>
              </w:rPr>
              <w:t>Three months ended June 30, 2014 and 2013</w:t>
            </w:r>
          </w:p>
        </w:tc>
        <w:tc>
          <w:tcPr>
            <w:tcW w:w="8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583"/>
              <w:spacing w:after="0"/>
              <w:rPr>
                <w:sz w:val="20"/>
                <w:szCs w:val="20"/>
                <w:color w:val="auto"/>
              </w:rPr>
            </w:pPr>
            <w:r>
              <w:rPr>
                <w:rFonts w:ascii="Arial" w:cs="Arial" w:eastAsia="Arial" w:hAnsi="Arial"/>
                <w:sz w:val="14"/>
                <w:szCs w:val="14"/>
                <w:color w:val="auto"/>
              </w:rPr>
              <w:t>(unaudited)</w:t>
            </w:r>
          </w:p>
        </w:tc>
        <w:tc>
          <w:tcPr>
            <w:tcW w:w="10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5"/>
                <w:szCs w:val="15"/>
                <w:b w:val="1"/>
                <w:bCs w:val="1"/>
                <w:color w:val="auto"/>
              </w:rPr>
              <w:t>2014: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5880" w:type="dxa"/>
            <w:vAlign w:val="bottom"/>
            <w:gridSpan w:val="2"/>
          </w:tcPr>
          <w:p>
            <w:pPr>
              <w:spacing w:after="0"/>
              <w:rPr>
                <w:sz w:val="20"/>
                <w:szCs w:val="20"/>
                <w:color w:val="auto"/>
              </w:rPr>
            </w:pPr>
            <w:r>
              <w:rPr>
                <w:rFonts w:ascii="Arial" w:cs="Arial" w:eastAsia="Arial" w:hAnsi="Arial"/>
                <w:sz w:val="16"/>
                <w:szCs w:val="16"/>
                <w:color w:val="auto"/>
              </w:rPr>
              <w:t>Net income/Comprehensive income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663"/>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
              <w:spacing w:after="0"/>
              <w:rPr>
                <w:sz w:val="20"/>
                <w:szCs w:val="20"/>
                <w:color w:val="auto"/>
              </w:rPr>
            </w:pPr>
            <w:r>
              <w:rPr>
                <w:rFonts w:ascii="Arial" w:cs="Arial" w:eastAsia="Arial" w:hAnsi="Arial"/>
                <w:sz w:val="16"/>
                <w:szCs w:val="16"/>
                <w:color w:val="auto"/>
              </w:rPr>
              <w:t>109</w:t>
            </w:r>
          </w:p>
        </w:tc>
        <w:tc>
          <w:tcPr>
            <w:tcW w:w="1040" w:type="dxa"/>
            <w:vAlign w:val="bottom"/>
          </w:tcPr>
          <w:p>
            <w:pPr>
              <w:jc w:val="right"/>
              <w:ind w:right="483"/>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left="22"/>
              <w:spacing w:after="0"/>
              <w:rPr>
                <w:sz w:val="20"/>
                <w:szCs w:val="20"/>
                <w:color w:val="auto"/>
              </w:rPr>
            </w:pPr>
            <w:r>
              <w:rPr>
                <w:rFonts w:ascii="Arial" w:cs="Arial" w:eastAsia="Arial" w:hAnsi="Arial"/>
                <w:sz w:val="16"/>
                <w:szCs w:val="16"/>
                <w:color w:val="auto"/>
                <w:w w:val="98"/>
              </w:rPr>
              <w:t>(28)</w:t>
            </w:r>
          </w:p>
        </w:tc>
        <w:tc>
          <w:tcPr>
            <w:tcW w:w="840" w:type="dxa"/>
            <w:vAlign w:val="bottom"/>
          </w:tcPr>
          <w:p>
            <w:pPr>
              <w:jc w:val="right"/>
              <w:ind w:right="543"/>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80"/>
        </w:trPr>
        <w:tc>
          <w:tcPr>
            <w:tcW w:w="582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84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5820" w:type="dxa"/>
            <w:vAlign w:val="bottom"/>
          </w:tcPr>
          <w:p>
            <w:pPr>
              <w:spacing w:after="0" w:line="142" w:lineRule="exact"/>
              <w:rPr>
                <w:sz w:val="20"/>
                <w:szCs w:val="20"/>
                <w:color w:val="auto"/>
              </w:rPr>
            </w:pPr>
            <w:r>
              <w:rPr>
                <w:rFonts w:ascii="Arial" w:cs="Arial" w:eastAsia="Arial" w:hAnsi="Arial"/>
                <w:sz w:val="16"/>
                <w:szCs w:val="16"/>
                <w:b w:val="1"/>
                <w:bCs w:val="1"/>
                <w:color w:val="auto"/>
              </w:rPr>
              <w:t>2013: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80" w:type="dxa"/>
            <w:vAlign w:val="bottom"/>
            <w:gridSpan w:val="2"/>
          </w:tcPr>
          <w:p>
            <w:pPr>
              <w:spacing w:after="0" w:line="173" w:lineRule="exact"/>
              <w:rPr>
                <w:sz w:val="20"/>
                <w:szCs w:val="20"/>
                <w:color w:val="auto"/>
              </w:rPr>
            </w:pPr>
            <w:r>
              <w:rPr>
                <w:rFonts w:ascii="Arial" w:cs="Arial" w:eastAsia="Arial" w:hAnsi="Arial"/>
                <w:sz w:val="16"/>
                <w:szCs w:val="16"/>
                <w:color w:val="auto"/>
              </w:rPr>
              <w:t>Net income</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663"/>
              <w:spacing w:after="0" w:line="173" w:lineRule="exact"/>
              <w:rPr>
                <w:sz w:val="20"/>
                <w:szCs w:val="20"/>
                <w:color w:val="auto"/>
              </w:rPr>
            </w:pPr>
            <w:r>
              <w:rPr>
                <w:rFonts w:ascii="Arial" w:cs="Arial" w:eastAsia="Arial" w:hAnsi="Arial"/>
                <w:sz w:val="16"/>
                <w:szCs w:val="16"/>
                <w:color w:val="auto"/>
              </w:rPr>
              <w:t>$</w:t>
            </w:r>
          </w:p>
        </w:tc>
        <w:tc>
          <w:tcPr>
            <w:tcW w:w="400" w:type="dxa"/>
            <w:vAlign w:val="bottom"/>
          </w:tcPr>
          <w:p>
            <w:pPr>
              <w:jc w:val="right"/>
              <w:ind w:right="22"/>
              <w:spacing w:after="0" w:line="173" w:lineRule="exact"/>
              <w:rPr>
                <w:sz w:val="20"/>
                <w:szCs w:val="20"/>
                <w:color w:val="auto"/>
              </w:rPr>
            </w:pPr>
            <w:r>
              <w:rPr>
                <w:rFonts w:ascii="Arial" w:cs="Arial" w:eastAsia="Arial" w:hAnsi="Arial"/>
                <w:sz w:val="16"/>
                <w:szCs w:val="16"/>
                <w:color w:val="auto"/>
              </w:rPr>
              <w:t>164</w:t>
            </w:r>
          </w:p>
        </w:tc>
        <w:tc>
          <w:tcPr>
            <w:tcW w:w="1040" w:type="dxa"/>
            <w:vAlign w:val="bottom"/>
          </w:tcPr>
          <w:p>
            <w:pPr>
              <w:jc w:val="right"/>
              <w:ind w:right="483"/>
              <w:spacing w:after="0" w:line="173"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left="22"/>
              <w:spacing w:after="0" w:line="173" w:lineRule="exact"/>
              <w:rPr>
                <w:sz w:val="20"/>
                <w:szCs w:val="20"/>
                <w:color w:val="auto"/>
              </w:rPr>
            </w:pPr>
            <w:r>
              <w:rPr>
                <w:rFonts w:ascii="Arial" w:cs="Arial" w:eastAsia="Arial" w:hAnsi="Arial"/>
                <w:sz w:val="16"/>
                <w:szCs w:val="16"/>
                <w:color w:val="auto"/>
                <w:w w:val="98"/>
              </w:rPr>
              <w:t>(45)</w:t>
            </w:r>
          </w:p>
        </w:tc>
        <w:tc>
          <w:tcPr>
            <w:tcW w:w="840" w:type="dxa"/>
            <w:vAlign w:val="bottom"/>
          </w:tcPr>
          <w:p>
            <w:pPr>
              <w:jc w:val="right"/>
              <w:ind w:right="543"/>
              <w:spacing w:after="0" w:line="173" w:lineRule="exact"/>
              <w:rPr>
                <w:sz w:val="20"/>
                <w:szCs w:val="20"/>
                <w:color w:val="auto"/>
              </w:rPr>
            </w:pPr>
            <w:r>
              <w:rPr>
                <w:rFonts w:ascii="Arial" w:cs="Arial" w:eastAsia="Arial" w:hAnsi="Arial"/>
                <w:sz w:val="16"/>
                <w:szCs w:val="16"/>
                <w:color w:val="auto"/>
              </w:rPr>
              <w:t>$</w:t>
            </w:r>
          </w:p>
        </w:tc>
        <w:tc>
          <w:tcPr>
            <w:tcW w:w="480" w:type="dxa"/>
            <w:vAlign w:val="bottom"/>
          </w:tcPr>
          <w:p>
            <w:pPr>
              <w:jc w:val="right"/>
              <w:spacing w:after="0" w:line="173" w:lineRule="exact"/>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186"/>
        </w:trPr>
        <w:tc>
          <w:tcPr>
            <w:tcW w:w="5880" w:type="dxa"/>
            <w:vAlign w:val="bottom"/>
            <w:gridSpan w:val="2"/>
          </w:tcPr>
          <w:p>
            <w:pPr>
              <w:spacing w:after="0"/>
              <w:rPr>
                <w:sz w:val="20"/>
                <w:szCs w:val="20"/>
                <w:color w:val="auto"/>
              </w:rPr>
            </w:pPr>
            <w:r>
              <w:rPr>
                <w:rFonts w:ascii="Arial" w:cs="Arial" w:eastAsia="Arial" w:hAnsi="Arial"/>
                <w:sz w:val="16"/>
                <w:szCs w:val="16"/>
                <w:color w:val="auto"/>
              </w:rPr>
              <w:t>Other comprehensive income: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vMerge w:val="restart"/>
          </w:tcPr>
          <w:p>
            <w:pPr>
              <w:jc w:val="right"/>
              <w:ind w:right="22"/>
              <w:spacing w:after="0"/>
              <w:rPr>
                <w:sz w:val="20"/>
                <w:szCs w:val="20"/>
                <w:color w:val="auto"/>
              </w:rPr>
            </w:pPr>
            <w:r>
              <w:rPr>
                <w:rFonts w:ascii="Arial" w:cs="Arial" w:eastAsia="Arial" w:hAnsi="Arial"/>
                <w:sz w:val="16"/>
                <w:szCs w:val="16"/>
                <w:color w:val="auto"/>
              </w:rPr>
              <w:t>1</w:t>
            </w: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center"/>
              <w:ind w:left="42"/>
              <w:spacing w:after="0"/>
              <w:rPr>
                <w:sz w:val="20"/>
                <w:szCs w:val="20"/>
                <w:color w:val="auto"/>
              </w:rPr>
            </w:pPr>
            <w:r>
              <w:rPr>
                <w:rFonts w:ascii="Arial" w:cs="Arial" w:eastAsia="Arial" w:hAnsi="Arial"/>
                <w:sz w:val="16"/>
                <w:szCs w:val="16"/>
                <w:color w:val="auto"/>
                <w:w w:val="87"/>
              </w:rPr>
              <w:t>―</w:t>
            </w:r>
          </w:p>
        </w:tc>
        <w:tc>
          <w:tcPr>
            <w:tcW w:w="84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1"/>
        </w:trPr>
        <w:tc>
          <w:tcPr>
            <w:tcW w:w="5880" w:type="dxa"/>
            <w:vAlign w:val="bottom"/>
            <w:gridSpan w:val="2"/>
          </w:tcPr>
          <w:p>
            <w:pPr>
              <w:ind w:left="140"/>
              <w:spacing w:after="0"/>
              <w:rPr>
                <w:sz w:val="20"/>
                <w:szCs w:val="20"/>
                <w:color w:val="auto"/>
              </w:rPr>
            </w:pPr>
            <w:r>
              <w:rPr>
                <w:rFonts w:ascii="Arial" w:cs="Arial" w:eastAsia="Arial" w:hAnsi="Arial"/>
                <w:sz w:val="16"/>
                <w:szCs w:val="16"/>
                <w:color w:val="auto"/>
              </w:rPr>
              <w:t>Financial instruments</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880" w:type="dxa"/>
            <w:vAlign w:val="bottom"/>
            <w:gridSpan w:val="2"/>
          </w:tcPr>
          <w:p>
            <w:pPr>
              <w:ind w:left="140"/>
              <w:spacing w:after="0" w:line="166" w:lineRule="exact"/>
              <w:rPr>
                <w:sz w:val="20"/>
                <w:szCs w:val="20"/>
                <w:color w:val="auto"/>
              </w:rPr>
            </w:pPr>
            <w:r>
              <w:rPr>
                <w:rFonts w:ascii="Arial" w:cs="Arial" w:eastAsia="Arial" w:hAnsi="Arial"/>
                <w:sz w:val="16"/>
                <w:szCs w:val="16"/>
                <w:color w:val="auto"/>
              </w:rPr>
              <w:t>Total other comprehensive income</w:t>
            </w: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22"/>
              <w:spacing w:after="0" w:line="166" w:lineRule="exact"/>
              <w:rPr>
                <w:sz w:val="20"/>
                <w:szCs w:val="20"/>
                <w:color w:val="auto"/>
              </w:rPr>
            </w:pPr>
            <w:r>
              <w:rPr>
                <w:rFonts w:ascii="Arial" w:cs="Arial" w:eastAsia="Arial" w:hAnsi="Arial"/>
                <w:sz w:val="16"/>
                <w:szCs w:val="16"/>
                <w:color w:val="auto"/>
              </w:rPr>
              <w:t>1</w:t>
            </w:r>
          </w:p>
        </w:tc>
        <w:tc>
          <w:tcPr>
            <w:tcW w:w="1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left="42"/>
              <w:spacing w:after="0" w:line="166" w:lineRule="exact"/>
              <w:rPr>
                <w:sz w:val="20"/>
                <w:szCs w:val="20"/>
                <w:color w:val="auto"/>
              </w:rPr>
            </w:pPr>
            <w:r>
              <w:rPr>
                <w:rFonts w:ascii="Arial" w:cs="Arial" w:eastAsia="Arial" w:hAnsi="Arial"/>
                <w:sz w:val="16"/>
                <w:szCs w:val="16"/>
                <w:color w:val="auto"/>
                <w:w w:val="87"/>
              </w:rPr>
              <w:t>―</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6"/>
        </w:trPr>
        <w:tc>
          <w:tcPr>
            <w:tcW w:w="5880" w:type="dxa"/>
            <w:vAlign w:val="bottom"/>
            <w:gridSpan w:val="2"/>
          </w:tcPr>
          <w:p>
            <w:pPr>
              <w:spacing w:after="0" w:line="166" w:lineRule="exact"/>
              <w:rPr>
                <w:sz w:val="20"/>
                <w:szCs w:val="20"/>
                <w:color w:val="auto"/>
              </w:rPr>
            </w:pPr>
            <w:r>
              <w:rPr>
                <w:rFonts w:ascii="Arial" w:cs="Arial" w:eastAsia="Arial" w:hAnsi="Arial"/>
                <w:sz w:val="16"/>
                <w:szCs w:val="16"/>
                <w:color w:val="auto"/>
              </w:rPr>
              <w:t>Comprehensive income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663"/>
              <w:spacing w:after="0" w:line="166" w:lineRule="exact"/>
              <w:rPr>
                <w:sz w:val="20"/>
                <w:szCs w:val="20"/>
                <w:color w:val="auto"/>
              </w:rPr>
            </w:pPr>
            <w:r>
              <w:rPr>
                <w:rFonts w:ascii="Arial" w:cs="Arial" w:eastAsia="Arial" w:hAnsi="Arial"/>
                <w:sz w:val="16"/>
                <w:szCs w:val="16"/>
                <w:color w:val="auto"/>
              </w:rPr>
              <w:t>$</w:t>
            </w:r>
          </w:p>
        </w:tc>
        <w:tc>
          <w:tcPr>
            <w:tcW w:w="400" w:type="dxa"/>
            <w:vAlign w:val="bottom"/>
          </w:tcPr>
          <w:p>
            <w:pPr>
              <w:jc w:val="right"/>
              <w:ind w:right="22"/>
              <w:spacing w:after="0" w:line="166" w:lineRule="exact"/>
              <w:rPr>
                <w:sz w:val="20"/>
                <w:szCs w:val="20"/>
                <w:color w:val="auto"/>
              </w:rPr>
            </w:pPr>
            <w:r>
              <w:rPr>
                <w:rFonts w:ascii="Arial" w:cs="Arial" w:eastAsia="Arial" w:hAnsi="Arial"/>
                <w:sz w:val="16"/>
                <w:szCs w:val="16"/>
                <w:color w:val="auto"/>
              </w:rPr>
              <w:t>165</w:t>
            </w:r>
          </w:p>
        </w:tc>
        <w:tc>
          <w:tcPr>
            <w:tcW w:w="1040" w:type="dxa"/>
            <w:vAlign w:val="bottom"/>
          </w:tcPr>
          <w:p>
            <w:pPr>
              <w:jc w:val="right"/>
              <w:ind w:right="483"/>
              <w:spacing w:after="0" w:line="166"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left="22"/>
              <w:spacing w:after="0" w:line="166" w:lineRule="exact"/>
              <w:rPr>
                <w:sz w:val="20"/>
                <w:szCs w:val="20"/>
                <w:color w:val="auto"/>
              </w:rPr>
            </w:pPr>
            <w:r>
              <w:rPr>
                <w:rFonts w:ascii="Arial" w:cs="Arial" w:eastAsia="Arial" w:hAnsi="Arial"/>
                <w:sz w:val="16"/>
                <w:szCs w:val="16"/>
                <w:color w:val="auto"/>
                <w:w w:val="98"/>
              </w:rPr>
              <w:t>(45)</w:t>
            </w:r>
          </w:p>
        </w:tc>
        <w:tc>
          <w:tcPr>
            <w:tcW w:w="840" w:type="dxa"/>
            <w:vAlign w:val="bottom"/>
          </w:tcPr>
          <w:p>
            <w:pPr>
              <w:jc w:val="right"/>
              <w:ind w:right="543"/>
              <w:spacing w:after="0" w:line="166" w:lineRule="exact"/>
              <w:rPr>
                <w:sz w:val="20"/>
                <w:szCs w:val="20"/>
                <w:color w:val="auto"/>
              </w:rPr>
            </w:pPr>
            <w:r>
              <w:rPr>
                <w:rFonts w:ascii="Arial" w:cs="Arial" w:eastAsia="Arial" w:hAnsi="Arial"/>
                <w:sz w:val="16"/>
                <w:szCs w:val="16"/>
                <w:color w:val="auto"/>
              </w:rPr>
              <w:t>$</w:t>
            </w:r>
          </w:p>
        </w:tc>
        <w:tc>
          <w:tcPr>
            <w:tcW w:w="480" w:type="dxa"/>
            <w:vAlign w:val="bottom"/>
          </w:tcPr>
          <w:p>
            <w:pPr>
              <w:jc w:val="right"/>
              <w:spacing w:after="0" w:line="166" w:lineRule="exact"/>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80"/>
        </w:trPr>
        <w:tc>
          <w:tcPr>
            <w:tcW w:w="582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2880" w:type="dxa"/>
            <w:vAlign w:val="bottom"/>
            <w:gridSpan w:val="5"/>
            <w:shd w:val="clear" w:color="auto" w:fill="000000"/>
          </w:tcPr>
          <w:p>
            <w:pPr>
              <w:spacing w:after="0"/>
              <w:rPr>
                <w:sz w:val="6"/>
                <w:szCs w:val="6"/>
                <w:color w:val="auto"/>
              </w:rPr>
            </w:pPr>
          </w:p>
        </w:tc>
        <w:tc>
          <w:tcPr>
            <w:tcW w:w="84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359"/>
        </w:trPr>
        <w:tc>
          <w:tcPr>
            <w:tcW w:w="5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rPr>
              <w:t>Six months ended June 30, 2014 and 2013</w:t>
            </w:r>
          </w:p>
        </w:tc>
        <w:tc>
          <w:tcPr>
            <w:tcW w:w="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583"/>
              <w:spacing w:after="0"/>
              <w:rPr>
                <w:sz w:val="20"/>
                <w:szCs w:val="20"/>
                <w:color w:val="auto"/>
              </w:rPr>
            </w:pPr>
            <w:r>
              <w:rPr>
                <w:rFonts w:ascii="Arial" w:cs="Arial" w:eastAsia="Arial" w:hAnsi="Arial"/>
                <w:sz w:val="14"/>
                <w:szCs w:val="14"/>
                <w:color w:val="auto"/>
              </w:rPr>
              <w:t>(unaudited)</w:t>
            </w:r>
          </w:p>
        </w:tc>
        <w:tc>
          <w:tcPr>
            <w:tcW w:w="10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5"/>
                <w:szCs w:val="15"/>
                <w:b w:val="1"/>
                <w:bCs w:val="1"/>
                <w:color w:val="auto"/>
              </w:rPr>
              <w:t>2014: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5880" w:type="dxa"/>
            <w:vAlign w:val="bottom"/>
            <w:gridSpan w:val="2"/>
          </w:tcPr>
          <w:p>
            <w:pPr>
              <w:spacing w:after="0"/>
              <w:rPr>
                <w:sz w:val="20"/>
                <w:szCs w:val="20"/>
                <w:color w:val="auto"/>
              </w:rPr>
            </w:pPr>
            <w:r>
              <w:rPr>
                <w:rFonts w:ascii="Arial" w:cs="Arial" w:eastAsia="Arial" w:hAnsi="Arial"/>
                <w:sz w:val="16"/>
                <w:szCs w:val="16"/>
                <w:color w:val="auto"/>
              </w:rPr>
              <w:t>Net income/Comprehensive income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663"/>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
              <w:spacing w:after="0"/>
              <w:rPr>
                <w:sz w:val="20"/>
                <w:szCs w:val="20"/>
                <w:color w:val="auto"/>
              </w:rPr>
            </w:pPr>
            <w:r>
              <w:rPr>
                <w:rFonts w:ascii="Arial" w:cs="Arial" w:eastAsia="Arial" w:hAnsi="Arial"/>
                <w:sz w:val="16"/>
                <w:szCs w:val="16"/>
                <w:color w:val="auto"/>
              </w:rPr>
              <w:t>225</w:t>
            </w:r>
          </w:p>
        </w:tc>
        <w:tc>
          <w:tcPr>
            <w:tcW w:w="1040" w:type="dxa"/>
            <w:vAlign w:val="bottom"/>
          </w:tcPr>
          <w:p>
            <w:pPr>
              <w:jc w:val="right"/>
              <w:ind w:right="483"/>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left="22"/>
              <w:spacing w:after="0"/>
              <w:rPr>
                <w:sz w:val="20"/>
                <w:szCs w:val="20"/>
                <w:color w:val="auto"/>
              </w:rPr>
            </w:pPr>
            <w:r>
              <w:rPr>
                <w:rFonts w:ascii="Arial" w:cs="Arial" w:eastAsia="Arial" w:hAnsi="Arial"/>
                <w:sz w:val="16"/>
                <w:szCs w:val="16"/>
                <w:color w:val="auto"/>
                <w:w w:val="98"/>
              </w:rPr>
              <w:t>(66)</w:t>
            </w:r>
          </w:p>
        </w:tc>
        <w:tc>
          <w:tcPr>
            <w:tcW w:w="840" w:type="dxa"/>
            <w:vAlign w:val="bottom"/>
          </w:tcPr>
          <w:p>
            <w:pPr>
              <w:jc w:val="right"/>
              <w:ind w:right="543"/>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80"/>
        </w:trPr>
        <w:tc>
          <w:tcPr>
            <w:tcW w:w="582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84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20"/>
                <w:szCs w:val="20"/>
                <w:color w:val="auto"/>
              </w:rPr>
            </w:pPr>
            <w:r>
              <w:rPr>
                <w:rFonts w:ascii="Arial" w:cs="Arial" w:eastAsia="Arial" w:hAnsi="Arial"/>
                <w:sz w:val="16"/>
                <w:szCs w:val="16"/>
                <w:b w:val="1"/>
                <w:bCs w:val="1"/>
                <w:color w:val="auto"/>
              </w:rPr>
              <w:t>2013:</w:t>
            </w: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940" w:type="dxa"/>
            <w:vAlign w:val="bottom"/>
          </w:tcPr>
          <w:p>
            <w:pPr>
              <w:spacing w:after="0" w:line="173" w:lineRule="exact"/>
              <w:rPr>
                <w:sz w:val="20"/>
                <w:szCs w:val="20"/>
                <w:color w:val="auto"/>
              </w:rPr>
            </w:pPr>
            <w:r>
              <w:rPr>
                <w:rFonts w:ascii="Arial" w:cs="Arial" w:eastAsia="Arial" w:hAnsi="Arial"/>
                <w:sz w:val="16"/>
                <w:szCs w:val="16"/>
                <w:color w:val="auto"/>
              </w:rPr>
              <w:t>Net income</w:t>
            </w:r>
          </w:p>
        </w:tc>
        <w:tc>
          <w:tcPr>
            <w:tcW w:w="920" w:type="dxa"/>
            <w:vAlign w:val="bottom"/>
          </w:tcPr>
          <w:p>
            <w:pPr>
              <w:jc w:val="right"/>
              <w:ind w:right="300"/>
              <w:spacing w:after="0" w:line="173"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60"/>
              <w:spacing w:after="0" w:line="173" w:lineRule="exact"/>
              <w:rPr>
                <w:sz w:val="20"/>
                <w:szCs w:val="20"/>
                <w:color w:val="auto"/>
              </w:rPr>
            </w:pPr>
            <w:r>
              <w:rPr>
                <w:rFonts w:ascii="Arial" w:cs="Arial" w:eastAsia="Arial" w:hAnsi="Arial"/>
                <w:sz w:val="16"/>
                <w:szCs w:val="16"/>
                <w:color w:val="auto"/>
              </w:rPr>
              <w:t>234</w:t>
            </w:r>
          </w:p>
        </w:tc>
        <w:tc>
          <w:tcPr>
            <w:tcW w:w="1040" w:type="dxa"/>
            <w:vAlign w:val="bottom"/>
          </w:tcPr>
          <w:p>
            <w:pPr>
              <w:jc w:val="right"/>
              <w:ind w:right="620"/>
              <w:spacing w:after="0" w:line="173" w:lineRule="exact"/>
              <w:rPr>
                <w:sz w:val="20"/>
                <w:szCs w:val="20"/>
                <w:color w:val="auto"/>
              </w:rPr>
            </w:pPr>
            <w:r>
              <w:rPr>
                <w:rFonts w:ascii="Arial" w:cs="Arial" w:eastAsia="Arial" w:hAnsi="Arial"/>
                <w:sz w:val="16"/>
                <w:szCs w:val="16"/>
                <w:color w:val="auto"/>
              </w:rPr>
              <w:t>$</w:t>
            </w:r>
          </w:p>
        </w:tc>
        <w:tc>
          <w:tcPr>
            <w:tcW w:w="1200" w:type="dxa"/>
            <w:vAlign w:val="bottom"/>
          </w:tcPr>
          <w:p>
            <w:pPr>
              <w:jc w:val="center"/>
              <w:ind w:left="400"/>
              <w:spacing w:after="0" w:line="173" w:lineRule="exact"/>
              <w:rPr>
                <w:sz w:val="20"/>
                <w:szCs w:val="20"/>
                <w:color w:val="auto"/>
              </w:rPr>
            </w:pPr>
            <w:r>
              <w:rPr>
                <w:rFonts w:ascii="Arial" w:cs="Arial" w:eastAsia="Arial" w:hAnsi="Arial"/>
                <w:sz w:val="16"/>
                <w:szCs w:val="16"/>
                <w:color w:val="auto"/>
                <w:w w:val="98"/>
              </w:rPr>
              <w:t>(69)</w:t>
            </w:r>
          </w:p>
        </w:tc>
        <w:tc>
          <w:tcPr>
            <w:tcW w:w="720" w:type="dxa"/>
            <w:vAlign w:val="bottom"/>
          </w:tcPr>
          <w:p>
            <w:pPr>
              <w:jc w:val="right"/>
              <w:ind w:right="320"/>
              <w:spacing w:after="0" w:line="173"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73" w:lineRule="exact"/>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186"/>
        </w:trPr>
        <w:tc>
          <w:tcPr>
            <w:tcW w:w="594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920" w:type="dxa"/>
            <w:vAlign w:val="bottom"/>
          </w:tcPr>
          <w:p>
            <w:pPr>
              <w:spacing w:after="0"/>
              <w:rPr>
                <w:sz w:val="16"/>
                <w:szCs w:val="16"/>
                <w:color w:val="auto"/>
              </w:rPr>
            </w:pPr>
          </w:p>
        </w:tc>
        <w:tc>
          <w:tcPr>
            <w:tcW w:w="900" w:type="dxa"/>
            <w:vAlign w:val="bottom"/>
            <w:vMerge w:val="restart"/>
          </w:tcPr>
          <w:p>
            <w:pPr>
              <w:jc w:val="right"/>
              <w:ind w:right="160"/>
              <w:spacing w:after="0"/>
              <w:rPr>
                <w:sz w:val="20"/>
                <w:szCs w:val="20"/>
                <w:color w:val="auto"/>
              </w:rPr>
            </w:pPr>
            <w:r>
              <w:rPr>
                <w:rFonts w:ascii="Arial" w:cs="Arial" w:eastAsia="Arial" w:hAnsi="Arial"/>
                <w:sz w:val="16"/>
                <w:szCs w:val="16"/>
                <w:color w:val="auto"/>
              </w:rPr>
              <w:t>1</w:t>
            </w:r>
          </w:p>
        </w:tc>
        <w:tc>
          <w:tcPr>
            <w:tcW w:w="1040" w:type="dxa"/>
            <w:vAlign w:val="bottom"/>
          </w:tcPr>
          <w:p>
            <w:pPr>
              <w:spacing w:after="0"/>
              <w:rPr>
                <w:sz w:val="16"/>
                <w:szCs w:val="16"/>
                <w:color w:val="auto"/>
              </w:rPr>
            </w:pPr>
          </w:p>
        </w:tc>
        <w:tc>
          <w:tcPr>
            <w:tcW w:w="1200" w:type="dxa"/>
            <w:vAlign w:val="bottom"/>
            <w:vMerge w:val="restart"/>
          </w:tcPr>
          <w:p>
            <w:pPr>
              <w:jc w:val="center"/>
              <w:ind w:left="420"/>
              <w:spacing w:after="0"/>
              <w:rPr>
                <w:sz w:val="20"/>
                <w:szCs w:val="20"/>
                <w:color w:val="auto"/>
              </w:rPr>
            </w:pPr>
            <w:r>
              <w:rPr>
                <w:rFonts w:ascii="Arial" w:cs="Arial" w:eastAsia="Arial" w:hAnsi="Arial"/>
                <w:sz w:val="16"/>
                <w:szCs w:val="16"/>
                <w:color w:val="auto"/>
                <w:w w:val="87"/>
              </w:rPr>
              <w:t>―</w:t>
            </w:r>
          </w:p>
        </w:tc>
        <w:tc>
          <w:tcPr>
            <w:tcW w:w="7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1"/>
        </w:trPr>
        <w:tc>
          <w:tcPr>
            <w:tcW w:w="5940" w:type="dxa"/>
            <w:vAlign w:val="bottom"/>
          </w:tcPr>
          <w:p>
            <w:pPr>
              <w:ind w:left="140"/>
              <w:spacing w:after="0"/>
              <w:rPr>
                <w:sz w:val="20"/>
                <w:szCs w:val="20"/>
                <w:color w:val="auto"/>
              </w:rPr>
            </w:pPr>
            <w:r>
              <w:rPr>
                <w:rFonts w:ascii="Arial" w:cs="Arial" w:eastAsia="Arial" w:hAnsi="Arial"/>
                <w:sz w:val="16"/>
                <w:szCs w:val="16"/>
                <w:color w:val="auto"/>
              </w:rPr>
              <w:t>Financial instruments</w:t>
            </w:r>
          </w:p>
        </w:tc>
        <w:tc>
          <w:tcPr>
            <w:tcW w:w="9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940" w:type="dxa"/>
            <w:vAlign w:val="bottom"/>
          </w:tcPr>
          <w:p>
            <w:pPr>
              <w:ind w:left="140"/>
              <w:spacing w:after="0" w:line="166" w:lineRule="exact"/>
              <w:rPr>
                <w:sz w:val="20"/>
                <w:szCs w:val="20"/>
                <w:color w:val="auto"/>
              </w:rPr>
            </w:pPr>
            <w:r>
              <w:rPr>
                <w:rFonts w:ascii="Arial" w:cs="Arial" w:eastAsia="Arial" w:hAnsi="Arial"/>
                <w:sz w:val="16"/>
                <w:szCs w:val="16"/>
                <w:color w:val="auto"/>
              </w:rPr>
              <w:t>Total other comprehensive income</w:t>
            </w:r>
          </w:p>
        </w:tc>
        <w:tc>
          <w:tcPr>
            <w:tcW w:w="9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60"/>
              <w:spacing w:after="0" w:line="166" w:lineRule="exact"/>
              <w:rPr>
                <w:sz w:val="20"/>
                <w:szCs w:val="20"/>
                <w:color w:val="auto"/>
              </w:rPr>
            </w:pPr>
            <w:r>
              <w:rPr>
                <w:rFonts w:ascii="Arial" w:cs="Arial" w:eastAsia="Arial" w:hAnsi="Arial"/>
                <w:sz w:val="16"/>
                <w:szCs w:val="16"/>
                <w:color w:val="auto"/>
              </w:rPr>
              <w:t>1</w:t>
            </w:r>
          </w:p>
        </w:tc>
        <w:tc>
          <w:tcPr>
            <w:tcW w:w="10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left="420"/>
              <w:spacing w:after="0" w:line="166" w:lineRule="exact"/>
              <w:rPr>
                <w:sz w:val="20"/>
                <w:szCs w:val="20"/>
                <w:color w:val="auto"/>
              </w:rPr>
            </w:pPr>
            <w:r>
              <w:rPr>
                <w:rFonts w:ascii="Arial" w:cs="Arial" w:eastAsia="Arial" w:hAnsi="Arial"/>
                <w:sz w:val="16"/>
                <w:szCs w:val="16"/>
                <w:color w:val="auto"/>
                <w:w w:val="87"/>
              </w:rPr>
              <w:t>―</w:t>
            </w: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6"/>
        </w:trPr>
        <w:tc>
          <w:tcPr>
            <w:tcW w:w="5940" w:type="dxa"/>
            <w:vAlign w:val="bottom"/>
          </w:tcPr>
          <w:p>
            <w:pPr>
              <w:spacing w:after="0" w:line="166" w:lineRule="exact"/>
              <w:rPr>
                <w:sz w:val="20"/>
                <w:szCs w:val="20"/>
                <w:color w:val="auto"/>
              </w:rPr>
            </w:pPr>
            <w:r>
              <w:rPr>
                <w:rFonts w:ascii="Arial" w:cs="Arial" w:eastAsia="Arial" w:hAnsi="Arial"/>
                <w:sz w:val="16"/>
                <w:szCs w:val="16"/>
                <w:color w:val="auto"/>
              </w:rPr>
              <w:t>Comprehensive income</w:t>
            </w:r>
          </w:p>
        </w:tc>
        <w:tc>
          <w:tcPr>
            <w:tcW w:w="920" w:type="dxa"/>
            <w:vAlign w:val="bottom"/>
          </w:tcPr>
          <w:p>
            <w:pPr>
              <w:jc w:val="right"/>
              <w:ind w:right="300"/>
              <w:spacing w:after="0" w:line="166"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60"/>
              <w:spacing w:after="0" w:line="166" w:lineRule="exact"/>
              <w:rPr>
                <w:sz w:val="20"/>
                <w:szCs w:val="20"/>
                <w:color w:val="auto"/>
              </w:rPr>
            </w:pPr>
            <w:r>
              <w:rPr>
                <w:rFonts w:ascii="Arial" w:cs="Arial" w:eastAsia="Arial" w:hAnsi="Arial"/>
                <w:sz w:val="16"/>
                <w:szCs w:val="16"/>
                <w:color w:val="auto"/>
              </w:rPr>
              <w:t>235</w:t>
            </w:r>
          </w:p>
        </w:tc>
        <w:tc>
          <w:tcPr>
            <w:tcW w:w="1040" w:type="dxa"/>
            <w:vAlign w:val="bottom"/>
          </w:tcPr>
          <w:p>
            <w:pPr>
              <w:jc w:val="right"/>
              <w:ind w:right="620"/>
              <w:spacing w:after="0" w:line="166" w:lineRule="exact"/>
              <w:rPr>
                <w:sz w:val="20"/>
                <w:szCs w:val="20"/>
                <w:color w:val="auto"/>
              </w:rPr>
            </w:pPr>
            <w:r>
              <w:rPr>
                <w:rFonts w:ascii="Arial" w:cs="Arial" w:eastAsia="Arial" w:hAnsi="Arial"/>
                <w:sz w:val="16"/>
                <w:szCs w:val="16"/>
                <w:color w:val="auto"/>
              </w:rPr>
              <w:t>$</w:t>
            </w:r>
          </w:p>
        </w:tc>
        <w:tc>
          <w:tcPr>
            <w:tcW w:w="1200" w:type="dxa"/>
            <w:vAlign w:val="bottom"/>
          </w:tcPr>
          <w:p>
            <w:pPr>
              <w:jc w:val="center"/>
              <w:ind w:left="400"/>
              <w:spacing w:after="0" w:line="166" w:lineRule="exact"/>
              <w:rPr>
                <w:sz w:val="20"/>
                <w:szCs w:val="20"/>
                <w:color w:val="auto"/>
              </w:rPr>
            </w:pPr>
            <w:r>
              <w:rPr>
                <w:rFonts w:ascii="Arial" w:cs="Arial" w:eastAsia="Arial" w:hAnsi="Arial"/>
                <w:sz w:val="16"/>
                <w:szCs w:val="16"/>
                <w:color w:val="auto"/>
                <w:w w:val="98"/>
              </w:rPr>
              <w:t>(69)</w:t>
            </w:r>
          </w:p>
        </w:tc>
        <w:tc>
          <w:tcPr>
            <w:tcW w:w="720" w:type="dxa"/>
            <w:vAlign w:val="bottom"/>
          </w:tcPr>
          <w:p>
            <w:pPr>
              <w:jc w:val="right"/>
              <w:ind w:right="320"/>
              <w:spacing w:after="0" w:line="166"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66" w:lineRule="exact"/>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80"/>
        </w:trPr>
        <w:tc>
          <w:tcPr>
            <w:tcW w:w="59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120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7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restart"/>
          </w:tcPr>
          <w:p>
            <w:pPr>
              <w:jc w:val="center"/>
              <w:ind w:right="181"/>
              <w:spacing w:after="0"/>
              <w:rPr>
                <w:sz w:val="20"/>
                <w:szCs w:val="20"/>
                <w:color w:val="auto"/>
              </w:rPr>
            </w:pPr>
            <w:r>
              <w:rPr>
                <w:rFonts w:ascii="Arial" w:cs="Arial" w:eastAsia="Arial" w:hAnsi="Arial"/>
                <w:sz w:val="14"/>
                <w:szCs w:val="14"/>
                <w:color w:val="auto"/>
              </w:rPr>
              <w:t>June 30,</w:t>
            </w:r>
          </w:p>
        </w:tc>
        <w:tc>
          <w:tcPr>
            <w:tcW w:w="160" w:type="dxa"/>
            <w:vAlign w:val="bottom"/>
          </w:tcPr>
          <w:p>
            <w:pPr>
              <w:spacing w:after="0"/>
              <w:rPr>
                <w:sz w:val="16"/>
                <w:szCs w:val="16"/>
                <w:color w:val="auto"/>
              </w:rPr>
            </w:pPr>
          </w:p>
        </w:tc>
        <w:tc>
          <w:tcPr>
            <w:tcW w:w="1260" w:type="dxa"/>
            <w:vAlign w:val="bottom"/>
            <w:vMerge w:val="restart"/>
          </w:tcPr>
          <w:p>
            <w:pPr>
              <w:jc w:val="right"/>
              <w:ind w:right="20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0" w:type="dxa"/>
            <w:vAlign w:val="bottom"/>
            <w:tcBorders>
              <w:bottom w:val="single" w:sz="8" w:color="auto"/>
            </w:tcBorders>
          </w:tcPr>
          <w:p>
            <w:pPr>
              <w:spacing w:after="0"/>
              <w:rPr>
                <w:sz w:val="15"/>
                <w:szCs w:val="15"/>
                <w:color w:val="auto"/>
              </w:rPr>
            </w:pPr>
          </w:p>
        </w:tc>
        <w:tc>
          <w:tcPr>
            <w:tcW w:w="6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rPr>
              <w:t>2014</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2013(1)</w:t>
            </w:r>
          </w:p>
        </w:tc>
        <w:tc>
          <w:tcPr>
            <w:tcW w:w="0" w:type="dxa"/>
            <w:vAlign w:val="bottom"/>
          </w:tcPr>
          <w:p>
            <w:pPr>
              <w:spacing w:after="0"/>
              <w:rPr>
                <w:sz w:val="1"/>
                <w:szCs w:val="1"/>
                <w:color w:val="auto"/>
              </w:rPr>
            </w:pPr>
          </w:p>
        </w:tc>
      </w:tr>
      <w:tr>
        <w:trPr>
          <w:trHeight w:val="183"/>
        </w:trPr>
        <w:tc>
          <w:tcPr>
            <w:tcW w:w="6540" w:type="dxa"/>
            <w:vAlign w:val="bottom"/>
            <w:gridSpan w:val="2"/>
            <w:vMerge w:val="restart"/>
          </w:tcPr>
          <w:p>
            <w:pPr>
              <w:spacing w:after="0"/>
              <w:rPr>
                <w:sz w:val="20"/>
                <w:szCs w:val="20"/>
                <w:color w:val="auto"/>
              </w:rPr>
            </w:pPr>
            <w:r>
              <w:rPr>
                <w:rFonts w:ascii="Arial" w:cs="Arial" w:eastAsia="Arial" w:hAnsi="Arial"/>
                <w:sz w:val="16"/>
                <w:szCs w:val="16"/>
                <w:color w:val="auto"/>
              </w:rPr>
              <w:t>ASSETS</w:t>
            </w: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21"/>
              <w:spacing w:after="0"/>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540" w:type="dxa"/>
            <w:vAlign w:val="bottom"/>
            <w:gridSpan w:val="2"/>
            <w:vMerge w:val="continue"/>
          </w:tcPr>
          <w:p>
            <w:pPr>
              <w:spacing w:after="0"/>
              <w:rPr>
                <w:sz w:val="10"/>
                <w:szCs w:val="10"/>
                <w:color w:val="auto"/>
              </w:rPr>
            </w:pPr>
          </w:p>
        </w:tc>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40" w:type="dxa"/>
            <w:vAlign w:val="bottom"/>
            <w:gridSpan w:val="2"/>
          </w:tcPr>
          <w:p>
            <w:pPr>
              <w:spacing w:after="0" w:line="173" w:lineRule="exact"/>
              <w:rPr>
                <w:sz w:val="20"/>
                <w:szCs w:val="20"/>
                <w:color w:val="auto"/>
              </w:rPr>
            </w:pPr>
            <w:r>
              <w:rPr>
                <w:rFonts w:ascii="Arial" w:cs="Arial" w:eastAsia="Arial" w:hAnsi="Arial"/>
                <w:sz w:val="16"/>
                <w:szCs w:val="16"/>
                <w:color w:val="auto"/>
              </w:rPr>
              <w:t>Current assets:</w:t>
            </w: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360" w:type="dxa"/>
            <w:vAlign w:val="bottom"/>
          </w:tcPr>
          <w:p>
            <w:pPr>
              <w:spacing w:after="0" w:line="173" w:lineRule="exact"/>
              <w:rPr>
                <w:sz w:val="20"/>
                <w:szCs w:val="20"/>
                <w:color w:val="auto"/>
              </w:rPr>
            </w:pPr>
            <w:r>
              <w:rPr>
                <w:rFonts w:ascii="Arial" w:cs="Arial" w:eastAsia="Arial" w:hAnsi="Arial"/>
                <w:sz w:val="16"/>
                <w:szCs w:val="16"/>
                <w:color w:val="auto"/>
              </w:rPr>
              <w:t>Cash and cash equivalents</w:t>
            </w:r>
          </w:p>
        </w:tc>
        <w:tc>
          <w:tcPr>
            <w:tcW w:w="2260" w:type="dxa"/>
            <w:vAlign w:val="bottom"/>
            <w:gridSpan w:val="2"/>
          </w:tcPr>
          <w:p>
            <w:pPr>
              <w:jc w:val="right"/>
              <w:ind w:right="46"/>
              <w:spacing w:after="0" w:line="173"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16</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73"/>
        </w:trPr>
        <w:tc>
          <w:tcPr>
            <w:tcW w:w="6540" w:type="dxa"/>
            <w:vAlign w:val="bottom"/>
            <w:gridSpan w:val="2"/>
          </w:tcPr>
          <w:p>
            <w:pPr>
              <w:ind w:left="180"/>
              <w:spacing w:after="0" w:line="173" w:lineRule="exact"/>
              <w:rPr>
                <w:sz w:val="20"/>
                <w:szCs w:val="20"/>
                <w:color w:val="auto"/>
              </w:rPr>
            </w:pPr>
            <w:r>
              <w:rPr>
                <w:rFonts w:ascii="Arial" w:cs="Arial" w:eastAsia="Arial" w:hAnsi="Arial"/>
                <w:sz w:val="16"/>
                <w:szCs w:val="16"/>
                <w:color w:val="auto"/>
              </w:rPr>
              <w:t>Accounts receivable – trade, net</w:t>
            </w: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374</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173"/>
        </w:trPr>
        <w:tc>
          <w:tcPr>
            <w:tcW w:w="6540" w:type="dxa"/>
            <w:vAlign w:val="bottom"/>
            <w:gridSpan w:val="2"/>
          </w:tcPr>
          <w:p>
            <w:pPr>
              <w:ind w:left="180"/>
              <w:spacing w:after="0" w:line="173" w:lineRule="exact"/>
              <w:rPr>
                <w:sz w:val="20"/>
                <w:szCs w:val="20"/>
                <w:color w:val="auto"/>
              </w:rPr>
            </w:pPr>
            <w:r>
              <w:rPr>
                <w:rFonts w:ascii="Arial" w:cs="Arial" w:eastAsia="Arial" w:hAnsi="Arial"/>
                <w:sz w:val="16"/>
                <w:szCs w:val="16"/>
                <w:color w:val="auto"/>
              </w:rPr>
              <w:t>Accounts receivable – other, net</w:t>
            </w: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72</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360" w:type="dxa"/>
            <w:vAlign w:val="bottom"/>
          </w:tcPr>
          <w:p>
            <w:pPr>
              <w:spacing w:after="0" w:line="173" w:lineRule="exact"/>
              <w:rPr>
                <w:sz w:val="20"/>
                <w:szCs w:val="20"/>
                <w:color w:val="auto"/>
              </w:rPr>
            </w:pPr>
            <w:r>
              <w:rPr>
                <w:rFonts w:ascii="Arial" w:cs="Arial" w:eastAsia="Arial" w:hAnsi="Arial"/>
                <w:sz w:val="16"/>
                <w:szCs w:val="16"/>
                <w:color w:val="auto"/>
              </w:rPr>
              <w:t>Due from unconsolidated affiliates</w:t>
            </w: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13</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360" w:type="dxa"/>
            <w:vAlign w:val="bottom"/>
          </w:tcPr>
          <w:p>
            <w:pPr>
              <w:spacing w:after="0" w:line="173" w:lineRule="exact"/>
              <w:rPr>
                <w:sz w:val="20"/>
                <w:szCs w:val="20"/>
                <w:color w:val="auto"/>
              </w:rPr>
            </w:pPr>
            <w:r>
              <w:rPr>
                <w:rFonts w:ascii="Arial" w:cs="Arial" w:eastAsia="Arial" w:hAnsi="Arial"/>
                <w:sz w:val="16"/>
                <w:szCs w:val="16"/>
                <w:color w:val="auto"/>
              </w:rPr>
              <w:t>Income taxes receivable</w:t>
            </w: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37</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360" w:type="dxa"/>
            <w:vAlign w:val="bottom"/>
          </w:tcPr>
          <w:p>
            <w:pPr>
              <w:spacing w:after="0" w:line="173" w:lineRule="exact"/>
              <w:rPr>
                <w:sz w:val="20"/>
                <w:szCs w:val="20"/>
                <w:color w:val="auto"/>
              </w:rPr>
            </w:pPr>
            <w:r>
              <w:rPr>
                <w:rFonts w:ascii="Arial" w:cs="Arial" w:eastAsia="Arial" w:hAnsi="Arial"/>
                <w:sz w:val="16"/>
                <w:szCs w:val="16"/>
                <w:color w:val="auto"/>
              </w:rPr>
              <w:t>Inventories</w:t>
            </w: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63</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360" w:type="dxa"/>
            <w:vAlign w:val="bottom"/>
          </w:tcPr>
          <w:p>
            <w:pPr>
              <w:spacing w:after="0" w:line="173" w:lineRule="exact"/>
              <w:rPr>
                <w:sz w:val="20"/>
                <w:szCs w:val="20"/>
                <w:color w:val="auto"/>
              </w:rPr>
            </w:pPr>
            <w:r>
              <w:rPr>
                <w:rFonts w:ascii="Arial" w:cs="Arial" w:eastAsia="Arial" w:hAnsi="Arial"/>
                <w:sz w:val="16"/>
                <w:szCs w:val="16"/>
                <w:color w:val="auto"/>
              </w:rPr>
              <w:t>Regulatory balancing accounts, net</w:t>
            </w: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360" w:type="dxa"/>
            <w:vAlign w:val="bottom"/>
          </w:tcPr>
          <w:p>
            <w:pPr>
              <w:spacing w:after="0" w:line="173" w:lineRule="exact"/>
              <w:rPr>
                <w:sz w:val="20"/>
                <w:szCs w:val="20"/>
                <w:color w:val="auto"/>
              </w:rPr>
            </w:pPr>
            <w:r>
              <w:rPr>
                <w:rFonts w:ascii="Arial" w:cs="Arial" w:eastAsia="Arial" w:hAnsi="Arial"/>
                <w:sz w:val="16"/>
                <w:szCs w:val="16"/>
                <w:color w:val="auto"/>
              </w:rPr>
              <w:t>Other regulatory assets</w:t>
            </w: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6</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Other</w:t>
            </w:r>
          </w:p>
        </w:tc>
        <w:tc>
          <w:tcPr>
            <w:tcW w:w="2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6360" w:type="dxa"/>
            <w:vAlign w:val="bottom"/>
          </w:tcPr>
          <w:p>
            <w:pPr>
              <w:ind w:left="180"/>
              <w:spacing w:after="0" w:line="166" w:lineRule="exact"/>
              <w:rPr>
                <w:sz w:val="20"/>
                <w:szCs w:val="20"/>
                <w:color w:val="auto"/>
              </w:rPr>
            </w:pPr>
            <w:r>
              <w:rPr>
                <w:rFonts w:ascii="Arial" w:cs="Arial" w:eastAsia="Arial" w:hAnsi="Arial"/>
                <w:sz w:val="16"/>
                <w:szCs w:val="16"/>
                <w:color w:val="auto"/>
              </w:rPr>
              <w:t>Total current assets</w:t>
            </w:r>
          </w:p>
        </w:tc>
        <w:tc>
          <w:tcPr>
            <w:tcW w:w="2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622</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307"/>
        </w:trPr>
        <w:tc>
          <w:tcPr>
            <w:tcW w:w="654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360" w:type="dxa"/>
            <w:vAlign w:val="bottom"/>
          </w:tcPr>
          <w:p>
            <w:pPr>
              <w:spacing w:after="0" w:line="173" w:lineRule="exact"/>
              <w:rPr>
                <w:sz w:val="20"/>
                <w:szCs w:val="20"/>
                <w:color w:val="auto"/>
              </w:rPr>
            </w:pPr>
            <w:r>
              <w:rPr>
                <w:rFonts w:ascii="Arial" w:cs="Arial" w:eastAsia="Arial" w:hAnsi="Arial"/>
                <w:sz w:val="16"/>
                <w:szCs w:val="16"/>
                <w:color w:val="auto"/>
              </w:rPr>
              <w:t>Regulatory assets arising from pension obligations</w:t>
            </w: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343</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360" w:type="dxa"/>
            <w:vAlign w:val="bottom"/>
          </w:tcPr>
          <w:p>
            <w:pPr>
              <w:spacing w:after="0" w:line="173" w:lineRule="exact"/>
              <w:rPr>
                <w:sz w:val="20"/>
                <w:szCs w:val="20"/>
                <w:color w:val="auto"/>
              </w:rPr>
            </w:pPr>
            <w:r>
              <w:rPr>
                <w:rFonts w:ascii="Arial" w:cs="Arial" w:eastAsia="Arial" w:hAnsi="Arial"/>
                <w:sz w:val="16"/>
                <w:szCs w:val="16"/>
                <w:color w:val="auto"/>
              </w:rPr>
              <w:t>Other regulatory assets</w:t>
            </w: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342</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360" w:type="dxa"/>
            <w:vAlign w:val="bottom"/>
          </w:tcPr>
          <w:p>
            <w:pPr>
              <w:spacing w:after="0" w:line="173" w:lineRule="exact"/>
              <w:rPr>
                <w:sz w:val="20"/>
                <w:szCs w:val="20"/>
                <w:color w:val="auto"/>
              </w:rPr>
            </w:pPr>
            <w:r>
              <w:rPr>
                <w:rFonts w:ascii="Arial" w:cs="Arial" w:eastAsia="Arial" w:hAnsi="Arial"/>
                <w:sz w:val="16"/>
                <w:szCs w:val="16"/>
                <w:color w:val="auto"/>
              </w:rPr>
              <w:t>Other postretirement benefit plan assets, net of plan liabilities</w:t>
            </w: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94</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Sundry</w:t>
            </w:r>
          </w:p>
        </w:tc>
        <w:tc>
          <w:tcPr>
            <w:tcW w:w="2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6360" w:type="dxa"/>
            <w:vAlign w:val="bottom"/>
          </w:tcPr>
          <w:p>
            <w:pPr>
              <w:ind w:left="180"/>
              <w:spacing w:after="0" w:line="166" w:lineRule="exact"/>
              <w:rPr>
                <w:sz w:val="20"/>
                <w:szCs w:val="20"/>
                <w:color w:val="auto"/>
              </w:rPr>
            </w:pPr>
            <w:r>
              <w:rPr>
                <w:rFonts w:ascii="Arial" w:cs="Arial" w:eastAsia="Arial" w:hAnsi="Arial"/>
                <w:sz w:val="16"/>
                <w:szCs w:val="16"/>
                <w:color w:val="auto"/>
              </w:rPr>
              <w:t>Total other assets</w:t>
            </w:r>
          </w:p>
        </w:tc>
        <w:tc>
          <w:tcPr>
            <w:tcW w:w="2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903</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307"/>
        </w:trPr>
        <w:tc>
          <w:tcPr>
            <w:tcW w:w="6540" w:type="dxa"/>
            <w:vAlign w:val="bottom"/>
            <w:gridSpan w:val="2"/>
          </w:tcPr>
          <w:p>
            <w:pPr>
              <w:spacing w:after="0"/>
              <w:rPr>
                <w:sz w:val="20"/>
                <w:szCs w:val="20"/>
                <w:color w:val="auto"/>
              </w:rPr>
            </w:pPr>
            <w:r>
              <w:rPr>
                <w:rFonts w:ascii="Arial" w:cs="Arial" w:eastAsia="Arial" w:hAnsi="Arial"/>
                <w:sz w:val="16"/>
                <w:szCs w:val="16"/>
                <w:color w:val="auto"/>
              </w:rPr>
              <w:t>Property, plant and equipment:</w:t>
            </w: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360" w:type="dxa"/>
            <w:vAlign w:val="bottom"/>
          </w:tcPr>
          <w:p>
            <w:pPr>
              <w:spacing w:after="0" w:line="173" w:lineRule="exact"/>
              <w:rPr>
                <w:sz w:val="20"/>
                <w:szCs w:val="20"/>
                <w:color w:val="auto"/>
              </w:rPr>
            </w:pPr>
            <w:r>
              <w:rPr>
                <w:rFonts w:ascii="Arial" w:cs="Arial" w:eastAsia="Arial" w:hAnsi="Arial"/>
                <w:sz w:val="16"/>
                <w:szCs w:val="16"/>
                <w:color w:val="auto"/>
              </w:rPr>
              <w:t>Property, plant and equipment</w:t>
            </w: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12,266</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11,831</w:t>
            </w: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2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(4,497)</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(4,364)</w:t>
            </w: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6360" w:type="dxa"/>
            <w:vAlign w:val="bottom"/>
          </w:tcPr>
          <w:p>
            <w:pPr>
              <w:ind w:left="180"/>
              <w:spacing w:after="0" w:line="166" w:lineRule="exact"/>
              <w:rPr>
                <w:sz w:val="20"/>
                <w:szCs w:val="20"/>
                <w:color w:val="auto"/>
              </w:rPr>
            </w:pPr>
            <w:r>
              <w:rPr>
                <w:rFonts w:ascii="Arial" w:cs="Arial" w:eastAsia="Arial" w:hAnsi="Arial"/>
                <w:sz w:val="16"/>
                <w:szCs w:val="16"/>
                <w:color w:val="auto"/>
              </w:rPr>
              <w:t>Property, plant and equipment, net</w:t>
            </w:r>
          </w:p>
        </w:tc>
        <w:tc>
          <w:tcPr>
            <w:tcW w:w="2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7,769</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7,467</w:t>
            </w:r>
          </w:p>
        </w:tc>
        <w:tc>
          <w:tcPr>
            <w:tcW w:w="0" w:type="dxa"/>
            <w:vAlign w:val="bottom"/>
          </w:tcPr>
          <w:p>
            <w:pPr>
              <w:spacing w:after="0"/>
              <w:rPr>
                <w:sz w:val="1"/>
                <w:szCs w:val="1"/>
                <w:color w:val="auto"/>
              </w:rPr>
            </w:pPr>
          </w:p>
        </w:tc>
      </w:tr>
      <w:tr>
        <w:trPr>
          <w:trHeight w:val="166"/>
        </w:trPr>
        <w:tc>
          <w:tcPr>
            <w:tcW w:w="6540" w:type="dxa"/>
            <w:vAlign w:val="bottom"/>
            <w:gridSpan w:val="2"/>
          </w:tcPr>
          <w:p>
            <w:pPr>
              <w:spacing w:after="0" w:line="166" w:lineRule="exact"/>
              <w:rPr>
                <w:sz w:val="20"/>
                <w:szCs w:val="20"/>
                <w:color w:val="auto"/>
              </w:rPr>
            </w:pPr>
            <w:r>
              <w:rPr>
                <w:rFonts w:ascii="Arial" w:cs="Arial" w:eastAsia="Arial" w:hAnsi="Arial"/>
                <w:sz w:val="16"/>
                <w:szCs w:val="16"/>
                <w:color w:val="auto"/>
              </w:rPr>
              <w:t>Total assets</w:t>
            </w:r>
          </w:p>
        </w:tc>
        <w:tc>
          <w:tcPr>
            <w:tcW w:w="2060" w:type="dxa"/>
            <w:vAlign w:val="bottom"/>
          </w:tcPr>
          <w:p>
            <w:pPr>
              <w:spacing w:after="0"/>
              <w:rPr>
                <w:sz w:val="14"/>
                <w:szCs w:val="14"/>
                <w:color w:val="auto"/>
              </w:rPr>
            </w:pPr>
          </w:p>
        </w:tc>
        <w:tc>
          <w:tcPr>
            <w:tcW w:w="200" w:type="dxa"/>
            <w:vAlign w:val="bottom"/>
          </w:tcPr>
          <w:p>
            <w:pPr>
              <w:jc w:val="right"/>
              <w:ind w:right="46"/>
              <w:spacing w:after="0" w:line="167" w:lineRule="exact"/>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66" w:lineRule="exact"/>
              <w:rPr>
                <w:sz w:val="20"/>
                <w:szCs w:val="20"/>
                <w:color w:val="auto"/>
              </w:rPr>
            </w:pPr>
            <w:r>
              <w:rPr>
                <w:rFonts w:ascii="Arial" w:cs="Arial" w:eastAsia="Arial" w:hAnsi="Arial"/>
                <w:sz w:val="16"/>
                <w:szCs w:val="16"/>
                <w:color w:val="auto"/>
              </w:rPr>
              <w:t>9,294</w:t>
            </w:r>
          </w:p>
        </w:tc>
        <w:tc>
          <w:tcPr>
            <w:tcW w:w="160" w:type="dxa"/>
            <w:vAlign w:val="bottom"/>
          </w:tcPr>
          <w:p>
            <w:pPr>
              <w:jc w:val="right"/>
              <w:ind w:right="6"/>
              <w:spacing w:after="0" w:line="167" w:lineRule="exact"/>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66" w:lineRule="exact"/>
              <w:rPr>
                <w:sz w:val="20"/>
                <w:szCs w:val="20"/>
                <w:color w:val="auto"/>
              </w:rPr>
            </w:pPr>
            <w:r>
              <w:rPr>
                <w:rFonts w:ascii="Arial" w:cs="Arial" w:eastAsia="Arial" w:hAnsi="Arial"/>
                <w:sz w:val="16"/>
                <w:szCs w:val="16"/>
                <w:color w:val="auto"/>
              </w:rPr>
              <w:t>9,147</w:t>
            </w:r>
          </w:p>
        </w:tc>
        <w:tc>
          <w:tcPr>
            <w:tcW w:w="0" w:type="dxa"/>
            <w:vAlign w:val="bottom"/>
          </w:tcPr>
          <w:p>
            <w:pPr>
              <w:spacing w:after="0"/>
              <w:rPr>
                <w:sz w:val="1"/>
                <w:szCs w:val="1"/>
                <w:color w:val="auto"/>
              </w:rPr>
            </w:pPr>
          </w:p>
        </w:tc>
      </w:tr>
      <w:tr>
        <w:trPr>
          <w:trHeight w:val="80"/>
        </w:trPr>
        <w:tc>
          <w:tcPr>
            <w:tcW w:w="180" w:type="dxa"/>
            <w:vAlign w:val="bottom"/>
            <w:shd w:val="clear" w:color="auto" w:fill="000000"/>
          </w:tcPr>
          <w:p>
            <w:pPr>
              <w:spacing w:after="0"/>
              <w:rPr>
                <w:sz w:val="6"/>
                <w:szCs w:val="6"/>
                <w:color w:val="auto"/>
              </w:rPr>
            </w:pPr>
          </w:p>
        </w:tc>
        <w:tc>
          <w:tcPr>
            <w:tcW w:w="6360" w:type="dxa"/>
            <w:vAlign w:val="bottom"/>
            <w:shd w:val="clear" w:color="auto" w:fill="000000"/>
          </w:tcPr>
          <w:p>
            <w:pPr>
              <w:spacing w:after="0"/>
              <w:rPr>
                <w:sz w:val="6"/>
                <w:szCs w:val="6"/>
                <w:color w:val="auto"/>
              </w:rPr>
            </w:pPr>
          </w:p>
        </w:tc>
        <w:tc>
          <w:tcPr>
            <w:tcW w:w="20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200" w:type="dxa"/>
            <w:vAlign w:val="bottom"/>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12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line="148" w:lineRule="exact"/>
              <w:rPr>
                <w:sz w:val="20"/>
                <w:szCs w:val="20"/>
                <w:color w:val="auto"/>
              </w:rPr>
            </w:pPr>
            <w:r>
              <w:rPr>
                <w:rFonts w:ascii="Arial" w:cs="Arial" w:eastAsia="Arial" w:hAnsi="Arial"/>
                <w:sz w:val="14"/>
                <w:szCs w:val="14"/>
                <w:i w:val="1"/>
                <w:iCs w:val="1"/>
                <w:color w:val="auto"/>
                <w:w w:val="93"/>
              </w:rPr>
              <w:t>(1)</w:t>
            </w:r>
          </w:p>
        </w:tc>
        <w:tc>
          <w:tcPr>
            <w:tcW w:w="6360" w:type="dxa"/>
            <w:vAlign w:val="bottom"/>
          </w:tcPr>
          <w:p>
            <w:pPr>
              <w:ind w:left="340"/>
              <w:spacing w:after="0" w:line="148" w:lineRule="exact"/>
              <w:rPr>
                <w:sz w:val="20"/>
                <w:szCs w:val="20"/>
                <w:color w:val="auto"/>
              </w:rPr>
            </w:pPr>
            <w:r>
              <w:rPr>
                <w:rFonts w:ascii="Arial" w:cs="Arial" w:eastAsia="Arial" w:hAnsi="Arial"/>
                <w:sz w:val="14"/>
                <w:szCs w:val="14"/>
                <w:i w:val="1"/>
                <w:iCs w:val="1"/>
                <w:color w:val="auto"/>
              </w:rPr>
              <w:t>Derived from audited financial statements.</w:t>
            </w:r>
          </w:p>
        </w:tc>
        <w:tc>
          <w:tcPr>
            <w:tcW w:w="2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540" w:type="dxa"/>
            <w:vAlign w:val="bottom"/>
            <w:gridSpan w:val="2"/>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2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 (CONTINUED)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restart"/>
          </w:tcPr>
          <w:p>
            <w:pPr>
              <w:jc w:val="center"/>
              <w:ind w:right="181"/>
              <w:spacing w:after="0"/>
              <w:rPr>
                <w:sz w:val="20"/>
                <w:szCs w:val="20"/>
                <w:color w:val="auto"/>
              </w:rPr>
            </w:pPr>
            <w:r>
              <w:rPr>
                <w:rFonts w:ascii="Arial" w:cs="Arial" w:eastAsia="Arial" w:hAnsi="Arial"/>
                <w:sz w:val="14"/>
                <w:szCs w:val="14"/>
                <w:color w:val="auto"/>
              </w:rPr>
              <w:t>June 30,</w:t>
            </w:r>
          </w:p>
        </w:tc>
        <w:tc>
          <w:tcPr>
            <w:tcW w:w="160" w:type="dxa"/>
            <w:vAlign w:val="bottom"/>
          </w:tcPr>
          <w:p>
            <w:pPr>
              <w:spacing w:after="0"/>
              <w:rPr>
                <w:sz w:val="16"/>
                <w:szCs w:val="16"/>
                <w:color w:val="auto"/>
              </w:rPr>
            </w:pPr>
          </w:p>
        </w:tc>
        <w:tc>
          <w:tcPr>
            <w:tcW w:w="1260" w:type="dxa"/>
            <w:vAlign w:val="bottom"/>
            <w:vMerge w:val="restart"/>
          </w:tcPr>
          <w:p>
            <w:pPr>
              <w:jc w:val="right"/>
              <w:ind w:right="20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0" w:type="dxa"/>
            <w:vAlign w:val="bottom"/>
            <w:tcBorders>
              <w:bottom w:val="single" w:sz="8" w:color="auto"/>
            </w:tcBorders>
          </w:tcPr>
          <w:p>
            <w:pPr>
              <w:spacing w:after="0"/>
              <w:rPr>
                <w:sz w:val="15"/>
                <w:szCs w:val="15"/>
                <w:color w:val="auto"/>
              </w:rPr>
            </w:pPr>
          </w:p>
        </w:tc>
        <w:tc>
          <w:tcPr>
            <w:tcW w:w="69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rPr>
              <w:t>2014</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2013(1)</w:t>
            </w:r>
          </w:p>
        </w:tc>
        <w:tc>
          <w:tcPr>
            <w:tcW w:w="0" w:type="dxa"/>
            <w:vAlign w:val="bottom"/>
          </w:tcPr>
          <w:p>
            <w:pPr>
              <w:spacing w:after="0"/>
              <w:rPr>
                <w:sz w:val="1"/>
                <w:szCs w:val="1"/>
                <w:color w:val="auto"/>
              </w:rPr>
            </w:pPr>
          </w:p>
        </w:tc>
      </w:tr>
      <w:tr>
        <w:trPr>
          <w:trHeight w:val="183"/>
        </w:trPr>
        <w:tc>
          <w:tcPr>
            <w:tcW w:w="7100" w:type="dxa"/>
            <w:vAlign w:val="bottom"/>
            <w:gridSpan w:val="2"/>
            <w:vMerge w:val="restart"/>
          </w:tcPr>
          <w:p>
            <w:pPr>
              <w:spacing w:after="0"/>
              <w:rPr>
                <w:sz w:val="20"/>
                <w:szCs w:val="20"/>
                <w:color w:val="auto"/>
              </w:rPr>
            </w:pPr>
            <w:r>
              <w:rPr>
                <w:rFonts w:ascii="Arial" w:cs="Arial" w:eastAsia="Arial" w:hAnsi="Arial"/>
                <w:sz w:val="16"/>
                <w:szCs w:val="16"/>
                <w:color w:val="auto"/>
              </w:rPr>
              <w:t>LIABILITIES AND SHAREHOLDERS' EQUITY</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21"/>
              <w:spacing w:after="0"/>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100" w:type="dxa"/>
            <w:vAlign w:val="bottom"/>
            <w:gridSpan w:val="2"/>
            <w:vMerge w:val="continue"/>
          </w:tcPr>
          <w:p>
            <w:pPr>
              <w:spacing w:after="0"/>
              <w:rPr>
                <w:sz w:val="10"/>
                <w:szCs w:val="10"/>
                <w:color w:val="auto"/>
              </w:rPr>
            </w:pPr>
          </w:p>
        </w:tc>
        <w:tc>
          <w:tcPr>
            <w:tcW w:w="1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100" w:type="dxa"/>
            <w:vAlign w:val="bottom"/>
            <w:gridSpan w:val="2"/>
          </w:tcPr>
          <w:p>
            <w:pPr>
              <w:spacing w:after="0" w:line="173" w:lineRule="exact"/>
              <w:rPr>
                <w:sz w:val="20"/>
                <w:szCs w:val="20"/>
                <w:color w:val="auto"/>
              </w:rPr>
            </w:pPr>
            <w:r>
              <w:rPr>
                <w:rFonts w:ascii="Arial" w:cs="Arial" w:eastAsia="Arial" w:hAnsi="Arial"/>
                <w:sz w:val="16"/>
                <w:szCs w:val="16"/>
                <w:color w:val="auto"/>
              </w:rPr>
              <w:t>Current liabilities:</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20" w:type="dxa"/>
            <w:vAlign w:val="bottom"/>
          </w:tcPr>
          <w:p>
            <w:pPr>
              <w:spacing w:after="0" w:line="173" w:lineRule="exact"/>
              <w:rPr>
                <w:sz w:val="20"/>
                <w:szCs w:val="20"/>
                <w:color w:val="auto"/>
              </w:rPr>
            </w:pPr>
            <w:r>
              <w:rPr>
                <w:rFonts w:ascii="Arial" w:cs="Arial" w:eastAsia="Arial" w:hAnsi="Arial"/>
                <w:sz w:val="16"/>
                <w:szCs w:val="16"/>
                <w:color w:val="auto"/>
              </w:rPr>
              <w:t>Short-term debt</w:t>
            </w:r>
          </w:p>
        </w:tc>
        <w:tc>
          <w:tcPr>
            <w:tcW w:w="1700" w:type="dxa"/>
            <w:vAlign w:val="bottom"/>
            <w:gridSpan w:val="2"/>
          </w:tcPr>
          <w:p>
            <w:pPr>
              <w:jc w:val="right"/>
              <w:ind w:right="46"/>
              <w:spacing w:after="0" w:line="173"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73</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73"/>
        </w:trPr>
        <w:tc>
          <w:tcPr>
            <w:tcW w:w="7100" w:type="dxa"/>
            <w:vAlign w:val="bottom"/>
            <w:gridSpan w:val="2"/>
          </w:tcPr>
          <w:p>
            <w:pPr>
              <w:ind w:left="180"/>
              <w:spacing w:after="0" w:line="173" w:lineRule="exact"/>
              <w:rPr>
                <w:sz w:val="20"/>
                <w:szCs w:val="20"/>
                <w:color w:val="auto"/>
              </w:rPr>
            </w:pPr>
            <w:r>
              <w:rPr>
                <w:rFonts w:ascii="Arial" w:cs="Arial" w:eastAsia="Arial" w:hAnsi="Arial"/>
                <w:sz w:val="16"/>
                <w:szCs w:val="16"/>
                <w:color w:val="auto"/>
              </w:rPr>
              <w:t>Accounts payable – trade</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297</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173"/>
        </w:trPr>
        <w:tc>
          <w:tcPr>
            <w:tcW w:w="7100" w:type="dxa"/>
            <w:vAlign w:val="bottom"/>
            <w:gridSpan w:val="2"/>
          </w:tcPr>
          <w:p>
            <w:pPr>
              <w:ind w:left="180"/>
              <w:spacing w:after="0" w:line="173" w:lineRule="exact"/>
              <w:rPr>
                <w:sz w:val="20"/>
                <w:szCs w:val="20"/>
                <w:color w:val="auto"/>
              </w:rPr>
            </w:pPr>
            <w:r>
              <w:rPr>
                <w:rFonts w:ascii="Arial" w:cs="Arial" w:eastAsia="Arial" w:hAnsi="Arial"/>
                <w:sz w:val="16"/>
                <w:szCs w:val="16"/>
                <w:color w:val="auto"/>
              </w:rPr>
              <w:t>Accounts payable – other</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70</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20" w:type="dxa"/>
            <w:vAlign w:val="bottom"/>
          </w:tcPr>
          <w:p>
            <w:pPr>
              <w:spacing w:after="0" w:line="173" w:lineRule="exact"/>
              <w:rPr>
                <w:sz w:val="20"/>
                <w:szCs w:val="20"/>
                <w:color w:val="auto"/>
              </w:rPr>
            </w:pPr>
            <w:r>
              <w:rPr>
                <w:rFonts w:ascii="Arial" w:cs="Arial" w:eastAsia="Arial" w:hAnsi="Arial"/>
                <w:sz w:val="16"/>
                <w:szCs w:val="16"/>
                <w:color w:val="auto"/>
              </w:rPr>
              <w:t>Due to unconsolidated affiliate</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13</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20" w:type="dxa"/>
            <w:vAlign w:val="bottom"/>
          </w:tcPr>
          <w:p>
            <w:pPr>
              <w:spacing w:after="0" w:line="173" w:lineRule="exact"/>
              <w:rPr>
                <w:sz w:val="20"/>
                <w:szCs w:val="20"/>
                <w:color w:val="auto"/>
              </w:rPr>
            </w:pPr>
            <w:r>
              <w:rPr>
                <w:rFonts w:ascii="Arial" w:cs="Arial" w:eastAsia="Arial" w:hAnsi="Arial"/>
                <w:sz w:val="16"/>
                <w:szCs w:val="16"/>
                <w:color w:val="auto"/>
              </w:rPr>
              <w:t>Deferred income taxes</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119</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73"/>
        </w:trPr>
        <w:tc>
          <w:tcPr>
            <w:tcW w:w="7100" w:type="dxa"/>
            <w:vAlign w:val="bottom"/>
            <w:gridSpan w:val="2"/>
          </w:tcPr>
          <w:p>
            <w:pPr>
              <w:ind w:left="180"/>
              <w:spacing w:after="0" w:line="173" w:lineRule="exact"/>
              <w:rPr>
                <w:sz w:val="20"/>
                <w:szCs w:val="20"/>
                <w:color w:val="auto"/>
              </w:rPr>
            </w:pPr>
            <w:r>
              <w:rPr>
                <w:rFonts w:ascii="Arial" w:cs="Arial" w:eastAsia="Arial" w:hAnsi="Arial"/>
                <w:sz w:val="16"/>
                <w:szCs w:val="16"/>
                <w:color w:val="auto"/>
              </w:rPr>
              <w:t>Accrued compensation and benefits</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111</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20" w:type="dxa"/>
            <w:vAlign w:val="bottom"/>
          </w:tcPr>
          <w:p>
            <w:pPr>
              <w:spacing w:after="0" w:line="173" w:lineRule="exact"/>
              <w:rPr>
                <w:sz w:val="20"/>
                <w:szCs w:val="20"/>
                <w:color w:val="auto"/>
              </w:rPr>
            </w:pPr>
            <w:r>
              <w:rPr>
                <w:rFonts w:ascii="Arial" w:cs="Arial" w:eastAsia="Arial" w:hAnsi="Arial"/>
                <w:sz w:val="16"/>
                <w:szCs w:val="16"/>
                <w:color w:val="auto"/>
              </w:rPr>
              <w:t>Regulatory balancing accounts, net</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20" w:type="dxa"/>
            <w:vAlign w:val="bottom"/>
          </w:tcPr>
          <w:p>
            <w:pPr>
              <w:spacing w:after="0" w:line="173" w:lineRule="exact"/>
              <w:rPr>
                <w:sz w:val="20"/>
                <w:szCs w:val="20"/>
                <w:color w:val="auto"/>
              </w:rPr>
            </w:pPr>
            <w:r>
              <w:rPr>
                <w:rFonts w:ascii="Arial" w:cs="Arial" w:eastAsia="Arial" w:hAnsi="Arial"/>
                <w:sz w:val="16"/>
                <w:szCs w:val="16"/>
                <w:color w:val="auto"/>
              </w:rPr>
              <w:t>Current portion of long-term debt</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20" w:type="dxa"/>
            <w:vAlign w:val="bottom"/>
          </w:tcPr>
          <w:p>
            <w:pPr>
              <w:spacing w:after="0" w:line="173" w:lineRule="exact"/>
              <w:rPr>
                <w:sz w:val="20"/>
                <w:szCs w:val="20"/>
                <w:color w:val="auto"/>
              </w:rPr>
            </w:pPr>
            <w:r>
              <w:rPr>
                <w:rFonts w:ascii="Arial" w:cs="Arial" w:eastAsia="Arial" w:hAnsi="Arial"/>
                <w:sz w:val="16"/>
                <w:szCs w:val="16"/>
                <w:color w:val="auto"/>
              </w:rPr>
              <w:t>Customer deposits</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74</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Other</w:t>
            </w:r>
          </w:p>
        </w:tc>
        <w:tc>
          <w:tcPr>
            <w:tcW w:w="1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6920" w:type="dxa"/>
            <w:vAlign w:val="bottom"/>
          </w:tcPr>
          <w:p>
            <w:pPr>
              <w:ind w:left="180"/>
              <w:spacing w:after="0" w:line="166" w:lineRule="exact"/>
              <w:rPr>
                <w:sz w:val="20"/>
                <w:szCs w:val="20"/>
                <w:color w:val="auto"/>
              </w:rPr>
            </w:pPr>
            <w:r>
              <w:rPr>
                <w:rFonts w:ascii="Arial" w:cs="Arial" w:eastAsia="Arial" w:hAnsi="Arial"/>
                <w:sz w:val="16"/>
                <w:szCs w:val="16"/>
                <w:color w:val="auto"/>
              </w:rPr>
              <w:t>Total current liabilities</w:t>
            </w:r>
          </w:p>
        </w:tc>
        <w:tc>
          <w:tcPr>
            <w:tcW w:w="1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880</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r>
        <w:trPr>
          <w:trHeight w:val="166"/>
        </w:trPr>
        <w:tc>
          <w:tcPr>
            <w:tcW w:w="7100" w:type="dxa"/>
            <w:vAlign w:val="bottom"/>
            <w:gridSpan w:val="2"/>
          </w:tcPr>
          <w:p>
            <w:pPr>
              <w:spacing w:after="0" w:line="166" w:lineRule="exact"/>
              <w:rPr>
                <w:sz w:val="20"/>
                <w:szCs w:val="20"/>
                <w:color w:val="auto"/>
              </w:rPr>
            </w:pPr>
            <w:r>
              <w:rPr>
                <w:rFonts w:ascii="Arial" w:cs="Arial" w:eastAsia="Arial" w:hAnsi="Arial"/>
                <w:sz w:val="16"/>
                <w:szCs w:val="16"/>
                <w:color w:val="auto"/>
              </w:rPr>
              <w:t>Long-term debt</w:t>
            </w:r>
          </w:p>
        </w:tc>
        <w:tc>
          <w:tcPr>
            <w:tcW w:w="1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1,408</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1,159</w:t>
            </w:r>
          </w:p>
        </w:tc>
        <w:tc>
          <w:tcPr>
            <w:tcW w:w="0" w:type="dxa"/>
            <w:vAlign w:val="bottom"/>
          </w:tcPr>
          <w:p>
            <w:pPr>
              <w:spacing w:after="0"/>
              <w:rPr>
                <w:sz w:val="1"/>
                <w:szCs w:val="1"/>
                <w:color w:val="auto"/>
              </w:rPr>
            </w:pPr>
          </w:p>
        </w:tc>
      </w:tr>
      <w:tr>
        <w:trPr>
          <w:trHeight w:val="135"/>
        </w:trPr>
        <w:tc>
          <w:tcPr>
            <w:tcW w:w="7100" w:type="dxa"/>
            <w:vAlign w:val="bottom"/>
            <w:gridSpan w:val="2"/>
          </w:tcPr>
          <w:p>
            <w:pPr>
              <w:spacing w:after="0" w:line="135" w:lineRule="exact"/>
              <w:rPr>
                <w:sz w:val="20"/>
                <w:szCs w:val="20"/>
                <w:color w:val="auto"/>
              </w:rPr>
            </w:pPr>
            <w:r>
              <w:rPr>
                <w:rFonts w:ascii="Arial" w:cs="Arial" w:eastAsia="Arial" w:hAnsi="Arial"/>
                <w:sz w:val="15"/>
                <w:szCs w:val="15"/>
                <w:color w:val="auto"/>
              </w:rPr>
              <w:t>Deferred credits and other liabilities:</w:t>
            </w: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20" w:type="dxa"/>
            <w:vAlign w:val="bottom"/>
          </w:tcPr>
          <w:p>
            <w:pPr>
              <w:spacing w:after="0" w:line="173" w:lineRule="exact"/>
              <w:rPr>
                <w:sz w:val="20"/>
                <w:szCs w:val="20"/>
                <w:color w:val="auto"/>
              </w:rPr>
            </w:pPr>
            <w:r>
              <w:rPr>
                <w:rFonts w:ascii="Arial" w:cs="Arial" w:eastAsia="Arial" w:hAnsi="Arial"/>
                <w:sz w:val="16"/>
                <w:szCs w:val="16"/>
                <w:color w:val="auto"/>
              </w:rPr>
              <w:t>Customer advances for construction</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109</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20" w:type="dxa"/>
            <w:vAlign w:val="bottom"/>
          </w:tcPr>
          <w:p>
            <w:pPr>
              <w:spacing w:after="0" w:line="173" w:lineRule="exact"/>
              <w:rPr>
                <w:sz w:val="20"/>
                <w:szCs w:val="20"/>
                <w:color w:val="auto"/>
              </w:rPr>
            </w:pPr>
            <w:r>
              <w:rPr>
                <w:rFonts w:ascii="Arial" w:cs="Arial" w:eastAsia="Arial" w:hAnsi="Arial"/>
                <w:sz w:val="16"/>
                <w:szCs w:val="16"/>
                <w:color w:val="auto"/>
              </w:rPr>
              <w:t>Pension obligation, net of plan assets</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359</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20" w:type="dxa"/>
            <w:vAlign w:val="bottom"/>
          </w:tcPr>
          <w:p>
            <w:pPr>
              <w:spacing w:after="0" w:line="173" w:lineRule="exact"/>
              <w:rPr>
                <w:sz w:val="20"/>
                <w:szCs w:val="20"/>
                <w:color w:val="auto"/>
              </w:rPr>
            </w:pPr>
            <w:r>
              <w:rPr>
                <w:rFonts w:ascii="Arial" w:cs="Arial" w:eastAsia="Arial" w:hAnsi="Arial"/>
                <w:sz w:val="16"/>
                <w:szCs w:val="16"/>
                <w:color w:val="auto"/>
              </w:rPr>
              <w:t>Regulatory liabilities arising from other postretirement benefit assets</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94</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20" w:type="dxa"/>
            <w:vAlign w:val="bottom"/>
          </w:tcPr>
          <w:p>
            <w:pPr>
              <w:spacing w:after="0" w:line="173" w:lineRule="exact"/>
              <w:rPr>
                <w:sz w:val="20"/>
                <w:szCs w:val="20"/>
                <w:color w:val="auto"/>
              </w:rPr>
            </w:pPr>
            <w:r>
              <w:rPr>
                <w:rFonts w:ascii="Arial" w:cs="Arial" w:eastAsia="Arial" w:hAnsi="Arial"/>
                <w:sz w:val="16"/>
                <w:szCs w:val="16"/>
                <w:color w:val="auto"/>
              </w:rPr>
              <w:t>Deferred income taxes</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1,033</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20" w:type="dxa"/>
            <w:vAlign w:val="bottom"/>
          </w:tcPr>
          <w:p>
            <w:pPr>
              <w:spacing w:after="0" w:line="173" w:lineRule="exact"/>
              <w:rPr>
                <w:sz w:val="20"/>
                <w:szCs w:val="20"/>
                <w:color w:val="auto"/>
              </w:rPr>
            </w:pPr>
            <w:r>
              <w:rPr>
                <w:rFonts w:ascii="Arial" w:cs="Arial" w:eastAsia="Arial" w:hAnsi="Arial"/>
                <w:sz w:val="16"/>
                <w:szCs w:val="16"/>
                <w:color w:val="auto"/>
              </w:rPr>
              <w:t>Deferred investment tax credits</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17</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20" w:type="dxa"/>
            <w:vAlign w:val="bottom"/>
          </w:tcPr>
          <w:p>
            <w:pPr>
              <w:spacing w:after="0" w:line="173" w:lineRule="exact"/>
              <w:rPr>
                <w:sz w:val="20"/>
                <w:szCs w:val="20"/>
                <w:color w:val="auto"/>
              </w:rPr>
            </w:pPr>
            <w:r>
              <w:rPr>
                <w:rFonts w:ascii="Arial" w:cs="Arial" w:eastAsia="Arial" w:hAnsi="Arial"/>
                <w:sz w:val="16"/>
                <w:szCs w:val="16"/>
                <w:color w:val="auto"/>
              </w:rPr>
              <w:t>Regulatory liabilities arising from removal obligations</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1,178</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173"/>
        </w:trPr>
        <w:tc>
          <w:tcPr>
            <w:tcW w:w="7100" w:type="dxa"/>
            <w:vAlign w:val="bottom"/>
            <w:gridSpan w:val="2"/>
          </w:tcPr>
          <w:p>
            <w:pPr>
              <w:ind w:left="180"/>
              <w:spacing w:after="0" w:line="173" w:lineRule="exact"/>
              <w:rPr>
                <w:sz w:val="20"/>
                <w:szCs w:val="20"/>
                <w:color w:val="auto"/>
              </w:rPr>
            </w:pPr>
            <w:r>
              <w:rPr>
                <w:rFonts w:ascii="Arial" w:cs="Arial" w:eastAsia="Arial" w:hAnsi="Arial"/>
                <w:sz w:val="16"/>
                <w:szCs w:val="16"/>
                <w:color w:val="auto"/>
              </w:rPr>
              <w:t>Asset retirement obligations</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1,230</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Deferred credits and other</w:t>
            </w:r>
          </w:p>
        </w:tc>
        <w:tc>
          <w:tcPr>
            <w:tcW w:w="1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6920" w:type="dxa"/>
            <w:vAlign w:val="bottom"/>
          </w:tcPr>
          <w:p>
            <w:pPr>
              <w:ind w:left="180"/>
              <w:spacing w:after="0" w:line="166" w:lineRule="exact"/>
              <w:rPr>
                <w:sz w:val="20"/>
                <w:szCs w:val="20"/>
                <w:color w:val="auto"/>
              </w:rPr>
            </w:pPr>
            <w:r>
              <w:rPr>
                <w:rFonts w:ascii="Arial" w:cs="Arial" w:eastAsia="Arial" w:hAnsi="Arial"/>
                <w:sz w:val="16"/>
                <w:szCs w:val="16"/>
                <w:color w:val="auto"/>
              </w:rPr>
              <w:t>Total deferred credits and other liabilities</w:t>
            </w:r>
          </w:p>
        </w:tc>
        <w:tc>
          <w:tcPr>
            <w:tcW w:w="1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4,299</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4,227</w:t>
            </w:r>
          </w:p>
        </w:tc>
        <w:tc>
          <w:tcPr>
            <w:tcW w:w="0" w:type="dxa"/>
            <w:vAlign w:val="bottom"/>
          </w:tcPr>
          <w:p>
            <w:pPr>
              <w:spacing w:after="0"/>
              <w:rPr>
                <w:sz w:val="1"/>
                <w:szCs w:val="1"/>
                <w:color w:val="auto"/>
              </w:rPr>
            </w:pPr>
          </w:p>
        </w:tc>
      </w:tr>
      <w:tr>
        <w:trPr>
          <w:trHeight w:val="349"/>
        </w:trPr>
        <w:tc>
          <w:tcPr>
            <w:tcW w:w="7100" w:type="dxa"/>
            <w:vAlign w:val="bottom"/>
            <w:gridSpan w:val="2"/>
          </w:tcPr>
          <w:p>
            <w:pPr>
              <w:spacing w:after="0"/>
              <w:rPr>
                <w:sz w:val="20"/>
                <w:szCs w:val="20"/>
                <w:color w:val="auto"/>
              </w:rPr>
            </w:pPr>
            <w:r>
              <w:rPr>
                <w:rFonts w:ascii="Arial" w:cs="Arial" w:eastAsia="Arial" w:hAnsi="Arial"/>
                <w:sz w:val="16"/>
                <w:szCs w:val="16"/>
                <w:color w:val="auto"/>
              </w:rPr>
              <w:t>Commitments and contingencies (Note 11)</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100" w:type="dxa"/>
            <w:vAlign w:val="bottom"/>
            <w:gridSpan w:val="2"/>
          </w:tcPr>
          <w:p>
            <w:pPr>
              <w:spacing w:after="0"/>
              <w:rPr>
                <w:sz w:val="20"/>
                <w:szCs w:val="20"/>
                <w:color w:val="auto"/>
              </w:rPr>
            </w:pPr>
            <w:r>
              <w:rPr>
                <w:rFonts w:ascii="Arial" w:cs="Arial" w:eastAsia="Arial" w:hAnsi="Arial"/>
                <w:sz w:val="16"/>
                <w:szCs w:val="16"/>
                <w:color w:val="auto"/>
              </w:rPr>
              <w:t>Shareholders' equity:</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20" w:type="dxa"/>
            <w:vAlign w:val="bottom"/>
          </w:tcPr>
          <w:p>
            <w:pPr>
              <w:spacing w:after="0" w:line="173" w:lineRule="exact"/>
              <w:rPr>
                <w:sz w:val="20"/>
                <w:szCs w:val="20"/>
                <w:color w:val="auto"/>
              </w:rPr>
            </w:pPr>
            <w:r>
              <w:rPr>
                <w:rFonts w:ascii="Arial" w:cs="Arial" w:eastAsia="Arial" w:hAnsi="Arial"/>
                <w:sz w:val="16"/>
                <w:szCs w:val="16"/>
                <w:color w:val="auto"/>
              </w:rPr>
              <w:t>Preferred stock</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22</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20" w:type="dxa"/>
            <w:vAlign w:val="bottom"/>
          </w:tcPr>
          <w:p>
            <w:pPr>
              <w:spacing w:after="0" w:line="173" w:lineRule="exact"/>
              <w:rPr>
                <w:sz w:val="20"/>
                <w:szCs w:val="20"/>
                <w:color w:val="auto"/>
              </w:rPr>
            </w:pPr>
            <w:r>
              <w:rPr>
                <w:rFonts w:ascii="Arial" w:cs="Arial" w:eastAsia="Arial" w:hAnsi="Arial"/>
                <w:sz w:val="16"/>
                <w:szCs w:val="16"/>
                <w:color w:val="auto"/>
              </w:rPr>
              <w:t>Common stock (100 million shares authorized; 91 million shares outstanding;</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20" w:type="dxa"/>
            <w:vAlign w:val="bottom"/>
          </w:tcPr>
          <w:p>
            <w:pPr>
              <w:ind w:left="180"/>
              <w:spacing w:after="0" w:line="173" w:lineRule="exact"/>
              <w:rPr>
                <w:sz w:val="20"/>
                <w:szCs w:val="20"/>
                <w:color w:val="auto"/>
              </w:rPr>
            </w:pPr>
            <w:r>
              <w:rPr>
                <w:rFonts w:ascii="Arial" w:cs="Arial" w:eastAsia="Arial" w:hAnsi="Arial"/>
                <w:sz w:val="16"/>
                <w:szCs w:val="16"/>
                <w:color w:val="auto"/>
              </w:rPr>
              <w:t>no par value)</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866</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920" w:type="dxa"/>
            <w:vAlign w:val="bottom"/>
          </w:tcPr>
          <w:p>
            <w:pPr>
              <w:spacing w:after="0" w:line="173" w:lineRule="exact"/>
              <w:rPr>
                <w:sz w:val="20"/>
                <w:szCs w:val="20"/>
                <w:color w:val="auto"/>
              </w:rPr>
            </w:pPr>
            <w:r>
              <w:rPr>
                <w:rFonts w:ascii="Arial" w:cs="Arial" w:eastAsia="Arial" w:hAnsi="Arial"/>
                <w:sz w:val="16"/>
                <w:szCs w:val="16"/>
                <w:color w:val="auto"/>
              </w:rPr>
              <w:t>Retained earnings</w:t>
            </w: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1,837</w:t>
            </w:r>
          </w:p>
        </w:tc>
        <w:tc>
          <w:tcPr>
            <w:tcW w:w="160" w:type="dxa"/>
            <w:vAlign w:val="bottom"/>
          </w:tcPr>
          <w:p>
            <w:pPr>
              <w:spacing w:after="0"/>
              <w:rPr>
                <w:sz w:val="15"/>
                <w:szCs w:val="15"/>
                <w:color w:val="auto"/>
              </w:rPr>
            </w:pPr>
          </w:p>
        </w:tc>
        <w:tc>
          <w:tcPr>
            <w:tcW w:w="1260" w:type="dxa"/>
            <w:vAlign w:val="bottom"/>
          </w:tcPr>
          <w:p>
            <w:pPr>
              <w:jc w:val="right"/>
              <w:spacing w:after="0" w:line="173" w:lineRule="exact"/>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04"/>
        </w:trPr>
        <w:tc>
          <w:tcPr>
            <w:tcW w:w="7100" w:type="dxa"/>
            <w:vAlign w:val="bottom"/>
            <w:gridSpan w:val="2"/>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1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6920" w:type="dxa"/>
            <w:vAlign w:val="bottom"/>
          </w:tcPr>
          <w:p>
            <w:pPr>
              <w:ind w:left="180"/>
              <w:spacing w:after="0" w:line="166" w:lineRule="exact"/>
              <w:rPr>
                <w:sz w:val="20"/>
                <w:szCs w:val="20"/>
                <w:color w:val="auto"/>
              </w:rPr>
            </w:pPr>
            <w:r>
              <w:rPr>
                <w:rFonts w:ascii="Arial" w:cs="Arial" w:eastAsia="Arial" w:hAnsi="Arial"/>
                <w:sz w:val="16"/>
                <w:szCs w:val="16"/>
                <w:color w:val="auto"/>
              </w:rPr>
              <w:t>Total shareholders' equity</w:t>
            </w:r>
          </w:p>
        </w:tc>
        <w:tc>
          <w:tcPr>
            <w:tcW w:w="1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2,707</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2,549</w:t>
            </w:r>
          </w:p>
        </w:tc>
        <w:tc>
          <w:tcPr>
            <w:tcW w:w="0" w:type="dxa"/>
            <w:vAlign w:val="bottom"/>
          </w:tcPr>
          <w:p>
            <w:pPr>
              <w:spacing w:after="0"/>
              <w:rPr>
                <w:sz w:val="1"/>
                <w:szCs w:val="1"/>
                <w:color w:val="auto"/>
              </w:rPr>
            </w:pPr>
          </w:p>
        </w:tc>
      </w:tr>
      <w:tr>
        <w:trPr>
          <w:trHeight w:val="166"/>
        </w:trPr>
        <w:tc>
          <w:tcPr>
            <w:tcW w:w="7100" w:type="dxa"/>
            <w:vAlign w:val="bottom"/>
            <w:gridSpan w:val="2"/>
          </w:tcPr>
          <w:p>
            <w:pPr>
              <w:spacing w:after="0" w:line="166" w:lineRule="exact"/>
              <w:rPr>
                <w:sz w:val="20"/>
                <w:szCs w:val="20"/>
                <w:color w:val="auto"/>
              </w:rPr>
            </w:pPr>
            <w:r>
              <w:rPr>
                <w:rFonts w:ascii="Arial" w:cs="Arial" w:eastAsia="Arial" w:hAnsi="Arial"/>
                <w:sz w:val="16"/>
                <w:szCs w:val="16"/>
                <w:color w:val="auto"/>
              </w:rPr>
              <w:t>Total liabilities and shareholders' equity</w:t>
            </w:r>
          </w:p>
        </w:tc>
        <w:tc>
          <w:tcPr>
            <w:tcW w:w="1500" w:type="dxa"/>
            <w:vAlign w:val="bottom"/>
          </w:tcPr>
          <w:p>
            <w:pPr>
              <w:spacing w:after="0"/>
              <w:rPr>
                <w:sz w:val="14"/>
                <w:szCs w:val="14"/>
                <w:color w:val="auto"/>
              </w:rPr>
            </w:pPr>
          </w:p>
        </w:tc>
        <w:tc>
          <w:tcPr>
            <w:tcW w:w="200" w:type="dxa"/>
            <w:vAlign w:val="bottom"/>
          </w:tcPr>
          <w:p>
            <w:pPr>
              <w:jc w:val="right"/>
              <w:ind w:right="46"/>
              <w:spacing w:after="0" w:line="167" w:lineRule="exact"/>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66" w:lineRule="exact"/>
              <w:rPr>
                <w:sz w:val="20"/>
                <w:szCs w:val="20"/>
                <w:color w:val="auto"/>
              </w:rPr>
            </w:pPr>
            <w:r>
              <w:rPr>
                <w:rFonts w:ascii="Arial" w:cs="Arial" w:eastAsia="Arial" w:hAnsi="Arial"/>
                <w:sz w:val="16"/>
                <w:szCs w:val="16"/>
                <w:color w:val="auto"/>
              </w:rPr>
              <w:t>9,294</w:t>
            </w:r>
          </w:p>
        </w:tc>
        <w:tc>
          <w:tcPr>
            <w:tcW w:w="160" w:type="dxa"/>
            <w:vAlign w:val="bottom"/>
          </w:tcPr>
          <w:p>
            <w:pPr>
              <w:jc w:val="right"/>
              <w:ind w:right="6"/>
              <w:spacing w:after="0" w:line="167" w:lineRule="exact"/>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66" w:lineRule="exact"/>
              <w:rPr>
                <w:sz w:val="20"/>
                <w:szCs w:val="20"/>
                <w:color w:val="auto"/>
              </w:rPr>
            </w:pPr>
            <w:r>
              <w:rPr>
                <w:rFonts w:ascii="Arial" w:cs="Arial" w:eastAsia="Arial" w:hAnsi="Arial"/>
                <w:sz w:val="16"/>
                <w:szCs w:val="16"/>
                <w:color w:val="auto"/>
              </w:rPr>
              <w:t>9,147</w:t>
            </w:r>
          </w:p>
        </w:tc>
        <w:tc>
          <w:tcPr>
            <w:tcW w:w="0" w:type="dxa"/>
            <w:vAlign w:val="bottom"/>
          </w:tcPr>
          <w:p>
            <w:pPr>
              <w:spacing w:after="0"/>
              <w:rPr>
                <w:sz w:val="1"/>
                <w:szCs w:val="1"/>
                <w:color w:val="auto"/>
              </w:rPr>
            </w:pPr>
          </w:p>
        </w:tc>
      </w:tr>
      <w:tr>
        <w:trPr>
          <w:trHeight w:val="80"/>
        </w:trPr>
        <w:tc>
          <w:tcPr>
            <w:tcW w:w="180" w:type="dxa"/>
            <w:vAlign w:val="bottom"/>
            <w:shd w:val="clear" w:color="auto" w:fill="000000"/>
          </w:tcPr>
          <w:p>
            <w:pPr>
              <w:spacing w:after="0"/>
              <w:rPr>
                <w:sz w:val="6"/>
                <w:szCs w:val="6"/>
                <w:color w:val="auto"/>
              </w:rPr>
            </w:pPr>
          </w:p>
        </w:tc>
        <w:tc>
          <w:tcPr>
            <w:tcW w:w="6920" w:type="dxa"/>
            <w:vAlign w:val="bottom"/>
            <w:shd w:val="clear" w:color="auto" w:fill="000000"/>
          </w:tcPr>
          <w:p>
            <w:pPr>
              <w:spacing w:after="0"/>
              <w:rPr>
                <w:sz w:val="6"/>
                <w:szCs w:val="6"/>
                <w:color w:val="auto"/>
              </w:rPr>
            </w:pPr>
          </w:p>
        </w:tc>
        <w:tc>
          <w:tcPr>
            <w:tcW w:w="150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200" w:type="dxa"/>
            <w:vAlign w:val="bottom"/>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12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line="148" w:lineRule="exact"/>
              <w:rPr>
                <w:sz w:val="20"/>
                <w:szCs w:val="20"/>
                <w:color w:val="auto"/>
              </w:rPr>
            </w:pPr>
            <w:r>
              <w:rPr>
                <w:rFonts w:ascii="Arial" w:cs="Arial" w:eastAsia="Arial" w:hAnsi="Arial"/>
                <w:sz w:val="14"/>
                <w:szCs w:val="14"/>
                <w:i w:val="1"/>
                <w:iCs w:val="1"/>
                <w:color w:val="auto"/>
                <w:w w:val="93"/>
              </w:rPr>
              <w:t>(1)</w:t>
            </w:r>
          </w:p>
        </w:tc>
        <w:tc>
          <w:tcPr>
            <w:tcW w:w="6920" w:type="dxa"/>
            <w:vAlign w:val="bottom"/>
          </w:tcPr>
          <w:p>
            <w:pPr>
              <w:ind w:left="340"/>
              <w:spacing w:after="0" w:line="148" w:lineRule="exact"/>
              <w:rPr>
                <w:sz w:val="20"/>
                <w:szCs w:val="20"/>
                <w:color w:val="auto"/>
              </w:rPr>
            </w:pPr>
            <w:r>
              <w:rPr>
                <w:rFonts w:ascii="Arial" w:cs="Arial" w:eastAsia="Arial" w:hAnsi="Arial"/>
                <w:sz w:val="14"/>
                <w:szCs w:val="14"/>
                <w:i w:val="1"/>
                <w:iCs w:val="1"/>
                <w:color w:val="auto"/>
              </w:rPr>
              <w:t>Derived from audited financial statements.</w:t>
            </w: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100" w:type="dxa"/>
            <w:vAlign w:val="bottom"/>
            <w:gridSpan w:val="2"/>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7" w:right="239" w:bottom="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SOUTHERN CALIFORNIA GAS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55"/>
        </w:trPr>
        <w:tc>
          <w:tcPr>
            <w:tcW w:w="8200" w:type="dxa"/>
            <w:vAlign w:val="bottom"/>
          </w:tcPr>
          <w:p>
            <w:pPr>
              <w:spacing w:after="0"/>
              <w:rPr>
                <w:sz w:val="13"/>
                <w:szCs w:val="13"/>
                <w:color w:val="auto"/>
              </w:rPr>
            </w:pPr>
          </w:p>
        </w:tc>
        <w:tc>
          <w:tcPr>
            <w:tcW w:w="2700" w:type="dxa"/>
            <w:vAlign w:val="bottom"/>
            <w:tcBorders>
              <w:bottom w:val="single" w:sz="8" w:color="auto"/>
            </w:tcBorders>
            <w:gridSpan w:val="3"/>
          </w:tcPr>
          <w:p>
            <w:pPr>
              <w:jc w:val="right"/>
              <w:ind w:right="165"/>
              <w:spacing w:after="0" w:line="155" w:lineRule="exact"/>
              <w:rPr>
                <w:sz w:val="20"/>
                <w:szCs w:val="20"/>
                <w:color w:val="auto"/>
              </w:rPr>
            </w:pPr>
            <w:r>
              <w:rPr>
                <w:rFonts w:ascii="Arial" w:cs="Arial" w:eastAsia="Arial" w:hAnsi="Arial"/>
                <w:sz w:val="14"/>
                <w:szCs w:val="14"/>
                <w:color w:val="auto"/>
              </w:rPr>
              <w:t>Six months ended June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2014</w:t>
            </w:r>
          </w:p>
        </w:tc>
        <w:tc>
          <w:tcPr>
            <w:tcW w:w="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0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1080" w:type="dxa"/>
            <w:vAlign w:val="bottom"/>
          </w:tcPr>
          <w:p>
            <w:pPr>
              <w:spacing w:after="0"/>
              <w:rPr>
                <w:sz w:val="15"/>
                <w:szCs w:val="15"/>
                <w:color w:val="auto"/>
              </w:rPr>
            </w:pPr>
          </w:p>
        </w:tc>
        <w:tc>
          <w:tcPr>
            <w:tcW w:w="1620" w:type="dxa"/>
            <w:vAlign w:val="bottom"/>
            <w:gridSpan w:val="2"/>
          </w:tcPr>
          <w:p>
            <w:pPr>
              <w:jc w:val="right"/>
              <w:ind w:right="665"/>
              <w:spacing w:after="0"/>
              <w:rPr>
                <w:sz w:val="20"/>
                <w:szCs w:val="20"/>
                <w:color w:val="auto"/>
              </w:rPr>
            </w:pPr>
            <w:r>
              <w:rPr>
                <w:rFonts w:ascii="Arial" w:cs="Arial" w:eastAsia="Arial" w:hAnsi="Arial"/>
                <w:sz w:val="14"/>
                <w:szCs w:val="14"/>
                <w:color w:val="auto"/>
              </w:rPr>
              <w:t>(unaudited)</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20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200" w:type="dxa"/>
            <w:vAlign w:val="bottom"/>
          </w:tcPr>
          <w:p>
            <w:pPr>
              <w:ind w:left="180"/>
              <w:spacing w:after="0" w:line="173" w:lineRule="exact"/>
              <w:rPr>
                <w:sz w:val="20"/>
                <w:szCs w:val="20"/>
                <w:color w:val="auto"/>
              </w:rPr>
            </w:pPr>
            <w:r>
              <w:rPr>
                <w:rFonts w:ascii="Arial" w:cs="Arial" w:eastAsia="Arial" w:hAnsi="Arial"/>
                <w:sz w:val="16"/>
                <w:szCs w:val="16"/>
                <w:color w:val="auto"/>
              </w:rPr>
              <w:t>Net income</w:t>
            </w:r>
          </w:p>
        </w:tc>
        <w:tc>
          <w:tcPr>
            <w:tcW w:w="1080" w:type="dxa"/>
            <w:vAlign w:val="bottom"/>
          </w:tcPr>
          <w:p>
            <w:pPr>
              <w:jc w:val="right"/>
              <w:ind w:right="783"/>
              <w:spacing w:after="0" w:line="173"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159</w:t>
            </w:r>
          </w:p>
        </w:tc>
        <w:tc>
          <w:tcPr>
            <w:tcW w:w="1100" w:type="dxa"/>
            <w:vAlign w:val="bottom"/>
          </w:tcPr>
          <w:p>
            <w:pPr>
              <w:jc w:val="right"/>
              <w:ind w:right="805"/>
              <w:spacing w:after="0" w:line="173"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173"/>
        </w:trPr>
        <w:tc>
          <w:tcPr>
            <w:tcW w:w="8200" w:type="dxa"/>
            <w:vAlign w:val="bottom"/>
          </w:tcPr>
          <w:p>
            <w:pPr>
              <w:ind w:left="180"/>
              <w:spacing w:after="0" w:line="173" w:lineRule="exact"/>
              <w:rPr>
                <w:sz w:val="20"/>
                <w:szCs w:val="20"/>
                <w:color w:val="auto"/>
              </w:rPr>
            </w:pPr>
            <w:r>
              <w:rPr>
                <w:rFonts w:ascii="Arial" w:cs="Arial" w:eastAsia="Arial" w:hAnsi="Arial"/>
                <w:sz w:val="16"/>
                <w:szCs w:val="16"/>
                <w:color w:val="auto"/>
              </w:rPr>
              <w:t>Adjustments to reconcile net income to net cash provided by operating activities:</w:t>
            </w: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200" w:type="dxa"/>
            <w:vAlign w:val="bottom"/>
          </w:tcPr>
          <w:p>
            <w:pPr>
              <w:ind w:left="360"/>
              <w:spacing w:after="0" w:line="173" w:lineRule="exact"/>
              <w:rPr>
                <w:sz w:val="20"/>
                <w:szCs w:val="20"/>
                <w:color w:val="auto"/>
              </w:rPr>
            </w:pPr>
            <w:r>
              <w:rPr>
                <w:rFonts w:ascii="Arial" w:cs="Arial" w:eastAsia="Arial" w:hAnsi="Arial"/>
                <w:sz w:val="16"/>
                <w:szCs w:val="16"/>
                <w:color w:val="auto"/>
              </w:rPr>
              <w:t>Depreciation and amortization</w:t>
            </w:r>
          </w:p>
        </w:tc>
        <w:tc>
          <w:tcPr>
            <w:tcW w:w="108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212</w:t>
            </w:r>
          </w:p>
        </w:tc>
        <w:tc>
          <w:tcPr>
            <w:tcW w:w="110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73"/>
        </w:trPr>
        <w:tc>
          <w:tcPr>
            <w:tcW w:w="8200" w:type="dxa"/>
            <w:vAlign w:val="bottom"/>
          </w:tcPr>
          <w:p>
            <w:pPr>
              <w:ind w:left="360"/>
              <w:spacing w:after="0" w:line="173" w:lineRule="exact"/>
              <w:rPr>
                <w:sz w:val="20"/>
                <w:szCs w:val="20"/>
                <w:color w:val="auto"/>
              </w:rPr>
            </w:pPr>
            <w:r>
              <w:rPr>
                <w:rFonts w:ascii="Arial" w:cs="Arial" w:eastAsia="Arial" w:hAnsi="Arial"/>
                <w:sz w:val="16"/>
                <w:szCs w:val="16"/>
                <w:color w:val="auto"/>
              </w:rPr>
              <w:t>Deferred income taxes and investment tax credits</w:t>
            </w:r>
          </w:p>
        </w:tc>
        <w:tc>
          <w:tcPr>
            <w:tcW w:w="108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59</w:t>
            </w:r>
          </w:p>
        </w:tc>
        <w:tc>
          <w:tcPr>
            <w:tcW w:w="110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73"/>
        </w:trPr>
        <w:tc>
          <w:tcPr>
            <w:tcW w:w="8200" w:type="dxa"/>
            <w:vAlign w:val="bottom"/>
          </w:tcPr>
          <w:p>
            <w:pPr>
              <w:ind w:left="360"/>
              <w:spacing w:after="0" w:line="173" w:lineRule="exact"/>
              <w:rPr>
                <w:sz w:val="20"/>
                <w:szCs w:val="20"/>
                <w:color w:val="auto"/>
              </w:rPr>
            </w:pPr>
            <w:r>
              <w:rPr>
                <w:rFonts w:ascii="Arial" w:cs="Arial" w:eastAsia="Arial" w:hAnsi="Arial"/>
                <w:sz w:val="16"/>
                <w:szCs w:val="16"/>
                <w:color w:val="auto"/>
              </w:rPr>
              <w:t>Other</w:t>
            </w:r>
          </w:p>
        </w:tc>
        <w:tc>
          <w:tcPr>
            <w:tcW w:w="108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110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3"/>
        </w:trPr>
        <w:tc>
          <w:tcPr>
            <w:tcW w:w="8200" w:type="dxa"/>
            <w:vAlign w:val="bottom"/>
          </w:tcPr>
          <w:p>
            <w:pPr>
              <w:ind w:left="180"/>
              <w:spacing w:after="0" w:line="173" w:lineRule="exact"/>
              <w:rPr>
                <w:sz w:val="20"/>
                <w:szCs w:val="20"/>
                <w:color w:val="auto"/>
              </w:rPr>
            </w:pPr>
            <w:r>
              <w:rPr>
                <w:rFonts w:ascii="Arial" w:cs="Arial" w:eastAsia="Arial" w:hAnsi="Arial"/>
                <w:sz w:val="16"/>
                <w:szCs w:val="16"/>
                <w:color w:val="auto"/>
              </w:rPr>
              <w:t>Net change in other working capital components</w:t>
            </w:r>
          </w:p>
        </w:tc>
        <w:tc>
          <w:tcPr>
            <w:tcW w:w="108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61</w:t>
            </w:r>
          </w:p>
        </w:tc>
        <w:tc>
          <w:tcPr>
            <w:tcW w:w="110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173"/>
        </w:trPr>
        <w:tc>
          <w:tcPr>
            <w:tcW w:w="8200" w:type="dxa"/>
            <w:vAlign w:val="bottom"/>
          </w:tcPr>
          <w:p>
            <w:pPr>
              <w:ind w:left="180"/>
              <w:spacing w:after="0" w:line="173" w:lineRule="exact"/>
              <w:rPr>
                <w:sz w:val="20"/>
                <w:szCs w:val="20"/>
                <w:color w:val="auto"/>
              </w:rPr>
            </w:pPr>
            <w:r>
              <w:rPr>
                <w:rFonts w:ascii="Arial" w:cs="Arial" w:eastAsia="Arial" w:hAnsi="Arial"/>
                <w:sz w:val="16"/>
                <w:szCs w:val="16"/>
                <w:color w:val="auto"/>
              </w:rPr>
              <w:t>Changes in other assets</w:t>
            </w:r>
          </w:p>
        </w:tc>
        <w:tc>
          <w:tcPr>
            <w:tcW w:w="108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(27)</w:t>
            </w:r>
          </w:p>
        </w:tc>
        <w:tc>
          <w:tcPr>
            <w:tcW w:w="110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4"/>
        </w:trPr>
        <w:tc>
          <w:tcPr>
            <w:tcW w:w="820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6"/>
        </w:trPr>
        <w:tc>
          <w:tcPr>
            <w:tcW w:w="8200" w:type="dxa"/>
            <w:vAlign w:val="bottom"/>
          </w:tcPr>
          <w:p>
            <w:pPr>
              <w:ind w:left="360"/>
              <w:spacing w:after="0" w:line="166" w:lineRule="exact"/>
              <w:rPr>
                <w:sz w:val="20"/>
                <w:szCs w:val="20"/>
                <w:color w:val="auto"/>
              </w:rPr>
            </w:pPr>
            <w:r>
              <w:rPr>
                <w:rFonts w:ascii="Arial" w:cs="Arial" w:eastAsia="Arial" w:hAnsi="Arial"/>
                <w:sz w:val="16"/>
                <w:szCs w:val="16"/>
                <w:color w:val="auto"/>
              </w:rPr>
              <w:t>Net cash provided by operating activities</w:t>
            </w:r>
          </w:p>
        </w:tc>
        <w:tc>
          <w:tcPr>
            <w:tcW w:w="10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463</w:t>
            </w:r>
          </w:p>
        </w:tc>
        <w:tc>
          <w:tcPr>
            <w:tcW w:w="1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307"/>
        </w:trPr>
        <w:tc>
          <w:tcPr>
            <w:tcW w:w="82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200" w:type="dxa"/>
            <w:vAlign w:val="bottom"/>
          </w:tcPr>
          <w:p>
            <w:pPr>
              <w:ind w:left="180"/>
              <w:spacing w:after="0" w:line="173" w:lineRule="exact"/>
              <w:rPr>
                <w:sz w:val="20"/>
                <w:szCs w:val="20"/>
                <w:color w:val="auto"/>
              </w:rPr>
            </w:pPr>
            <w:r>
              <w:rPr>
                <w:rFonts w:ascii="Arial" w:cs="Arial" w:eastAsia="Arial" w:hAnsi="Arial"/>
                <w:sz w:val="16"/>
                <w:szCs w:val="16"/>
                <w:color w:val="auto"/>
              </w:rPr>
              <w:t>Expenditures for property, plant and equipment</w:t>
            </w:r>
          </w:p>
        </w:tc>
        <w:tc>
          <w:tcPr>
            <w:tcW w:w="108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(500)</w:t>
            </w:r>
          </w:p>
        </w:tc>
        <w:tc>
          <w:tcPr>
            <w:tcW w:w="110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04"/>
        </w:trPr>
        <w:tc>
          <w:tcPr>
            <w:tcW w:w="8200" w:type="dxa"/>
            <w:vAlign w:val="bottom"/>
          </w:tcPr>
          <w:p>
            <w:pPr>
              <w:ind w:left="180"/>
              <w:spacing w:after="0"/>
              <w:rPr>
                <w:sz w:val="20"/>
                <w:szCs w:val="20"/>
                <w:color w:val="auto"/>
              </w:rPr>
            </w:pPr>
            <w:r>
              <w:rPr>
                <w:rFonts w:ascii="Arial" w:cs="Arial" w:eastAsia="Arial" w:hAnsi="Arial"/>
                <w:sz w:val="16"/>
                <w:szCs w:val="16"/>
                <w:color w:val="auto"/>
              </w:rPr>
              <w:t>Increase in loans to affiliates, net</w:t>
            </w: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166"/>
        </w:trPr>
        <w:tc>
          <w:tcPr>
            <w:tcW w:w="8200" w:type="dxa"/>
            <w:vAlign w:val="bottom"/>
          </w:tcPr>
          <w:p>
            <w:pPr>
              <w:ind w:left="360"/>
              <w:spacing w:after="0" w:line="166" w:lineRule="exact"/>
              <w:rPr>
                <w:sz w:val="20"/>
                <w:szCs w:val="20"/>
                <w:color w:val="auto"/>
              </w:rPr>
            </w:pPr>
            <w:r>
              <w:rPr>
                <w:rFonts w:ascii="Arial" w:cs="Arial" w:eastAsia="Arial" w:hAnsi="Arial"/>
                <w:sz w:val="16"/>
                <w:szCs w:val="16"/>
                <w:color w:val="auto"/>
              </w:rPr>
              <w:t>Net cash used in investing activities</w:t>
            </w:r>
          </w:p>
        </w:tc>
        <w:tc>
          <w:tcPr>
            <w:tcW w:w="10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(500)</w:t>
            </w:r>
          </w:p>
        </w:tc>
        <w:tc>
          <w:tcPr>
            <w:tcW w:w="1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307"/>
        </w:trPr>
        <w:tc>
          <w:tcPr>
            <w:tcW w:w="82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200" w:type="dxa"/>
            <w:vAlign w:val="bottom"/>
          </w:tcPr>
          <w:p>
            <w:pPr>
              <w:ind w:left="180"/>
              <w:spacing w:after="0" w:line="173" w:lineRule="exact"/>
              <w:rPr>
                <w:sz w:val="20"/>
                <w:szCs w:val="20"/>
                <w:color w:val="auto"/>
              </w:rPr>
            </w:pPr>
            <w:r>
              <w:rPr>
                <w:rFonts w:ascii="Arial" w:cs="Arial" w:eastAsia="Arial" w:hAnsi="Arial"/>
                <w:sz w:val="16"/>
                <w:szCs w:val="16"/>
                <w:color w:val="auto"/>
              </w:rPr>
              <w:t>Common dividends paid</w:t>
            </w:r>
          </w:p>
        </w:tc>
        <w:tc>
          <w:tcPr>
            <w:tcW w:w="108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10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73"/>
        </w:trPr>
        <w:tc>
          <w:tcPr>
            <w:tcW w:w="8200" w:type="dxa"/>
            <w:vAlign w:val="bottom"/>
          </w:tcPr>
          <w:p>
            <w:pPr>
              <w:ind w:left="180"/>
              <w:spacing w:after="0" w:line="173" w:lineRule="exact"/>
              <w:rPr>
                <w:sz w:val="20"/>
                <w:szCs w:val="20"/>
                <w:color w:val="auto"/>
              </w:rPr>
            </w:pPr>
            <w:r>
              <w:rPr>
                <w:rFonts w:ascii="Arial" w:cs="Arial" w:eastAsia="Arial" w:hAnsi="Arial"/>
                <w:sz w:val="16"/>
                <w:szCs w:val="16"/>
                <w:color w:val="auto"/>
              </w:rPr>
              <w:t>Preferred dividends paid</w:t>
            </w:r>
          </w:p>
        </w:tc>
        <w:tc>
          <w:tcPr>
            <w:tcW w:w="108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110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3"/>
        </w:trPr>
        <w:tc>
          <w:tcPr>
            <w:tcW w:w="8200" w:type="dxa"/>
            <w:vAlign w:val="bottom"/>
          </w:tcPr>
          <w:p>
            <w:pPr>
              <w:ind w:left="180"/>
              <w:spacing w:after="0" w:line="173" w:lineRule="exact"/>
              <w:rPr>
                <w:sz w:val="20"/>
                <w:szCs w:val="20"/>
                <w:color w:val="auto"/>
              </w:rPr>
            </w:pPr>
            <w:r>
              <w:rPr>
                <w:rFonts w:ascii="Arial" w:cs="Arial" w:eastAsia="Arial" w:hAnsi="Arial"/>
                <w:sz w:val="16"/>
                <w:szCs w:val="16"/>
                <w:color w:val="auto"/>
              </w:rPr>
              <w:t>Issuance of long-term debt</w:t>
            </w:r>
          </w:p>
        </w:tc>
        <w:tc>
          <w:tcPr>
            <w:tcW w:w="108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248</w:t>
            </w:r>
          </w:p>
        </w:tc>
        <w:tc>
          <w:tcPr>
            <w:tcW w:w="110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8200" w:type="dxa"/>
            <w:vAlign w:val="bottom"/>
          </w:tcPr>
          <w:p>
            <w:pPr>
              <w:ind w:left="180"/>
              <w:spacing w:after="0" w:line="173" w:lineRule="exact"/>
              <w:rPr>
                <w:sz w:val="20"/>
                <w:szCs w:val="20"/>
                <w:color w:val="auto"/>
              </w:rPr>
            </w:pPr>
            <w:r>
              <w:rPr>
                <w:rFonts w:ascii="Arial" w:cs="Arial" w:eastAsia="Arial" w:hAnsi="Arial"/>
                <w:sz w:val="16"/>
                <w:szCs w:val="16"/>
                <w:color w:val="auto"/>
              </w:rPr>
              <w:t>Repayment of long-term debt</w:t>
            </w:r>
          </w:p>
        </w:tc>
        <w:tc>
          <w:tcPr>
            <w:tcW w:w="108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(250)</w:t>
            </w:r>
          </w:p>
        </w:tc>
        <w:tc>
          <w:tcPr>
            <w:tcW w:w="110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8200" w:type="dxa"/>
            <w:vAlign w:val="bottom"/>
          </w:tcPr>
          <w:p>
            <w:pPr>
              <w:ind w:left="180"/>
              <w:spacing w:after="0" w:line="173" w:lineRule="exact"/>
              <w:rPr>
                <w:sz w:val="20"/>
                <w:szCs w:val="20"/>
                <w:color w:val="auto"/>
              </w:rPr>
            </w:pPr>
            <w:r>
              <w:rPr>
                <w:rFonts w:ascii="Arial" w:cs="Arial" w:eastAsia="Arial" w:hAnsi="Arial"/>
                <w:sz w:val="16"/>
                <w:szCs w:val="16"/>
                <w:color w:val="auto"/>
              </w:rPr>
              <w:t>Increase in short-term debt, net</w:t>
            </w:r>
          </w:p>
        </w:tc>
        <w:tc>
          <w:tcPr>
            <w:tcW w:w="108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31</w:t>
            </w:r>
          </w:p>
        </w:tc>
        <w:tc>
          <w:tcPr>
            <w:tcW w:w="110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8200" w:type="dxa"/>
            <w:vAlign w:val="bottom"/>
          </w:tcPr>
          <w:p>
            <w:pPr>
              <w:ind w:left="18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200" w:type="dxa"/>
            <w:vAlign w:val="bottom"/>
          </w:tcPr>
          <w:p>
            <w:pPr>
              <w:ind w:left="360"/>
              <w:spacing w:after="0" w:line="166" w:lineRule="exact"/>
              <w:rPr>
                <w:sz w:val="20"/>
                <w:szCs w:val="20"/>
                <w:color w:val="auto"/>
              </w:rPr>
            </w:pPr>
            <w:r>
              <w:rPr>
                <w:rFonts w:ascii="Arial" w:cs="Arial" w:eastAsia="Arial" w:hAnsi="Arial"/>
                <w:sz w:val="16"/>
                <w:szCs w:val="16"/>
                <w:color w:val="auto"/>
              </w:rPr>
              <w:t>Net cash provided by (used in) financing activities</w:t>
            </w:r>
          </w:p>
        </w:tc>
        <w:tc>
          <w:tcPr>
            <w:tcW w:w="10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26</w:t>
            </w:r>
          </w:p>
        </w:tc>
        <w:tc>
          <w:tcPr>
            <w:tcW w:w="1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07"/>
        </w:trPr>
        <w:tc>
          <w:tcPr>
            <w:tcW w:w="8200" w:type="dxa"/>
            <w:vAlign w:val="bottom"/>
          </w:tcPr>
          <w:p>
            <w:pPr>
              <w:spacing w:after="0"/>
              <w:rPr>
                <w:sz w:val="20"/>
                <w:szCs w:val="20"/>
                <w:color w:val="auto"/>
              </w:rPr>
            </w:pPr>
            <w:r>
              <w:rPr>
                <w:rFonts w:ascii="Arial" w:cs="Arial" w:eastAsia="Arial" w:hAnsi="Arial"/>
                <w:sz w:val="16"/>
                <w:szCs w:val="16"/>
                <w:color w:val="auto"/>
              </w:rPr>
              <w:t>Decrease in cash and cash equivalents</w:t>
            </w:r>
          </w:p>
        </w:tc>
        <w:tc>
          <w:tcPr>
            <w:tcW w:w="10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w:t>
            </w:r>
          </w:p>
        </w:tc>
        <w:tc>
          <w:tcPr>
            <w:tcW w:w="1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4"/>
        </w:trPr>
        <w:tc>
          <w:tcPr>
            <w:tcW w:w="820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66"/>
        </w:trPr>
        <w:tc>
          <w:tcPr>
            <w:tcW w:w="8200" w:type="dxa"/>
            <w:vAlign w:val="bottom"/>
            <w:vMerge w:val="restart"/>
          </w:tcPr>
          <w:p>
            <w:pPr>
              <w:spacing w:after="0"/>
              <w:rPr>
                <w:sz w:val="20"/>
                <w:szCs w:val="20"/>
                <w:color w:val="auto"/>
              </w:rPr>
            </w:pPr>
            <w:r>
              <w:rPr>
                <w:rFonts w:ascii="Arial" w:cs="Arial" w:eastAsia="Arial" w:hAnsi="Arial"/>
                <w:sz w:val="16"/>
                <w:szCs w:val="16"/>
                <w:color w:val="auto"/>
              </w:rPr>
              <w:t>Cash and cash equivalents, June 30</w:t>
            </w:r>
          </w:p>
        </w:tc>
        <w:tc>
          <w:tcPr>
            <w:tcW w:w="1080" w:type="dxa"/>
            <w:vAlign w:val="bottom"/>
          </w:tcPr>
          <w:p>
            <w:pPr>
              <w:jc w:val="right"/>
              <w:ind w:right="903"/>
              <w:spacing w:after="0" w:line="166" w:lineRule="exact"/>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line="166" w:lineRule="exact"/>
              <w:rPr>
                <w:sz w:val="20"/>
                <w:szCs w:val="20"/>
                <w:color w:val="auto"/>
              </w:rPr>
            </w:pPr>
            <w:r>
              <w:rPr>
                <w:rFonts w:ascii="Arial" w:cs="Arial" w:eastAsia="Arial" w:hAnsi="Arial"/>
                <w:sz w:val="16"/>
                <w:szCs w:val="16"/>
                <w:color w:val="auto"/>
              </w:rPr>
              <w:t>16</w:t>
            </w:r>
          </w:p>
        </w:tc>
        <w:tc>
          <w:tcPr>
            <w:tcW w:w="1100" w:type="dxa"/>
            <w:vAlign w:val="bottom"/>
          </w:tcPr>
          <w:p>
            <w:pPr>
              <w:jc w:val="right"/>
              <w:ind w:right="945"/>
              <w:spacing w:after="0" w:line="167" w:lineRule="exact"/>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66"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80"/>
        </w:trPr>
        <w:tc>
          <w:tcPr>
            <w:tcW w:w="8200" w:type="dxa"/>
            <w:vAlign w:val="bottom"/>
            <w:vMerge w:val="continue"/>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52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5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314"/>
        </w:trPr>
        <w:tc>
          <w:tcPr>
            <w:tcW w:w="820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200" w:type="dxa"/>
            <w:vAlign w:val="bottom"/>
          </w:tcPr>
          <w:p>
            <w:pPr>
              <w:ind w:left="180"/>
              <w:spacing w:after="0" w:line="173" w:lineRule="exact"/>
              <w:rPr>
                <w:sz w:val="20"/>
                <w:szCs w:val="20"/>
                <w:color w:val="auto"/>
              </w:rPr>
            </w:pPr>
            <w:r>
              <w:rPr>
                <w:rFonts w:ascii="Arial" w:cs="Arial" w:eastAsia="Arial" w:hAnsi="Arial"/>
                <w:sz w:val="16"/>
                <w:szCs w:val="16"/>
                <w:color w:val="auto"/>
              </w:rPr>
              <w:t>Interest payments, net of amounts capitalized</w:t>
            </w:r>
          </w:p>
        </w:tc>
        <w:tc>
          <w:tcPr>
            <w:tcW w:w="1080" w:type="dxa"/>
            <w:vAlign w:val="bottom"/>
          </w:tcPr>
          <w:p>
            <w:pPr>
              <w:jc w:val="right"/>
              <w:ind w:right="903"/>
              <w:spacing w:after="0" w:line="173" w:lineRule="exact"/>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32</w:t>
            </w: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4"/>
        </w:trPr>
        <w:tc>
          <w:tcPr>
            <w:tcW w:w="8200" w:type="dxa"/>
            <w:vAlign w:val="bottom"/>
          </w:tcPr>
          <w:p>
            <w:pPr>
              <w:ind w:left="180"/>
              <w:spacing w:after="0"/>
              <w:rPr>
                <w:sz w:val="20"/>
                <w:szCs w:val="20"/>
                <w:color w:val="auto"/>
              </w:rPr>
            </w:pPr>
            <w:r>
              <w:rPr>
                <w:rFonts w:ascii="Arial" w:cs="Arial" w:eastAsia="Arial" w:hAnsi="Arial"/>
                <w:sz w:val="16"/>
                <w:szCs w:val="16"/>
                <w:color w:val="auto"/>
              </w:rPr>
              <w:t>Income tax payments, net of refunds</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04"/>
        </w:trPr>
        <w:tc>
          <w:tcPr>
            <w:tcW w:w="8200" w:type="dxa"/>
            <w:vAlign w:val="bottom"/>
          </w:tcPr>
          <w:p>
            <w:pPr>
              <w:spacing w:after="0"/>
              <w:rPr>
                <w:sz w:val="20"/>
                <w:szCs w:val="20"/>
                <w:color w:val="auto"/>
              </w:rPr>
            </w:pPr>
            <w:r>
              <w:rPr>
                <w:rFonts w:ascii="Arial" w:cs="Arial" w:eastAsia="Arial" w:hAnsi="Arial"/>
                <w:sz w:val="16"/>
                <w:szCs w:val="16"/>
                <w:color w:val="auto"/>
              </w:rPr>
              <w:t>SUPPLEMENTAL DISCLOSURE OF NONCASH INVESTING ACTIVITIES</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200" w:type="dxa"/>
            <w:vAlign w:val="bottom"/>
          </w:tcPr>
          <w:p>
            <w:pPr>
              <w:ind w:left="180"/>
              <w:spacing w:after="0"/>
              <w:rPr>
                <w:sz w:val="20"/>
                <w:szCs w:val="20"/>
                <w:color w:val="auto"/>
              </w:rPr>
            </w:pPr>
            <w:r>
              <w:rPr>
                <w:rFonts w:ascii="Arial" w:cs="Arial" w:eastAsia="Arial" w:hAnsi="Arial"/>
                <w:sz w:val="16"/>
                <w:szCs w:val="16"/>
                <w:color w:val="auto"/>
              </w:rPr>
              <w:t>Accrued capital expenditures</w:t>
            </w:r>
          </w:p>
        </w:tc>
        <w:tc>
          <w:tcPr>
            <w:tcW w:w="1080" w:type="dxa"/>
            <w:vAlign w:val="bottom"/>
          </w:tcPr>
          <w:p>
            <w:pPr>
              <w:jc w:val="right"/>
              <w:ind w:right="90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102</w:t>
            </w: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80"/>
        </w:trPr>
        <w:tc>
          <w:tcPr>
            <w:tcW w:w="820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52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5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3"/>
          <w:szCs w:val="23"/>
          <w:color w:val="auto"/>
        </w:rPr>
        <w:t>SEMPRA ENERGY AND SUBSIDIARIES</w:t>
      </w:r>
    </w:p>
    <w:p>
      <w:pPr>
        <w:spacing w:after="0" w:line="267" w:lineRule="exact"/>
        <w:rPr>
          <w:sz w:val="20"/>
          <w:szCs w:val="20"/>
          <w:color w:val="auto"/>
        </w:rPr>
      </w:pPr>
    </w:p>
    <w:p>
      <w:pPr>
        <w:spacing w:after="0"/>
        <w:rPr>
          <w:sz w:val="20"/>
          <w:szCs w:val="20"/>
          <w:color w:val="auto"/>
        </w:rPr>
      </w:pPr>
      <w:r>
        <w:rPr>
          <w:rFonts w:ascii="Arial" w:cs="Arial" w:eastAsia="Arial" w:hAnsi="Arial"/>
          <w:sz w:val="23"/>
          <w:szCs w:val="23"/>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253365</wp:posOffset>
            </wp:positionV>
            <wp:extent cx="72656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auto"/>
        </w:rPr>
        <w:t>NOTE 1. GENERAL</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Energy</w:t>
      </w:r>
    </w:p>
    <w:p>
      <w:pPr>
        <w:spacing w:after="0" w:line="21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Sempra Energy’s Condensed Consolidated Financial Statements include the accounts of Sempra Energy, a California-based Fortune 500 energy-services holding company, and its consolidated subsidiaries and variable interest entities (VIEs). Sempra Energy’s principal operating units are</w:t>
      </w:r>
    </w:p>
    <w:p>
      <w:pPr>
        <w:spacing w:after="0" w:line="164" w:lineRule="exact"/>
        <w:rPr>
          <w:sz w:val="20"/>
          <w:szCs w:val="20"/>
          <w:color w:val="auto"/>
        </w:rPr>
      </w:pPr>
    </w:p>
    <w:p>
      <w:pPr>
        <w:ind w:left="320" w:hanging="17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 Diego Gas &amp; Electric Company (SDG&amp;E) and Southern California Gas Company (SoCalGas), which are separate, reportable segments;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Sempra International, which includes our Sempra South American Utilities and Sempra Mexico reportable segments; and</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Sempra U.S. Gas &amp; Power, which includes our Sempra Renewables and Sempra Natural Gas reportable segments.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descriptions of each of our segments in Note 12.</w:t>
      </w:r>
    </w:p>
    <w:p>
      <w:pPr>
        <w:spacing w:after="0" w:line="21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refer to SDG&amp;E and SoCalGas collectively as the California Utilities, which do not include the utilities in our Sempra International and Sempra U.S. Gas &amp; Power operating units. Sempra Global is the holding company for most of our subsidiaries that are not subject to California utility regulation. All references in these Notes to “Sempra International,” “Sempra U.S. Gas &amp; Power” and their respective reportable segments are not intended to refer to any legal entity with the same or similar name.</w:t>
      </w:r>
    </w:p>
    <w:p>
      <w:pPr>
        <w:sectPr>
          <w:pgSz w:w="11900" w:h="16838" w:orient="portrait"/>
          <w:cols w:equalWidth="0" w:num="1">
            <w:col w:w="11420"/>
          </w:cols>
          <w:pgMar w:left="240" w:top="717" w:right="239" w:bottom="159" w:gutter="0" w:footer="0" w:header="0"/>
        </w:sectPr>
      </w:pPr>
    </w:p>
    <w:bookmarkStart w:id="11" w:name="page12"/>
    <w:bookmarkEnd w:id="11"/>
    <w:p>
      <w:pPr>
        <w:spacing w:after="0" w:line="36"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Our Sempra Mexico segment includes the operating companies of our subsidiary, Infraestructura Energética Nova, S.A.B. de C.V. (IEnova), as well as certain holding companies and risk management activity. We discuss IEnova further in Note 5 under “Shareholders’ Equity and Noncontrolling Interests – Sale of Noncontrolling Interests.”</w:t>
      </w:r>
    </w:p>
    <w:p>
      <w:pPr>
        <w:spacing w:after="0" w:line="17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Sempra Energy uses the equity method to account for investments in affiliated companies over which we have the ability to exercise significant influence, but not control. We discuss our investments in unconsolidated entities in Note 4 herein and in Notes 3 and 4 of the Notes to Consolidated Financial Statements in our Annual Report on Form 10-K for the year ended December 31, 2013 (the Annual Report), which includes the combined reports for Sempra Energy, SDG&amp;E and SoCalGas.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SDG&amp;E</w:t>
      </w:r>
    </w:p>
    <w:p>
      <w:pPr>
        <w:spacing w:after="0" w:line="215"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SDG&amp;E’s Condensed Consolidated Financial Statements include its accounts and the accounts of a VIE of which SDG&amp;E is the primary beneficiary, as we discuss in Note 5 under “Variable Interest Entities.” SDG&amp;E’s common stock is wholly owned by Enova Corporation, which is a wholly owned subsidiary of Sempra Energy.</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SoCalGas</w:t>
      </w:r>
    </w:p>
    <w:p>
      <w:pPr>
        <w:spacing w:after="0" w:line="21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SoCalGas’ Condensed Consolidated Financial Statements include its accounts and the de minimus accounts of inactive subsidiaries. SoCalGas’ common stock is wholly owned by Pacific Enterprises (PE), which is a wholly owned subsidiary of Sempra Energy.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is a combined report of Sempra Energy, SDG&amp;E and SoCalGas. We provide separate information for SDG&amp;E and SoCalGas as required. References in this report to “we,” “our” and “Sempra Energy Consolidated” are to Sempra Energy and its consolidated entities, unless otherwise indicated by the context. We have eliminated intercompany accounts and transactions within the consolidated financial statements of each reporting entity.</w:t>
      </w:r>
    </w:p>
    <w:p>
      <w:pPr>
        <w:spacing w:after="0" w:line="178" w:lineRule="exact"/>
        <w:rPr>
          <w:sz w:val="20"/>
          <w:szCs w:val="20"/>
          <w:color w:val="auto"/>
        </w:rPr>
      </w:pPr>
    </w:p>
    <w:p>
      <w:pPr>
        <w:jc w:val="both"/>
        <w:ind w:right="600"/>
        <w:spacing w:after="0" w:line="253" w:lineRule="auto"/>
        <w:rPr>
          <w:sz w:val="20"/>
          <w:szCs w:val="20"/>
          <w:color w:val="auto"/>
        </w:rPr>
      </w:pPr>
      <w:r>
        <w:rPr>
          <w:rFonts w:ascii="Times New Roman" w:cs="Times New Roman" w:eastAsia="Times New Roman" w:hAnsi="Times New Roman"/>
          <w:sz w:val="18"/>
          <w:szCs w:val="18"/>
          <w:color w:val="auto"/>
        </w:rPr>
        <w:t>We have prepared the Condensed Consolidated Financial Statements in conformity with accounting principles generally accepted in the United States of America (U.S. GAAP) and in accordance with the interim-period-reporting requirements of Form 10-Q. Results of operations for interim periods are not necessarily indicative of results for the entire year. We evaluated events and transactions that occurred after June 30, 2014 through the date the financial statements were issued and, in the opinion of management, the accompanying statements reflect all adjustments necessary for a fair presentation. These adjustments are only of a normal, recurring nature.</w:t>
      </w:r>
    </w:p>
    <w:p>
      <w:pPr>
        <w:spacing w:after="0" w:line="185" w:lineRule="exact"/>
        <w:rPr>
          <w:sz w:val="20"/>
          <w:szCs w:val="20"/>
          <w:color w:val="auto"/>
        </w:rPr>
      </w:pPr>
    </w:p>
    <w:p>
      <w:pPr>
        <w:jc w:val="both"/>
        <w:ind w:right="220"/>
        <w:spacing w:after="0" w:line="283" w:lineRule="auto"/>
        <w:rPr>
          <w:sz w:val="20"/>
          <w:szCs w:val="20"/>
          <w:color w:val="auto"/>
        </w:rPr>
      </w:pPr>
      <w:r>
        <w:rPr>
          <w:rFonts w:ascii="Times New Roman" w:cs="Times New Roman" w:eastAsia="Times New Roman" w:hAnsi="Times New Roman"/>
          <w:sz w:val="17"/>
          <w:szCs w:val="17"/>
          <w:color w:val="auto"/>
        </w:rPr>
        <w:t>All December 31, 2013 balance sheet information in the Condensed Consolidated Financial Statements has been derived from our audited 2013 consolidated financial statements. Certain information and note disclosures normally included in annual financial statements prepared in accordance with U.S. GAAP have been condensed or omitted pursuant to the interim-period-reporting provisions of U.S. GAAP and the Securities and Exchange Commission.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the information in this Quarterly Report in conjunction with the Annual Report.</w:t>
      </w:r>
    </w:p>
    <w:p>
      <w:pPr>
        <w:spacing w:after="0" w:line="218"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Sempra South American Utilities has controlling interests in two electric distribution utilities in South America. Sempra Natural Gas owns Mobile Gas Service Corporation (Mobile Gas) in southwest Alabama and Willmut Gas Company (Willmut Gas) in Mississippi, and Sempra Mexico owns Ecogas México, S. de R.L. de C.V. (Ecogas) in northern Mexico, all natural gas distribution utilities. The California Utilities, Sempra Natural Gas’ Mobile Gas and Willmut Gas, and Sempra Mexico’s Ecogas prepare their financial statements in accordance with U.S. GAAP provisions governing regulated operations, as we discuss in Note 1 of the Notes to Consolidated Financial Statements in the Annual Report.</w:t>
      </w:r>
    </w:p>
    <w:p>
      <w:pPr>
        <w:spacing w:after="0" w:line="185"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auto"/>
        </w:rPr>
        <w:t>We describe our significant accounting policies in Note 1 of the Notes to Consolidated Financial Statements in the Annual Report. We follow the same accounting policies for interim reporting purposes, except for the adoption of new accounting standards as we discuss in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318135</wp:posOffset>
            </wp:positionV>
            <wp:extent cx="72656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color w:val="auto"/>
        </w:rPr>
        <w:t>NOTE 2. NEW ACCOUNTING STANDARDS</w:t>
      </w:r>
    </w:p>
    <w:p>
      <w:pPr>
        <w:spacing w:after="0" w:line="21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cash flows or disclosures.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SDG&amp;E AND SOCALGAS</w:t>
      </w:r>
    </w:p>
    <w:p>
      <w:pPr>
        <w:spacing w:after="0" w:line="221"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Accounting Standards Update (ASU) 2013-11,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Presentation of an Unrecognized Tax Benefit When a Net Operating Loss Carryforward, a Similar Tax Loss, or a Tax Credit Carryforward Exists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(ASU 2013-11): </w:t>
      </w:r>
      <w:r>
        <w:rPr>
          <w:rFonts w:ascii="Times New Roman" w:cs="Times New Roman" w:eastAsia="Times New Roman" w:hAnsi="Times New Roman"/>
          <w:sz w:val="18"/>
          <w:szCs w:val="18"/>
          <w:color w:val="auto"/>
        </w:rPr>
        <w:t>ASU 2013-11 provides explicit guidance on the financial statement presentation of an</w:t>
      </w:r>
    </w:p>
    <w:p>
      <w:pPr>
        <w:spacing w:after="0" w:line="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unrecognized tax benefit when a net operating loss carryforward, a similar tax loss, or a tax credit carryforward exists. ASU 2013-11 requires an entity to present an unrecognized tax benefit, or a portion of an unrecognized tax benefit, as a reduction to a deferred tax asset for a net operating loss carryforward, a similar tax loss, or a tax credit carryforward. If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purposes, an entity is required to present the unrecognized tax benefit in the financial statements as a liability instead of combined with deferred tax assets.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adopted ASU 2013-11 on January 1, 2014 as required, and it did not significantly affect our financial condition, results of operations or cash flows.</w:t>
      </w:r>
    </w:p>
    <w:p>
      <w:pPr>
        <w:spacing w:after="0" w:line="21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ASU 2014-09,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Revenue from Contracts with Customers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(ASU 2014-09): </w:t>
      </w:r>
      <w:r>
        <w:rPr>
          <w:rFonts w:ascii="Times New Roman" w:cs="Times New Roman" w:eastAsia="Times New Roman" w:hAnsi="Times New Roman"/>
          <w:sz w:val="18"/>
          <w:szCs w:val="18"/>
          <w:color w:val="auto"/>
        </w:rPr>
        <w:t>ASU 2014-09 provides accounting guidance for revenue arising from contracts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and affects all entities that enter into contracts to provide goods or services to their customers. The guidance also provides a model for the measurement and recognition of gains and losses on the sale of certain nonfinancial assets, such as property and equipment, including real estate. This guidance must be adopted using either a full retrospective approach for all periods presented in the period of adoption or a modified retrospective approach.</w:t>
      </w:r>
    </w:p>
    <w:p>
      <w:pPr>
        <w:spacing w:after="0" w:line="166"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18"/>
          <w:szCs w:val="18"/>
          <w:color w:val="auto"/>
        </w:rPr>
        <w:t>We will adopt ASU 2014-09 on January 1, 2017 as required, and we are currently evaluating the effect of adopting it on our financial condition, results of operations and cash flows.</w:t>
      </w:r>
    </w:p>
    <w:p>
      <w:pPr>
        <w:sectPr>
          <w:pgSz w:w="11900" w:h="16875" w:orient="portrait"/>
          <w:cols w:equalWidth="0" w:num="1">
            <w:col w:w="11420"/>
          </w:cols>
          <w:pgMar w:left="240" w:top="121" w:right="239" w:bottom="0" w:gutter="0" w:footer="0" w:header="0"/>
        </w:sectPr>
      </w:pPr>
    </w:p>
    <w:bookmarkStart w:id="12" w:name="page13"/>
    <w:bookmarkEnd w:id="12"/>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156210</wp:posOffset>
            </wp:positionH>
            <wp:positionV relativeFrom="page">
              <wp:posOffset>426720</wp:posOffset>
            </wp:positionV>
            <wp:extent cx="72656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5670" cy="8255"/>
                    </a:xfrm>
                    <a:prstGeom prst="rect">
                      <a:avLst/>
                    </a:prstGeom>
                    <a:noFill/>
                  </pic:spPr>
                </pic:pic>
              </a:graphicData>
            </a:graphic>
          </wp:anchor>
        </w:drawing>
        <w:t>NOTE 3. ACQUISITION AND DIVESTITURE ACTIVITY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MEXICO</w:t>
      </w:r>
    </w:p>
    <w:p>
      <w:pPr>
        <w:spacing w:after="0" w:line="225"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7"/>
          <w:szCs w:val="17"/>
          <w:color w:val="auto"/>
        </w:rPr>
        <w:t>In July 2014, Sempra Mexico completed the sale of a 50-percent interest in the 155-megawatt (MW) first phase of its Energía Sierra Juárez wind project to a wholly owned subsidiary of InterGen N.V. for cash proceeds of $44 million. At June 30, 2014, Sempra Energy’s Condensed Consolidated Balance Sheet included $137 million net property, plant and equipment and $82 million long-term debt (discussed in Note 6) related to the first phase of the project.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RENEWABLES</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March 2014, Sempra Renewables formed a joint venture with Consolidated Edison Development (ConEdison Development), a non-related party, by selling a 50-percent interest in its 250-MW Copper Mountain Solar 3 solar power facility for $66 million in cash, net of $2 million cash sold. Sempra Renewables recognized a pretax gain on the sale of $27 million ($16 million after-tax), included in Gain on Sale of Equity Interest and Assets on our Condensed Consolidated Statement of Operations for the six months ended June 30, 2014. Our remaining 50-percent interest in Copper Mountain Solar 3 is now accounted for under the equity method.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deconsolidation:</w:t>
      </w:r>
    </w:p>
    <w:p>
      <w:pPr>
        <w:spacing w:after="0" w:line="200" w:lineRule="exact"/>
        <w:rPr>
          <w:sz w:val="20"/>
          <w:szCs w:val="20"/>
          <w:color w:val="auto"/>
        </w:rPr>
      </w:pPr>
    </w:p>
    <w:p>
      <w:pPr>
        <w:spacing w:after="0" w:line="229"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DECONSOLIDATION OF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-111760</wp:posOffset>
            </wp:positionV>
            <wp:extent cx="6396355" cy="2533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96355" cy="253365"/>
                    </a:xfrm>
                    <a:prstGeom prst="rect">
                      <a:avLst/>
                    </a:prstGeom>
                    <a:noFill/>
                  </pic:spPr>
                </pic:pic>
              </a:graphicData>
            </a:graphic>
          </wp:anchor>
        </w:drawing>
      </w:r>
    </w:p>
    <w:p>
      <w:pPr>
        <w:spacing w:after="0" w:line="31" w:lineRule="exact"/>
        <w:rPr>
          <w:sz w:val="20"/>
          <w:szCs w:val="20"/>
          <w:color w:val="auto"/>
        </w:rPr>
      </w:pPr>
    </w:p>
    <w:tbl>
      <w:tblPr>
        <w:tblLayout w:type="fixed"/>
        <w:tblInd w:w="1340" w:type="dxa"/>
        <w:tblCellMar>
          <w:top w:w="0" w:type="dxa"/>
          <w:left w:w="0" w:type="dxa"/>
          <w:bottom w:w="0" w:type="dxa"/>
          <w:right w:w="0" w:type="dxa"/>
        </w:tblCellMar>
      </w:tblPr>
      <w:tr>
        <w:trPr>
          <w:trHeight w:val="188"/>
        </w:trPr>
        <w:tc>
          <w:tcPr>
            <w:tcW w:w="71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500" w:type="dxa"/>
            <w:vAlign w:val="bottom"/>
          </w:tcPr>
          <w:p>
            <w:pPr>
              <w:spacing w:after="0"/>
              <w:rPr>
                <w:sz w:val="16"/>
                <w:szCs w:val="16"/>
                <w:color w:val="auto"/>
              </w:rPr>
            </w:pPr>
          </w:p>
        </w:tc>
        <w:tc>
          <w:tcPr>
            <w:tcW w:w="2400" w:type="dxa"/>
            <w:vAlign w:val="bottom"/>
            <w:vMerge w:val="restart"/>
          </w:tcPr>
          <w:p>
            <w:pPr>
              <w:jc w:val="right"/>
              <w:ind w:right="581"/>
              <w:spacing w:after="0"/>
              <w:rPr>
                <w:sz w:val="20"/>
                <w:szCs w:val="20"/>
                <w:color w:val="auto"/>
              </w:rPr>
            </w:pPr>
            <w:r>
              <w:rPr>
                <w:rFonts w:ascii="Arial" w:cs="Arial" w:eastAsia="Arial" w:hAnsi="Arial"/>
                <w:sz w:val="14"/>
                <w:szCs w:val="14"/>
                <w:color w:val="auto"/>
              </w:rPr>
              <w:t>Copper Mountain Solar 3</w:t>
            </w:r>
          </w:p>
        </w:tc>
        <w:tc>
          <w:tcPr>
            <w:tcW w:w="0" w:type="dxa"/>
            <w:vAlign w:val="bottom"/>
          </w:tcPr>
          <w:p>
            <w:pPr>
              <w:spacing w:after="0"/>
              <w:rPr>
                <w:sz w:val="1"/>
                <w:szCs w:val="1"/>
                <w:color w:val="auto"/>
              </w:rPr>
            </w:pPr>
          </w:p>
        </w:tc>
      </w:tr>
      <w:tr>
        <w:trPr>
          <w:trHeight w:val="169"/>
        </w:trPr>
        <w:tc>
          <w:tcPr>
            <w:tcW w:w="7180" w:type="dxa"/>
            <w:vAlign w:val="bottom"/>
            <w:vMerge w:val="restart"/>
          </w:tcPr>
          <w:p>
            <w:pPr>
              <w:spacing w:after="0"/>
              <w:rPr>
                <w:sz w:val="20"/>
                <w:szCs w:val="20"/>
                <w:color w:val="auto"/>
              </w:rPr>
            </w:pPr>
            <w:r>
              <w:rPr>
                <w:rFonts w:ascii="Arial" w:cs="Arial" w:eastAsia="Arial" w:hAnsi="Arial"/>
                <w:sz w:val="16"/>
                <w:szCs w:val="16"/>
                <w:color w:val="auto"/>
              </w:rPr>
              <w:t>Proceeds from sale, net of negligible transaction costs</w:t>
            </w:r>
          </w:p>
        </w:tc>
        <w:tc>
          <w:tcPr>
            <w:tcW w:w="5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180" w:type="dxa"/>
            <w:vAlign w:val="bottom"/>
            <w:vMerge w:val="continue"/>
          </w:tcPr>
          <w:p>
            <w:pPr>
              <w:spacing w:after="0"/>
              <w:rPr>
                <w:sz w:val="16"/>
                <w:szCs w:val="16"/>
                <w:color w:val="auto"/>
              </w:rPr>
            </w:pPr>
          </w:p>
        </w:tc>
        <w:tc>
          <w:tcPr>
            <w:tcW w:w="5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99"/>
        </w:trPr>
        <w:tc>
          <w:tcPr>
            <w:tcW w:w="7180" w:type="dxa"/>
            <w:vAlign w:val="bottom"/>
          </w:tcPr>
          <w:p>
            <w:pPr>
              <w:spacing w:after="0"/>
              <w:rPr>
                <w:sz w:val="20"/>
                <w:szCs w:val="20"/>
                <w:color w:val="auto"/>
              </w:rPr>
            </w:pPr>
            <w:r>
              <w:rPr>
                <w:rFonts w:ascii="Arial" w:cs="Arial" w:eastAsia="Arial" w:hAnsi="Arial"/>
                <w:sz w:val="16"/>
                <w:szCs w:val="16"/>
                <w:color w:val="auto"/>
              </w:rPr>
              <w:t>Cash</w:t>
            </w:r>
          </w:p>
        </w:tc>
        <w:tc>
          <w:tcPr>
            <w:tcW w:w="50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9"/>
        </w:trPr>
        <w:tc>
          <w:tcPr>
            <w:tcW w:w="71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50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199"/>
        </w:trPr>
        <w:tc>
          <w:tcPr>
            <w:tcW w:w="7180" w:type="dxa"/>
            <w:vAlign w:val="bottom"/>
          </w:tcPr>
          <w:p>
            <w:pPr>
              <w:spacing w:after="0"/>
              <w:rPr>
                <w:sz w:val="20"/>
                <w:szCs w:val="20"/>
                <w:color w:val="auto"/>
              </w:rPr>
            </w:pPr>
            <w:r>
              <w:rPr>
                <w:rFonts w:ascii="Arial" w:cs="Arial" w:eastAsia="Arial" w:hAnsi="Arial"/>
                <w:sz w:val="16"/>
                <w:szCs w:val="16"/>
                <w:color w:val="auto"/>
              </w:rPr>
              <w:t>Other assets</w:t>
            </w:r>
          </w:p>
        </w:tc>
        <w:tc>
          <w:tcPr>
            <w:tcW w:w="50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9"/>
        </w:trPr>
        <w:tc>
          <w:tcPr>
            <w:tcW w:w="7180" w:type="dxa"/>
            <w:vAlign w:val="bottom"/>
          </w:tcPr>
          <w:p>
            <w:pPr>
              <w:spacing w:after="0"/>
              <w:rPr>
                <w:sz w:val="20"/>
                <w:szCs w:val="20"/>
                <w:color w:val="auto"/>
              </w:rPr>
            </w:pPr>
            <w:r>
              <w:rPr>
                <w:rFonts w:ascii="Arial" w:cs="Arial" w:eastAsia="Arial" w:hAnsi="Arial"/>
                <w:sz w:val="16"/>
                <w:szCs w:val="16"/>
                <w:color w:val="auto"/>
              </w:rPr>
              <w:t>Accounts payable and accrued expenses</w:t>
            </w:r>
          </w:p>
        </w:tc>
        <w:tc>
          <w:tcPr>
            <w:tcW w:w="50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99"/>
        </w:trPr>
        <w:tc>
          <w:tcPr>
            <w:tcW w:w="7180" w:type="dxa"/>
            <w:vAlign w:val="bottom"/>
          </w:tcPr>
          <w:p>
            <w:pPr>
              <w:spacing w:after="0"/>
              <w:rPr>
                <w:sz w:val="20"/>
                <w:szCs w:val="20"/>
                <w:color w:val="auto"/>
              </w:rPr>
            </w:pPr>
            <w:r>
              <w:rPr>
                <w:rFonts w:ascii="Arial" w:cs="Arial" w:eastAsia="Arial" w:hAnsi="Arial"/>
                <w:sz w:val="16"/>
                <w:szCs w:val="16"/>
                <w:color w:val="auto"/>
              </w:rPr>
              <w:t>Long-term debt, including current portion</w:t>
            </w:r>
          </w:p>
        </w:tc>
        <w:tc>
          <w:tcPr>
            <w:tcW w:w="50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99"/>
        </w:trPr>
        <w:tc>
          <w:tcPr>
            <w:tcW w:w="718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50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6"/>
        </w:trPr>
        <w:tc>
          <w:tcPr>
            <w:tcW w:w="7180" w:type="dxa"/>
            <w:vAlign w:val="bottom"/>
          </w:tcPr>
          <w:p>
            <w:pPr>
              <w:spacing w:after="0"/>
              <w:rPr>
                <w:sz w:val="20"/>
                <w:szCs w:val="20"/>
                <w:color w:val="auto"/>
              </w:rPr>
            </w:pPr>
            <w:r>
              <w:rPr>
                <w:rFonts w:ascii="Arial" w:cs="Arial" w:eastAsia="Arial" w:hAnsi="Arial"/>
                <w:sz w:val="16"/>
                <w:szCs w:val="16"/>
                <w:color w:val="auto"/>
              </w:rPr>
              <w:t>Accumulated other comprehensive income</w:t>
            </w:r>
          </w:p>
        </w:tc>
        <w:tc>
          <w:tcPr>
            <w:tcW w:w="50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7180" w:type="dxa"/>
            <w:vAlign w:val="bottom"/>
          </w:tcPr>
          <w:p>
            <w:pPr>
              <w:spacing w:after="0"/>
              <w:rPr>
                <w:sz w:val="20"/>
                <w:szCs w:val="20"/>
                <w:color w:val="auto"/>
              </w:rPr>
            </w:pPr>
            <w:r>
              <w:rPr>
                <w:rFonts w:ascii="Arial" w:cs="Arial" w:eastAsia="Arial" w:hAnsi="Arial"/>
                <w:sz w:val="16"/>
                <w:szCs w:val="16"/>
                <w:color w:val="auto"/>
              </w:rPr>
              <w:t>Gain on sale of equity interest and assets</w:t>
            </w:r>
          </w:p>
        </w:tc>
        <w:tc>
          <w:tcPr>
            <w:tcW w:w="5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73"/>
        </w:trPr>
        <w:tc>
          <w:tcPr>
            <w:tcW w:w="718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Equity method investment upon deconsolidation</w:t>
            </w:r>
          </w:p>
        </w:tc>
        <w:tc>
          <w:tcPr>
            <w:tcW w:w="500" w:type="dxa"/>
            <w:vAlign w:val="bottom"/>
            <w:tcBorders>
              <w:bottom w:val="single" w:sz="8" w:color="auto"/>
            </w:tcBorders>
          </w:tcPr>
          <w:p>
            <w:pPr>
              <w:jc w:val="right"/>
              <w:ind w:right="80"/>
              <w:spacing w:after="0" w:line="166" w:lineRule="exact"/>
              <w:rPr>
                <w:sz w:val="20"/>
                <w:szCs w:val="20"/>
                <w:color w:val="auto"/>
              </w:rPr>
            </w:pPr>
            <w:r>
              <w:rPr>
                <w:rFonts w:ascii="Arial" w:cs="Arial" w:eastAsia="Arial" w:hAnsi="Arial"/>
                <w:sz w:val="16"/>
                <w:szCs w:val="16"/>
                <w:color w:val="auto"/>
              </w:rPr>
              <w:t>$</w:t>
            </w:r>
          </w:p>
        </w:tc>
        <w:tc>
          <w:tcPr>
            <w:tcW w:w="24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both"/>
        <w:ind w:right="140"/>
        <w:spacing w:after="0" w:line="245" w:lineRule="auto"/>
        <w:rPr>
          <w:sz w:val="20"/>
          <w:szCs w:val="20"/>
          <w:color w:val="auto"/>
        </w:rPr>
      </w:pPr>
      <w:r>
        <w:rPr>
          <w:rFonts w:ascii="Times New Roman" w:cs="Times New Roman" w:eastAsia="Times New Roman" w:hAnsi="Times New Roman"/>
          <w:sz w:val="18"/>
          <w:szCs w:val="18"/>
          <w:color w:val="auto"/>
        </w:rPr>
        <w:t>In May 2014, Sempra Renewables invested $109 million, subject to a commitment for a purchase price adjustment to be based on financial position at closing, to become a 50-percent partner with ConEdison Development in four solar projects in California. We discuss our investment in the California solar partnership further in Note 4.</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NATURAL GAS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Mesquite Power Sale</w:t>
      </w:r>
    </w:p>
    <w:p>
      <w:pPr>
        <w:spacing w:after="0" w:line="215"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In February 2013, Sempra Natural Gas sold one 625-MW block of its 1,250-MW Mesquite Power natural gas-fired power plant in Arizona, including a portion related to common plant, for approximately $371 million in cash to the Salt River Project Agricultural Improvement and Power District (SRP). We recognized a pretax gain on the sale of $74 million ($44 million after-tax), included in Gain on Sale of Equity Interest and Assets on our Condensed Consolidated Statement of Operations for the six months ended June 30, 2013.</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Asset Held for Sale, Power Plant</w:t>
      </w:r>
    </w:p>
    <w:p>
      <w:pPr>
        <w:spacing w:after="0" w:line="21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In January 2014, management approved a formal plan to market and sell the remaining 625-MW block of the Mesquite Power plant. We expect to complete the sale in 2014.</w:t>
      </w:r>
    </w:p>
    <w:p>
      <w:pPr>
        <w:spacing w:after="0" w:line="16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classify assets as held for sale when management approves and commits to a formal plan to actively market an asset for sale and we expect the sale to close within the next twelve months. Upon classifying an asset as held for sale, we record the asset at the lower of its carrying value or its estimated fair value reduced for selling costs, and we stop recording depreciation expense on the asset.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2014, the carrying amount of the major classes of assets and related liability held for sale associated with the plant includes the following:</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1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35"/>
        </w:trPr>
        <w:tc>
          <w:tcPr>
            <w:tcW w:w="9380" w:type="dxa"/>
            <w:vAlign w:val="bottom"/>
          </w:tcPr>
          <w:p>
            <w:pPr>
              <w:spacing w:after="0" w:line="135" w:lineRule="exact"/>
              <w:rPr>
                <w:sz w:val="20"/>
                <w:szCs w:val="20"/>
                <w:color w:val="auto"/>
              </w:rPr>
            </w:pPr>
            <w:r>
              <w:rPr>
                <w:rFonts w:ascii="Arial" w:cs="Arial" w:eastAsia="Arial" w:hAnsi="Arial"/>
                <w:sz w:val="15"/>
                <w:szCs w:val="15"/>
                <w:color w:val="auto"/>
              </w:rPr>
              <w:t>Property, plant and equipment, net</w:t>
            </w:r>
          </w:p>
        </w:tc>
        <w:tc>
          <w:tcPr>
            <w:tcW w:w="1200" w:type="dxa"/>
            <w:vAlign w:val="bottom"/>
          </w:tcPr>
          <w:p>
            <w:pPr>
              <w:jc w:val="right"/>
              <w:ind w:right="443"/>
              <w:spacing w:after="0" w:line="135"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290</w:t>
            </w:r>
          </w:p>
        </w:tc>
      </w:tr>
      <w:tr>
        <w:trPr>
          <w:trHeight w:val="204"/>
        </w:trPr>
        <w:tc>
          <w:tcPr>
            <w:tcW w:w="9380" w:type="dxa"/>
            <w:vAlign w:val="bottom"/>
          </w:tcPr>
          <w:p>
            <w:pPr>
              <w:spacing w:after="0"/>
              <w:rPr>
                <w:sz w:val="20"/>
                <w:szCs w:val="20"/>
                <w:color w:val="auto"/>
              </w:rPr>
            </w:pPr>
            <w:r>
              <w:rPr>
                <w:rFonts w:ascii="Arial" w:cs="Arial" w:eastAsia="Arial" w:hAnsi="Arial"/>
                <w:sz w:val="16"/>
                <w:szCs w:val="16"/>
                <w:color w:val="auto"/>
              </w:rPr>
              <w:t>Inventories</w:t>
            </w:r>
          </w:p>
        </w:tc>
        <w:tc>
          <w:tcPr>
            <w:tcW w:w="1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35"/>
        </w:trPr>
        <w:tc>
          <w:tcPr>
            <w:tcW w:w="9380" w:type="dxa"/>
            <w:vAlign w:val="bottom"/>
          </w:tcPr>
          <w:p>
            <w:pPr>
              <w:ind w:left="140"/>
              <w:spacing w:after="0" w:line="135" w:lineRule="exact"/>
              <w:rPr>
                <w:sz w:val="20"/>
                <w:szCs w:val="20"/>
                <w:color w:val="auto"/>
              </w:rPr>
            </w:pPr>
            <w:r>
              <w:rPr>
                <w:rFonts w:ascii="Arial" w:cs="Arial" w:eastAsia="Arial" w:hAnsi="Arial"/>
                <w:sz w:val="15"/>
                <w:szCs w:val="15"/>
                <w:color w:val="auto"/>
              </w:rPr>
              <w:t>Total assets held for sale</w:t>
            </w:r>
          </w:p>
        </w:tc>
        <w:tc>
          <w:tcPr>
            <w:tcW w:w="1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293</w:t>
            </w:r>
          </w:p>
        </w:tc>
      </w:tr>
      <w:tr>
        <w:trPr>
          <w:trHeight w:val="204"/>
        </w:trPr>
        <w:tc>
          <w:tcPr>
            <w:tcW w:w="9380" w:type="dxa"/>
            <w:vAlign w:val="bottom"/>
          </w:tcPr>
          <w:p>
            <w:pPr>
              <w:spacing w:after="0"/>
              <w:rPr>
                <w:sz w:val="20"/>
                <w:szCs w:val="20"/>
                <w:color w:val="auto"/>
              </w:rPr>
            </w:pPr>
            <w:r>
              <w:rPr>
                <w:rFonts w:ascii="Arial" w:cs="Arial" w:eastAsia="Arial" w:hAnsi="Arial"/>
                <w:sz w:val="16"/>
                <w:szCs w:val="16"/>
                <w:color w:val="auto"/>
              </w:rPr>
              <w:t>Liability held for sale - asset retirement obligation(1)</w:t>
            </w:r>
          </w:p>
        </w:tc>
        <w:tc>
          <w:tcPr>
            <w:tcW w:w="1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97"/>
        </w:trPr>
        <w:tc>
          <w:tcPr>
            <w:tcW w:w="9380" w:type="dxa"/>
            <w:vAlign w:val="bottom"/>
          </w:tcPr>
          <w:p>
            <w:pPr>
              <w:ind w:left="140"/>
              <w:spacing w:after="0"/>
              <w:rPr>
                <w:sz w:val="20"/>
                <w:szCs w:val="20"/>
                <w:color w:val="auto"/>
              </w:rPr>
            </w:pPr>
            <w:r>
              <w:rPr>
                <w:rFonts w:ascii="Arial" w:cs="Arial" w:eastAsia="Arial" w:hAnsi="Arial"/>
                <w:sz w:val="16"/>
                <w:szCs w:val="16"/>
                <w:color w:val="auto"/>
              </w:rPr>
              <w:t>Total</w:t>
            </w:r>
          </w:p>
        </w:tc>
        <w:tc>
          <w:tcPr>
            <w:tcW w:w="1200" w:type="dxa"/>
            <w:vAlign w:val="bottom"/>
          </w:tcPr>
          <w:p>
            <w:pPr>
              <w:jc w:val="right"/>
              <w:ind w:right="443"/>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2485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920" w:hanging="914"/>
        <w:spacing w:after="0"/>
        <w:tabs>
          <w:tab w:leader="none" w:pos="9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Other Current Liabilities on the Condensed Consolidated Balance Sheet.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including estimated costs to sell, exceeds the carrying amount at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344170</wp:posOffset>
            </wp:positionV>
            <wp:extent cx="72656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ectPr>
          <w:pgSz w:w="11900" w:h="16838" w:orient="portrait"/>
          <w:cols w:equalWidth="0" w:num="1">
            <w:col w:w="11420"/>
          </w:cols>
          <w:pgMar w:left="240" w:top="763" w:right="239" w:bottom="317" w:gutter="0" w:footer="0" w:header="0"/>
        </w:sectPr>
      </w:pPr>
    </w:p>
    <w:bookmarkStart w:id="13" w:name="page14"/>
    <w:bookmarkEnd w:id="13"/>
    <w:p>
      <w:pPr>
        <w:spacing w:after="0" w:line="73" w:lineRule="exact"/>
        <w:rPr>
          <w:sz w:val="20"/>
          <w:szCs w:val="20"/>
          <w:color w:val="auto"/>
        </w:rPr>
      </w:pPr>
    </w:p>
    <w:p>
      <w:pPr>
        <w:spacing w:after="0"/>
        <w:rPr>
          <w:sz w:val="20"/>
          <w:szCs w:val="20"/>
          <w:color w:val="auto"/>
        </w:rPr>
      </w:pPr>
      <w:r>
        <w:rPr>
          <w:rFonts w:ascii="Arial" w:cs="Arial" w:eastAsia="Arial" w:hAnsi="Arial"/>
          <w:sz w:val="19"/>
          <w:szCs w:val="19"/>
          <w:color w:val="auto"/>
        </w:rPr>
        <w:t>NOTE 4. INVESTMENTS IN UNCONSOLIDATED ENTITIES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provide additional information concerning our equity method investments in Note 4 of the Notes to Consolidated Financial Statements in the Annual Report.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SOUTH AMERICAN UTILITIES</w:t>
      </w:r>
    </w:p>
    <w:p>
      <w:pPr>
        <w:spacing w:after="0" w:line="22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Sempra South American Utilities previously owned 43 percent of two Argentine natural gas utility holding companies, Sodigas Pampeana and Sodigas Sur. In the first quarter of 2013, we recorded a noncash impairment charge of $10 million ($7 million after-tax) to reduce the carrying value of our investments to estimated fair value at that time. The net charge is reported in Equity Earnings, Net of Income Tax on the Condensed Consolidated Statement of Operations for the six months ended June 30, 2013. In June 2013, we completed the sale of our Argentine investments for $13 million in cash. Our results for the three months and six months ended June 30, 2013 include an additional $7 million loss ($4 million after-tax) on the sale, which is also included in Equity Earnings, Net of Income Tax.</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RENEWABLES</w:t>
      </w:r>
    </w:p>
    <w:p>
      <w:pPr>
        <w:spacing w:after="0" w:line="22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May 2014, Sempra Renewables invested $109 million, subject to a purchase price adjustment, to become a 50-percent partner with ConEdison Development in four solar projects in California. The joint venture includes ConEdison Development’s CED California Holdings, LLC portfolio, which consists of the 50-MW Alpaugh 50, the 20-MW Alpaugh North and the 20-MW White River 1 facilities in Tulare County, and the 20-MW Corcoran 1 facility in Kings County (collectively, the California solar partnership). The renewable power from all of the projects has been sold under long-term contracts. Sempra Renewables and ConEdison Development each own a 50-percent interest in the four fully operating solar facilities.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second quarter of 2014, subsequent to the deconsolidation of Copper Mountain Solar 3, Sempra Renewables invested $45 million in the joint venture.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RBS SEMPRA COMMODITIES</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RBS Sempra Commodities LLP (RBS Sempra Commodities) is a United Kingdom limited liability partnership that owned and operated commodities-marketing businesses previously owned by us. We and our partner in the joint venture, The Royal Bank of Scotland plc (RBS), sold substantially all of the partnership’s businesses and assets in four separate transactions completed in 2010 and early 2011. We account for our investment in RBS Sempra Commodities under the equity method, and report our share of partnership earnings and other associated costs, if any, in Equity Earnings, Before Income Tax on our Condensed Consolidated Statements of Operations.</w:t>
      </w:r>
    </w:p>
    <w:p>
      <w:pPr>
        <w:spacing w:after="0" w:line="1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received a distribution from the partnership of $50 million in May 2013. The investment balance of $73 million at June 30, 2014 reflects remaining distributions expected to be received from the partnership in accordance with provisions of a 2011 agreement between us and RBS that addresses the wind-down of the partnership and the distribution of the partnership’s remaining assets. The timing and amount of distributions may be impacted by the matters we discuss related to RBS Sempra Commodities in Note 11 under “Other Litigation.” In addition, amounts may be retained by the partnership for an extended period of time to help offset unanticipated future general and administrative costs necessary to complete the dissolution of the partnership.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no equity earnings or losses related to the partnership for any of the three-month or six-month periods ended June 30,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353060</wp:posOffset>
            </wp:positionV>
            <wp:extent cx="72656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NOTE 5. OTHER FINANCIAL DATA</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TREASURY GRANTS</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At December 31, 2012, we had receivables for U.S. Treasury grants based on eligible costs at certain of our renewable generating facilities. During the first quarter of 2013, the federal government imposed automatic federal budget cuts, known as “sequestration,” as required by The Budget Control Act of 2011. As a result, we recorded a reduction to our grants receivable of $23 million and a reversal of income tax benefit of $5 million during the first quarter of 2013. In June 2013, we received $74 million in cash related to the Copper Mountain Solar 2 grant.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by segment are as follows: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3"/>
            <w:vMerge w:val="restart"/>
          </w:tcPr>
          <w:p>
            <w:pPr>
              <w:jc w:val="center"/>
              <w:ind w:right="142"/>
              <w:spacing w:after="0"/>
              <w:rPr>
                <w:sz w:val="20"/>
                <w:szCs w:val="20"/>
                <w:color w:val="auto"/>
              </w:rPr>
            </w:pPr>
            <w:r>
              <w:rPr>
                <w:rFonts w:ascii="Arial" w:cs="Arial" w:eastAsia="Arial" w:hAnsi="Arial"/>
                <w:sz w:val="14"/>
                <w:szCs w:val="14"/>
                <w:color w:val="auto"/>
              </w:rPr>
              <w:t>Natural Gas</w:t>
            </w:r>
          </w:p>
        </w:tc>
        <w:tc>
          <w:tcPr>
            <w:tcW w:w="180" w:type="dxa"/>
            <w:vAlign w:val="bottom"/>
          </w:tcPr>
          <w:p>
            <w:pPr>
              <w:spacing w:after="0"/>
              <w:rPr>
                <w:sz w:val="14"/>
                <w:szCs w:val="14"/>
                <w:color w:val="auto"/>
              </w:rPr>
            </w:pPr>
          </w:p>
        </w:tc>
        <w:tc>
          <w:tcPr>
            <w:tcW w:w="2140" w:type="dxa"/>
            <w:vAlign w:val="bottom"/>
            <w:gridSpan w:val="3"/>
            <w:vMerge w:val="restart"/>
          </w:tcPr>
          <w:p>
            <w:pPr>
              <w:jc w:val="right"/>
              <w:ind w:right="422"/>
              <w:spacing w:after="0"/>
              <w:rPr>
                <w:sz w:val="20"/>
                <w:szCs w:val="20"/>
                <w:color w:val="auto"/>
              </w:rPr>
            </w:pPr>
            <w:r>
              <w:rPr>
                <w:rFonts w:ascii="Arial" w:cs="Arial" w:eastAsia="Arial" w:hAnsi="Arial"/>
                <w:sz w:val="14"/>
                <w:szCs w:val="14"/>
                <w:color w:val="auto"/>
              </w:rPr>
              <w:t>Liquefied Natural Gas</w:t>
            </w:r>
          </w:p>
        </w:tc>
        <w:tc>
          <w:tcPr>
            <w:tcW w:w="200" w:type="dxa"/>
            <w:vAlign w:val="bottom"/>
          </w:tcPr>
          <w:p>
            <w:pPr>
              <w:spacing w:after="0"/>
              <w:rPr>
                <w:sz w:val="14"/>
                <w:szCs w:val="14"/>
                <w:color w:val="auto"/>
              </w:rPr>
            </w:pPr>
          </w:p>
        </w:tc>
        <w:tc>
          <w:tcPr>
            <w:tcW w:w="2120" w:type="dxa"/>
            <w:vAlign w:val="bottom"/>
            <w:gridSpan w:val="3"/>
            <w:vMerge w:val="restart"/>
          </w:tcPr>
          <w:p>
            <w:pPr>
              <w:jc w:val="center"/>
              <w:ind w:right="142"/>
              <w:spacing w:after="0"/>
              <w:rPr>
                <w:sz w:val="20"/>
                <w:szCs w:val="20"/>
                <w:color w:val="auto"/>
              </w:rPr>
            </w:pPr>
            <w:r>
              <w:rPr>
                <w:rFonts w:ascii="Arial" w:cs="Arial" w:eastAsia="Arial" w:hAnsi="Arial"/>
                <w:sz w:val="14"/>
                <w:szCs w:val="14"/>
                <w:color w:val="auto"/>
              </w:rPr>
              <w:t>Materials and Supplies</w:t>
            </w:r>
          </w:p>
        </w:tc>
        <w:tc>
          <w:tcPr>
            <w:tcW w:w="200" w:type="dxa"/>
            <w:vAlign w:val="bottom"/>
          </w:tcPr>
          <w:p>
            <w:pPr>
              <w:spacing w:after="0"/>
              <w:rPr>
                <w:sz w:val="14"/>
                <w:szCs w:val="14"/>
                <w:color w:val="auto"/>
              </w:rPr>
            </w:pPr>
          </w:p>
        </w:tc>
        <w:tc>
          <w:tcPr>
            <w:tcW w:w="2180" w:type="dxa"/>
            <w:vAlign w:val="bottom"/>
            <w:gridSpan w:val="3"/>
            <w:vMerge w:val="restart"/>
          </w:tcPr>
          <w:p>
            <w:pPr>
              <w:jc w:val="center"/>
              <w:ind w:right="162"/>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66"/>
        </w:trPr>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vMerge w:val="continue"/>
          </w:tcPr>
          <w:p>
            <w:pPr>
              <w:spacing w:after="0"/>
              <w:rPr>
                <w:sz w:val="14"/>
                <w:szCs w:val="14"/>
                <w:color w:val="auto"/>
              </w:rPr>
            </w:pPr>
          </w:p>
        </w:tc>
        <w:tc>
          <w:tcPr>
            <w:tcW w:w="180" w:type="dxa"/>
            <w:vAlign w:val="bottom"/>
            <w:tcBorders>
              <w:left w:val="single" w:sz="8" w:color="auto"/>
              <w:bottom w:val="single" w:sz="8" w:color="auto"/>
            </w:tcBorders>
          </w:tcPr>
          <w:p>
            <w:pPr>
              <w:spacing w:after="0"/>
              <w:rPr>
                <w:sz w:val="14"/>
                <w:szCs w:val="14"/>
                <w:color w:val="auto"/>
              </w:rPr>
            </w:pPr>
          </w:p>
        </w:tc>
        <w:tc>
          <w:tcPr>
            <w:tcW w:w="2140" w:type="dxa"/>
            <w:vAlign w:val="bottom"/>
            <w:tcBorders>
              <w:bottom w:val="single" w:sz="8" w:color="auto"/>
            </w:tcBorders>
            <w:gridSpan w:val="3"/>
            <w:vMerge w:val="continue"/>
          </w:tcPr>
          <w:p>
            <w:pPr>
              <w:spacing w:after="0"/>
              <w:rPr>
                <w:sz w:val="14"/>
                <w:szCs w:val="14"/>
                <w:color w:val="auto"/>
              </w:rPr>
            </w:pPr>
          </w:p>
        </w:tc>
        <w:tc>
          <w:tcPr>
            <w:tcW w:w="200" w:type="dxa"/>
            <w:vAlign w:val="bottom"/>
            <w:tcBorders>
              <w:left w:val="single" w:sz="8" w:color="auto"/>
              <w:bottom w:val="single" w:sz="8" w:color="auto"/>
            </w:tcBorders>
          </w:tcPr>
          <w:p>
            <w:pPr>
              <w:spacing w:after="0"/>
              <w:rPr>
                <w:sz w:val="14"/>
                <w:szCs w:val="14"/>
                <w:color w:val="auto"/>
              </w:rPr>
            </w:pPr>
          </w:p>
        </w:tc>
        <w:tc>
          <w:tcPr>
            <w:tcW w:w="2120" w:type="dxa"/>
            <w:vAlign w:val="bottom"/>
            <w:tcBorders>
              <w:bottom w:val="single" w:sz="8" w:color="auto"/>
            </w:tcBorders>
            <w:gridSpan w:val="3"/>
            <w:vMerge w:val="continue"/>
          </w:tcPr>
          <w:p>
            <w:pPr>
              <w:spacing w:after="0"/>
              <w:rPr>
                <w:sz w:val="14"/>
                <w:szCs w:val="14"/>
                <w:color w:val="auto"/>
              </w:rPr>
            </w:pPr>
          </w:p>
        </w:tc>
        <w:tc>
          <w:tcPr>
            <w:tcW w:w="200" w:type="dxa"/>
            <w:vAlign w:val="bottom"/>
            <w:tcBorders>
              <w:left w:val="single" w:sz="8" w:color="auto"/>
              <w:bottom w:val="single" w:sz="8" w:color="auto"/>
            </w:tcBorders>
          </w:tcPr>
          <w:p>
            <w:pPr>
              <w:spacing w:after="0"/>
              <w:rPr>
                <w:sz w:val="14"/>
                <w:szCs w:val="14"/>
                <w:color w:val="auto"/>
              </w:rPr>
            </w:pPr>
          </w:p>
        </w:tc>
        <w:tc>
          <w:tcPr>
            <w:tcW w:w="218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183"/>
              <w:spacing w:after="0" w:line="146" w:lineRule="exact"/>
              <w:rPr>
                <w:sz w:val="20"/>
                <w:szCs w:val="20"/>
                <w:color w:val="auto"/>
              </w:rPr>
            </w:pPr>
            <w:r>
              <w:rPr>
                <w:rFonts w:ascii="Arial" w:cs="Arial" w:eastAsia="Arial" w:hAnsi="Arial"/>
                <w:sz w:val="14"/>
                <w:szCs w:val="14"/>
                <w:color w:val="auto"/>
              </w:rPr>
              <w:t>June 30,</w:t>
            </w:r>
          </w:p>
        </w:tc>
        <w:tc>
          <w:tcPr>
            <w:tcW w:w="140" w:type="dxa"/>
            <w:vAlign w:val="bottom"/>
          </w:tcPr>
          <w:p>
            <w:pPr>
              <w:spacing w:after="0"/>
              <w:rPr>
                <w:sz w:val="12"/>
                <w:szCs w:val="12"/>
                <w:color w:val="auto"/>
              </w:rPr>
            </w:pPr>
          </w:p>
        </w:tc>
        <w:tc>
          <w:tcPr>
            <w:tcW w:w="1100" w:type="dxa"/>
            <w:vAlign w:val="bottom"/>
          </w:tcPr>
          <w:p>
            <w:pPr>
              <w:jc w:val="right"/>
              <w:ind w:right="82"/>
              <w:spacing w:after="0" w:line="146" w:lineRule="exact"/>
              <w:rPr>
                <w:sz w:val="20"/>
                <w:szCs w:val="20"/>
                <w:color w:val="auto"/>
              </w:rPr>
            </w:pPr>
            <w:r>
              <w:rPr>
                <w:rFonts w:ascii="Arial" w:cs="Arial" w:eastAsia="Arial" w:hAnsi="Arial"/>
                <w:sz w:val="14"/>
                <w:szCs w:val="14"/>
                <w:color w:val="auto"/>
              </w:rPr>
              <w:t>December 31,</w:t>
            </w:r>
          </w:p>
        </w:tc>
        <w:tc>
          <w:tcPr>
            <w:tcW w:w="180" w:type="dxa"/>
            <w:vAlign w:val="bottom"/>
            <w:tcBorders>
              <w:left w:val="single" w:sz="8" w:color="auto"/>
            </w:tcBorders>
          </w:tcPr>
          <w:p>
            <w:pPr>
              <w:spacing w:after="0"/>
              <w:rPr>
                <w:sz w:val="12"/>
                <w:szCs w:val="12"/>
                <w:color w:val="auto"/>
              </w:rPr>
            </w:pPr>
          </w:p>
        </w:tc>
        <w:tc>
          <w:tcPr>
            <w:tcW w:w="900" w:type="dxa"/>
            <w:vAlign w:val="bottom"/>
          </w:tcPr>
          <w:p>
            <w:pPr>
              <w:jc w:val="right"/>
              <w:ind w:right="183"/>
              <w:spacing w:after="0" w:line="146" w:lineRule="exact"/>
              <w:rPr>
                <w:sz w:val="20"/>
                <w:szCs w:val="20"/>
                <w:color w:val="auto"/>
              </w:rPr>
            </w:pPr>
            <w:r>
              <w:rPr>
                <w:rFonts w:ascii="Arial" w:cs="Arial" w:eastAsia="Arial" w:hAnsi="Arial"/>
                <w:sz w:val="14"/>
                <w:szCs w:val="14"/>
                <w:color w:val="auto"/>
              </w:rPr>
              <w:t>June 30,</w:t>
            </w:r>
          </w:p>
        </w:tc>
        <w:tc>
          <w:tcPr>
            <w:tcW w:w="140" w:type="dxa"/>
            <w:vAlign w:val="bottom"/>
          </w:tcPr>
          <w:p>
            <w:pPr>
              <w:spacing w:after="0"/>
              <w:rPr>
                <w:sz w:val="12"/>
                <w:szCs w:val="12"/>
                <w:color w:val="auto"/>
              </w:rPr>
            </w:pPr>
          </w:p>
        </w:tc>
        <w:tc>
          <w:tcPr>
            <w:tcW w:w="1100" w:type="dxa"/>
            <w:vAlign w:val="bottom"/>
          </w:tcPr>
          <w:p>
            <w:pPr>
              <w:jc w:val="right"/>
              <w:ind w:right="82"/>
              <w:spacing w:after="0" w:line="146" w:lineRule="exact"/>
              <w:rPr>
                <w:sz w:val="20"/>
                <w:szCs w:val="20"/>
                <w:color w:val="auto"/>
              </w:rPr>
            </w:pPr>
            <w:r>
              <w:rPr>
                <w:rFonts w:ascii="Arial" w:cs="Arial" w:eastAsia="Arial" w:hAnsi="Arial"/>
                <w:sz w:val="14"/>
                <w:szCs w:val="14"/>
                <w:color w:val="auto"/>
              </w:rPr>
              <w:t>December 31,</w:t>
            </w:r>
          </w:p>
        </w:tc>
        <w:tc>
          <w:tcPr>
            <w:tcW w:w="200" w:type="dxa"/>
            <w:vAlign w:val="bottom"/>
            <w:tcBorders>
              <w:left w:val="single" w:sz="8" w:color="auto"/>
            </w:tcBorders>
          </w:tcPr>
          <w:p>
            <w:pPr>
              <w:spacing w:after="0"/>
              <w:rPr>
                <w:sz w:val="12"/>
                <w:szCs w:val="12"/>
                <w:color w:val="auto"/>
              </w:rPr>
            </w:pPr>
          </w:p>
        </w:tc>
        <w:tc>
          <w:tcPr>
            <w:tcW w:w="880" w:type="dxa"/>
            <w:vAlign w:val="bottom"/>
          </w:tcPr>
          <w:p>
            <w:pPr>
              <w:jc w:val="right"/>
              <w:ind w:right="183"/>
              <w:spacing w:after="0" w:line="146" w:lineRule="exact"/>
              <w:rPr>
                <w:sz w:val="20"/>
                <w:szCs w:val="20"/>
                <w:color w:val="auto"/>
              </w:rPr>
            </w:pPr>
            <w:r>
              <w:rPr>
                <w:rFonts w:ascii="Arial" w:cs="Arial" w:eastAsia="Arial" w:hAnsi="Arial"/>
                <w:sz w:val="14"/>
                <w:szCs w:val="14"/>
                <w:color w:val="auto"/>
              </w:rPr>
              <w:t>June 30,</w:t>
            </w:r>
          </w:p>
        </w:tc>
        <w:tc>
          <w:tcPr>
            <w:tcW w:w="140" w:type="dxa"/>
            <w:vAlign w:val="bottom"/>
          </w:tcPr>
          <w:p>
            <w:pPr>
              <w:spacing w:after="0"/>
              <w:rPr>
                <w:sz w:val="12"/>
                <w:szCs w:val="12"/>
                <w:color w:val="auto"/>
              </w:rPr>
            </w:pPr>
          </w:p>
        </w:tc>
        <w:tc>
          <w:tcPr>
            <w:tcW w:w="1100" w:type="dxa"/>
            <w:vAlign w:val="bottom"/>
          </w:tcPr>
          <w:p>
            <w:pPr>
              <w:jc w:val="right"/>
              <w:ind w:right="82"/>
              <w:spacing w:after="0" w:line="146" w:lineRule="exact"/>
              <w:rPr>
                <w:sz w:val="20"/>
                <w:szCs w:val="20"/>
                <w:color w:val="auto"/>
              </w:rPr>
            </w:pPr>
            <w:r>
              <w:rPr>
                <w:rFonts w:ascii="Arial" w:cs="Arial" w:eastAsia="Arial" w:hAnsi="Arial"/>
                <w:sz w:val="14"/>
                <w:szCs w:val="14"/>
                <w:color w:val="auto"/>
              </w:rPr>
              <w:t>December 31,</w:t>
            </w:r>
          </w:p>
        </w:tc>
        <w:tc>
          <w:tcPr>
            <w:tcW w:w="200" w:type="dxa"/>
            <w:vAlign w:val="bottom"/>
            <w:tcBorders>
              <w:left w:val="single" w:sz="8" w:color="auto"/>
            </w:tcBorders>
          </w:tcPr>
          <w:p>
            <w:pPr>
              <w:spacing w:after="0"/>
              <w:rPr>
                <w:sz w:val="12"/>
                <w:szCs w:val="12"/>
                <w:color w:val="auto"/>
              </w:rPr>
            </w:pPr>
          </w:p>
        </w:tc>
        <w:tc>
          <w:tcPr>
            <w:tcW w:w="900" w:type="dxa"/>
            <w:vAlign w:val="bottom"/>
          </w:tcPr>
          <w:p>
            <w:pPr>
              <w:jc w:val="right"/>
              <w:ind w:right="183"/>
              <w:spacing w:after="0" w:line="146" w:lineRule="exact"/>
              <w:rPr>
                <w:sz w:val="20"/>
                <w:szCs w:val="20"/>
                <w:color w:val="auto"/>
              </w:rPr>
            </w:pPr>
            <w:r>
              <w:rPr>
                <w:rFonts w:ascii="Arial" w:cs="Arial" w:eastAsia="Arial" w:hAnsi="Arial"/>
                <w:sz w:val="14"/>
                <w:szCs w:val="14"/>
                <w:color w:val="auto"/>
              </w:rPr>
              <w:t>June 30,</w:t>
            </w:r>
          </w:p>
        </w:tc>
        <w:tc>
          <w:tcPr>
            <w:tcW w:w="160" w:type="dxa"/>
            <w:vAlign w:val="bottom"/>
          </w:tcPr>
          <w:p>
            <w:pPr>
              <w:spacing w:after="0"/>
              <w:rPr>
                <w:sz w:val="12"/>
                <w:szCs w:val="12"/>
                <w:color w:val="auto"/>
              </w:rPr>
            </w:pPr>
          </w:p>
        </w:tc>
        <w:tc>
          <w:tcPr>
            <w:tcW w:w="1120" w:type="dxa"/>
            <w:vAlign w:val="bottom"/>
          </w:tcPr>
          <w:p>
            <w:pPr>
              <w:jc w:val="right"/>
              <w:ind w:right="102"/>
              <w:spacing w:after="0" w:line="146"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3"/>
        </w:trPr>
        <w:tc>
          <w:tcPr>
            <w:tcW w:w="1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color w:val="auto"/>
              </w:rPr>
              <w:t>2014</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2013</w:t>
            </w:r>
          </w:p>
        </w:tc>
        <w:tc>
          <w:tcPr>
            <w:tcW w:w="180" w:type="dxa"/>
            <w:vAlign w:val="bottom"/>
            <w:tcBorders>
              <w:left w:val="single" w:sz="8" w:color="auto"/>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color w:val="auto"/>
              </w:rPr>
              <w:t>2014</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2013</w:t>
            </w:r>
          </w:p>
        </w:tc>
        <w:tc>
          <w:tcPr>
            <w:tcW w:w="200" w:type="dxa"/>
            <w:vAlign w:val="bottom"/>
            <w:tcBorders>
              <w:left w:val="single" w:sz="8" w:color="auto"/>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color w:val="auto"/>
              </w:rPr>
              <w:t>2014</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2013</w:t>
            </w:r>
          </w:p>
        </w:tc>
        <w:tc>
          <w:tcPr>
            <w:tcW w:w="200" w:type="dxa"/>
            <w:vAlign w:val="bottom"/>
            <w:tcBorders>
              <w:left w:val="single" w:sz="8" w:color="auto"/>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color w:val="auto"/>
              </w:rPr>
              <w:t>2014</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39"/>
        </w:trPr>
        <w:tc>
          <w:tcPr>
            <w:tcW w:w="1920" w:type="dxa"/>
            <w:vAlign w:val="bottom"/>
          </w:tcPr>
          <w:p>
            <w:pPr>
              <w:spacing w:after="0" w:line="139" w:lineRule="exact"/>
              <w:rPr>
                <w:sz w:val="20"/>
                <w:szCs w:val="20"/>
                <w:color w:val="auto"/>
              </w:rPr>
            </w:pPr>
            <w:r>
              <w:rPr>
                <w:rFonts w:ascii="Arial" w:cs="Arial" w:eastAsia="Arial" w:hAnsi="Arial"/>
                <w:sz w:val="16"/>
                <w:szCs w:val="16"/>
                <w:color w:val="auto"/>
              </w:rPr>
              <w:t>SDG&amp;E</w:t>
            </w:r>
          </w:p>
        </w:tc>
        <w:tc>
          <w:tcPr>
            <w:tcW w:w="340" w:type="dxa"/>
            <w:vAlign w:val="bottom"/>
            <w:gridSpan w:val="2"/>
          </w:tcPr>
          <w:p>
            <w:pPr>
              <w:jc w:val="right"/>
              <w:ind w:right="100"/>
              <w:spacing w:after="0" w:line="13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39" w:lineRule="exact"/>
              <w:rPr>
                <w:sz w:val="20"/>
                <w:szCs w:val="20"/>
                <w:color w:val="auto"/>
              </w:rPr>
            </w:pPr>
            <w:r>
              <w:rPr>
                <w:rFonts w:ascii="Arial" w:cs="Arial" w:eastAsia="Arial" w:hAnsi="Arial"/>
                <w:sz w:val="16"/>
                <w:szCs w:val="16"/>
                <w:color w:val="auto"/>
              </w:rPr>
              <w:t>4</w:t>
            </w:r>
          </w:p>
        </w:tc>
        <w:tc>
          <w:tcPr>
            <w:tcW w:w="140" w:type="dxa"/>
            <w:vAlign w:val="bottom"/>
          </w:tcPr>
          <w:p>
            <w:pPr>
              <w:jc w:val="center"/>
              <w:spacing w:after="0" w:line="139"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39" w:lineRule="exact"/>
              <w:rPr>
                <w:sz w:val="20"/>
                <w:szCs w:val="20"/>
                <w:color w:val="auto"/>
              </w:rPr>
            </w:pPr>
            <w:r>
              <w:rPr>
                <w:rFonts w:ascii="Arial" w:cs="Arial" w:eastAsia="Arial" w:hAnsi="Arial"/>
                <w:sz w:val="16"/>
                <w:szCs w:val="16"/>
                <w:color w:val="auto"/>
              </w:rPr>
              <w:t>3</w:t>
            </w:r>
          </w:p>
        </w:tc>
        <w:tc>
          <w:tcPr>
            <w:tcW w:w="180" w:type="dxa"/>
            <w:vAlign w:val="bottom"/>
            <w:tcBorders>
              <w:left w:val="single" w:sz="8" w:color="auto"/>
            </w:tcBorders>
          </w:tcPr>
          <w:p>
            <w:pPr>
              <w:jc w:val="right"/>
              <w:spacing w:after="0" w:line="139" w:lineRule="exact"/>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spacing w:after="0" w:line="139" w:lineRule="exact"/>
              <w:rPr>
                <w:sz w:val="20"/>
                <w:szCs w:val="20"/>
                <w:color w:val="auto"/>
              </w:rPr>
            </w:pPr>
            <w:r>
              <w:rPr>
                <w:rFonts w:ascii="Arial" w:cs="Arial" w:eastAsia="Arial" w:hAnsi="Arial"/>
                <w:sz w:val="16"/>
                <w:szCs w:val="16"/>
                <w:color w:val="auto"/>
              </w:rPr>
              <w:t>― $</w:t>
            </w:r>
          </w:p>
        </w:tc>
        <w:tc>
          <w:tcPr>
            <w:tcW w:w="1100" w:type="dxa"/>
            <w:vAlign w:val="bottom"/>
          </w:tcPr>
          <w:p>
            <w:pPr>
              <w:jc w:val="right"/>
              <w:spacing w:after="0" w:line="139" w:lineRule="exact"/>
              <w:rPr>
                <w:sz w:val="20"/>
                <w:szCs w:val="20"/>
                <w:color w:val="auto"/>
              </w:rPr>
            </w:pPr>
            <w:r>
              <w:rPr>
                <w:rFonts w:ascii="Arial" w:cs="Arial" w:eastAsia="Arial" w:hAnsi="Arial"/>
                <w:sz w:val="16"/>
                <w:szCs w:val="16"/>
                <w:color w:val="auto"/>
              </w:rPr>
              <w:t>―</w:t>
            </w:r>
          </w:p>
        </w:tc>
        <w:tc>
          <w:tcPr>
            <w:tcW w:w="200" w:type="dxa"/>
            <w:vAlign w:val="bottom"/>
            <w:tcBorders>
              <w:left w:val="single" w:sz="8" w:color="auto"/>
            </w:tcBorders>
          </w:tcPr>
          <w:p>
            <w:pPr>
              <w:jc w:val="right"/>
              <w:ind w:right="20"/>
              <w:spacing w:after="0" w:line="139"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line="139" w:lineRule="exact"/>
              <w:rPr>
                <w:sz w:val="20"/>
                <w:szCs w:val="20"/>
                <w:color w:val="auto"/>
              </w:rPr>
            </w:pPr>
            <w:r>
              <w:rPr>
                <w:rFonts w:ascii="Arial" w:cs="Arial" w:eastAsia="Arial" w:hAnsi="Arial"/>
                <w:sz w:val="16"/>
                <w:szCs w:val="16"/>
                <w:color w:val="auto"/>
              </w:rPr>
              <w:t>70</w:t>
            </w:r>
          </w:p>
        </w:tc>
        <w:tc>
          <w:tcPr>
            <w:tcW w:w="140" w:type="dxa"/>
            <w:vAlign w:val="bottom"/>
          </w:tcPr>
          <w:p>
            <w:pPr>
              <w:jc w:val="center"/>
              <w:spacing w:after="0" w:line="139"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line="139" w:lineRule="exact"/>
              <w:rPr>
                <w:sz w:val="20"/>
                <w:szCs w:val="20"/>
                <w:color w:val="auto"/>
              </w:rPr>
            </w:pPr>
            <w:r>
              <w:rPr>
                <w:rFonts w:ascii="Arial" w:cs="Arial" w:eastAsia="Arial" w:hAnsi="Arial"/>
                <w:sz w:val="16"/>
                <w:szCs w:val="16"/>
                <w:color w:val="auto"/>
              </w:rPr>
              <w:t>83</w:t>
            </w:r>
          </w:p>
        </w:tc>
        <w:tc>
          <w:tcPr>
            <w:tcW w:w="200" w:type="dxa"/>
            <w:vAlign w:val="bottom"/>
            <w:tcBorders>
              <w:left w:val="single" w:sz="8" w:color="auto"/>
            </w:tcBorders>
          </w:tcPr>
          <w:p>
            <w:pPr>
              <w:jc w:val="right"/>
              <w:ind w:right="20"/>
              <w:spacing w:after="0" w:line="139"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39" w:lineRule="exact"/>
              <w:rPr>
                <w:sz w:val="20"/>
                <w:szCs w:val="20"/>
                <w:color w:val="auto"/>
              </w:rPr>
            </w:pPr>
            <w:r>
              <w:rPr>
                <w:rFonts w:ascii="Arial" w:cs="Arial" w:eastAsia="Arial" w:hAnsi="Arial"/>
                <w:sz w:val="16"/>
                <w:szCs w:val="16"/>
                <w:color w:val="auto"/>
              </w:rPr>
              <w:t>74</w:t>
            </w:r>
          </w:p>
        </w:tc>
        <w:tc>
          <w:tcPr>
            <w:tcW w:w="160" w:type="dxa"/>
            <w:vAlign w:val="bottom"/>
          </w:tcPr>
          <w:p>
            <w:pPr>
              <w:jc w:val="center"/>
              <w:spacing w:after="0" w:line="139"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line="139" w:lineRule="exact"/>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81"/>
        </w:trPr>
        <w:tc>
          <w:tcPr>
            <w:tcW w:w="1920" w:type="dxa"/>
            <w:vAlign w:val="bottom"/>
          </w:tcPr>
          <w:p>
            <w:pPr>
              <w:spacing w:after="0" w:line="181" w:lineRule="exact"/>
              <w:rPr>
                <w:sz w:val="20"/>
                <w:szCs w:val="20"/>
                <w:color w:val="auto"/>
              </w:rPr>
            </w:pPr>
            <w:r>
              <w:rPr>
                <w:rFonts w:ascii="Arial" w:cs="Arial" w:eastAsia="Arial" w:hAnsi="Arial"/>
                <w:sz w:val="16"/>
                <w:szCs w:val="16"/>
                <w:color w:val="auto"/>
              </w:rPr>
              <w:t>SoCalGas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35</w:t>
            </w:r>
          </w:p>
        </w:tc>
        <w:tc>
          <w:tcPr>
            <w:tcW w:w="140" w:type="dxa"/>
            <w:vAlign w:val="bottom"/>
          </w:tcPr>
          <w:p>
            <w:pPr>
              <w:spacing w:after="0"/>
              <w:rPr>
                <w:sz w:val="15"/>
                <w:szCs w:val="15"/>
                <w:color w:val="auto"/>
              </w:rPr>
            </w:pPr>
          </w:p>
        </w:tc>
        <w:tc>
          <w:tcPr>
            <w:tcW w:w="1100" w:type="dxa"/>
            <w:vAlign w:val="bottom"/>
          </w:tcPr>
          <w:p>
            <w:pPr>
              <w:jc w:val="right"/>
              <w:spacing w:after="0" w:line="181" w:lineRule="exact"/>
              <w:rPr>
                <w:sz w:val="20"/>
                <w:szCs w:val="20"/>
                <w:color w:val="auto"/>
              </w:rPr>
            </w:pPr>
            <w:r>
              <w:rPr>
                <w:rFonts w:ascii="Arial" w:cs="Arial" w:eastAsia="Arial" w:hAnsi="Arial"/>
                <w:sz w:val="16"/>
                <w:szCs w:val="16"/>
                <w:color w:val="auto"/>
              </w:rPr>
              <w:t>42</w:t>
            </w:r>
          </w:p>
        </w:tc>
        <w:tc>
          <w:tcPr>
            <w:tcW w:w="180" w:type="dxa"/>
            <w:vAlign w:val="bottom"/>
            <w:tcBorders>
              <w:left w:val="single" w:sz="8" w:color="auto"/>
            </w:tcBorders>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1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200" w:type="dxa"/>
            <w:vAlign w:val="bottom"/>
            <w:tcBorders>
              <w:left w:val="single" w:sz="8" w:color="auto"/>
            </w:tcBorders>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6"/>
                <w:szCs w:val="16"/>
                <w:color w:val="auto"/>
              </w:rPr>
              <w:t>28</w:t>
            </w:r>
          </w:p>
        </w:tc>
        <w:tc>
          <w:tcPr>
            <w:tcW w:w="140" w:type="dxa"/>
            <w:vAlign w:val="bottom"/>
          </w:tcPr>
          <w:p>
            <w:pPr>
              <w:spacing w:after="0"/>
              <w:rPr>
                <w:sz w:val="15"/>
                <w:szCs w:val="15"/>
                <w:color w:val="auto"/>
              </w:rPr>
            </w:pPr>
          </w:p>
        </w:tc>
        <w:tc>
          <w:tcPr>
            <w:tcW w:w="1100" w:type="dxa"/>
            <w:vAlign w:val="bottom"/>
          </w:tcPr>
          <w:p>
            <w:pPr>
              <w:jc w:val="right"/>
              <w:spacing w:after="0" w:line="181" w:lineRule="exact"/>
              <w:rPr>
                <w:sz w:val="20"/>
                <w:szCs w:val="20"/>
                <w:color w:val="auto"/>
              </w:rPr>
            </w:pPr>
            <w:r>
              <w:rPr>
                <w:rFonts w:ascii="Arial" w:cs="Arial" w:eastAsia="Arial" w:hAnsi="Arial"/>
                <w:sz w:val="16"/>
                <w:szCs w:val="16"/>
                <w:color w:val="auto"/>
              </w:rPr>
              <w:t>27</w:t>
            </w:r>
          </w:p>
        </w:tc>
        <w:tc>
          <w:tcPr>
            <w:tcW w:w="200" w:type="dxa"/>
            <w:vAlign w:val="bottom"/>
            <w:tcBorders>
              <w:left w:val="single" w:sz="8" w:color="auto"/>
            </w:tcBorders>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63</w:t>
            </w:r>
          </w:p>
        </w:tc>
        <w:tc>
          <w:tcPr>
            <w:tcW w:w="160" w:type="dxa"/>
            <w:vAlign w:val="bottom"/>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73"/>
        </w:trPr>
        <w:tc>
          <w:tcPr>
            <w:tcW w:w="1920" w:type="dxa"/>
            <w:vAlign w:val="bottom"/>
          </w:tcPr>
          <w:p>
            <w:pPr>
              <w:spacing w:after="0" w:line="173" w:lineRule="exact"/>
              <w:rPr>
                <w:sz w:val="20"/>
                <w:szCs w:val="20"/>
                <w:color w:val="auto"/>
              </w:rPr>
            </w:pPr>
            <w:r>
              <w:rPr>
                <w:rFonts w:ascii="Arial" w:cs="Arial" w:eastAsia="Arial" w:hAnsi="Arial"/>
                <w:sz w:val="16"/>
                <w:szCs w:val="16"/>
                <w:color w:val="auto"/>
              </w:rPr>
              <w:t>Sempra South American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left w:val="single" w:sz="8" w:color="auto"/>
            </w:tcBorders>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auto"/>
            </w:tcBorders>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200" w:type="dxa"/>
            <w:vAlign w:val="bottom"/>
            <w:tcBorders>
              <w:left w:val="single" w:sz="8" w:color="auto"/>
            </w:tcBorders>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64"/>
        </w:trPr>
        <w:tc>
          <w:tcPr>
            <w:tcW w:w="1920" w:type="dxa"/>
            <w:vAlign w:val="bottom"/>
          </w:tcPr>
          <w:p>
            <w:pPr>
              <w:ind w:left="220"/>
              <w:spacing w:after="0" w:line="165" w:lineRule="exact"/>
              <w:rPr>
                <w:sz w:val="20"/>
                <w:szCs w:val="20"/>
                <w:color w:val="auto"/>
              </w:rPr>
            </w:pPr>
            <w:r>
              <w:rPr>
                <w:rFonts w:ascii="Arial" w:cs="Arial" w:eastAsia="Arial" w:hAnsi="Arial"/>
                <w:sz w:val="16"/>
                <w:szCs w:val="16"/>
                <w:color w:val="auto"/>
              </w:rPr>
              <w:t>Utilities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80" w:type="dxa"/>
            <w:vAlign w:val="bottom"/>
            <w:tcBorders>
              <w:left w:val="single" w:sz="8" w:color="auto"/>
            </w:tcBorders>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00" w:type="dxa"/>
            <w:vAlign w:val="bottom"/>
            <w:tcBorders>
              <w:left w:val="single" w:sz="8" w:color="auto"/>
            </w:tcBorders>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00" w:type="dxa"/>
            <w:vAlign w:val="bottom"/>
            <w:tcBorders>
              <w:left w:val="single" w:sz="8" w:color="auto"/>
            </w:tcBorders>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line="173" w:lineRule="exact"/>
              <w:rPr>
                <w:sz w:val="20"/>
                <w:szCs w:val="20"/>
                <w:color w:val="auto"/>
              </w:rPr>
            </w:pPr>
            <w:r>
              <w:rPr>
                <w:rFonts w:ascii="Arial" w:cs="Arial" w:eastAsia="Arial" w:hAnsi="Arial"/>
                <w:sz w:val="16"/>
                <w:szCs w:val="16"/>
                <w:color w:val="auto"/>
              </w:rPr>
              <w:t>Sempra Mexico</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80" w:type="dxa"/>
            <w:vAlign w:val="bottom"/>
            <w:tcBorders>
              <w:left w:val="single" w:sz="8" w:color="auto"/>
            </w:tcBorders>
          </w:tcPr>
          <w:p>
            <w:pPr>
              <w:spacing w:after="0"/>
              <w:rPr>
                <w:sz w:val="15"/>
                <w:szCs w:val="15"/>
                <w:color w:val="auto"/>
              </w:rPr>
            </w:pPr>
          </w:p>
        </w:tc>
        <w:tc>
          <w:tcPr>
            <w:tcW w:w="900" w:type="dxa"/>
            <w:vAlign w:val="bottom"/>
          </w:tcPr>
          <w:p>
            <w:pPr>
              <w:jc w:val="right"/>
              <w:spacing w:after="0" w:line="173" w:lineRule="exact"/>
              <w:rPr>
                <w:sz w:val="20"/>
                <w:szCs w:val="20"/>
                <w:color w:val="auto"/>
              </w:rPr>
            </w:pPr>
            <w:r>
              <w:rPr>
                <w:rFonts w:ascii="Arial" w:cs="Arial" w:eastAsia="Arial" w:hAnsi="Arial"/>
                <w:sz w:val="16"/>
                <w:szCs w:val="16"/>
                <w:color w:val="auto"/>
              </w:rPr>
              <w:t>5</w:t>
            </w:r>
          </w:p>
        </w:tc>
        <w:tc>
          <w:tcPr>
            <w:tcW w:w="14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3</w:t>
            </w:r>
          </w:p>
        </w:tc>
        <w:tc>
          <w:tcPr>
            <w:tcW w:w="200" w:type="dxa"/>
            <w:vAlign w:val="bottom"/>
            <w:tcBorders>
              <w:left w:val="single" w:sz="8" w:color="auto"/>
            </w:tcBorders>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9</w:t>
            </w:r>
          </w:p>
        </w:tc>
        <w:tc>
          <w:tcPr>
            <w:tcW w:w="14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9</w:t>
            </w:r>
          </w:p>
        </w:tc>
        <w:tc>
          <w:tcPr>
            <w:tcW w:w="200" w:type="dxa"/>
            <w:vAlign w:val="bottom"/>
            <w:tcBorders>
              <w:left w:val="single" w:sz="8" w:color="auto"/>
            </w:tcBorders>
          </w:tcPr>
          <w:p>
            <w:pPr>
              <w:spacing w:after="0"/>
              <w:rPr>
                <w:sz w:val="15"/>
                <w:szCs w:val="15"/>
                <w:color w:val="auto"/>
              </w:rPr>
            </w:pPr>
          </w:p>
        </w:tc>
        <w:tc>
          <w:tcPr>
            <w:tcW w:w="900" w:type="dxa"/>
            <w:vAlign w:val="bottom"/>
          </w:tcPr>
          <w:p>
            <w:pPr>
              <w:jc w:val="right"/>
              <w:spacing w:after="0" w:line="173" w:lineRule="exact"/>
              <w:rPr>
                <w:sz w:val="20"/>
                <w:szCs w:val="20"/>
                <w:color w:val="auto"/>
              </w:rPr>
            </w:pPr>
            <w:r>
              <w:rPr>
                <w:rFonts w:ascii="Arial" w:cs="Arial" w:eastAsia="Arial" w:hAnsi="Arial"/>
                <w:sz w:val="16"/>
                <w:szCs w:val="16"/>
                <w:color w:val="auto"/>
              </w:rPr>
              <w:t>14</w:t>
            </w:r>
          </w:p>
        </w:tc>
        <w:tc>
          <w:tcPr>
            <w:tcW w:w="160" w:type="dxa"/>
            <w:vAlign w:val="bottom"/>
          </w:tcPr>
          <w:p>
            <w:pPr>
              <w:spacing w:after="0"/>
              <w:rPr>
                <w:sz w:val="15"/>
                <w:szCs w:val="15"/>
                <w:color w:val="auto"/>
              </w:rPr>
            </w:pPr>
          </w:p>
        </w:tc>
        <w:tc>
          <w:tcPr>
            <w:tcW w:w="1120" w:type="dxa"/>
            <w:vAlign w:val="bottom"/>
          </w:tcPr>
          <w:p>
            <w:pPr>
              <w:jc w:val="right"/>
              <w:spacing w:after="0" w:line="173"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3"/>
        </w:trPr>
        <w:tc>
          <w:tcPr>
            <w:tcW w:w="1920" w:type="dxa"/>
            <w:vAlign w:val="bottom"/>
          </w:tcPr>
          <w:p>
            <w:pPr>
              <w:spacing w:after="0" w:line="173" w:lineRule="exact"/>
              <w:rPr>
                <w:sz w:val="20"/>
                <w:szCs w:val="20"/>
                <w:color w:val="auto"/>
              </w:rPr>
            </w:pPr>
            <w:r>
              <w:rPr>
                <w:rFonts w:ascii="Arial" w:cs="Arial" w:eastAsia="Arial" w:hAnsi="Arial"/>
                <w:sz w:val="16"/>
                <w:szCs w:val="16"/>
                <w:color w:val="auto"/>
              </w:rPr>
              <w:t>Sempra Renewables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80" w:type="dxa"/>
            <w:vAlign w:val="bottom"/>
            <w:tcBorders>
              <w:left w:val="single" w:sz="8" w:color="auto"/>
            </w:tcBorders>
          </w:tcPr>
          <w:p>
            <w:pPr>
              <w:spacing w:after="0"/>
              <w:rPr>
                <w:sz w:val="15"/>
                <w:szCs w:val="15"/>
                <w:color w:val="auto"/>
              </w:rPr>
            </w:pPr>
          </w:p>
        </w:tc>
        <w:tc>
          <w:tcPr>
            <w:tcW w:w="9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200" w:type="dxa"/>
            <w:vAlign w:val="bottom"/>
            <w:tcBorders>
              <w:left w:val="single" w:sz="8" w:color="auto"/>
            </w:tcBorders>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14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200" w:type="dxa"/>
            <w:vAlign w:val="bottom"/>
            <w:tcBorders>
              <w:left w:val="single" w:sz="8" w:color="auto"/>
            </w:tcBorders>
          </w:tcPr>
          <w:p>
            <w:pPr>
              <w:spacing w:after="0"/>
              <w:rPr>
                <w:sz w:val="15"/>
                <w:szCs w:val="15"/>
                <w:color w:val="auto"/>
              </w:rPr>
            </w:pPr>
          </w:p>
        </w:tc>
        <w:tc>
          <w:tcPr>
            <w:tcW w:w="90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160" w:type="dxa"/>
            <w:vAlign w:val="bottom"/>
          </w:tcPr>
          <w:p>
            <w:pPr>
              <w:spacing w:after="0"/>
              <w:rPr>
                <w:sz w:val="15"/>
                <w:szCs w:val="15"/>
                <w:color w:val="auto"/>
              </w:rPr>
            </w:pPr>
          </w:p>
        </w:tc>
        <w:tc>
          <w:tcPr>
            <w:tcW w:w="112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9"/>
        </w:trPr>
        <w:tc>
          <w:tcPr>
            <w:tcW w:w="1920" w:type="dxa"/>
            <w:vAlign w:val="bottom"/>
          </w:tcPr>
          <w:p>
            <w:pPr>
              <w:spacing w:after="0"/>
              <w:rPr>
                <w:sz w:val="20"/>
                <w:szCs w:val="20"/>
                <w:color w:val="auto"/>
              </w:rPr>
            </w:pPr>
            <w:r>
              <w:rPr>
                <w:rFonts w:ascii="Arial" w:cs="Arial" w:eastAsia="Arial" w:hAnsi="Arial"/>
                <w:sz w:val="16"/>
                <w:szCs w:val="16"/>
                <w:color w:val="auto"/>
              </w:rPr>
              <w:t>Sempra Natural Gas</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80" w:type="dxa"/>
            <w:vAlign w:val="bottom"/>
            <w:tcBorders>
              <w:left w:val="single" w:sz="8" w:color="auto"/>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left w:val="single" w:sz="8" w:color="auto"/>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48"/>
        </w:trPr>
        <w:tc>
          <w:tcPr>
            <w:tcW w:w="1920" w:type="dxa"/>
            <w:vAlign w:val="bottom"/>
          </w:tcPr>
          <w:p>
            <w:pPr>
              <w:spacing w:after="0" w:line="148" w:lineRule="exact"/>
              <w:rPr>
                <w:sz w:val="20"/>
                <w:szCs w:val="20"/>
                <w:color w:val="auto"/>
              </w:rPr>
            </w:pPr>
            <w:r>
              <w:rPr>
                <w:rFonts w:ascii="Arial" w:cs="Arial" w:eastAsia="Arial" w:hAnsi="Arial"/>
                <w:sz w:val="16"/>
                <w:szCs w:val="16"/>
                <w:color w:val="auto"/>
              </w:rPr>
              <w:t>Sempra Energy</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107</w:t>
            </w:r>
          </w:p>
        </w:tc>
        <w:tc>
          <w:tcPr>
            <w:tcW w:w="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113</w:t>
            </w:r>
          </w:p>
        </w:tc>
        <w:tc>
          <w:tcPr>
            <w:tcW w:w="180" w:type="dxa"/>
            <w:vAlign w:val="bottom"/>
            <w:tcBorders>
              <w:lef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200" w:type="dxa"/>
            <w:vAlign w:val="bottom"/>
            <w:tcBorders>
              <w:left w:val="single" w:sz="8" w:color="auto"/>
            </w:tcBorders>
            <w:vMerge w:val="restart"/>
          </w:tcPr>
          <w:p>
            <w:pPr>
              <w:jc w:val="right"/>
              <w:ind w:right="20"/>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149</w:t>
            </w:r>
          </w:p>
        </w:tc>
        <w:tc>
          <w:tcPr>
            <w:tcW w:w="140" w:type="dxa"/>
            <w:vAlign w:val="bottom"/>
            <w:vMerge w:val="restart"/>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166</w:t>
            </w:r>
          </w:p>
        </w:tc>
        <w:tc>
          <w:tcPr>
            <w:tcW w:w="200" w:type="dxa"/>
            <w:vAlign w:val="bottom"/>
            <w:tcBorders>
              <w:left w:val="single" w:sz="8" w:color="auto"/>
            </w:tcBorders>
            <w:vMerge w:val="restart"/>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267</w:t>
            </w:r>
          </w:p>
        </w:tc>
        <w:tc>
          <w:tcPr>
            <w:tcW w:w="160" w:type="dxa"/>
            <w:vAlign w:val="bottom"/>
            <w:vMerge w:val="restart"/>
          </w:tcPr>
          <w:p>
            <w:pPr>
              <w:jc w:val="center"/>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191"/>
        </w:trPr>
        <w:tc>
          <w:tcPr>
            <w:tcW w:w="1920" w:type="dxa"/>
            <w:vAlign w:val="bottom"/>
          </w:tcPr>
          <w:p>
            <w:pPr>
              <w:ind w:left="220"/>
              <w:spacing w:after="0"/>
              <w:rPr>
                <w:sz w:val="20"/>
                <w:szCs w:val="20"/>
                <w:color w:val="auto"/>
              </w:rPr>
            </w:pPr>
            <w:r>
              <w:rPr>
                <w:rFonts w:ascii="Arial" w:cs="Arial" w:eastAsia="Arial" w:hAnsi="Arial"/>
                <w:sz w:val="16"/>
                <w:szCs w:val="16"/>
                <w:color w:val="auto"/>
              </w:rPr>
              <w:t>Consolidated</w:t>
            </w:r>
          </w:p>
        </w:tc>
        <w:tc>
          <w:tcPr>
            <w:tcW w:w="34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80" w:type="dxa"/>
            <w:vAlign w:val="bottom"/>
            <w:tcBorders>
              <w:left w:val="single" w:sz="8" w:color="auto"/>
            </w:tcBorders>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00" w:type="dxa"/>
            <w:vAlign w:val="bottom"/>
            <w:tcBorders>
              <w:left w:val="single" w:sz="8" w:color="auto"/>
            </w:tcBorders>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00" w:type="dxa"/>
            <w:vAlign w:val="bottom"/>
            <w:tcBorders>
              <w:left w:val="single" w:sz="8" w:color="auto"/>
            </w:tcBorders>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20" w:type="dxa"/>
            <w:vAlign w:val="bottom"/>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180" w:type="dxa"/>
            <w:vAlign w:val="bottom"/>
            <w:tcBorders>
              <w:left w:val="single" w:sz="8" w:color="auto"/>
            </w:tcBorders>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200" w:type="dxa"/>
            <w:vAlign w:val="bottom"/>
            <w:tcBorders>
              <w:left w:val="single" w:sz="8" w:color="auto"/>
            </w:tcBorders>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200" w:type="dxa"/>
            <w:vAlign w:val="bottom"/>
            <w:tcBorders>
              <w:left w:val="single" w:sz="8" w:color="auto"/>
            </w:tcBorders>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11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5" w:lineRule="exact"/>
        <w:rPr>
          <w:sz w:val="20"/>
          <w:szCs w:val="20"/>
          <w:color w:val="auto"/>
        </w:rPr>
      </w:pPr>
    </w:p>
    <w:p>
      <w:pPr>
        <w:ind w:right="140"/>
        <w:spacing w:after="0" w:line="305" w:lineRule="auto"/>
        <w:rPr>
          <w:sz w:val="20"/>
          <w:szCs w:val="20"/>
          <w:color w:val="auto"/>
        </w:rPr>
      </w:pPr>
      <w:r>
        <w:rPr>
          <w:rFonts w:ascii="Times New Roman" w:cs="Times New Roman" w:eastAsia="Times New Roman" w:hAnsi="Times New Roman"/>
          <w:sz w:val="17"/>
          <w:szCs w:val="17"/>
          <w:color w:val="auto"/>
        </w:rPr>
        <w:t>We discuss goodwill in Notes 1 and 3 of the Notes to Consolidated Financial Statements in the Annual Report. The decrease in goodwill from $1.024 billion at December 31, 2013 to $1.0 billion at June 30, 2014 is due to foreign currency translation at Sempra South American Utilities. We record the offset of this</w:t>
      </w:r>
    </w:p>
    <w:p>
      <w:pPr>
        <w:sectPr>
          <w:pgSz w:w="11900" w:h="16912" w:orient="portrait"/>
          <w:cols w:equalWidth="0" w:num="1">
            <w:col w:w="11420"/>
          </w:cols>
          <w:pgMar w:left="240" w:top="112" w:right="239" w:bottom="0" w:gutter="0" w:footer="0" w:header="0"/>
        </w:sectPr>
      </w:pPr>
    </w:p>
    <w:bookmarkStart w:id="14" w:name="page15"/>
    <w:bookmarkEnd w:id="14"/>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fluctuation in Other Comprehensive Income (Loss).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 (VIE)</w:t>
      </w:r>
    </w:p>
    <w:p>
      <w:pPr>
        <w:spacing w:after="0" w:line="22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We consolidate a VIE if we are the primary beneficiary of the VIE. Our determination of whether we are the primary beneficiary is based upon qualitative and quantitative analyses, which assess</w:t>
      </w:r>
    </w:p>
    <w:p>
      <w:pPr>
        <w:spacing w:after="0" w:line="164" w:lineRule="exact"/>
        <w:rPr>
          <w:sz w:val="20"/>
          <w:szCs w:val="20"/>
          <w:color w:val="auto"/>
        </w:rPr>
      </w:pPr>
    </w:p>
    <w:p>
      <w:pPr>
        <w:ind w:left="320" w:hanging="17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and design of the VIE;</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VIE’s risks and the risks we absorb;</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direct activities that most significantly impact the economic performance of the VIE; and</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absorb losses or right to receive benefits that could be significant to the VIE.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SDG&amp;E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Tolling Agreements</w:t>
      </w:r>
    </w:p>
    <w:p>
      <w:pPr>
        <w:spacing w:after="0" w:line="21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SDG&amp;E has agreements under which it purchases power generated by facilities for which it supplies all of the natural gas to fuel the power plant (i.e., tolling agreements). SDG&amp;E’s obligation to absorb natural gas costs may be a significant variable interest. In addition, SDG&amp;E has the power to direct the dispatch of electricity generated by these facilities. Based upon our analysis, the ability to direct the dispatch of electricity may have the most significant impact on the economic performance of the entity owning the generating facility because of the associated exposure to the cost of natural gas, which fuels the plants, and the value of electricity produced. To the extent that SDG&amp;E (1) is obligated to purchase and provide fuel to operate the facility, (2) has the power to direct the dispatch, and (3) purchases all of the output from the facility for a substantial portion of the facility’s useful life, SDG&amp;E may be the primary beneficiary of the entity owning the generating facility. SDG&amp;E determines if it is the primary beneficiary in these cases based on a qualitative approach in which we consider the operational characteristics of the facility, including its expected power generation output relative to its capacity to generate and the financial structure of the entity, among other factors. If we determine that SDG&amp;E is the primary beneficiary, SDG&amp;E and Sempra Energy consolidate the entity that owns the facility as a VIE, as we discuss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Otay Mesa VIE</w:t>
      </w:r>
    </w:p>
    <w:p>
      <w:pPr>
        <w:spacing w:after="0" w:line="21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SDG&amp;E has an agreement to purchase power generated at the Otay Mesa Energy Center (OMEC), a 605-MW generating facility. In addition to tolling, the agreement provides SDG&amp;E with the option to purchase the power plant at the end of the contract term in 2019, or upon earlier termination of the purchased-power agreement, at a predetermined price subject to adjustments based on performance of the facility. If SDG&amp;E does not exercise its option, under certain circumstances, it may be required to purchase the power plant at a predetermined price, which we refer to as the put option.</w:t>
      </w:r>
    </w:p>
    <w:p>
      <w:pPr>
        <w:spacing w:after="0" w:line="1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facility owner, Otay Mesa Energy Center LLC (OMEC LLC), is a VIE (Otay Mesa VIE), of which SDG&amp;E is the primary beneficiary. SDG&amp;E has no OMEC LLC voting rights and does not operate OMEC. In addition to the risks absorbed under the tolling agreement, SDG&amp;E absorbs separately through the put option a significant portion of the risk that the value of Otay Mesa VIE could decline. SDG&amp;E and Sempra Energy have consolidated Otay Mesa VIE since the second quarter of 2007. Otay Mesa VIE’s equity of $85 million at June 30, 2014 and $91 million at December 31, 2013 is included on the Condensed Consolidated Balance Sheets in Other Noncontrolling Interests for Sempra Energy and in Noncontrolling Interest for SDG&amp;E.</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OMEC LLC has a loan outstanding of $330 million at June 30, 2014, the proceeds of which were used for the construction of OMEC. The loan is with third party lenders and is secured by OMEC’s property, plant and equipment. SDG&amp;E is not a party to the loan agreement and does not have any additional implicit or explicit financial responsibility to OMEC LLC. The loan fully matures in April 2019 and bears interest at rates varying with market rates. In addition, OMEC LLC has entered into interest rate swap agreements to moderate its exposure to interest rate changes. We provide additional information concerning the interest rate swaps in Note 7.</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Variable Interest Entities</w:t>
      </w:r>
    </w:p>
    <w:p>
      <w:pPr>
        <w:spacing w:after="0" w:line="21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SDG&amp;E’s power procurement is subject to reliability requirements that may require SDG&amp;E to enter into various power purchase arrangements which include variable interests. SDG&amp;E evaluates the respective entities to determine if variable interests exist and, based on the qualitative and quantitative analyses described above, if SDG&amp;E, and thereby Sempra Energy, is the primary beneficiary. SDG&amp;E has determined that no contracts, other than the one relating to Otay Mesa VIE mentioned above, result in SDG&amp;E being the primary beneficiary at June 30, 2014. In addition to the tolling agreements described above, other variable interests involve various elements of fuel and power costs, including certain construction costs, tax credits, and other components of cash flow expected to be paid to or received by our counterparties. In most of these cases, the expectation of variability is not substantial, and SDG&amp;E generally does not have the power to direct activities that most significantly impact the economic performance of the other VIEs. If our ongoing evaluation of these VIEs were to conclude that SDG&amp;E becomes the primary beneficiary and consolidation by SDG&amp;E becomes necessary, the effects are not expected to significantly affect the financial position, results of operations, or liquidity of SDG&amp;E. In addition, SDG&amp;E is not exposed to losses or gains as a result of these other VIEs, because all such variability would be recovered in rates.</w:t>
      </w:r>
    </w:p>
    <w:p>
      <w:pPr>
        <w:spacing w:after="0" w:line="19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Sempra Energy’s other operating units also enter into arrangements which could include variable interests. We evaluate these arrangements and applicable entities based upon the qualitative and quantitative analyses described above. Certain of these entities are service companies that are VIEs. As the primary beneficiary of these service companies, we consolidate them. In all other cases, we have determined that these contracts are not variable interests in a VIE and therefore are not subject to the U.S. GAAP requirements concerning the consolidation of VIEs.</w:t>
      </w:r>
    </w:p>
    <w:p>
      <w:pPr>
        <w:spacing w:after="0" w:line="180"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8"/>
          <w:szCs w:val="18"/>
          <w:color w:val="auto"/>
        </w:rPr>
        <w:t>The Condensed Consolidated Statements of Operations of Sempra Energy and SDG&amp;E include the following amounts associated with Otay Mesa VIE. The amounts are net of eliminations of transactions between SDG&amp;E and Otay Mesa VIE. The financial statements of other consolidated VIEs are not material to the financial statements of Sempra Energy. The captions on the table below generally correspond to SDG&amp;E’s Condensed Consolidated Statements of Operations.</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ASSOCIATED WITH OTAY MESA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878" w:orient="portrait"/>
          <w:cols w:equalWidth="0" w:num="1">
            <w:col w:w="11420"/>
          </w:cols>
          <w:pgMar w:left="240" w:top="121" w:right="23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68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4"/>
                <w:szCs w:val="14"/>
                <w:color w:val="auto"/>
              </w:rPr>
              <w:t>Three months ended June 30,</w:t>
            </w:r>
          </w:p>
        </w:tc>
        <w:tc>
          <w:tcPr>
            <w:tcW w:w="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color w:val="auto"/>
              </w:rPr>
              <w:t>Six months ended June 30,</w:t>
            </w:r>
          </w:p>
        </w:tc>
      </w:tr>
      <w:tr>
        <w:trPr>
          <w:trHeight w:val="166"/>
        </w:trPr>
        <w:tc>
          <w:tcPr>
            <w:tcW w:w="5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2014</w:t>
            </w: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color w:val="auto"/>
              </w:rPr>
              <w:t>2014</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color w:val="auto"/>
              </w:rPr>
              <w:t>2013</w:t>
            </w:r>
          </w:p>
        </w:tc>
      </w:tr>
      <w:tr>
        <w:trPr>
          <w:trHeight w:val="161"/>
        </w:trPr>
        <w:tc>
          <w:tcPr>
            <w:tcW w:w="5140" w:type="dxa"/>
            <w:vAlign w:val="bottom"/>
          </w:tcPr>
          <w:p>
            <w:pPr>
              <w:spacing w:after="0" w:line="161" w:lineRule="exact"/>
              <w:rPr>
                <w:sz w:val="20"/>
                <w:szCs w:val="20"/>
                <w:color w:val="auto"/>
              </w:rPr>
            </w:pPr>
            <w:r>
              <w:rPr>
                <w:rFonts w:ascii="Arial" w:cs="Arial" w:eastAsia="Arial" w:hAnsi="Arial"/>
                <w:sz w:val="16"/>
                <w:szCs w:val="16"/>
                <w:color w:val="auto"/>
              </w:rPr>
              <w:t>Operating revenues</w:t>
            </w: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3"/>
        </w:trPr>
        <w:tc>
          <w:tcPr>
            <w:tcW w:w="5140" w:type="dxa"/>
            <w:vAlign w:val="bottom"/>
          </w:tcPr>
          <w:p>
            <w:pPr>
              <w:ind w:left="180"/>
              <w:spacing w:after="0" w:line="173" w:lineRule="exact"/>
              <w:rPr>
                <w:sz w:val="20"/>
                <w:szCs w:val="20"/>
                <w:color w:val="auto"/>
              </w:rPr>
            </w:pPr>
            <w:r>
              <w:rPr>
                <w:rFonts w:ascii="Arial" w:cs="Arial" w:eastAsia="Arial" w:hAnsi="Arial"/>
                <w:sz w:val="16"/>
                <w:szCs w:val="16"/>
                <w:color w:val="auto"/>
              </w:rPr>
              <w:t>Electric</w:t>
            </w:r>
          </w:p>
        </w:tc>
        <w:tc>
          <w:tcPr>
            <w:tcW w:w="1120" w:type="dxa"/>
            <w:vAlign w:val="bottom"/>
          </w:tcPr>
          <w:p>
            <w:pPr>
              <w:jc w:val="right"/>
              <w:ind w:right="685"/>
              <w:spacing w:after="0" w:line="173" w:lineRule="exact"/>
              <w:rPr>
                <w:sz w:val="20"/>
                <w:szCs w:val="20"/>
                <w:color w:val="auto"/>
              </w:rPr>
            </w:pPr>
            <w:r>
              <w:rPr>
                <w:rFonts w:ascii="Arial" w:cs="Arial" w:eastAsia="Arial" w:hAnsi="Arial"/>
                <w:sz w:val="16"/>
                <w:szCs w:val="16"/>
                <w:color w:val="auto"/>
              </w:rPr>
              <w:t>$</w:t>
            </w:r>
          </w:p>
        </w:tc>
        <w:tc>
          <w:tcPr>
            <w:tcW w:w="580" w:type="dxa"/>
            <w:vAlign w:val="bottom"/>
          </w:tcPr>
          <w:p>
            <w:pPr>
              <w:jc w:val="right"/>
              <w:ind w:right="81"/>
              <w:spacing w:after="0" w:line="173"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683"/>
              <w:spacing w:after="0" w:line="173"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101"/>
              <w:spacing w:after="0" w:line="173" w:lineRule="exact"/>
              <w:rPr>
                <w:sz w:val="20"/>
                <w:szCs w:val="20"/>
                <w:color w:val="auto"/>
              </w:rPr>
            </w:pPr>
            <w:r>
              <w:rPr>
                <w:rFonts w:ascii="Arial" w:cs="Arial" w:eastAsia="Arial" w:hAnsi="Arial"/>
                <w:sz w:val="16"/>
                <w:szCs w:val="16"/>
                <w:color w:val="auto"/>
              </w:rPr>
              <w:t>5</w:t>
            </w:r>
          </w:p>
        </w:tc>
        <w:tc>
          <w:tcPr>
            <w:tcW w:w="340" w:type="dxa"/>
            <w:vAlign w:val="bottom"/>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102"/>
              <w:spacing w:after="0" w:line="173"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r>
      <w:tr>
        <w:trPr>
          <w:trHeight w:val="204"/>
        </w:trPr>
        <w:tc>
          <w:tcPr>
            <w:tcW w:w="514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66"/>
        </w:trPr>
        <w:tc>
          <w:tcPr>
            <w:tcW w:w="5140" w:type="dxa"/>
            <w:vAlign w:val="bottom"/>
          </w:tcPr>
          <w:p>
            <w:pPr>
              <w:ind w:left="360"/>
              <w:spacing w:after="0" w:line="166" w:lineRule="exact"/>
              <w:rPr>
                <w:sz w:val="20"/>
                <w:szCs w:val="20"/>
                <w:color w:val="auto"/>
              </w:rPr>
            </w:pPr>
            <w:r>
              <w:rPr>
                <w:rFonts w:ascii="Arial" w:cs="Arial" w:eastAsia="Arial" w:hAnsi="Arial"/>
                <w:sz w:val="16"/>
                <w:szCs w:val="16"/>
                <w:color w:val="auto"/>
              </w:rPr>
              <w:t>Total operating revenues</w:t>
            </w:r>
          </w:p>
        </w:tc>
        <w:tc>
          <w:tcPr>
            <w:tcW w:w="1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1"/>
              <w:spacing w:after="0" w:line="166"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1"/>
              <w:spacing w:after="0" w:line="166" w:lineRule="exact"/>
              <w:rPr>
                <w:sz w:val="20"/>
                <w:szCs w:val="20"/>
                <w:color w:val="auto"/>
              </w:rPr>
            </w:pPr>
            <w:r>
              <w:rPr>
                <w:rFonts w:ascii="Arial" w:cs="Arial" w:eastAsia="Arial" w:hAnsi="Arial"/>
                <w:sz w:val="16"/>
                <w:szCs w:val="16"/>
                <w:color w:val="auto"/>
              </w:rPr>
              <w:t>5</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02"/>
              <w:spacing w:after="0" w:line="166"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w:t>
            </w:r>
          </w:p>
        </w:tc>
      </w:tr>
      <w:tr>
        <w:trPr>
          <w:trHeight w:val="135"/>
        </w:trPr>
        <w:tc>
          <w:tcPr>
            <w:tcW w:w="5140" w:type="dxa"/>
            <w:vAlign w:val="bottom"/>
          </w:tcPr>
          <w:p>
            <w:pPr>
              <w:spacing w:after="0" w:line="135" w:lineRule="exact"/>
              <w:rPr>
                <w:sz w:val="20"/>
                <w:szCs w:val="20"/>
                <w:color w:val="auto"/>
              </w:rPr>
            </w:pPr>
            <w:r>
              <w:rPr>
                <w:rFonts w:ascii="Arial" w:cs="Arial" w:eastAsia="Arial" w:hAnsi="Arial"/>
                <w:sz w:val="15"/>
                <w:szCs w:val="15"/>
                <w:color w:val="auto"/>
              </w:rPr>
              <w:t>Operating expenses</w:t>
            </w: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73"/>
        </w:trPr>
        <w:tc>
          <w:tcPr>
            <w:tcW w:w="5140" w:type="dxa"/>
            <w:vAlign w:val="bottom"/>
          </w:tcPr>
          <w:p>
            <w:pPr>
              <w:ind w:left="180"/>
              <w:spacing w:after="0" w:line="173" w:lineRule="exact"/>
              <w:rPr>
                <w:sz w:val="20"/>
                <w:szCs w:val="20"/>
                <w:color w:val="auto"/>
              </w:rPr>
            </w:pPr>
            <w:r>
              <w:rPr>
                <w:rFonts w:ascii="Arial" w:cs="Arial" w:eastAsia="Arial" w:hAnsi="Arial"/>
                <w:sz w:val="16"/>
                <w:szCs w:val="16"/>
                <w:color w:val="auto"/>
              </w:rPr>
              <w:t>Cost of electric fuel and purchased power</w:t>
            </w:r>
          </w:p>
        </w:tc>
        <w:tc>
          <w:tcPr>
            <w:tcW w:w="1120" w:type="dxa"/>
            <w:vAlign w:val="bottom"/>
          </w:tcPr>
          <w:p>
            <w:pPr>
              <w:spacing w:after="0"/>
              <w:rPr>
                <w:sz w:val="15"/>
                <w:szCs w:val="15"/>
                <w:color w:val="auto"/>
              </w:rPr>
            </w:pPr>
          </w:p>
        </w:tc>
        <w:tc>
          <w:tcPr>
            <w:tcW w:w="580" w:type="dxa"/>
            <w:vAlign w:val="bottom"/>
          </w:tcPr>
          <w:p>
            <w:pPr>
              <w:jc w:val="right"/>
              <w:ind w:right="41"/>
              <w:spacing w:after="0" w:line="173" w:lineRule="exact"/>
              <w:rPr>
                <w:sz w:val="20"/>
                <w:szCs w:val="20"/>
                <w:color w:val="auto"/>
              </w:rPr>
            </w:pPr>
            <w:r>
              <w:rPr>
                <w:rFonts w:ascii="Arial" w:cs="Arial" w:eastAsia="Arial" w:hAnsi="Arial"/>
                <w:sz w:val="16"/>
                <w:szCs w:val="16"/>
                <w:color w:val="auto"/>
              </w:rPr>
              <w:t>(22)</w:t>
            </w:r>
          </w:p>
        </w:tc>
        <w:tc>
          <w:tcPr>
            <w:tcW w:w="980" w:type="dxa"/>
            <w:vAlign w:val="bottom"/>
          </w:tcPr>
          <w:p>
            <w:pPr>
              <w:spacing w:after="0"/>
              <w:rPr>
                <w:sz w:val="15"/>
                <w:szCs w:val="15"/>
                <w:color w:val="auto"/>
              </w:rPr>
            </w:pPr>
          </w:p>
        </w:tc>
        <w:tc>
          <w:tcPr>
            <w:tcW w:w="600" w:type="dxa"/>
            <w:vAlign w:val="bottom"/>
          </w:tcPr>
          <w:p>
            <w:pPr>
              <w:jc w:val="right"/>
              <w:ind w:right="61"/>
              <w:spacing w:after="0" w:line="173" w:lineRule="exact"/>
              <w:rPr>
                <w:sz w:val="20"/>
                <w:szCs w:val="20"/>
                <w:color w:val="auto"/>
              </w:rPr>
            </w:pPr>
            <w:r>
              <w:rPr>
                <w:rFonts w:ascii="Arial" w:cs="Arial" w:eastAsia="Arial" w:hAnsi="Arial"/>
                <w:sz w:val="16"/>
                <w:szCs w:val="16"/>
                <w:color w:val="auto"/>
              </w:rPr>
              <w:t>(21)</w:t>
            </w:r>
          </w:p>
        </w:tc>
        <w:tc>
          <w:tcPr>
            <w:tcW w:w="340" w:type="dxa"/>
            <w:vAlign w:val="bottom"/>
          </w:tcPr>
          <w:p>
            <w:pPr>
              <w:spacing w:after="0"/>
              <w:rPr>
                <w:sz w:val="15"/>
                <w:szCs w:val="15"/>
                <w:color w:val="auto"/>
              </w:rPr>
            </w:pPr>
          </w:p>
        </w:tc>
        <w:tc>
          <w:tcPr>
            <w:tcW w:w="1220" w:type="dxa"/>
            <w:vAlign w:val="bottom"/>
          </w:tcPr>
          <w:p>
            <w:pPr>
              <w:jc w:val="right"/>
              <w:ind w:right="42"/>
              <w:spacing w:after="0" w:line="173" w:lineRule="exact"/>
              <w:rPr>
                <w:sz w:val="20"/>
                <w:szCs w:val="20"/>
                <w:color w:val="auto"/>
              </w:rPr>
            </w:pPr>
            <w:r>
              <w:rPr>
                <w:rFonts w:ascii="Arial" w:cs="Arial" w:eastAsia="Arial" w:hAnsi="Arial"/>
                <w:sz w:val="16"/>
                <w:szCs w:val="16"/>
                <w:color w:val="auto"/>
              </w:rPr>
              <w:t>(40)</w:t>
            </w:r>
          </w:p>
        </w:tc>
        <w:tc>
          <w:tcPr>
            <w:tcW w:w="34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(38)</w:t>
            </w:r>
          </w:p>
        </w:tc>
      </w:tr>
      <w:tr>
        <w:trPr>
          <w:trHeight w:val="173"/>
        </w:trPr>
        <w:tc>
          <w:tcPr>
            <w:tcW w:w="5140" w:type="dxa"/>
            <w:vAlign w:val="bottom"/>
          </w:tcPr>
          <w:p>
            <w:pPr>
              <w:ind w:left="180"/>
              <w:spacing w:after="0" w:line="173" w:lineRule="exact"/>
              <w:rPr>
                <w:sz w:val="20"/>
                <w:szCs w:val="20"/>
                <w:color w:val="auto"/>
              </w:rPr>
            </w:pPr>
            <w:r>
              <w:rPr>
                <w:rFonts w:ascii="Arial" w:cs="Arial" w:eastAsia="Arial" w:hAnsi="Arial"/>
                <w:sz w:val="16"/>
                <w:szCs w:val="16"/>
                <w:color w:val="auto"/>
              </w:rPr>
              <w:t>Operation and maintenance</w:t>
            </w:r>
          </w:p>
        </w:tc>
        <w:tc>
          <w:tcPr>
            <w:tcW w:w="1120" w:type="dxa"/>
            <w:vAlign w:val="bottom"/>
          </w:tcPr>
          <w:p>
            <w:pPr>
              <w:spacing w:after="0"/>
              <w:rPr>
                <w:sz w:val="15"/>
                <w:szCs w:val="15"/>
                <w:color w:val="auto"/>
              </w:rPr>
            </w:pPr>
          </w:p>
        </w:tc>
        <w:tc>
          <w:tcPr>
            <w:tcW w:w="580" w:type="dxa"/>
            <w:vAlign w:val="bottom"/>
          </w:tcPr>
          <w:p>
            <w:pPr>
              <w:jc w:val="right"/>
              <w:ind w:right="81"/>
              <w:spacing w:after="0" w:line="173" w:lineRule="exact"/>
              <w:rPr>
                <w:sz w:val="20"/>
                <w:szCs w:val="20"/>
                <w:color w:val="auto"/>
              </w:rPr>
            </w:pPr>
            <w:r>
              <w:rPr>
                <w:rFonts w:ascii="Arial" w:cs="Arial" w:eastAsia="Arial" w:hAnsi="Arial"/>
                <w:sz w:val="16"/>
                <w:szCs w:val="16"/>
                <w:color w:val="auto"/>
              </w:rPr>
              <w:t>5</w:t>
            </w:r>
          </w:p>
        </w:tc>
        <w:tc>
          <w:tcPr>
            <w:tcW w:w="980" w:type="dxa"/>
            <w:vAlign w:val="bottom"/>
          </w:tcPr>
          <w:p>
            <w:pPr>
              <w:spacing w:after="0"/>
              <w:rPr>
                <w:sz w:val="15"/>
                <w:szCs w:val="15"/>
                <w:color w:val="auto"/>
              </w:rPr>
            </w:pPr>
          </w:p>
        </w:tc>
        <w:tc>
          <w:tcPr>
            <w:tcW w:w="600" w:type="dxa"/>
            <w:vAlign w:val="bottom"/>
          </w:tcPr>
          <w:p>
            <w:pPr>
              <w:jc w:val="right"/>
              <w:ind w:right="101"/>
              <w:spacing w:after="0" w:line="173" w:lineRule="exact"/>
              <w:rPr>
                <w:sz w:val="20"/>
                <w:szCs w:val="20"/>
                <w:color w:val="auto"/>
              </w:rPr>
            </w:pPr>
            <w:r>
              <w:rPr>
                <w:rFonts w:ascii="Arial" w:cs="Arial" w:eastAsia="Arial" w:hAnsi="Arial"/>
                <w:sz w:val="16"/>
                <w:szCs w:val="16"/>
                <w:color w:val="auto"/>
              </w:rPr>
              <w:t>9</w:t>
            </w:r>
          </w:p>
        </w:tc>
        <w:tc>
          <w:tcPr>
            <w:tcW w:w="340" w:type="dxa"/>
            <w:vAlign w:val="bottom"/>
          </w:tcPr>
          <w:p>
            <w:pPr>
              <w:spacing w:after="0"/>
              <w:rPr>
                <w:sz w:val="15"/>
                <w:szCs w:val="15"/>
                <w:color w:val="auto"/>
              </w:rPr>
            </w:pPr>
          </w:p>
        </w:tc>
        <w:tc>
          <w:tcPr>
            <w:tcW w:w="1220" w:type="dxa"/>
            <w:vAlign w:val="bottom"/>
          </w:tcPr>
          <w:p>
            <w:pPr>
              <w:jc w:val="right"/>
              <w:ind w:right="102"/>
              <w:spacing w:after="0" w:line="173" w:lineRule="exact"/>
              <w:rPr>
                <w:sz w:val="20"/>
                <w:szCs w:val="20"/>
                <w:color w:val="auto"/>
              </w:rPr>
            </w:pPr>
            <w:r>
              <w:rPr>
                <w:rFonts w:ascii="Arial" w:cs="Arial" w:eastAsia="Arial" w:hAnsi="Arial"/>
                <w:sz w:val="16"/>
                <w:szCs w:val="16"/>
                <w:color w:val="auto"/>
              </w:rPr>
              <w:t>10</w:t>
            </w:r>
          </w:p>
        </w:tc>
        <w:tc>
          <w:tcPr>
            <w:tcW w:w="34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26</w:t>
            </w:r>
          </w:p>
        </w:tc>
      </w:tr>
      <w:tr>
        <w:trPr>
          <w:trHeight w:val="204"/>
        </w:trPr>
        <w:tc>
          <w:tcPr>
            <w:tcW w:w="51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14</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66"/>
        </w:trPr>
        <w:tc>
          <w:tcPr>
            <w:tcW w:w="5140" w:type="dxa"/>
            <w:vAlign w:val="bottom"/>
          </w:tcPr>
          <w:p>
            <w:pPr>
              <w:ind w:left="360"/>
              <w:spacing w:after="0" w:line="166" w:lineRule="exact"/>
              <w:rPr>
                <w:sz w:val="20"/>
                <w:szCs w:val="20"/>
                <w:color w:val="auto"/>
              </w:rPr>
            </w:pPr>
            <w:r>
              <w:rPr>
                <w:rFonts w:ascii="Arial" w:cs="Arial" w:eastAsia="Arial" w:hAnsi="Arial"/>
                <w:sz w:val="16"/>
                <w:szCs w:val="16"/>
                <w:color w:val="auto"/>
              </w:rPr>
              <w:t>Total operating expenses</w:t>
            </w:r>
          </w:p>
        </w:tc>
        <w:tc>
          <w:tcPr>
            <w:tcW w:w="1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1"/>
              <w:spacing w:after="0" w:line="166" w:lineRule="exact"/>
              <w:rPr>
                <w:sz w:val="20"/>
                <w:szCs w:val="20"/>
                <w:color w:val="auto"/>
              </w:rPr>
            </w:pPr>
            <w:r>
              <w:rPr>
                <w:rFonts w:ascii="Arial" w:cs="Arial" w:eastAsia="Arial" w:hAnsi="Arial"/>
                <w:sz w:val="16"/>
                <w:szCs w:val="16"/>
                <w:color w:val="auto"/>
              </w:rPr>
              <w:t>(10)</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(6)</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2"/>
              <w:spacing w:after="0" w:line="166" w:lineRule="exact"/>
              <w:rPr>
                <w:sz w:val="20"/>
                <w:szCs w:val="20"/>
                <w:color w:val="auto"/>
              </w:rPr>
            </w:pPr>
            <w:r>
              <w:rPr>
                <w:rFonts w:ascii="Arial" w:cs="Arial" w:eastAsia="Arial" w:hAnsi="Arial"/>
                <w:sz w:val="16"/>
                <w:szCs w:val="16"/>
                <w:color w:val="auto"/>
              </w:rPr>
              <w:t>(16)</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r>
      <w:tr>
        <w:trPr>
          <w:trHeight w:val="135"/>
        </w:trPr>
        <w:tc>
          <w:tcPr>
            <w:tcW w:w="5140" w:type="dxa"/>
            <w:vAlign w:val="bottom"/>
          </w:tcPr>
          <w:p>
            <w:pPr>
              <w:spacing w:after="0" w:line="135" w:lineRule="exact"/>
              <w:rPr>
                <w:sz w:val="20"/>
                <w:szCs w:val="20"/>
                <w:color w:val="auto"/>
              </w:rPr>
            </w:pPr>
            <w:r>
              <w:rPr>
                <w:rFonts w:ascii="Arial" w:cs="Arial" w:eastAsia="Arial" w:hAnsi="Arial"/>
                <w:sz w:val="15"/>
                <w:szCs w:val="15"/>
                <w:color w:val="auto"/>
              </w:rPr>
              <w:t>Operating income</w:t>
            </w:r>
          </w:p>
        </w:tc>
        <w:tc>
          <w:tcPr>
            <w:tcW w:w="1120" w:type="dxa"/>
            <w:vAlign w:val="bottom"/>
          </w:tcPr>
          <w:p>
            <w:pPr>
              <w:spacing w:after="0"/>
              <w:rPr>
                <w:sz w:val="11"/>
                <w:szCs w:val="11"/>
                <w:color w:val="auto"/>
              </w:rPr>
            </w:pPr>
          </w:p>
        </w:tc>
        <w:tc>
          <w:tcPr>
            <w:tcW w:w="580" w:type="dxa"/>
            <w:vAlign w:val="bottom"/>
          </w:tcPr>
          <w:p>
            <w:pPr>
              <w:jc w:val="right"/>
              <w:ind w:right="81"/>
              <w:spacing w:after="0" w:line="135" w:lineRule="exact"/>
              <w:rPr>
                <w:sz w:val="20"/>
                <w:szCs w:val="20"/>
                <w:color w:val="auto"/>
              </w:rPr>
            </w:pPr>
            <w:r>
              <w:rPr>
                <w:rFonts w:ascii="Arial" w:cs="Arial" w:eastAsia="Arial" w:hAnsi="Arial"/>
                <w:sz w:val="15"/>
                <w:szCs w:val="15"/>
                <w:color w:val="auto"/>
              </w:rPr>
              <w:t>10</w:t>
            </w:r>
          </w:p>
        </w:tc>
        <w:tc>
          <w:tcPr>
            <w:tcW w:w="980" w:type="dxa"/>
            <w:vAlign w:val="bottom"/>
          </w:tcPr>
          <w:p>
            <w:pPr>
              <w:spacing w:after="0"/>
              <w:rPr>
                <w:sz w:val="11"/>
                <w:szCs w:val="11"/>
                <w:color w:val="auto"/>
              </w:rPr>
            </w:pPr>
          </w:p>
        </w:tc>
        <w:tc>
          <w:tcPr>
            <w:tcW w:w="600" w:type="dxa"/>
            <w:vAlign w:val="bottom"/>
          </w:tcPr>
          <w:p>
            <w:pPr>
              <w:jc w:val="right"/>
              <w:ind w:right="101"/>
              <w:spacing w:after="0" w:line="135" w:lineRule="exact"/>
              <w:rPr>
                <w:sz w:val="20"/>
                <w:szCs w:val="20"/>
                <w:color w:val="auto"/>
              </w:rPr>
            </w:pPr>
            <w:r>
              <w:rPr>
                <w:rFonts w:ascii="Arial" w:cs="Arial" w:eastAsia="Arial" w:hAnsi="Arial"/>
                <w:sz w:val="15"/>
                <w:szCs w:val="15"/>
                <w:color w:val="auto"/>
              </w:rPr>
              <w:t>11</w:t>
            </w:r>
          </w:p>
        </w:tc>
        <w:tc>
          <w:tcPr>
            <w:tcW w:w="340" w:type="dxa"/>
            <w:vAlign w:val="bottom"/>
          </w:tcPr>
          <w:p>
            <w:pPr>
              <w:spacing w:after="0"/>
              <w:rPr>
                <w:sz w:val="11"/>
                <w:szCs w:val="11"/>
                <w:color w:val="auto"/>
              </w:rPr>
            </w:pPr>
          </w:p>
        </w:tc>
        <w:tc>
          <w:tcPr>
            <w:tcW w:w="1220" w:type="dxa"/>
            <w:vAlign w:val="bottom"/>
          </w:tcPr>
          <w:p>
            <w:pPr>
              <w:jc w:val="right"/>
              <w:ind w:right="102"/>
              <w:spacing w:after="0" w:line="135" w:lineRule="exact"/>
              <w:rPr>
                <w:sz w:val="20"/>
                <w:szCs w:val="20"/>
                <w:color w:val="auto"/>
              </w:rPr>
            </w:pPr>
            <w:r>
              <w:rPr>
                <w:rFonts w:ascii="Arial" w:cs="Arial" w:eastAsia="Arial" w:hAnsi="Arial"/>
                <w:sz w:val="15"/>
                <w:szCs w:val="15"/>
                <w:color w:val="auto"/>
              </w:rPr>
              <w:t>16</w:t>
            </w:r>
          </w:p>
        </w:tc>
        <w:tc>
          <w:tcPr>
            <w:tcW w:w="34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5"/>
                <w:szCs w:val="15"/>
                <w:color w:val="auto"/>
              </w:rPr>
              <w:t>3</w:t>
            </w:r>
          </w:p>
        </w:tc>
      </w:tr>
      <w:tr>
        <w:trPr>
          <w:trHeight w:val="204"/>
        </w:trPr>
        <w:tc>
          <w:tcPr>
            <w:tcW w:w="5140" w:type="dxa"/>
            <w:vAlign w:val="bottom"/>
          </w:tcPr>
          <w:p>
            <w:pPr>
              <w:spacing w:after="0"/>
              <w:rPr>
                <w:sz w:val="20"/>
                <w:szCs w:val="20"/>
                <w:color w:val="auto"/>
              </w:rPr>
            </w:pPr>
            <w:r>
              <w:rPr>
                <w:rFonts w:ascii="Arial" w:cs="Arial" w:eastAsia="Arial" w:hAnsi="Arial"/>
                <w:sz w:val="16"/>
                <w:szCs w:val="16"/>
                <w:color w:val="auto"/>
              </w:rPr>
              <w:t>Interest expense</w:t>
            </w: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135"/>
        </w:trPr>
        <w:tc>
          <w:tcPr>
            <w:tcW w:w="5140" w:type="dxa"/>
            <w:vAlign w:val="bottom"/>
          </w:tcPr>
          <w:p>
            <w:pPr>
              <w:spacing w:after="0" w:line="135" w:lineRule="exact"/>
              <w:rPr>
                <w:sz w:val="20"/>
                <w:szCs w:val="20"/>
                <w:color w:val="auto"/>
              </w:rPr>
            </w:pPr>
            <w:r>
              <w:rPr>
                <w:rFonts w:ascii="Arial" w:cs="Arial" w:eastAsia="Arial" w:hAnsi="Arial"/>
                <w:sz w:val="15"/>
                <w:szCs w:val="15"/>
                <w:color w:val="auto"/>
              </w:rPr>
              <w:t>Income (loss) before income taxes/Net income (loss)</w:t>
            </w:r>
          </w:p>
        </w:tc>
        <w:tc>
          <w:tcPr>
            <w:tcW w:w="1120" w:type="dxa"/>
            <w:vAlign w:val="bottom"/>
          </w:tcPr>
          <w:p>
            <w:pPr>
              <w:spacing w:after="0"/>
              <w:rPr>
                <w:sz w:val="11"/>
                <w:szCs w:val="11"/>
                <w:color w:val="auto"/>
              </w:rPr>
            </w:pPr>
          </w:p>
        </w:tc>
        <w:tc>
          <w:tcPr>
            <w:tcW w:w="580" w:type="dxa"/>
            <w:vAlign w:val="bottom"/>
          </w:tcPr>
          <w:p>
            <w:pPr>
              <w:jc w:val="right"/>
              <w:ind w:right="81"/>
              <w:spacing w:after="0" w:line="135" w:lineRule="exact"/>
              <w:rPr>
                <w:sz w:val="20"/>
                <w:szCs w:val="20"/>
                <w:color w:val="auto"/>
              </w:rPr>
            </w:pPr>
            <w:r>
              <w:rPr>
                <w:rFonts w:ascii="Arial" w:cs="Arial" w:eastAsia="Arial" w:hAnsi="Arial"/>
                <w:sz w:val="15"/>
                <w:szCs w:val="15"/>
                <w:color w:val="auto"/>
              </w:rPr>
              <w:t>6</w:t>
            </w:r>
          </w:p>
        </w:tc>
        <w:tc>
          <w:tcPr>
            <w:tcW w:w="980" w:type="dxa"/>
            <w:vAlign w:val="bottom"/>
          </w:tcPr>
          <w:p>
            <w:pPr>
              <w:spacing w:after="0"/>
              <w:rPr>
                <w:sz w:val="11"/>
                <w:szCs w:val="11"/>
                <w:color w:val="auto"/>
              </w:rPr>
            </w:pPr>
          </w:p>
        </w:tc>
        <w:tc>
          <w:tcPr>
            <w:tcW w:w="600" w:type="dxa"/>
            <w:vAlign w:val="bottom"/>
          </w:tcPr>
          <w:p>
            <w:pPr>
              <w:jc w:val="right"/>
              <w:ind w:right="101"/>
              <w:spacing w:after="0" w:line="135" w:lineRule="exact"/>
              <w:rPr>
                <w:sz w:val="20"/>
                <w:szCs w:val="20"/>
                <w:color w:val="auto"/>
              </w:rPr>
            </w:pPr>
            <w:r>
              <w:rPr>
                <w:rFonts w:ascii="Arial" w:cs="Arial" w:eastAsia="Arial" w:hAnsi="Arial"/>
                <w:sz w:val="15"/>
                <w:szCs w:val="15"/>
                <w:color w:val="auto"/>
              </w:rPr>
              <w:t>7</w:t>
            </w:r>
          </w:p>
        </w:tc>
        <w:tc>
          <w:tcPr>
            <w:tcW w:w="340" w:type="dxa"/>
            <w:vAlign w:val="bottom"/>
          </w:tcPr>
          <w:p>
            <w:pPr>
              <w:spacing w:after="0"/>
              <w:rPr>
                <w:sz w:val="11"/>
                <w:szCs w:val="11"/>
                <w:color w:val="auto"/>
              </w:rPr>
            </w:pPr>
          </w:p>
        </w:tc>
        <w:tc>
          <w:tcPr>
            <w:tcW w:w="1220" w:type="dxa"/>
            <w:vAlign w:val="bottom"/>
          </w:tcPr>
          <w:p>
            <w:pPr>
              <w:jc w:val="right"/>
              <w:ind w:right="102"/>
              <w:spacing w:after="0" w:line="135" w:lineRule="exact"/>
              <w:rPr>
                <w:sz w:val="20"/>
                <w:szCs w:val="20"/>
                <w:color w:val="auto"/>
              </w:rPr>
            </w:pPr>
            <w:r>
              <w:rPr>
                <w:rFonts w:ascii="Arial" w:cs="Arial" w:eastAsia="Arial" w:hAnsi="Arial"/>
                <w:sz w:val="15"/>
                <w:szCs w:val="15"/>
                <w:color w:val="auto"/>
              </w:rPr>
              <w:t>8</w:t>
            </w:r>
          </w:p>
        </w:tc>
        <w:tc>
          <w:tcPr>
            <w:tcW w:w="34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5"/>
                <w:szCs w:val="15"/>
                <w:color w:val="auto"/>
              </w:rPr>
              <w:t>(4)</w:t>
            </w:r>
          </w:p>
        </w:tc>
      </w:tr>
      <w:tr>
        <w:trPr>
          <w:trHeight w:val="204"/>
        </w:trPr>
        <w:tc>
          <w:tcPr>
            <w:tcW w:w="5140" w:type="dxa"/>
            <w:vAlign w:val="bottom"/>
          </w:tcPr>
          <w:p>
            <w:pPr>
              <w:spacing w:after="0"/>
              <w:rPr>
                <w:sz w:val="20"/>
                <w:szCs w:val="20"/>
                <w:color w:val="auto"/>
              </w:rPr>
            </w:pPr>
            <w:r>
              <w:rPr>
                <w:rFonts w:ascii="Arial" w:cs="Arial" w:eastAsia="Arial" w:hAnsi="Arial"/>
                <w:sz w:val="16"/>
                <w:szCs w:val="16"/>
                <w:color w:val="auto"/>
              </w:rPr>
              <w:t>(Earnings) losses attributable to noncontrolling interest</w:t>
            </w: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66"/>
        </w:trPr>
        <w:tc>
          <w:tcPr>
            <w:tcW w:w="5140" w:type="dxa"/>
            <w:vAlign w:val="bottom"/>
          </w:tcPr>
          <w:p>
            <w:pPr>
              <w:ind w:left="140"/>
              <w:spacing w:after="0" w:line="166" w:lineRule="exact"/>
              <w:rPr>
                <w:sz w:val="20"/>
                <w:szCs w:val="20"/>
                <w:color w:val="auto"/>
              </w:rPr>
            </w:pPr>
            <w:r>
              <w:rPr>
                <w:rFonts w:ascii="Arial" w:cs="Arial" w:eastAsia="Arial" w:hAnsi="Arial"/>
                <w:sz w:val="16"/>
                <w:szCs w:val="16"/>
                <w:color w:val="auto"/>
              </w:rPr>
              <w:t>Earnings</w:t>
            </w:r>
          </w:p>
        </w:tc>
        <w:tc>
          <w:tcPr>
            <w:tcW w:w="1120" w:type="dxa"/>
            <w:vAlign w:val="bottom"/>
          </w:tcPr>
          <w:p>
            <w:pPr>
              <w:jc w:val="right"/>
              <w:ind w:right="685"/>
              <w:spacing w:after="0" w:line="166" w:lineRule="exact"/>
              <w:rPr>
                <w:sz w:val="20"/>
                <w:szCs w:val="20"/>
                <w:color w:val="auto"/>
              </w:rPr>
            </w:pPr>
            <w:r>
              <w:rPr>
                <w:rFonts w:ascii="Arial" w:cs="Arial" w:eastAsia="Arial" w:hAnsi="Arial"/>
                <w:sz w:val="16"/>
                <w:szCs w:val="16"/>
                <w:color w:val="auto"/>
              </w:rPr>
              <w:t>$</w:t>
            </w:r>
          </w:p>
        </w:tc>
        <w:tc>
          <w:tcPr>
            <w:tcW w:w="580" w:type="dxa"/>
            <w:vAlign w:val="bottom"/>
          </w:tcPr>
          <w:p>
            <w:pPr>
              <w:jc w:val="right"/>
              <w:ind w:right="81"/>
              <w:spacing w:after="0" w:line="166"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683"/>
              <w:spacing w:after="0" w:line="166"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101"/>
              <w:spacing w:after="0" w:line="166"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60"/>
              <w:spacing w:after="0" w:line="166"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102"/>
              <w:spacing w:after="0" w:line="166"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r>
      <w:tr>
        <w:trPr>
          <w:trHeight w:val="80"/>
        </w:trPr>
        <w:tc>
          <w:tcPr>
            <w:tcW w:w="5140" w:type="dxa"/>
            <w:vAlign w:val="bottom"/>
            <w:shd w:val="clear" w:color="auto" w:fill="000000"/>
          </w:tcPr>
          <w:p>
            <w:pPr>
              <w:spacing w:after="0"/>
              <w:rPr>
                <w:sz w:val="6"/>
                <w:szCs w:val="6"/>
                <w:color w:val="auto"/>
              </w:rPr>
            </w:pPr>
          </w:p>
        </w:tc>
        <w:tc>
          <w:tcPr>
            <w:tcW w:w="1120" w:type="dxa"/>
            <w:vAlign w:val="bottom"/>
            <w:shd w:val="clear" w:color="auto" w:fill="000000"/>
          </w:tcPr>
          <w:p>
            <w:pPr>
              <w:spacing w:after="0"/>
              <w:rPr>
                <w:sz w:val="6"/>
                <w:szCs w:val="6"/>
                <w:color w:val="auto"/>
              </w:rPr>
            </w:pPr>
          </w:p>
        </w:tc>
        <w:tc>
          <w:tcPr>
            <w:tcW w:w="58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22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additional information regarding Otay Mesa VIE in Note 1 of the Notes to Consolidated Financial Statements in the Annual Report.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discuss asset retirement obligations in Note 1 of the Notes to Consolidated Financial Statements in the Annual Report.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asset retirement obligations are as follows: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800" w:type="dxa"/>
            <w:vAlign w:val="bottom"/>
          </w:tcPr>
          <w:p>
            <w:pPr>
              <w:spacing w:after="0"/>
              <w:rPr>
                <w:sz w:val="16"/>
                <w:szCs w:val="16"/>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Sempra Energy</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4"/>
                <w:szCs w:val="14"/>
                <w:color w:val="auto"/>
              </w:rPr>
              <w:t>Consolidated</w:t>
            </w:r>
          </w:p>
        </w:tc>
        <w:tc>
          <w:tcPr>
            <w:tcW w:w="8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color w:val="auto"/>
              </w:rPr>
              <w:t>SDG&amp;E</w:t>
            </w:r>
          </w:p>
        </w:tc>
        <w:tc>
          <w:tcPr>
            <w:tcW w:w="9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4"/>
                <w:szCs w:val="14"/>
                <w:color w:val="auto"/>
              </w:rPr>
              <w:t>SoCalGas</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8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w w:val="96"/>
              </w:rPr>
              <w:t>2013</w:t>
            </w: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2014</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2013</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2014</w:t>
            </w: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35"/>
        </w:trPr>
        <w:tc>
          <w:tcPr>
            <w:tcW w:w="2840" w:type="dxa"/>
            <w:vAlign w:val="bottom"/>
          </w:tcPr>
          <w:p>
            <w:pPr>
              <w:spacing w:after="0" w:line="135" w:lineRule="exact"/>
              <w:rPr>
                <w:sz w:val="20"/>
                <w:szCs w:val="20"/>
                <w:color w:val="auto"/>
              </w:rPr>
            </w:pPr>
            <w:r>
              <w:rPr>
                <w:rFonts w:ascii="Arial" w:cs="Arial" w:eastAsia="Arial" w:hAnsi="Arial"/>
                <w:sz w:val="15"/>
                <w:szCs w:val="15"/>
                <w:color w:val="auto"/>
              </w:rPr>
              <w:t>Balance at January 1(1)</w:t>
            </w:r>
          </w:p>
        </w:tc>
        <w:tc>
          <w:tcPr>
            <w:tcW w:w="800" w:type="dxa"/>
            <w:vAlign w:val="bottom"/>
          </w:tcPr>
          <w:p>
            <w:pPr>
              <w:jc w:val="right"/>
              <w:ind w:right="647"/>
              <w:spacing w:after="0" w:line="135" w:lineRule="exact"/>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35" w:lineRule="exact"/>
              <w:rPr>
                <w:sz w:val="20"/>
                <w:szCs w:val="20"/>
                <w:color w:val="auto"/>
              </w:rPr>
            </w:pPr>
            <w:r>
              <w:rPr>
                <w:rFonts w:ascii="Arial" w:cs="Arial" w:eastAsia="Arial" w:hAnsi="Arial"/>
                <w:sz w:val="15"/>
                <w:szCs w:val="15"/>
                <w:color w:val="auto"/>
              </w:rPr>
              <w:t>2,152</w:t>
            </w:r>
          </w:p>
        </w:tc>
        <w:tc>
          <w:tcPr>
            <w:tcW w:w="480" w:type="dxa"/>
            <w:vAlign w:val="bottom"/>
          </w:tcPr>
          <w:p>
            <w:pPr>
              <w:jc w:val="right"/>
              <w:ind w:right="303"/>
              <w:spacing w:after="0" w:line="135" w:lineRule="exact"/>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2,056</w:t>
            </w:r>
          </w:p>
        </w:tc>
        <w:tc>
          <w:tcPr>
            <w:tcW w:w="260" w:type="dxa"/>
            <w:vAlign w:val="bottom"/>
          </w:tcPr>
          <w:p>
            <w:pPr>
              <w:spacing w:after="0"/>
              <w:rPr>
                <w:sz w:val="11"/>
                <w:szCs w:val="11"/>
                <w:color w:val="auto"/>
              </w:rPr>
            </w:pPr>
          </w:p>
        </w:tc>
        <w:tc>
          <w:tcPr>
            <w:tcW w:w="280" w:type="dxa"/>
            <w:vAlign w:val="bottom"/>
          </w:tcPr>
          <w:p>
            <w:pPr>
              <w:jc w:val="right"/>
              <w:ind w:right="126"/>
              <w:spacing w:after="0" w:line="135"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35" w:lineRule="exact"/>
              <w:rPr>
                <w:sz w:val="20"/>
                <w:szCs w:val="20"/>
                <w:color w:val="auto"/>
              </w:rPr>
            </w:pPr>
            <w:r>
              <w:rPr>
                <w:rFonts w:ascii="Arial" w:cs="Arial" w:eastAsia="Arial" w:hAnsi="Arial"/>
                <w:sz w:val="15"/>
                <w:szCs w:val="15"/>
                <w:color w:val="auto"/>
              </w:rPr>
              <w:t>913</w:t>
            </w:r>
          </w:p>
        </w:tc>
        <w:tc>
          <w:tcPr>
            <w:tcW w:w="380" w:type="dxa"/>
            <w:vAlign w:val="bottom"/>
          </w:tcPr>
          <w:p>
            <w:pPr>
              <w:jc w:val="right"/>
              <w:ind w:right="203"/>
              <w:spacing w:after="0" w:line="135" w:lineRule="exact"/>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line="135" w:lineRule="exact"/>
              <w:rPr>
                <w:sz w:val="20"/>
                <w:szCs w:val="20"/>
                <w:color w:val="auto"/>
              </w:rPr>
            </w:pPr>
            <w:r>
              <w:rPr>
                <w:rFonts w:ascii="Arial" w:cs="Arial" w:eastAsia="Arial" w:hAnsi="Arial"/>
                <w:sz w:val="15"/>
                <w:szCs w:val="15"/>
                <w:color w:val="auto"/>
              </w:rPr>
              <w:t>741</w:t>
            </w:r>
          </w:p>
        </w:tc>
        <w:tc>
          <w:tcPr>
            <w:tcW w:w="560" w:type="dxa"/>
            <w:vAlign w:val="bottom"/>
            <w:gridSpan w:val="2"/>
          </w:tcPr>
          <w:p>
            <w:pPr>
              <w:jc w:val="right"/>
              <w:ind w:right="220"/>
              <w:spacing w:after="0" w:line="135" w:lineRule="exact"/>
              <w:rPr>
                <w:sz w:val="20"/>
                <w:szCs w:val="20"/>
                <w:color w:val="auto"/>
              </w:rPr>
            </w:pPr>
            <w:r>
              <w:rPr>
                <w:rFonts w:ascii="Arial" w:cs="Arial" w:eastAsia="Arial" w:hAnsi="Arial"/>
                <w:sz w:val="15"/>
                <w:szCs w:val="15"/>
                <w:color w:val="auto"/>
              </w:rPr>
              <w:t>$</w:t>
            </w:r>
          </w:p>
        </w:tc>
        <w:tc>
          <w:tcPr>
            <w:tcW w:w="1040" w:type="dxa"/>
            <w:vAlign w:val="bottom"/>
          </w:tcPr>
          <w:p>
            <w:pPr>
              <w:jc w:val="right"/>
              <w:spacing w:after="0" w:line="135" w:lineRule="exact"/>
              <w:rPr>
                <w:sz w:val="20"/>
                <w:szCs w:val="20"/>
                <w:color w:val="auto"/>
              </w:rPr>
            </w:pPr>
            <w:r>
              <w:rPr>
                <w:rFonts w:ascii="Arial" w:cs="Arial" w:eastAsia="Arial" w:hAnsi="Arial"/>
                <w:sz w:val="15"/>
                <w:szCs w:val="15"/>
                <w:color w:val="auto"/>
              </w:rPr>
              <w:t>1,199</w:t>
            </w:r>
          </w:p>
        </w:tc>
        <w:tc>
          <w:tcPr>
            <w:tcW w:w="420" w:type="dxa"/>
            <w:vAlign w:val="bottom"/>
          </w:tcPr>
          <w:p>
            <w:pPr>
              <w:jc w:val="right"/>
              <w:ind w:right="243"/>
              <w:spacing w:after="0" w:line="135" w:lineRule="exact"/>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line="135" w:lineRule="exact"/>
              <w:rPr>
                <w:sz w:val="20"/>
                <w:szCs w:val="20"/>
                <w:color w:val="auto"/>
              </w:rPr>
            </w:pPr>
            <w:r>
              <w:rPr>
                <w:rFonts w:ascii="Arial" w:cs="Arial" w:eastAsia="Arial" w:hAnsi="Arial"/>
                <w:sz w:val="15"/>
                <w:szCs w:val="15"/>
                <w:color w:val="auto"/>
              </w:rPr>
              <w:t>1,253</w:t>
            </w:r>
          </w:p>
        </w:tc>
        <w:tc>
          <w:tcPr>
            <w:tcW w:w="0" w:type="dxa"/>
            <w:vAlign w:val="bottom"/>
          </w:tcPr>
          <w:p>
            <w:pPr>
              <w:spacing w:after="0"/>
              <w:rPr>
                <w:sz w:val="1"/>
                <w:szCs w:val="1"/>
                <w:color w:val="auto"/>
              </w:rPr>
            </w:pPr>
          </w:p>
        </w:tc>
      </w:tr>
      <w:tr>
        <w:trPr>
          <w:trHeight w:val="173"/>
        </w:trPr>
        <w:tc>
          <w:tcPr>
            <w:tcW w:w="2840" w:type="dxa"/>
            <w:vAlign w:val="bottom"/>
          </w:tcPr>
          <w:p>
            <w:pPr>
              <w:spacing w:after="0" w:line="173" w:lineRule="exact"/>
              <w:rPr>
                <w:sz w:val="20"/>
                <w:szCs w:val="20"/>
                <w:color w:val="auto"/>
              </w:rPr>
            </w:pPr>
            <w:r>
              <w:rPr>
                <w:rFonts w:ascii="Arial" w:cs="Arial" w:eastAsia="Arial" w:hAnsi="Arial"/>
                <w:sz w:val="16"/>
                <w:szCs w:val="16"/>
                <w:color w:val="auto"/>
              </w:rPr>
              <w:t>Accretion expense</w:t>
            </w:r>
          </w:p>
        </w:tc>
        <w:tc>
          <w:tcPr>
            <w:tcW w:w="80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50</w:t>
            </w:r>
          </w:p>
        </w:tc>
        <w:tc>
          <w:tcPr>
            <w:tcW w:w="48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49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24</w:t>
            </w:r>
          </w:p>
        </w:tc>
        <w:tc>
          <w:tcPr>
            <w:tcW w:w="380" w:type="dxa"/>
            <w:vAlign w:val="bottom"/>
          </w:tcPr>
          <w:p>
            <w:pPr>
              <w:spacing w:after="0"/>
              <w:rPr>
                <w:sz w:val="15"/>
                <w:szCs w:val="15"/>
                <w:color w:val="auto"/>
              </w:rPr>
            </w:pPr>
          </w:p>
        </w:tc>
        <w:tc>
          <w:tcPr>
            <w:tcW w:w="980" w:type="dxa"/>
            <w:vAlign w:val="bottom"/>
          </w:tcPr>
          <w:p>
            <w:pPr>
              <w:jc w:val="right"/>
              <w:spacing w:after="0" w:line="173" w:lineRule="exact"/>
              <w:rPr>
                <w:sz w:val="20"/>
                <w:szCs w:val="20"/>
                <w:color w:val="auto"/>
              </w:rPr>
            </w:pPr>
            <w:r>
              <w:rPr>
                <w:rFonts w:ascii="Arial" w:cs="Arial" w:eastAsia="Arial" w:hAnsi="Arial"/>
                <w:sz w:val="16"/>
                <w:szCs w:val="16"/>
                <w:color w:val="auto"/>
              </w:rPr>
              <w:t>22</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25</w:t>
            </w:r>
          </w:p>
        </w:tc>
        <w:tc>
          <w:tcPr>
            <w:tcW w:w="420" w:type="dxa"/>
            <w:vAlign w:val="bottom"/>
          </w:tcPr>
          <w:p>
            <w:pPr>
              <w:spacing w:after="0"/>
              <w:rPr>
                <w:sz w:val="15"/>
                <w:szCs w:val="15"/>
                <w:color w:val="auto"/>
              </w:rPr>
            </w:pPr>
          </w:p>
        </w:tc>
        <w:tc>
          <w:tcPr>
            <w:tcW w:w="960" w:type="dxa"/>
            <w:vAlign w:val="bottom"/>
          </w:tcPr>
          <w:p>
            <w:pPr>
              <w:jc w:val="right"/>
              <w:spacing w:after="0" w:line="173"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3"/>
        </w:trPr>
        <w:tc>
          <w:tcPr>
            <w:tcW w:w="2840" w:type="dxa"/>
            <w:vAlign w:val="bottom"/>
          </w:tcPr>
          <w:p>
            <w:pPr>
              <w:spacing w:after="0" w:line="173" w:lineRule="exact"/>
              <w:rPr>
                <w:sz w:val="20"/>
                <w:szCs w:val="20"/>
                <w:color w:val="auto"/>
              </w:rPr>
            </w:pPr>
            <w:r>
              <w:rPr>
                <w:rFonts w:ascii="Arial" w:cs="Arial" w:eastAsia="Arial" w:hAnsi="Arial"/>
                <w:sz w:val="16"/>
                <w:szCs w:val="16"/>
                <w:color w:val="auto"/>
              </w:rPr>
              <w:t>Liabilities incurred</w:t>
            </w:r>
          </w:p>
        </w:tc>
        <w:tc>
          <w:tcPr>
            <w:tcW w:w="80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48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98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9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2840" w:type="dxa"/>
            <w:vAlign w:val="bottom"/>
          </w:tcPr>
          <w:p>
            <w:pPr>
              <w:spacing w:after="0" w:line="173" w:lineRule="exact"/>
              <w:rPr>
                <w:sz w:val="20"/>
                <w:szCs w:val="20"/>
                <w:color w:val="auto"/>
              </w:rPr>
            </w:pPr>
            <w:r>
              <w:rPr>
                <w:rFonts w:ascii="Arial" w:cs="Arial" w:eastAsia="Arial" w:hAnsi="Arial"/>
                <w:sz w:val="16"/>
                <w:szCs w:val="16"/>
                <w:color w:val="auto"/>
              </w:rPr>
              <w:t>Reclassification(2)</w:t>
            </w:r>
          </w:p>
        </w:tc>
        <w:tc>
          <w:tcPr>
            <w:tcW w:w="80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(6)</w:t>
            </w:r>
          </w:p>
        </w:tc>
        <w:tc>
          <w:tcPr>
            <w:tcW w:w="480" w:type="dxa"/>
            <w:vAlign w:val="bottom"/>
          </w:tcPr>
          <w:p>
            <w:pPr>
              <w:spacing w:after="0"/>
              <w:rPr>
                <w:sz w:val="15"/>
                <w:szCs w:val="15"/>
                <w:color w:val="auto"/>
              </w:rPr>
            </w:pPr>
          </w:p>
        </w:tc>
        <w:tc>
          <w:tcPr>
            <w:tcW w:w="1120" w:type="dxa"/>
            <w:vAlign w:val="bottom"/>
            <w:gridSpan w:val="2"/>
          </w:tcPr>
          <w:p>
            <w:pPr>
              <w:jc w:val="right"/>
              <w:ind w:right="300"/>
              <w:spacing w:after="0" w:line="173"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98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9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2840" w:type="dxa"/>
            <w:vAlign w:val="bottom"/>
          </w:tcPr>
          <w:p>
            <w:pPr>
              <w:spacing w:after="0" w:line="173" w:lineRule="exact"/>
              <w:rPr>
                <w:sz w:val="20"/>
                <w:szCs w:val="20"/>
                <w:color w:val="auto"/>
              </w:rPr>
            </w:pPr>
            <w:r>
              <w:rPr>
                <w:rFonts w:ascii="Arial" w:cs="Arial" w:eastAsia="Arial" w:hAnsi="Arial"/>
                <w:sz w:val="16"/>
                <w:szCs w:val="16"/>
                <w:color w:val="auto"/>
              </w:rPr>
              <w:t>Payments</w:t>
            </w:r>
          </w:p>
        </w:tc>
        <w:tc>
          <w:tcPr>
            <w:tcW w:w="80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(9)</w:t>
            </w:r>
          </w:p>
        </w:tc>
        <w:tc>
          <w:tcPr>
            <w:tcW w:w="480" w:type="dxa"/>
            <w:vAlign w:val="bottom"/>
          </w:tcPr>
          <w:p>
            <w:pPr>
              <w:spacing w:after="0"/>
              <w:rPr>
                <w:sz w:val="15"/>
                <w:szCs w:val="15"/>
                <w:color w:val="auto"/>
              </w:rPr>
            </w:pPr>
          </w:p>
        </w:tc>
        <w:tc>
          <w:tcPr>
            <w:tcW w:w="1120" w:type="dxa"/>
            <w:vAlign w:val="bottom"/>
            <w:gridSpan w:val="2"/>
          </w:tcPr>
          <w:p>
            <w:pPr>
              <w:jc w:val="right"/>
              <w:ind w:right="300"/>
              <w:spacing w:after="0" w:line="173"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(8)</w:t>
            </w:r>
          </w:p>
        </w:tc>
        <w:tc>
          <w:tcPr>
            <w:tcW w:w="380" w:type="dxa"/>
            <w:vAlign w:val="bottom"/>
          </w:tcPr>
          <w:p>
            <w:pPr>
              <w:spacing w:after="0"/>
              <w:rPr>
                <w:sz w:val="15"/>
                <w:szCs w:val="15"/>
                <w:color w:val="auto"/>
              </w:rPr>
            </w:pPr>
          </w:p>
        </w:tc>
        <w:tc>
          <w:tcPr>
            <w:tcW w:w="98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9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2840" w:type="dxa"/>
            <w:vAlign w:val="bottom"/>
          </w:tcPr>
          <w:p>
            <w:pPr>
              <w:spacing w:after="0" w:line="173" w:lineRule="exact"/>
              <w:rPr>
                <w:sz w:val="20"/>
                <w:szCs w:val="20"/>
                <w:color w:val="auto"/>
              </w:rPr>
            </w:pPr>
            <w:r>
              <w:rPr>
                <w:rFonts w:ascii="Arial" w:cs="Arial" w:eastAsia="Arial" w:hAnsi="Arial"/>
                <w:sz w:val="16"/>
                <w:szCs w:val="16"/>
                <w:color w:val="auto"/>
              </w:rPr>
              <w:t>Revisions, GRC-related(3)</w:t>
            </w:r>
          </w:p>
        </w:tc>
        <w:tc>
          <w:tcPr>
            <w:tcW w:w="80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480" w:type="dxa"/>
            <w:vAlign w:val="bottom"/>
          </w:tcPr>
          <w:p>
            <w:pPr>
              <w:spacing w:after="0"/>
              <w:rPr>
                <w:sz w:val="15"/>
                <w:szCs w:val="15"/>
                <w:color w:val="auto"/>
              </w:rPr>
            </w:pPr>
          </w:p>
        </w:tc>
        <w:tc>
          <w:tcPr>
            <w:tcW w:w="1120" w:type="dxa"/>
            <w:vAlign w:val="bottom"/>
            <w:gridSpan w:val="2"/>
          </w:tcPr>
          <w:p>
            <w:pPr>
              <w:jc w:val="right"/>
              <w:ind w:right="260"/>
              <w:spacing w:after="0" w:line="173" w:lineRule="exact"/>
              <w:rPr>
                <w:sz w:val="20"/>
                <w:szCs w:val="20"/>
                <w:color w:val="auto"/>
              </w:rPr>
            </w:pPr>
            <w:r>
              <w:rPr>
                <w:rFonts w:ascii="Arial" w:cs="Arial" w:eastAsia="Arial" w:hAnsi="Arial"/>
                <w:sz w:val="16"/>
                <w:szCs w:val="16"/>
                <w:color w:val="auto"/>
              </w:rPr>
              <w:t>(135)</w:t>
            </w:r>
          </w:p>
        </w:tc>
        <w:tc>
          <w:tcPr>
            <w:tcW w:w="28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980" w:type="dxa"/>
            <w:vAlign w:val="bottom"/>
          </w:tcPr>
          <w:p>
            <w:pPr>
              <w:jc w:val="right"/>
              <w:spacing w:after="0" w:line="173" w:lineRule="exact"/>
              <w:rPr>
                <w:sz w:val="20"/>
                <w:szCs w:val="20"/>
                <w:color w:val="auto"/>
              </w:rPr>
            </w:pPr>
            <w:r>
              <w:rPr>
                <w:rFonts w:ascii="Arial" w:cs="Arial" w:eastAsia="Arial" w:hAnsi="Arial"/>
                <w:sz w:val="16"/>
                <w:szCs w:val="16"/>
                <w:color w:val="auto"/>
              </w:rPr>
              <w:t>(30)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960" w:type="dxa"/>
            <w:vAlign w:val="bottom"/>
          </w:tcPr>
          <w:p>
            <w:pPr>
              <w:jc w:val="right"/>
              <w:spacing w:after="0" w:line="173"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4"/>
        </w:trPr>
        <w:tc>
          <w:tcPr>
            <w:tcW w:w="2840" w:type="dxa"/>
            <w:vAlign w:val="bottom"/>
          </w:tcPr>
          <w:p>
            <w:pPr>
              <w:spacing w:after="0"/>
              <w:rPr>
                <w:sz w:val="20"/>
                <w:szCs w:val="20"/>
                <w:color w:val="auto"/>
              </w:rPr>
            </w:pPr>
            <w:r>
              <w:rPr>
                <w:rFonts w:ascii="Arial" w:cs="Arial" w:eastAsia="Arial" w:hAnsi="Arial"/>
                <w:sz w:val="16"/>
                <w:szCs w:val="16"/>
                <w:color w:val="auto"/>
              </w:rPr>
              <w:t>Revisions, other(4)</w:t>
            </w: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840" w:type="dxa"/>
            <w:vAlign w:val="bottom"/>
          </w:tcPr>
          <w:p>
            <w:pPr>
              <w:spacing w:after="0" w:line="166" w:lineRule="exact"/>
              <w:rPr>
                <w:sz w:val="20"/>
                <w:szCs w:val="20"/>
                <w:color w:val="auto"/>
              </w:rPr>
            </w:pPr>
            <w:r>
              <w:rPr>
                <w:rFonts w:ascii="Arial" w:cs="Arial" w:eastAsia="Arial" w:hAnsi="Arial"/>
                <w:sz w:val="16"/>
                <w:szCs w:val="16"/>
                <w:color w:val="auto"/>
              </w:rPr>
              <w:t>Balance at June 30(1)</w:t>
            </w:r>
          </w:p>
        </w:tc>
        <w:tc>
          <w:tcPr>
            <w:tcW w:w="800" w:type="dxa"/>
            <w:vAlign w:val="bottom"/>
          </w:tcPr>
          <w:p>
            <w:pPr>
              <w:jc w:val="right"/>
              <w:ind w:right="647"/>
              <w:spacing w:after="0" w:line="167" w:lineRule="exact"/>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66" w:lineRule="exact"/>
              <w:rPr>
                <w:sz w:val="20"/>
                <w:szCs w:val="20"/>
                <w:color w:val="auto"/>
              </w:rPr>
            </w:pPr>
            <w:r>
              <w:rPr>
                <w:rFonts w:ascii="Arial" w:cs="Arial" w:eastAsia="Arial" w:hAnsi="Arial"/>
                <w:sz w:val="16"/>
                <w:szCs w:val="16"/>
                <w:color w:val="auto"/>
              </w:rPr>
              <w:t>2,134</w:t>
            </w:r>
          </w:p>
        </w:tc>
        <w:tc>
          <w:tcPr>
            <w:tcW w:w="480" w:type="dxa"/>
            <w:vAlign w:val="bottom"/>
          </w:tcPr>
          <w:p>
            <w:pPr>
              <w:jc w:val="right"/>
              <w:ind w:right="303"/>
              <w:spacing w:after="0" w:line="166" w:lineRule="exact"/>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line="166" w:lineRule="exact"/>
              <w:rPr>
                <w:sz w:val="20"/>
                <w:szCs w:val="20"/>
                <w:color w:val="auto"/>
              </w:rPr>
            </w:pPr>
            <w:r>
              <w:rPr>
                <w:rFonts w:ascii="Arial" w:cs="Arial" w:eastAsia="Arial" w:hAnsi="Arial"/>
                <w:sz w:val="16"/>
                <w:szCs w:val="16"/>
                <w:color w:val="auto"/>
              </w:rPr>
              <w:t>1,972</w:t>
            </w:r>
          </w:p>
        </w:tc>
        <w:tc>
          <w:tcPr>
            <w:tcW w:w="260" w:type="dxa"/>
            <w:vAlign w:val="bottom"/>
          </w:tcPr>
          <w:p>
            <w:pPr>
              <w:spacing w:after="0"/>
              <w:rPr>
                <w:sz w:val="14"/>
                <w:szCs w:val="14"/>
                <w:color w:val="auto"/>
              </w:rPr>
            </w:pPr>
          </w:p>
        </w:tc>
        <w:tc>
          <w:tcPr>
            <w:tcW w:w="280" w:type="dxa"/>
            <w:vAlign w:val="bottom"/>
          </w:tcPr>
          <w:p>
            <w:pPr>
              <w:jc w:val="right"/>
              <w:ind w:right="126"/>
              <w:spacing w:after="0" w:line="167"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66" w:lineRule="exact"/>
              <w:rPr>
                <w:sz w:val="20"/>
                <w:szCs w:val="20"/>
                <w:color w:val="auto"/>
              </w:rPr>
            </w:pPr>
            <w:r>
              <w:rPr>
                <w:rFonts w:ascii="Arial" w:cs="Arial" w:eastAsia="Arial" w:hAnsi="Arial"/>
                <w:sz w:val="16"/>
                <w:szCs w:val="16"/>
                <w:color w:val="auto"/>
              </w:rPr>
              <w:t>850</w:t>
            </w:r>
          </w:p>
        </w:tc>
        <w:tc>
          <w:tcPr>
            <w:tcW w:w="380" w:type="dxa"/>
            <w:vAlign w:val="bottom"/>
          </w:tcPr>
          <w:p>
            <w:pPr>
              <w:jc w:val="right"/>
              <w:ind w:right="203"/>
              <w:spacing w:after="0" w:line="166" w:lineRule="exact"/>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line="166" w:lineRule="exact"/>
              <w:rPr>
                <w:sz w:val="20"/>
                <w:szCs w:val="20"/>
                <w:color w:val="auto"/>
              </w:rPr>
            </w:pPr>
            <w:r>
              <w:rPr>
                <w:rFonts w:ascii="Arial" w:cs="Arial" w:eastAsia="Arial" w:hAnsi="Arial"/>
                <w:sz w:val="16"/>
                <w:szCs w:val="16"/>
                <w:color w:val="auto"/>
              </w:rPr>
              <w:t>733</w:t>
            </w:r>
          </w:p>
        </w:tc>
        <w:tc>
          <w:tcPr>
            <w:tcW w:w="560" w:type="dxa"/>
            <w:vAlign w:val="bottom"/>
            <w:gridSpan w:val="2"/>
          </w:tcPr>
          <w:p>
            <w:pPr>
              <w:jc w:val="right"/>
              <w:ind w:right="220"/>
              <w:spacing w:after="0" w:line="166"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66" w:lineRule="exact"/>
              <w:rPr>
                <w:sz w:val="20"/>
                <w:szCs w:val="20"/>
                <w:color w:val="auto"/>
              </w:rPr>
            </w:pPr>
            <w:r>
              <w:rPr>
                <w:rFonts w:ascii="Arial" w:cs="Arial" w:eastAsia="Arial" w:hAnsi="Arial"/>
                <w:sz w:val="16"/>
                <w:szCs w:val="16"/>
                <w:color w:val="auto"/>
              </w:rPr>
              <w:t>1,247</w:t>
            </w:r>
          </w:p>
        </w:tc>
        <w:tc>
          <w:tcPr>
            <w:tcW w:w="420" w:type="dxa"/>
            <w:vAlign w:val="bottom"/>
          </w:tcPr>
          <w:p>
            <w:pPr>
              <w:jc w:val="right"/>
              <w:ind w:right="243"/>
              <w:spacing w:after="0" w:line="166"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line="166" w:lineRule="exact"/>
              <w:rPr>
                <w:sz w:val="20"/>
                <w:szCs w:val="20"/>
                <w:color w:val="auto"/>
              </w:rPr>
            </w:pPr>
            <w:r>
              <w:rPr>
                <w:rFonts w:ascii="Arial" w:cs="Arial" w:eastAsia="Arial" w:hAnsi="Arial"/>
                <w:sz w:val="16"/>
                <w:szCs w:val="16"/>
                <w:color w:val="auto"/>
              </w:rPr>
              <w:t>1,173</w:t>
            </w:r>
          </w:p>
        </w:tc>
        <w:tc>
          <w:tcPr>
            <w:tcW w:w="0" w:type="dxa"/>
            <w:vAlign w:val="bottom"/>
          </w:tcPr>
          <w:p>
            <w:pPr>
              <w:spacing w:after="0"/>
              <w:rPr>
                <w:sz w:val="1"/>
                <w:szCs w:val="1"/>
                <w:color w:val="auto"/>
              </w:rPr>
            </w:pPr>
          </w:p>
        </w:tc>
      </w:tr>
      <w:tr>
        <w:trPr>
          <w:trHeight w:val="80"/>
        </w:trPr>
        <w:tc>
          <w:tcPr>
            <w:tcW w:w="2840" w:type="dxa"/>
            <w:vAlign w:val="bottom"/>
            <w:shd w:val="clear" w:color="auto" w:fill="000000"/>
          </w:tcPr>
          <w:p>
            <w:pPr>
              <w:spacing w:after="0"/>
              <w:rPr>
                <w:sz w:val="6"/>
                <w:szCs w:val="6"/>
                <w:color w:val="auto"/>
              </w:rPr>
            </w:pPr>
          </w:p>
        </w:tc>
        <w:tc>
          <w:tcPr>
            <w:tcW w:w="800" w:type="dxa"/>
            <w:vAlign w:val="bottom"/>
            <w:shd w:val="clear" w:color="auto" w:fill="000000"/>
          </w:tcPr>
          <w:p>
            <w:pPr>
              <w:spacing w:after="0"/>
              <w:rPr>
                <w:sz w:val="6"/>
                <w:szCs w:val="6"/>
                <w:color w:val="auto"/>
              </w:rPr>
            </w:pPr>
          </w:p>
        </w:tc>
        <w:tc>
          <w:tcPr>
            <w:tcW w:w="52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9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540" w:hanging="534"/>
        <w:spacing w:after="0"/>
        <w:tabs>
          <w:tab w:leader="none" w:pos="54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The current portions of the obligations are included in Other Current Liabilities on the Condensed Consolidated Balance Sheets.</w:t>
      </w:r>
    </w:p>
    <w:p>
      <w:pPr>
        <w:spacing w:after="0" w:line="3" w:lineRule="exact"/>
        <w:rPr>
          <w:rFonts w:ascii="Arial" w:cs="Arial" w:eastAsia="Arial" w:hAnsi="Arial"/>
          <w:sz w:val="14"/>
          <w:szCs w:val="14"/>
          <w:i w:val="1"/>
          <w:iCs w:val="1"/>
          <w:color w:val="auto"/>
        </w:rPr>
      </w:pPr>
    </w:p>
    <w:p>
      <w:pPr>
        <w:ind w:left="540" w:right="340" w:hanging="534"/>
        <w:spacing w:after="0" w:line="237" w:lineRule="auto"/>
        <w:tabs>
          <w:tab w:leader="none" w:pos="54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Reclassification to liability held for sale - asset retirement obligation which is included in Other Current Liabilities on the Condensed Consolidated Balance Sheets, as we discuss in "Asset Held for Sale, Power Plant" in Note 3 above.</w:t>
      </w:r>
    </w:p>
    <w:p>
      <w:pPr>
        <w:ind w:left="540" w:right="100" w:hanging="534"/>
        <w:spacing w:after="0" w:line="237" w:lineRule="auto"/>
        <w:tabs>
          <w:tab w:leader="none" w:pos="54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The decreases in asset retirement obligations in 2013 at SDG&amp;E and SoCalGas were due to revised estimates related to the 2012 General Rate Case (GRC) that received final approval in May 2013. At SDG&amp;E, these revisions included increases in asset service lives ranging from 2 percent to 7 percent, and lower estimated cost of removal. At SoCalGas, the decrease included increases in asset service lives ranging from 4 percent to 6 percent, partially offset by a higher estimated cost of removal.</w:t>
      </w:r>
    </w:p>
    <w:p>
      <w:pPr>
        <w:spacing w:after="0" w:line="1" w:lineRule="exact"/>
        <w:rPr>
          <w:rFonts w:ascii="Arial" w:cs="Arial" w:eastAsia="Arial" w:hAnsi="Arial"/>
          <w:sz w:val="14"/>
          <w:szCs w:val="14"/>
          <w:i w:val="1"/>
          <w:iCs w:val="1"/>
          <w:color w:val="auto"/>
        </w:rPr>
      </w:pPr>
    </w:p>
    <w:p>
      <w:pPr>
        <w:ind w:left="540" w:hanging="534"/>
        <w:spacing w:after="0" w:line="237" w:lineRule="auto"/>
        <w:tabs>
          <w:tab w:leader="none" w:pos="54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The decrease in asset retirement obligations in 2014 at SDG&amp;E is due to revised estimates in an updated</w:t>
      </w:r>
    </w:p>
    <w:p>
      <w:pPr>
        <w:ind w:left="540" w:right="80"/>
        <w:spacing w:after="0" w:line="254" w:lineRule="auto"/>
        <w:rPr>
          <w:rFonts w:ascii="Arial" w:cs="Arial" w:eastAsia="Arial" w:hAnsi="Arial"/>
          <w:sz w:val="14"/>
          <w:szCs w:val="14"/>
          <w:i w:val="1"/>
          <w:iCs w:val="1"/>
          <w:color w:val="auto"/>
        </w:rPr>
      </w:pPr>
      <w:r>
        <w:rPr>
          <w:rFonts w:ascii="Arial" w:cs="Arial" w:eastAsia="Arial" w:hAnsi="Arial"/>
          <w:sz w:val="14"/>
          <w:szCs w:val="14"/>
          <w:i w:val="1"/>
          <w:iCs w:val="1"/>
          <w:color w:val="auto"/>
        </w:rPr>
        <w:t>decommissioning cost study for the San Onofre Nuclear Generating Station, which we discuss in Note 9. The increase in asset retirement obligations in 2014 at SoCalGas is related to a change in estimates.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Net Periodic Benefit Cost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three tables provide the components of net periodic benefit cost: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PERIODIC BENEFIT COST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Pr>
          <w:p>
            <w:pPr>
              <w:spacing w:after="0"/>
              <w:rPr>
                <w:sz w:val="16"/>
                <w:szCs w:val="16"/>
                <w:color w:val="auto"/>
              </w:rPr>
            </w:pPr>
          </w:p>
        </w:tc>
        <w:tc>
          <w:tcPr>
            <w:tcW w:w="1880" w:type="dxa"/>
            <w:vAlign w:val="bottom"/>
            <w:gridSpan w:val="2"/>
            <w:vMerge w:val="restart"/>
          </w:tcPr>
          <w:p>
            <w:pPr>
              <w:jc w:val="right"/>
              <w:ind w:right="6"/>
              <w:spacing w:after="0"/>
              <w:rPr>
                <w:sz w:val="20"/>
                <w:szCs w:val="20"/>
                <w:color w:val="auto"/>
              </w:rPr>
            </w:pPr>
            <w:r>
              <w:rPr>
                <w:rFonts w:ascii="Arial" w:cs="Arial" w:eastAsia="Arial" w:hAnsi="Arial"/>
                <w:sz w:val="14"/>
                <w:szCs w:val="14"/>
                <w:color w:val="auto"/>
              </w:rPr>
              <w:t>Pension Benefits</w:t>
            </w: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3"/>
            <w:vMerge w:val="restart"/>
          </w:tcPr>
          <w:p>
            <w:pPr>
              <w:jc w:val="right"/>
              <w:ind w:right="682"/>
              <w:spacing w:after="0"/>
              <w:rPr>
                <w:sz w:val="20"/>
                <w:szCs w:val="20"/>
                <w:color w:val="auto"/>
              </w:rPr>
            </w:pPr>
            <w:r>
              <w:rPr>
                <w:rFonts w:ascii="Arial" w:cs="Arial" w:eastAsia="Arial" w:hAnsi="Arial"/>
                <w:sz w:val="14"/>
                <w:szCs w:val="14"/>
                <w:color w:val="auto"/>
              </w:rPr>
              <w:t>Other Postretirement Benefits</w:t>
            </w:r>
          </w:p>
        </w:tc>
        <w:tc>
          <w:tcPr>
            <w:tcW w:w="0" w:type="dxa"/>
            <w:vAlign w:val="bottom"/>
          </w:tcPr>
          <w:p>
            <w:pPr>
              <w:spacing w:after="0"/>
              <w:rPr>
                <w:sz w:val="1"/>
                <w:szCs w:val="1"/>
                <w:color w:val="auto"/>
              </w:rPr>
            </w:pPr>
          </w:p>
        </w:tc>
      </w:tr>
      <w:tr>
        <w:trPr>
          <w:trHeight w:val="126"/>
        </w:trPr>
        <w:tc>
          <w:tcPr>
            <w:tcW w:w="476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2"/>
            <w:vMerge w:val="continue"/>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7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3"/>
          </w:tcPr>
          <w:p>
            <w:pPr>
              <w:jc w:val="right"/>
              <w:ind w:right="642"/>
              <w:spacing w:after="0" w:line="153" w:lineRule="exact"/>
              <w:rPr>
                <w:sz w:val="20"/>
                <w:szCs w:val="20"/>
                <w:color w:val="auto"/>
              </w:rPr>
            </w:pPr>
            <w:r>
              <w:rPr>
                <w:rFonts w:ascii="Arial" w:cs="Arial" w:eastAsia="Arial" w:hAnsi="Arial"/>
                <w:sz w:val="14"/>
                <w:szCs w:val="14"/>
                <w:color w:val="auto"/>
              </w:rPr>
              <w:t>Three months ended June 30,</w:t>
            </w: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color w:val="auto"/>
              </w:rPr>
              <w:t>2014</w:t>
            </w:r>
          </w:p>
        </w:tc>
        <w:tc>
          <w:tcPr>
            <w:tcW w:w="6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color w:val="auto"/>
              </w:rPr>
              <w:t>2014</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35"/>
        </w:trPr>
        <w:tc>
          <w:tcPr>
            <w:tcW w:w="4760" w:type="dxa"/>
            <w:vAlign w:val="bottom"/>
          </w:tcPr>
          <w:p>
            <w:pPr>
              <w:spacing w:after="0" w:line="135" w:lineRule="exact"/>
              <w:rPr>
                <w:sz w:val="20"/>
                <w:szCs w:val="20"/>
                <w:color w:val="auto"/>
              </w:rPr>
            </w:pPr>
            <w:r>
              <w:rPr>
                <w:rFonts w:ascii="Arial" w:cs="Arial" w:eastAsia="Arial" w:hAnsi="Arial"/>
                <w:sz w:val="15"/>
                <w:szCs w:val="15"/>
                <w:color w:val="auto"/>
              </w:rPr>
              <w:t>Service cost</w:t>
            </w:r>
          </w:p>
        </w:tc>
        <w:tc>
          <w:tcPr>
            <w:tcW w:w="360" w:type="dxa"/>
            <w:vAlign w:val="bottom"/>
          </w:tcPr>
          <w:p>
            <w:pPr>
              <w:jc w:val="right"/>
              <w:ind w:right="206"/>
              <w:spacing w:after="0" w:line="135" w:lineRule="exact"/>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35" w:lineRule="exact"/>
              <w:rPr>
                <w:sz w:val="20"/>
                <w:szCs w:val="20"/>
                <w:color w:val="auto"/>
              </w:rPr>
            </w:pPr>
            <w:r>
              <w:rPr>
                <w:rFonts w:ascii="Arial" w:cs="Arial" w:eastAsia="Arial" w:hAnsi="Arial"/>
                <w:sz w:val="15"/>
                <w:szCs w:val="15"/>
                <w:color w:val="auto"/>
              </w:rPr>
              <w:t>26</w:t>
            </w:r>
          </w:p>
        </w:tc>
        <w:tc>
          <w:tcPr>
            <w:tcW w:w="600" w:type="dxa"/>
            <w:vAlign w:val="bottom"/>
          </w:tcPr>
          <w:p>
            <w:pPr>
              <w:jc w:val="right"/>
              <w:ind w:right="446"/>
              <w:spacing w:after="0" w:line="135" w:lineRule="exact"/>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35" w:lineRule="exact"/>
              <w:rPr>
                <w:sz w:val="20"/>
                <w:szCs w:val="20"/>
                <w:color w:val="auto"/>
              </w:rPr>
            </w:pPr>
            <w:r>
              <w:rPr>
                <w:rFonts w:ascii="Arial" w:cs="Arial" w:eastAsia="Arial" w:hAnsi="Arial"/>
                <w:sz w:val="15"/>
                <w:szCs w:val="15"/>
                <w:color w:val="auto"/>
              </w:rPr>
              <w:t>27</w:t>
            </w:r>
          </w:p>
        </w:tc>
        <w:tc>
          <w:tcPr>
            <w:tcW w:w="360" w:type="dxa"/>
            <w:vAlign w:val="bottom"/>
          </w:tcPr>
          <w:p>
            <w:pPr>
              <w:jc w:val="right"/>
              <w:ind w:right="206"/>
              <w:spacing w:after="0" w:line="135" w:lineRule="exact"/>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35" w:lineRule="exact"/>
              <w:rPr>
                <w:sz w:val="20"/>
                <w:szCs w:val="20"/>
                <w:color w:val="auto"/>
              </w:rPr>
            </w:pPr>
            <w:r>
              <w:rPr>
                <w:rFonts w:ascii="Arial" w:cs="Arial" w:eastAsia="Arial" w:hAnsi="Arial"/>
                <w:sz w:val="15"/>
                <w:szCs w:val="15"/>
                <w:color w:val="auto"/>
              </w:rPr>
              <w:t>6</w:t>
            </w:r>
          </w:p>
        </w:tc>
        <w:tc>
          <w:tcPr>
            <w:tcW w:w="380" w:type="dxa"/>
            <w:vAlign w:val="bottom"/>
          </w:tcPr>
          <w:p>
            <w:pPr>
              <w:jc w:val="right"/>
              <w:ind w:right="203"/>
              <w:spacing w:after="0" w:line="135" w:lineRule="exact"/>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line="135"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3"/>
        </w:trPr>
        <w:tc>
          <w:tcPr>
            <w:tcW w:w="4760" w:type="dxa"/>
            <w:vAlign w:val="bottom"/>
          </w:tcPr>
          <w:p>
            <w:pPr>
              <w:spacing w:after="0" w:line="173" w:lineRule="exact"/>
              <w:rPr>
                <w:sz w:val="20"/>
                <w:szCs w:val="20"/>
                <w:color w:val="auto"/>
              </w:rPr>
            </w:pPr>
            <w:r>
              <w:rPr>
                <w:rFonts w:ascii="Arial" w:cs="Arial" w:eastAsia="Arial" w:hAnsi="Arial"/>
                <w:sz w:val="16"/>
                <w:szCs w:val="16"/>
                <w:color w:val="auto"/>
              </w:rPr>
              <w:t>Interest cost</w:t>
            </w:r>
          </w:p>
        </w:tc>
        <w:tc>
          <w:tcPr>
            <w:tcW w:w="360" w:type="dxa"/>
            <w:vAlign w:val="bottom"/>
          </w:tcPr>
          <w:p>
            <w:pPr>
              <w:spacing w:after="0"/>
              <w:rPr>
                <w:sz w:val="15"/>
                <w:szCs w:val="15"/>
                <w:color w:val="auto"/>
              </w:rPr>
            </w:pP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41</w:t>
            </w:r>
          </w:p>
        </w:tc>
        <w:tc>
          <w:tcPr>
            <w:tcW w:w="600" w:type="dxa"/>
            <w:vAlign w:val="bottom"/>
          </w:tcPr>
          <w:p>
            <w:pPr>
              <w:spacing w:after="0"/>
              <w:rPr>
                <w:sz w:val="15"/>
                <w:szCs w:val="15"/>
                <w:color w:val="auto"/>
              </w:rPr>
            </w:pP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39</w:t>
            </w:r>
          </w:p>
        </w:tc>
        <w:tc>
          <w:tcPr>
            <w:tcW w:w="36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12</w:t>
            </w:r>
          </w:p>
        </w:tc>
        <w:tc>
          <w:tcPr>
            <w:tcW w:w="38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3"/>
        </w:trPr>
        <w:tc>
          <w:tcPr>
            <w:tcW w:w="4760" w:type="dxa"/>
            <w:vAlign w:val="bottom"/>
          </w:tcPr>
          <w:p>
            <w:pPr>
              <w:spacing w:after="0" w:line="173" w:lineRule="exact"/>
              <w:rPr>
                <w:sz w:val="20"/>
                <w:szCs w:val="20"/>
                <w:color w:val="auto"/>
              </w:rPr>
            </w:pPr>
            <w:r>
              <w:rPr>
                <w:rFonts w:ascii="Arial" w:cs="Arial" w:eastAsia="Arial" w:hAnsi="Arial"/>
                <w:sz w:val="16"/>
                <w:szCs w:val="16"/>
                <w:color w:val="auto"/>
              </w:rPr>
              <w:t>Expected return on assets</w:t>
            </w:r>
          </w:p>
        </w:tc>
        <w:tc>
          <w:tcPr>
            <w:tcW w:w="360" w:type="dxa"/>
            <w:vAlign w:val="bottom"/>
          </w:tcPr>
          <w:p>
            <w:pPr>
              <w:spacing w:after="0"/>
              <w:rPr>
                <w:sz w:val="15"/>
                <w:szCs w:val="15"/>
                <w:color w:val="auto"/>
              </w:rPr>
            </w:pP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(43)</w:t>
            </w:r>
          </w:p>
        </w:tc>
        <w:tc>
          <w:tcPr>
            <w:tcW w:w="600" w:type="dxa"/>
            <w:vAlign w:val="bottom"/>
          </w:tcPr>
          <w:p>
            <w:pPr>
              <w:spacing w:after="0"/>
              <w:rPr>
                <w:sz w:val="15"/>
                <w:szCs w:val="15"/>
                <w:color w:val="auto"/>
              </w:rPr>
            </w:pP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(42)</w:t>
            </w:r>
          </w:p>
        </w:tc>
        <w:tc>
          <w:tcPr>
            <w:tcW w:w="36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(16)</w:t>
            </w:r>
          </w:p>
        </w:tc>
        <w:tc>
          <w:tcPr>
            <w:tcW w:w="38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73"/>
        </w:trPr>
        <w:tc>
          <w:tcPr>
            <w:tcW w:w="4760" w:type="dxa"/>
            <w:vAlign w:val="bottom"/>
          </w:tcPr>
          <w:p>
            <w:pPr>
              <w:spacing w:after="0" w:line="173" w:lineRule="exact"/>
              <w:rPr>
                <w:sz w:val="20"/>
                <w:szCs w:val="20"/>
                <w:color w:val="auto"/>
              </w:rPr>
            </w:pPr>
            <w:r>
              <w:rPr>
                <w:rFonts w:ascii="Arial" w:cs="Arial" w:eastAsia="Arial" w:hAnsi="Arial"/>
                <w:sz w:val="16"/>
                <w:szCs w:val="16"/>
                <w:color w:val="auto"/>
              </w:rPr>
              <w:t>Amortization of:</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60" w:type="dxa"/>
            <w:vAlign w:val="bottom"/>
          </w:tcPr>
          <w:p>
            <w:pPr>
              <w:ind w:left="180"/>
              <w:spacing w:after="0" w:line="173" w:lineRule="exact"/>
              <w:rPr>
                <w:sz w:val="20"/>
                <w:szCs w:val="20"/>
                <w:color w:val="auto"/>
              </w:rPr>
            </w:pPr>
            <w:r>
              <w:rPr>
                <w:rFonts w:ascii="Arial" w:cs="Arial" w:eastAsia="Arial" w:hAnsi="Arial"/>
                <w:sz w:val="16"/>
                <w:szCs w:val="16"/>
                <w:color w:val="auto"/>
              </w:rPr>
              <w:t>Prior service cost (credit)</w:t>
            </w:r>
          </w:p>
        </w:tc>
        <w:tc>
          <w:tcPr>
            <w:tcW w:w="360" w:type="dxa"/>
            <w:vAlign w:val="bottom"/>
          </w:tcPr>
          <w:p>
            <w:pPr>
              <w:spacing w:after="0"/>
              <w:rPr>
                <w:sz w:val="15"/>
                <w:szCs w:val="15"/>
                <w:color w:val="auto"/>
              </w:rPr>
            </w:pP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3</w:t>
            </w:r>
          </w:p>
        </w:tc>
        <w:tc>
          <w:tcPr>
            <w:tcW w:w="600" w:type="dxa"/>
            <w:vAlign w:val="bottom"/>
          </w:tcPr>
          <w:p>
            <w:pPr>
              <w:spacing w:after="0"/>
              <w:rPr>
                <w:sz w:val="15"/>
                <w:szCs w:val="15"/>
                <w:color w:val="auto"/>
              </w:rPr>
            </w:pP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36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38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3"/>
        </w:trPr>
        <w:tc>
          <w:tcPr>
            <w:tcW w:w="4760" w:type="dxa"/>
            <w:vAlign w:val="bottom"/>
          </w:tcPr>
          <w:p>
            <w:pPr>
              <w:ind w:left="180"/>
              <w:spacing w:after="0" w:line="173" w:lineRule="exact"/>
              <w:rPr>
                <w:sz w:val="20"/>
                <w:szCs w:val="20"/>
                <w:color w:val="auto"/>
              </w:rPr>
            </w:pPr>
            <w:r>
              <w:rPr>
                <w:rFonts w:ascii="Arial" w:cs="Arial" w:eastAsia="Arial" w:hAnsi="Arial"/>
                <w:sz w:val="16"/>
                <w:szCs w:val="16"/>
                <w:color w:val="auto"/>
              </w:rPr>
              <w:t>Actuarial loss</w:t>
            </w:r>
          </w:p>
        </w:tc>
        <w:tc>
          <w:tcPr>
            <w:tcW w:w="360" w:type="dxa"/>
            <w:vAlign w:val="bottom"/>
          </w:tcPr>
          <w:p>
            <w:pPr>
              <w:spacing w:after="0"/>
              <w:rPr>
                <w:sz w:val="15"/>
                <w:szCs w:val="15"/>
                <w:color w:val="auto"/>
              </w:rPr>
            </w:pP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5</w:t>
            </w:r>
          </w:p>
        </w:tc>
        <w:tc>
          <w:tcPr>
            <w:tcW w:w="600" w:type="dxa"/>
            <w:vAlign w:val="bottom"/>
          </w:tcPr>
          <w:p>
            <w:pPr>
              <w:spacing w:after="0"/>
              <w:rPr>
                <w:sz w:val="15"/>
                <w:szCs w:val="15"/>
                <w:color w:val="auto"/>
              </w:rPr>
            </w:pP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15</w:t>
            </w:r>
          </w:p>
        </w:tc>
        <w:tc>
          <w:tcPr>
            <w:tcW w:w="36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3"/>
        </w:trPr>
        <w:tc>
          <w:tcPr>
            <w:tcW w:w="4760" w:type="dxa"/>
            <w:vAlign w:val="bottom"/>
          </w:tcPr>
          <w:p>
            <w:pPr>
              <w:spacing w:after="0" w:line="173" w:lineRule="exact"/>
              <w:rPr>
                <w:sz w:val="20"/>
                <w:szCs w:val="20"/>
                <w:color w:val="auto"/>
              </w:rPr>
            </w:pPr>
            <w:r>
              <w:rPr>
                <w:rFonts w:ascii="Arial" w:cs="Arial" w:eastAsia="Arial" w:hAnsi="Arial"/>
                <w:sz w:val="16"/>
                <w:szCs w:val="16"/>
                <w:color w:val="auto"/>
              </w:rPr>
              <w:t>Settlement</w:t>
            </w:r>
          </w:p>
        </w:tc>
        <w:tc>
          <w:tcPr>
            <w:tcW w:w="360" w:type="dxa"/>
            <w:vAlign w:val="bottom"/>
          </w:tcPr>
          <w:p>
            <w:pPr>
              <w:spacing w:after="0"/>
              <w:rPr>
                <w:sz w:val="15"/>
                <w:szCs w:val="15"/>
                <w:color w:val="auto"/>
              </w:rPr>
            </w:pP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6</w:t>
            </w:r>
          </w:p>
        </w:tc>
        <w:tc>
          <w:tcPr>
            <w:tcW w:w="600" w:type="dxa"/>
            <w:vAlign w:val="bottom"/>
          </w:tcPr>
          <w:p>
            <w:pPr>
              <w:spacing w:after="0"/>
              <w:rPr>
                <w:sz w:val="15"/>
                <w:szCs w:val="15"/>
                <w:color w:val="auto"/>
              </w:rPr>
            </w:pP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4760" w:type="dxa"/>
            <w:vAlign w:val="bottom"/>
          </w:tcPr>
          <w:p>
            <w:pPr>
              <w:spacing w:after="0"/>
              <w:rPr>
                <w:sz w:val="20"/>
                <w:szCs w:val="20"/>
                <w:color w:val="auto"/>
              </w:rPr>
            </w:pPr>
            <w:r>
              <w:rPr>
                <w:rFonts w:ascii="Arial" w:cs="Arial" w:eastAsia="Arial" w:hAnsi="Arial"/>
                <w:sz w:val="16"/>
                <w:szCs w:val="16"/>
                <w:color w:val="auto"/>
              </w:rPr>
              <w:t>Regulatory adjustment</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6"/>
        </w:trPr>
        <w:tc>
          <w:tcPr>
            <w:tcW w:w="4760" w:type="dxa"/>
            <w:vAlign w:val="bottom"/>
          </w:tcPr>
          <w:p>
            <w:pPr>
              <w:spacing w:after="0" w:line="166" w:lineRule="exact"/>
              <w:rPr>
                <w:sz w:val="20"/>
                <w:szCs w:val="20"/>
                <w:color w:val="auto"/>
              </w:rPr>
            </w:pPr>
            <w:r>
              <w:rPr>
                <w:rFonts w:ascii="Arial" w:cs="Arial" w:eastAsia="Arial" w:hAnsi="Arial"/>
                <w:sz w:val="16"/>
                <w:szCs w:val="16"/>
                <w:color w:val="auto"/>
              </w:rPr>
              <w:t>Total net periodic benefit cost</w:t>
            </w:r>
          </w:p>
        </w:tc>
        <w:tc>
          <w:tcPr>
            <w:tcW w:w="360" w:type="dxa"/>
            <w:vAlign w:val="bottom"/>
          </w:tcPr>
          <w:p>
            <w:pPr>
              <w:jc w:val="right"/>
              <w:ind w:right="206"/>
              <w:spacing w:after="0" w:line="167" w:lineRule="exact"/>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66" w:lineRule="exact"/>
              <w:rPr>
                <w:sz w:val="20"/>
                <w:szCs w:val="20"/>
                <w:color w:val="auto"/>
              </w:rPr>
            </w:pPr>
            <w:r>
              <w:rPr>
                <w:rFonts w:ascii="Arial" w:cs="Arial" w:eastAsia="Arial" w:hAnsi="Arial"/>
                <w:sz w:val="16"/>
                <w:szCs w:val="16"/>
                <w:color w:val="auto"/>
              </w:rPr>
              <w:t>38</w:t>
            </w:r>
          </w:p>
        </w:tc>
        <w:tc>
          <w:tcPr>
            <w:tcW w:w="600" w:type="dxa"/>
            <w:vAlign w:val="bottom"/>
          </w:tcPr>
          <w:p>
            <w:pPr>
              <w:jc w:val="right"/>
              <w:ind w:right="446"/>
              <w:spacing w:after="0" w:line="167" w:lineRule="exact"/>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66" w:lineRule="exact"/>
              <w:rPr>
                <w:sz w:val="20"/>
                <w:szCs w:val="20"/>
                <w:color w:val="auto"/>
              </w:rPr>
            </w:pPr>
            <w:r>
              <w:rPr>
                <w:rFonts w:ascii="Arial" w:cs="Arial" w:eastAsia="Arial" w:hAnsi="Arial"/>
                <w:sz w:val="16"/>
                <w:szCs w:val="16"/>
                <w:color w:val="auto"/>
              </w:rPr>
              <w:t>21</w:t>
            </w:r>
          </w:p>
        </w:tc>
        <w:tc>
          <w:tcPr>
            <w:tcW w:w="360" w:type="dxa"/>
            <w:vAlign w:val="bottom"/>
          </w:tcPr>
          <w:p>
            <w:pPr>
              <w:jc w:val="right"/>
              <w:ind w:right="206"/>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66" w:lineRule="exact"/>
              <w:rPr>
                <w:sz w:val="20"/>
                <w:szCs w:val="20"/>
                <w:color w:val="auto"/>
              </w:rPr>
            </w:pPr>
            <w:r>
              <w:rPr>
                <w:rFonts w:ascii="Arial" w:cs="Arial" w:eastAsia="Arial" w:hAnsi="Arial"/>
                <w:sz w:val="16"/>
                <w:szCs w:val="16"/>
                <w:color w:val="auto"/>
              </w:rPr>
              <w:t>1</w:t>
            </w:r>
          </w:p>
        </w:tc>
        <w:tc>
          <w:tcPr>
            <w:tcW w:w="380" w:type="dxa"/>
            <w:vAlign w:val="bottom"/>
          </w:tcPr>
          <w:p>
            <w:pPr>
              <w:jc w:val="right"/>
              <w:ind w:right="203"/>
              <w:spacing w:after="0" w:line="166"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66"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80"/>
        </w:trPr>
        <w:tc>
          <w:tcPr>
            <w:tcW w:w="476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28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2740" w:type="dxa"/>
            <w:vAlign w:val="bottom"/>
            <w:gridSpan w:val="3"/>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47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3"/>
          </w:tcPr>
          <w:p>
            <w:pPr>
              <w:jc w:val="right"/>
              <w:ind w:right="742"/>
              <w:spacing w:after="0" w:line="159" w:lineRule="exact"/>
              <w:rPr>
                <w:sz w:val="20"/>
                <w:szCs w:val="20"/>
                <w:color w:val="auto"/>
              </w:rPr>
            </w:pPr>
            <w:r>
              <w:rPr>
                <w:rFonts w:ascii="Arial" w:cs="Arial" w:eastAsia="Arial" w:hAnsi="Arial"/>
                <w:sz w:val="14"/>
                <w:szCs w:val="14"/>
                <w:color w:val="auto"/>
              </w:rPr>
              <w:t>Six months ended June 30,</w:t>
            </w: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color w:val="auto"/>
              </w:rPr>
              <w:t>2014</w:t>
            </w:r>
          </w:p>
        </w:tc>
        <w:tc>
          <w:tcPr>
            <w:tcW w:w="6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color w:val="auto"/>
              </w:rPr>
              <w:t>2014</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35"/>
        </w:trPr>
        <w:tc>
          <w:tcPr>
            <w:tcW w:w="4760" w:type="dxa"/>
            <w:vAlign w:val="bottom"/>
          </w:tcPr>
          <w:p>
            <w:pPr>
              <w:spacing w:after="0" w:line="135" w:lineRule="exact"/>
              <w:rPr>
                <w:sz w:val="20"/>
                <w:szCs w:val="20"/>
                <w:color w:val="auto"/>
              </w:rPr>
            </w:pPr>
            <w:r>
              <w:rPr>
                <w:rFonts w:ascii="Arial" w:cs="Arial" w:eastAsia="Arial" w:hAnsi="Arial"/>
                <w:sz w:val="15"/>
                <w:szCs w:val="15"/>
                <w:color w:val="auto"/>
              </w:rPr>
              <w:t>Service cost</w:t>
            </w:r>
          </w:p>
        </w:tc>
        <w:tc>
          <w:tcPr>
            <w:tcW w:w="360" w:type="dxa"/>
            <w:vAlign w:val="bottom"/>
          </w:tcPr>
          <w:p>
            <w:pPr>
              <w:jc w:val="right"/>
              <w:ind w:right="206"/>
              <w:spacing w:after="0" w:line="135" w:lineRule="exact"/>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35" w:lineRule="exact"/>
              <w:rPr>
                <w:sz w:val="20"/>
                <w:szCs w:val="20"/>
                <w:color w:val="auto"/>
              </w:rPr>
            </w:pPr>
            <w:r>
              <w:rPr>
                <w:rFonts w:ascii="Arial" w:cs="Arial" w:eastAsia="Arial" w:hAnsi="Arial"/>
                <w:sz w:val="15"/>
                <w:szCs w:val="15"/>
                <w:color w:val="auto"/>
              </w:rPr>
              <w:t>52</w:t>
            </w:r>
          </w:p>
        </w:tc>
        <w:tc>
          <w:tcPr>
            <w:tcW w:w="600" w:type="dxa"/>
            <w:vAlign w:val="bottom"/>
          </w:tcPr>
          <w:p>
            <w:pPr>
              <w:jc w:val="right"/>
              <w:ind w:right="446"/>
              <w:spacing w:after="0" w:line="135" w:lineRule="exact"/>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35" w:lineRule="exact"/>
              <w:rPr>
                <w:sz w:val="20"/>
                <w:szCs w:val="20"/>
                <w:color w:val="auto"/>
              </w:rPr>
            </w:pPr>
            <w:r>
              <w:rPr>
                <w:rFonts w:ascii="Arial" w:cs="Arial" w:eastAsia="Arial" w:hAnsi="Arial"/>
                <w:sz w:val="15"/>
                <w:szCs w:val="15"/>
                <w:color w:val="auto"/>
              </w:rPr>
              <w:t>54</w:t>
            </w:r>
          </w:p>
        </w:tc>
        <w:tc>
          <w:tcPr>
            <w:tcW w:w="360" w:type="dxa"/>
            <w:vAlign w:val="bottom"/>
          </w:tcPr>
          <w:p>
            <w:pPr>
              <w:jc w:val="right"/>
              <w:ind w:right="206"/>
              <w:spacing w:after="0" w:line="135" w:lineRule="exact"/>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35" w:lineRule="exact"/>
              <w:rPr>
                <w:sz w:val="20"/>
                <w:szCs w:val="20"/>
                <w:color w:val="auto"/>
              </w:rPr>
            </w:pPr>
            <w:r>
              <w:rPr>
                <w:rFonts w:ascii="Arial" w:cs="Arial" w:eastAsia="Arial" w:hAnsi="Arial"/>
                <w:sz w:val="15"/>
                <w:szCs w:val="15"/>
                <w:color w:val="auto"/>
              </w:rPr>
              <w:t>12</w:t>
            </w:r>
          </w:p>
        </w:tc>
        <w:tc>
          <w:tcPr>
            <w:tcW w:w="380" w:type="dxa"/>
            <w:vAlign w:val="bottom"/>
          </w:tcPr>
          <w:p>
            <w:pPr>
              <w:jc w:val="right"/>
              <w:ind w:right="203"/>
              <w:spacing w:after="0" w:line="135" w:lineRule="exact"/>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line="135"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73"/>
        </w:trPr>
        <w:tc>
          <w:tcPr>
            <w:tcW w:w="4760" w:type="dxa"/>
            <w:vAlign w:val="bottom"/>
          </w:tcPr>
          <w:p>
            <w:pPr>
              <w:spacing w:after="0" w:line="173" w:lineRule="exact"/>
              <w:rPr>
                <w:sz w:val="20"/>
                <w:szCs w:val="20"/>
                <w:color w:val="auto"/>
              </w:rPr>
            </w:pPr>
            <w:r>
              <w:rPr>
                <w:rFonts w:ascii="Arial" w:cs="Arial" w:eastAsia="Arial" w:hAnsi="Arial"/>
                <w:sz w:val="16"/>
                <w:szCs w:val="16"/>
                <w:color w:val="auto"/>
              </w:rPr>
              <w:t>Interest cost</w:t>
            </w:r>
          </w:p>
        </w:tc>
        <w:tc>
          <w:tcPr>
            <w:tcW w:w="360" w:type="dxa"/>
            <w:vAlign w:val="bottom"/>
          </w:tcPr>
          <w:p>
            <w:pPr>
              <w:spacing w:after="0"/>
              <w:rPr>
                <w:sz w:val="15"/>
                <w:szCs w:val="15"/>
                <w:color w:val="auto"/>
              </w:rPr>
            </w:pP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82</w:t>
            </w:r>
          </w:p>
        </w:tc>
        <w:tc>
          <w:tcPr>
            <w:tcW w:w="600" w:type="dxa"/>
            <w:vAlign w:val="bottom"/>
          </w:tcPr>
          <w:p>
            <w:pPr>
              <w:spacing w:after="0"/>
              <w:rPr>
                <w:sz w:val="15"/>
                <w:szCs w:val="15"/>
                <w:color w:val="auto"/>
              </w:rPr>
            </w:pP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76</w:t>
            </w:r>
          </w:p>
        </w:tc>
        <w:tc>
          <w:tcPr>
            <w:tcW w:w="36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24</w:t>
            </w:r>
          </w:p>
        </w:tc>
        <w:tc>
          <w:tcPr>
            <w:tcW w:w="38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73"/>
        </w:trPr>
        <w:tc>
          <w:tcPr>
            <w:tcW w:w="4760" w:type="dxa"/>
            <w:vAlign w:val="bottom"/>
          </w:tcPr>
          <w:p>
            <w:pPr>
              <w:spacing w:after="0" w:line="173" w:lineRule="exact"/>
              <w:rPr>
                <w:sz w:val="20"/>
                <w:szCs w:val="20"/>
                <w:color w:val="auto"/>
              </w:rPr>
            </w:pPr>
            <w:r>
              <w:rPr>
                <w:rFonts w:ascii="Arial" w:cs="Arial" w:eastAsia="Arial" w:hAnsi="Arial"/>
                <w:sz w:val="16"/>
                <w:szCs w:val="16"/>
                <w:color w:val="auto"/>
              </w:rPr>
              <w:t>Expected return on assets</w:t>
            </w:r>
          </w:p>
        </w:tc>
        <w:tc>
          <w:tcPr>
            <w:tcW w:w="360" w:type="dxa"/>
            <w:vAlign w:val="bottom"/>
          </w:tcPr>
          <w:p>
            <w:pPr>
              <w:spacing w:after="0"/>
              <w:rPr>
                <w:sz w:val="15"/>
                <w:szCs w:val="15"/>
                <w:color w:val="auto"/>
              </w:rPr>
            </w:pP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(86)</w:t>
            </w:r>
          </w:p>
        </w:tc>
        <w:tc>
          <w:tcPr>
            <w:tcW w:w="600" w:type="dxa"/>
            <w:vAlign w:val="bottom"/>
          </w:tcPr>
          <w:p>
            <w:pPr>
              <w:spacing w:after="0"/>
              <w:rPr>
                <w:sz w:val="15"/>
                <w:szCs w:val="15"/>
                <w:color w:val="auto"/>
              </w:rPr>
            </w:pP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(82)</w:t>
            </w:r>
          </w:p>
        </w:tc>
        <w:tc>
          <w:tcPr>
            <w:tcW w:w="36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(32)</w:t>
            </w:r>
          </w:p>
        </w:tc>
        <w:tc>
          <w:tcPr>
            <w:tcW w:w="38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73"/>
        </w:trPr>
        <w:tc>
          <w:tcPr>
            <w:tcW w:w="4760" w:type="dxa"/>
            <w:vAlign w:val="bottom"/>
          </w:tcPr>
          <w:p>
            <w:pPr>
              <w:spacing w:after="0" w:line="173" w:lineRule="exact"/>
              <w:rPr>
                <w:sz w:val="20"/>
                <w:szCs w:val="20"/>
                <w:color w:val="auto"/>
              </w:rPr>
            </w:pPr>
            <w:r>
              <w:rPr>
                <w:rFonts w:ascii="Arial" w:cs="Arial" w:eastAsia="Arial" w:hAnsi="Arial"/>
                <w:sz w:val="16"/>
                <w:szCs w:val="16"/>
                <w:color w:val="auto"/>
              </w:rPr>
              <w:t>Amortization of:</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60" w:type="dxa"/>
            <w:vAlign w:val="bottom"/>
          </w:tcPr>
          <w:p>
            <w:pPr>
              <w:ind w:left="180"/>
              <w:spacing w:after="0" w:line="173" w:lineRule="exact"/>
              <w:rPr>
                <w:sz w:val="20"/>
                <w:szCs w:val="20"/>
                <w:color w:val="auto"/>
              </w:rPr>
            </w:pPr>
            <w:r>
              <w:rPr>
                <w:rFonts w:ascii="Arial" w:cs="Arial" w:eastAsia="Arial" w:hAnsi="Arial"/>
                <w:sz w:val="16"/>
                <w:szCs w:val="16"/>
                <w:color w:val="auto"/>
              </w:rPr>
              <w:t>Prior service cost (credit)</w:t>
            </w:r>
          </w:p>
        </w:tc>
        <w:tc>
          <w:tcPr>
            <w:tcW w:w="360" w:type="dxa"/>
            <w:vAlign w:val="bottom"/>
          </w:tcPr>
          <w:p>
            <w:pPr>
              <w:spacing w:after="0"/>
              <w:rPr>
                <w:sz w:val="15"/>
                <w:szCs w:val="15"/>
                <w:color w:val="auto"/>
              </w:rPr>
            </w:pP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5</w:t>
            </w:r>
          </w:p>
        </w:tc>
        <w:tc>
          <w:tcPr>
            <w:tcW w:w="600" w:type="dxa"/>
            <w:vAlign w:val="bottom"/>
          </w:tcPr>
          <w:p>
            <w:pPr>
              <w:spacing w:after="0"/>
              <w:rPr>
                <w:sz w:val="15"/>
                <w:szCs w:val="15"/>
                <w:color w:val="auto"/>
              </w:rPr>
            </w:pP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36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38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3"/>
        </w:trPr>
        <w:tc>
          <w:tcPr>
            <w:tcW w:w="4760" w:type="dxa"/>
            <w:vAlign w:val="bottom"/>
          </w:tcPr>
          <w:p>
            <w:pPr>
              <w:ind w:left="180"/>
              <w:spacing w:after="0" w:line="173" w:lineRule="exact"/>
              <w:rPr>
                <w:sz w:val="20"/>
                <w:szCs w:val="20"/>
                <w:color w:val="auto"/>
              </w:rPr>
            </w:pPr>
            <w:r>
              <w:rPr>
                <w:rFonts w:ascii="Arial" w:cs="Arial" w:eastAsia="Arial" w:hAnsi="Arial"/>
                <w:sz w:val="16"/>
                <w:szCs w:val="16"/>
                <w:color w:val="auto"/>
              </w:rPr>
              <w:t>Actuarial loss</w:t>
            </w:r>
          </w:p>
        </w:tc>
        <w:tc>
          <w:tcPr>
            <w:tcW w:w="360" w:type="dxa"/>
            <w:vAlign w:val="bottom"/>
          </w:tcPr>
          <w:p>
            <w:pPr>
              <w:spacing w:after="0"/>
              <w:rPr>
                <w:sz w:val="15"/>
                <w:szCs w:val="15"/>
                <w:color w:val="auto"/>
              </w:rPr>
            </w:pP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10</w:t>
            </w:r>
          </w:p>
        </w:tc>
        <w:tc>
          <w:tcPr>
            <w:tcW w:w="600" w:type="dxa"/>
            <w:vAlign w:val="bottom"/>
          </w:tcPr>
          <w:p>
            <w:pPr>
              <w:spacing w:after="0"/>
              <w:rPr>
                <w:sz w:val="15"/>
                <w:szCs w:val="15"/>
                <w:color w:val="auto"/>
              </w:rPr>
            </w:pP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30</w:t>
            </w:r>
          </w:p>
        </w:tc>
        <w:tc>
          <w:tcPr>
            <w:tcW w:w="36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3"/>
        </w:trPr>
        <w:tc>
          <w:tcPr>
            <w:tcW w:w="4760" w:type="dxa"/>
            <w:vAlign w:val="bottom"/>
          </w:tcPr>
          <w:p>
            <w:pPr>
              <w:spacing w:after="0" w:line="173" w:lineRule="exact"/>
              <w:rPr>
                <w:sz w:val="20"/>
                <w:szCs w:val="20"/>
                <w:color w:val="auto"/>
              </w:rPr>
            </w:pPr>
            <w:r>
              <w:rPr>
                <w:rFonts w:ascii="Arial" w:cs="Arial" w:eastAsia="Arial" w:hAnsi="Arial"/>
                <w:sz w:val="16"/>
                <w:szCs w:val="16"/>
                <w:color w:val="auto"/>
              </w:rPr>
              <w:t>Settlements</w:t>
            </w:r>
          </w:p>
        </w:tc>
        <w:tc>
          <w:tcPr>
            <w:tcW w:w="360" w:type="dxa"/>
            <w:vAlign w:val="bottom"/>
          </w:tcPr>
          <w:p>
            <w:pPr>
              <w:spacing w:after="0"/>
              <w:rPr>
                <w:sz w:val="15"/>
                <w:szCs w:val="15"/>
                <w:color w:val="auto"/>
              </w:rPr>
            </w:pP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9</w:t>
            </w:r>
          </w:p>
        </w:tc>
        <w:tc>
          <w:tcPr>
            <w:tcW w:w="600" w:type="dxa"/>
            <w:vAlign w:val="bottom"/>
          </w:tcPr>
          <w:p>
            <w:pPr>
              <w:spacing w:after="0"/>
              <w:rPr>
                <w:sz w:val="15"/>
                <w:szCs w:val="15"/>
                <w:color w:val="auto"/>
              </w:rPr>
            </w:pP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4760" w:type="dxa"/>
            <w:vAlign w:val="bottom"/>
          </w:tcPr>
          <w:p>
            <w:pPr>
              <w:spacing w:after="0"/>
              <w:rPr>
                <w:sz w:val="20"/>
                <w:szCs w:val="20"/>
                <w:color w:val="auto"/>
              </w:rPr>
            </w:pPr>
            <w:r>
              <w:rPr>
                <w:rFonts w:ascii="Arial" w:cs="Arial" w:eastAsia="Arial" w:hAnsi="Arial"/>
                <w:sz w:val="16"/>
                <w:szCs w:val="16"/>
                <w:color w:val="auto"/>
              </w:rPr>
              <w:t>Regulatory adjustment</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6"/>
        </w:trPr>
        <w:tc>
          <w:tcPr>
            <w:tcW w:w="4760" w:type="dxa"/>
            <w:vAlign w:val="bottom"/>
          </w:tcPr>
          <w:p>
            <w:pPr>
              <w:spacing w:after="0" w:line="166" w:lineRule="exact"/>
              <w:rPr>
                <w:sz w:val="20"/>
                <w:szCs w:val="20"/>
                <w:color w:val="auto"/>
              </w:rPr>
            </w:pPr>
            <w:r>
              <w:rPr>
                <w:rFonts w:ascii="Arial" w:cs="Arial" w:eastAsia="Arial" w:hAnsi="Arial"/>
                <w:sz w:val="16"/>
                <w:szCs w:val="16"/>
                <w:color w:val="auto"/>
              </w:rPr>
              <w:t>Total net periodic benefit cost</w:t>
            </w:r>
          </w:p>
        </w:tc>
        <w:tc>
          <w:tcPr>
            <w:tcW w:w="360" w:type="dxa"/>
            <w:vAlign w:val="bottom"/>
          </w:tcPr>
          <w:p>
            <w:pPr>
              <w:jc w:val="right"/>
              <w:ind w:right="206"/>
              <w:spacing w:after="0" w:line="167" w:lineRule="exact"/>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66" w:lineRule="exact"/>
              <w:rPr>
                <w:sz w:val="20"/>
                <w:szCs w:val="20"/>
                <w:color w:val="auto"/>
              </w:rPr>
            </w:pPr>
            <w:r>
              <w:rPr>
                <w:rFonts w:ascii="Arial" w:cs="Arial" w:eastAsia="Arial" w:hAnsi="Arial"/>
                <w:sz w:val="16"/>
                <w:szCs w:val="16"/>
                <w:color w:val="auto"/>
              </w:rPr>
              <w:t>48</w:t>
            </w:r>
          </w:p>
        </w:tc>
        <w:tc>
          <w:tcPr>
            <w:tcW w:w="600" w:type="dxa"/>
            <w:vAlign w:val="bottom"/>
          </w:tcPr>
          <w:p>
            <w:pPr>
              <w:jc w:val="right"/>
              <w:ind w:right="446"/>
              <w:spacing w:after="0" w:line="167" w:lineRule="exact"/>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66" w:lineRule="exact"/>
              <w:rPr>
                <w:sz w:val="20"/>
                <w:szCs w:val="20"/>
                <w:color w:val="auto"/>
              </w:rPr>
            </w:pPr>
            <w:r>
              <w:rPr>
                <w:rFonts w:ascii="Arial" w:cs="Arial" w:eastAsia="Arial" w:hAnsi="Arial"/>
                <w:sz w:val="16"/>
                <w:szCs w:val="16"/>
                <w:color w:val="auto"/>
              </w:rPr>
              <w:t>29</w:t>
            </w:r>
          </w:p>
        </w:tc>
        <w:tc>
          <w:tcPr>
            <w:tcW w:w="360" w:type="dxa"/>
            <w:vAlign w:val="bottom"/>
          </w:tcPr>
          <w:p>
            <w:pPr>
              <w:jc w:val="right"/>
              <w:ind w:right="206"/>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66" w:lineRule="exact"/>
              <w:rPr>
                <w:sz w:val="20"/>
                <w:szCs w:val="20"/>
                <w:color w:val="auto"/>
              </w:rPr>
            </w:pPr>
            <w:r>
              <w:rPr>
                <w:rFonts w:ascii="Arial" w:cs="Arial" w:eastAsia="Arial" w:hAnsi="Arial"/>
                <w:sz w:val="16"/>
                <w:szCs w:val="16"/>
                <w:color w:val="auto"/>
              </w:rPr>
              <w:t>2</w:t>
            </w:r>
          </w:p>
        </w:tc>
        <w:tc>
          <w:tcPr>
            <w:tcW w:w="380" w:type="dxa"/>
            <w:vAlign w:val="bottom"/>
          </w:tcPr>
          <w:p>
            <w:pPr>
              <w:jc w:val="right"/>
              <w:ind w:right="203"/>
              <w:spacing w:after="0" w:line="166"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66"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80"/>
        </w:trPr>
        <w:tc>
          <w:tcPr>
            <w:tcW w:w="476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28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36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NET PERIODIC BENEFIT COST –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80" w:type="dxa"/>
            <w:vAlign w:val="bottom"/>
            <w:gridSpan w:val="4"/>
            <w:vMerge w:val="restart"/>
          </w:tcPr>
          <w:p>
            <w:pPr>
              <w:jc w:val="right"/>
              <w:ind w:right="963"/>
              <w:spacing w:after="0"/>
              <w:rPr>
                <w:sz w:val="20"/>
                <w:szCs w:val="20"/>
                <w:color w:val="auto"/>
              </w:rPr>
            </w:pPr>
            <w:r>
              <w:rPr>
                <w:rFonts w:ascii="Arial" w:cs="Arial" w:eastAsia="Arial" w:hAnsi="Arial"/>
                <w:sz w:val="14"/>
                <w:szCs w:val="14"/>
                <w:color w:val="auto"/>
              </w:rPr>
              <w:t>Pension Benefits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20" w:type="dxa"/>
            <w:vAlign w:val="bottom"/>
            <w:gridSpan w:val="2"/>
            <w:vMerge w:val="restart"/>
          </w:tcPr>
          <w:p>
            <w:pPr>
              <w:jc w:val="right"/>
              <w:ind w:right="682"/>
              <w:spacing w:after="0"/>
              <w:rPr>
                <w:sz w:val="20"/>
                <w:szCs w:val="20"/>
                <w:color w:val="auto"/>
              </w:rPr>
            </w:pPr>
            <w:r>
              <w:rPr>
                <w:rFonts w:ascii="Arial" w:cs="Arial" w:eastAsia="Arial" w:hAnsi="Arial"/>
                <w:sz w:val="14"/>
                <w:szCs w:val="14"/>
                <w:color w:val="auto"/>
              </w:rPr>
              <w:t>Other Postretirement Benefits</w:t>
            </w:r>
          </w:p>
        </w:tc>
        <w:tc>
          <w:tcPr>
            <w:tcW w:w="0" w:type="dxa"/>
            <w:vAlign w:val="bottom"/>
          </w:tcPr>
          <w:p>
            <w:pPr>
              <w:spacing w:after="0"/>
              <w:rPr>
                <w:sz w:val="1"/>
                <w:szCs w:val="1"/>
                <w:color w:val="auto"/>
              </w:rPr>
            </w:pPr>
          </w:p>
        </w:tc>
      </w:tr>
      <w:tr>
        <w:trPr>
          <w:trHeight w:val="126"/>
        </w:trPr>
        <w:tc>
          <w:tcPr>
            <w:tcW w:w="3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4"/>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gridSpan w:val="4"/>
          </w:tcPr>
          <w:p>
            <w:pPr>
              <w:jc w:val="right"/>
              <w:ind w:right="1002"/>
              <w:spacing w:after="0" w:line="153" w:lineRule="exact"/>
              <w:rPr>
                <w:sz w:val="20"/>
                <w:szCs w:val="20"/>
                <w:color w:val="auto"/>
              </w:rPr>
            </w:pPr>
            <w:r>
              <w:rPr>
                <w:rFonts w:ascii="Arial" w:cs="Arial" w:eastAsia="Arial" w:hAnsi="Arial"/>
                <w:sz w:val="14"/>
                <w:szCs w:val="14"/>
                <w:color w:val="auto"/>
              </w:rPr>
              <w:t>Three months ended June 30,</w:t>
            </w: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2013</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2014</w:t>
            </w:r>
          </w:p>
        </w:tc>
        <w:tc>
          <w:tcPr>
            <w:tcW w:w="132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35"/>
        </w:trPr>
        <w:tc>
          <w:tcPr>
            <w:tcW w:w="3960" w:type="dxa"/>
            <w:vAlign w:val="bottom"/>
          </w:tcPr>
          <w:p>
            <w:pPr>
              <w:spacing w:after="0" w:line="135" w:lineRule="exact"/>
              <w:rPr>
                <w:sz w:val="20"/>
                <w:szCs w:val="20"/>
                <w:color w:val="auto"/>
              </w:rPr>
            </w:pPr>
            <w:r>
              <w:rPr>
                <w:rFonts w:ascii="Arial" w:cs="Arial" w:eastAsia="Arial" w:hAnsi="Arial"/>
                <w:sz w:val="15"/>
                <w:szCs w:val="15"/>
                <w:color w:val="auto"/>
              </w:rPr>
              <w:t>Service cost</w:t>
            </w:r>
          </w:p>
        </w:tc>
        <w:tc>
          <w:tcPr>
            <w:tcW w:w="1820" w:type="dxa"/>
            <w:vAlign w:val="bottom"/>
            <w:gridSpan w:val="3"/>
          </w:tcPr>
          <w:p>
            <w:pPr>
              <w:jc w:val="right"/>
              <w:ind w:right="868"/>
              <w:spacing w:after="0" w:line="135" w:lineRule="exact"/>
              <w:rPr>
                <w:sz w:val="20"/>
                <w:szCs w:val="20"/>
                <w:color w:val="auto"/>
              </w:rPr>
            </w:pPr>
            <w:r>
              <w:rPr>
                <w:rFonts w:ascii="Arial" w:cs="Arial" w:eastAsia="Arial" w:hAnsi="Arial"/>
                <w:sz w:val="15"/>
                <w:szCs w:val="15"/>
                <w:color w:val="auto"/>
              </w:rPr>
              <w:t>$</w:t>
            </w:r>
          </w:p>
        </w:tc>
        <w:tc>
          <w:tcPr>
            <w:tcW w:w="4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5"/>
                <w:szCs w:val="15"/>
                <w:color w:val="auto"/>
              </w:rPr>
              <w:t>7</w:t>
            </w:r>
          </w:p>
        </w:tc>
        <w:tc>
          <w:tcPr>
            <w:tcW w:w="420" w:type="dxa"/>
            <w:vAlign w:val="bottom"/>
          </w:tcPr>
          <w:p>
            <w:pPr>
              <w:jc w:val="right"/>
              <w:ind w:right="266"/>
              <w:spacing w:after="0" w:line="135" w:lineRule="exact"/>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spacing w:after="0" w:line="135" w:lineRule="exact"/>
              <w:rPr>
                <w:sz w:val="20"/>
                <w:szCs w:val="20"/>
                <w:color w:val="auto"/>
              </w:rPr>
            </w:pPr>
            <w:r>
              <w:rPr>
                <w:rFonts w:ascii="Arial" w:cs="Arial" w:eastAsia="Arial" w:hAnsi="Arial"/>
                <w:sz w:val="15"/>
                <w:szCs w:val="15"/>
                <w:color w:val="auto"/>
              </w:rPr>
              <w:t>8</w:t>
            </w:r>
          </w:p>
        </w:tc>
        <w:tc>
          <w:tcPr>
            <w:tcW w:w="320" w:type="dxa"/>
            <w:vAlign w:val="bottom"/>
          </w:tcPr>
          <w:p>
            <w:pPr>
              <w:jc w:val="right"/>
              <w:ind w:right="166"/>
              <w:spacing w:after="0" w:line="135" w:lineRule="exact"/>
              <w:rPr>
                <w:sz w:val="20"/>
                <w:szCs w:val="20"/>
                <w:color w:val="auto"/>
              </w:rPr>
            </w:pPr>
            <w:r>
              <w:rPr>
                <w:rFonts w:ascii="Arial" w:cs="Arial" w:eastAsia="Arial" w:hAnsi="Arial"/>
                <w:sz w:val="15"/>
                <w:szCs w:val="15"/>
                <w:color w:val="auto"/>
                <w:w w:val="71"/>
              </w:rPr>
              <w:t>$</w:t>
            </w:r>
          </w:p>
        </w:tc>
        <w:tc>
          <w:tcPr>
            <w:tcW w:w="1700" w:type="dxa"/>
            <w:vAlign w:val="bottom"/>
          </w:tcPr>
          <w:p>
            <w:pPr>
              <w:ind w:left="1220"/>
              <w:spacing w:after="0" w:line="135" w:lineRule="exact"/>
              <w:rPr>
                <w:sz w:val="20"/>
                <w:szCs w:val="20"/>
                <w:color w:val="auto"/>
              </w:rPr>
            </w:pPr>
            <w:r>
              <w:rPr>
                <w:rFonts w:ascii="Arial" w:cs="Arial" w:eastAsia="Arial" w:hAnsi="Arial"/>
                <w:sz w:val="15"/>
                <w:szCs w:val="15"/>
                <w:color w:val="auto"/>
              </w:rPr>
              <w:t>1 $</w:t>
            </w:r>
          </w:p>
        </w:tc>
        <w:tc>
          <w:tcPr>
            <w:tcW w:w="1320" w:type="dxa"/>
            <w:vAlign w:val="bottom"/>
          </w:tcPr>
          <w:p>
            <w:pPr>
              <w:jc w:val="right"/>
              <w:spacing w:after="0" w:line="135"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3"/>
        </w:trPr>
        <w:tc>
          <w:tcPr>
            <w:tcW w:w="3960" w:type="dxa"/>
            <w:vAlign w:val="bottom"/>
          </w:tcPr>
          <w:p>
            <w:pPr>
              <w:spacing w:after="0" w:line="173" w:lineRule="exact"/>
              <w:rPr>
                <w:sz w:val="20"/>
                <w:szCs w:val="20"/>
                <w:color w:val="auto"/>
              </w:rPr>
            </w:pPr>
            <w:r>
              <w:rPr>
                <w:rFonts w:ascii="Arial" w:cs="Arial" w:eastAsia="Arial" w:hAnsi="Arial"/>
                <w:sz w:val="16"/>
                <w:szCs w:val="16"/>
                <w:color w:val="auto"/>
              </w:rPr>
              <w:t>Interest cost</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11</w:t>
            </w:r>
          </w:p>
        </w:tc>
        <w:tc>
          <w:tcPr>
            <w:tcW w:w="420" w:type="dxa"/>
            <w:vAlign w:val="bottom"/>
          </w:tcPr>
          <w:p>
            <w:pPr>
              <w:spacing w:after="0"/>
              <w:rPr>
                <w:sz w:val="15"/>
                <w:szCs w:val="15"/>
                <w:color w:val="auto"/>
              </w:rPr>
            </w:pPr>
          </w:p>
        </w:tc>
        <w:tc>
          <w:tcPr>
            <w:tcW w:w="126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11</w:t>
            </w:r>
          </w:p>
        </w:tc>
        <w:tc>
          <w:tcPr>
            <w:tcW w:w="320" w:type="dxa"/>
            <w:vAlign w:val="bottom"/>
          </w:tcPr>
          <w:p>
            <w:pPr>
              <w:spacing w:after="0"/>
              <w:rPr>
                <w:sz w:val="15"/>
                <w:szCs w:val="15"/>
                <w:color w:val="auto"/>
              </w:rPr>
            </w:pPr>
          </w:p>
        </w:tc>
        <w:tc>
          <w:tcPr>
            <w:tcW w:w="1700" w:type="dxa"/>
            <w:vAlign w:val="bottom"/>
          </w:tcPr>
          <w:p>
            <w:pPr>
              <w:ind w:left="1220"/>
              <w:spacing w:after="0" w:line="173" w:lineRule="exact"/>
              <w:rPr>
                <w:sz w:val="20"/>
                <w:szCs w:val="20"/>
                <w:color w:val="auto"/>
              </w:rPr>
            </w:pPr>
            <w:r>
              <w:rPr>
                <w:rFonts w:ascii="Arial" w:cs="Arial" w:eastAsia="Arial" w:hAnsi="Arial"/>
                <w:sz w:val="16"/>
                <w:szCs w:val="16"/>
                <w:color w:val="auto"/>
              </w:rPr>
              <w:t>2</w:t>
            </w:r>
          </w:p>
        </w:tc>
        <w:tc>
          <w:tcPr>
            <w:tcW w:w="132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3"/>
        </w:trPr>
        <w:tc>
          <w:tcPr>
            <w:tcW w:w="3960" w:type="dxa"/>
            <w:vAlign w:val="bottom"/>
          </w:tcPr>
          <w:p>
            <w:pPr>
              <w:spacing w:after="0" w:line="173" w:lineRule="exact"/>
              <w:rPr>
                <w:sz w:val="20"/>
                <w:szCs w:val="20"/>
                <w:color w:val="auto"/>
              </w:rPr>
            </w:pPr>
            <w:r>
              <w:rPr>
                <w:rFonts w:ascii="Arial" w:cs="Arial" w:eastAsia="Arial" w:hAnsi="Arial"/>
                <w:sz w:val="16"/>
                <w:szCs w:val="16"/>
                <w:color w:val="auto"/>
              </w:rPr>
              <w:t>Expected return on assets</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jc w:val="center"/>
              <w:ind w:left="261"/>
              <w:spacing w:after="0" w:line="173" w:lineRule="exact"/>
              <w:rPr>
                <w:sz w:val="20"/>
                <w:szCs w:val="20"/>
                <w:color w:val="auto"/>
              </w:rPr>
            </w:pPr>
            <w:r>
              <w:rPr>
                <w:rFonts w:ascii="Arial" w:cs="Arial" w:eastAsia="Arial" w:hAnsi="Arial"/>
                <w:sz w:val="16"/>
                <w:szCs w:val="16"/>
                <w:color w:val="auto"/>
                <w:w w:val="98"/>
              </w:rPr>
              <w:t>(14)</w:t>
            </w:r>
          </w:p>
        </w:tc>
        <w:tc>
          <w:tcPr>
            <w:tcW w:w="420" w:type="dxa"/>
            <w:vAlign w:val="bottom"/>
          </w:tcPr>
          <w:p>
            <w:pPr>
              <w:spacing w:after="0"/>
              <w:rPr>
                <w:sz w:val="15"/>
                <w:szCs w:val="15"/>
                <w:color w:val="auto"/>
              </w:rPr>
            </w:pPr>
          </w:p>
        </w:tc>
        <w:tc>
          <w:tcPr>
            <w:tcW w:w="126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(13)</w:t>
            </w:r>
          </w:p>
        </w:tc>
        <w:tc>
          <w:tcPr>
            <w:tcW w:w="320" w:type="dxa"/>
            <w:vAlign w:val="bottom"/>
          </w:tcPr>
          <w:p>
            <w:pPr>
              <w:spacing w:after="0"/>
              <w:rPr>
                <w:sz w:val="15"/>
                <w:szCs w:val="15"/>
                <w:color w:val="auto"/>
              </w:rPr>
            </w:pPr>
          </w:p>
        </w:tc>
        <w:tc>
          <w:tcPr>
            <w:tcW w:w="1700" w:type="dxa"/>
            <w:vAlign w:val="bottom"/>
          </w:tcPr>
          <w:p>
            <w:pPr>
              <w:ind w:left="1160"/>
              <w:spacing w:after="0" w:line="173" w:lineRule="exact"/>
              <w:rPr>
                <w:sz w:val="20"/>
                <w:szCs w:val="20"/>
                <w:color w:val="auto"/>
              </w:rPr>
            </w:pPr>
            <w:r>
              <w:rPr>
                <w:rFonts w:ascii="Arial" w:cs="Arial" w:eastAsia="Arial" w:hAnsi="Arial"/>
                <w:sz w:val="16"/>
                <w:szCs w:val="16"/>
                <w:color w:val="auto"/>
              </w:rPr>
              <w:t>(3)</w:t>
            </w:r>
          </w:p>
        </w:tc>
        <w:tc>
          <w:tcPr>
            <w:tcW w:w="132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3"/>
        </w:trPr>
        <w:tc>
          <w:tcPr>
            <w:tcW w:w="3960" w:type="dxa"/>
            <w:vAlign w:val="bottom"/>
          </w:tcPr>
          <w:p>
            <w:pPr>
              <w:spacing w:after="0" w:line="173" w:lineRule="exact"/>
              <w:rPr>
                <w:sz w:val="20"/>
                <w:szCs w:val="20"/>
                <w:color w:val="auto"/>
              </w:rPr>
            </w:pPr>
            <w:r>
              <w:rPr>
                <w:rFonts w:ascii="Arial" w:cs="Arial" w:eastAsia="Arial" w:hAnsi="Arial"/>
                <w:sz w:val="16"/>
                <w:szCs w:val="16"/>
                <w:color w:val="auto"/>
              </w:rPr>
              <w:t>Amortization of:</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960" w:type="dxa"/>
            <w:vAlign w:val="bottom"/>
          </w:tcPr>
          <w:p>
            <w:pPr>
              <w:ind w:left="180"/>
              <w:spacing w:after="0" w:line="173" w:lineRule="exact"/>
              <w:rPr>
                <w:sz w:val="20"/>
                <w:szCs w:val="20"/>
                <w:color w:val="auto"/>
              </w:rPr>
            </w:pPr>
            <w:r>
              <w:rPr>
                <w:rFonts w:ascii="Arial" w:cs="Arial" w:eastAsia="Arial" w:hAnsi="Arial"/>
                <w:sz w:val="16"/>
                <w:szCs w:val="16"/>
                <w:color w:val="auto"/>
              </w:rPr>
              <w:t>Prior service cost</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420" w:type="dxa"/>
            <w:vAlign w:val="bottom"/>
          </w:tcPr>
          <w:p>
            <w:pPr>
              <w:spacing w:after="0"/>
              <w:rPr>
                <w:sz w:val="15"/>
                <w:szCs w:val="15"/>
                <w:color w:val="auto"/>
              </w:rPr>
            </w:pPr>
          </w:p>
        </w:tc>
        <w:tc>
          <w:tcPr>
            <w:tcW w:w="126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1</w:t>
            </w:r>
          </w:p>
        </w:tc>
        <w:tc>
          <w:tcPr>
            <w:tcW w:w="320" w:type="dxa"/>
            <w:vAlign w:val="bottom"/>
          </w:tcPr>
          <w:p>
            <w:pPr>
              <w:spacing w:after="0"/>
              <w:rPr>
                <w:sz w:val="15"/>
                <w:szCs w:val="15"/>
                <w:color w:val="auto"/>
              </w:rPr>
            </w:pPr>
          </w:p>
        </w:tc>
        <w:tc>
          <w:tcPr>
            <w:tcW w:w="1700" w:type="dxa"/>
            <w:vAlign w:val="bottom"/>
          </w:tcPr>
          <w:p>
            <w:pPr>
              <w:ind w:left="1220"/>
              <w:spacing w:after="0" w:line="173" w:lineRule="exact"/>
              <w:rPr>
                <w:sz w:val="20"/>
                <w:szCs w:val="20"/>
                <w:color w:val="auto"/>
              </w:rPr>
            </w:pPr>
            <w:r>
              <w:rPr>
                <w:rFonts w:ascii="Arial" w:cs="Arial" w:eastAsia="Arial" w:hAnsi="Arial"/>
                <w:sz w:val="16"/>
                <w:szCs w:val="16"/>
                <w:color w:val="auto"/>
              </w:rPr>
              <w:t>1</w:t>
            </w:r>
          </w:p>
        </w:tc>
        <w:tc>
          <w:tcPr>
            <w:tcW w:w="132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3"/>
        </w:trPr>
        <w:tc>
          <w:tcPr>
            <w:tcW w:w="3960" w:type="dxa"/>
            <w:vAlign w:val="bottom"/>
          </w:tcPr>
          <w:p>
            <w:pPr>
              <w:ind w:left="180"/>
              <w:spacing w:after="0" w:line="173" w:lineRule="exact"/>
              <w:rPr>
                <w:sz w:val="20"/>
                <w:szCs w:val="20"/>
                <w:color w:val="auto"/>
              </w:rPr>
            </w:pPr>
            <w:r>
              <w:rPr>
                <w:rFonts w:ascii="Arial" w:cs="Arial" w:eastAsia="Arial" w:hAnsi="Arial"/>
                <w:sz w:val="16"/>
                <w:szCs w:val="16"/>
                <w:color w:val="auto"/>
              </w:rPr>
              <w:t>Actuarial loss</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420" w:type="dxa"/>
            <w:vAlign w:val="bottom"/>
          </w:tcPr>
          <w:p>
            <w:pPr>
              <w:spacing w:after="0"/>
              <w:rPr>
                <w:sz w:val="15"/>
                <w:szCs w:val="15"/>
                <w:color w:val="auto"/>
              </w:rPr>
            </w:pPr>
          </w:p>
        </w:tc>
        <w:tc>
          <w:tcPr>
            <w:tcW w:w="126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3</w:t>
            </w:r>
          </w:p>
        </w:tc>
        <w:tc>
          <w:tcPr>
            <w:tcW w:w="320" w:type="dxa"/>
            <w:vAlign w:val="bottom"/>
          </w:tcPr>
          <w:p>
            <w:pPr>
              <w:spacing w:after="0"/>
              <w:rPr>
                <w:sz w:val="15"/>
                <w:szCs w:val="15"/>
                <w:color w:val="auto"/>
              </w:rPr>
            </w:pPr>
          </w:p>
        </w:tc>
        <w:tc>
          <w:tcPr>
            <w:tcW w:w="1700" w:type="dxa"/>
            <w:vAlign w:val="bottom"/>
          </w:tcPr>
          <w:p>
            <w:pPr>
              <w:ind w:left="1140"/>
              <w:spacing w:after="0" w:line="173" w:lineRule="exact"/>
              <w:rPr>
                <w:sz w:val="20"/>
                <w:szCs w:val="20"/>
                <w:color w:val="auto"/>
              </w:rPr>
            </w:pPr>
            <w:r>
              <w:rPr>
                <w:rFonts w:ascii="Arial" w:cs="Arial" w:eastAsia="Arial" w:hAnsi="Arial"/>
                <w:sz w:val="16"/>
                <w:szCs w:val="16"/>
                <w:color w:val="auto"/>
              </w:rPr>
              <w:t>―</w:t>
            </w:r>
          </w:p>
        </w:tc>
        <w:tc>
          <w:tcPr>
            <w:tcW w:w="13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3960" w:type="dxa"/>
            <w:vAlign w:val="bottom"/>
          </w:tcPr>
          <w:p>
            <w:pPr>
              <w:spacing w:after="0" w:line="173" w:lineRule="exact"/>
              <w:rPr>
                <w:sz w:val="20"/>
                <w:szCs w:val="20"/>
                <w:color w:val="auto"/>
              </w:rPr>
            </w:pPr>
            <w:r>
              <w:rPr>
                <w:rFonts w:ascii="Arial" w:cs="Arial" w:eastAsia="Arial" w:hAnsi="Arial"/>
                <w:sz w:val="16"/>
                <w:szCs w:val="16"/>
                <w:color w:val="auto"/>
              </w:rPr>
              <w:t>Settlement</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420" w:type="dxa"/>
            <w:vAlign w:val="bottom"/>
          </w:tcPr>
          <w:p>
            <w:pPr>
              <w:spacing w:after="0"/>
              <w:rPr>
                <w:sz w:val="15"/>
                <w:szCs w:val="15"/>
                <w:color w:val="auto"/>
              </w:rPr>
            </w:pPr>
          </w:p>
        </w:tc>
        <w:tc>
          <w:tcPr>
            <w:tcW w:w="126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700" w:type="dxa"/>
            <w:vAlign w:val="bottom"/>
          </w:tcPr>
          <w:p>
            <w:pPr>
              <w:ind w:left="1140"/>
              <w:spacing w:after="0" w:line="173" w:lineRule="exact"/>
              <w:rPr>
                <w:sz w:val="20"/>
                <w:szCs w:val="20"/>
                <w:color w:val="auto"/>
              </w:rPr>
            </w:pPr>
            <w:r>
              <w:rPr>
                <w:rFonts w:ascii="Arial" w:cs="Arial" w:eastAsia="Arial" w:hAnsi="Arial"/>
                <w:sz w:val="16"/>
                <w:szCs w:val="16"/>
                <w:color w:val="auto"/>
              </w:rPr>
              <w:t>―</w:t>
            </w:r>
          </w:p>
        </w:tc>
        <w:tc>
          <w:tcPr>
            <w:tcW w:w="13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960" w:type="dxa"/>
            <w:vAlign w:val="bottom"/>
          </w:tcPr>
          <w:p>
            <w:pPr>
              <w:spacing w:after="0"/>
              <w:rPr>
                <w:sz w:val="20"/>
                <w:szCs w:val="20"/>
                <w:color w:val="auto"/>
              </w:rPr>
            </w:pPr>
            <w:r>
              <w:rPr>
                <w:rFonts w:ascii="Arial" w:cs="Arial" w:eastAsia="Arial" w:hAnsi="Arial"/>
                <w:sz w:val="16"/>
                <w:szCs w:val="16"/>
                <w:color w:val="auto"/>
              </w:rPr>
              <w:t>Regulatory adjustment</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960" w:type="dxa"/>
            <w:vAlign w:val="bottom"/>
          </w:tcPr>
          <w:p>
            <w:pPr>
              <w:spacing w:after="0" w:line="166" w:lineRule="exact"/>
              <w:rPr>
                <w:sz w:val="20"/>
                <w:szCs w:val="20"/>
                <w:color w:val="auto"/>
              </w:rPr>
            </w:pPr>
            <w:r>
              <w:rPr>
                <w:rFonts w:ascii="Arial" w:cs="Arial" w:eastAsia="Arial" w:hAnsi="Arial"/>
                <w:sz w:val="16"/>
                <w:szCs w:val="16"/>
                <w:color w:val="auto"/>
              </w:rPr>
              <w:t>Total net periodic benefit cost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868"/>
              <w:spacing w:after="0" w:line="167" w:lineRule="exact"/>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line="166" w:lineRule="exact"/>
              <w:rPr>
                <w:sz w:val="20"/>
                <w:szCs w:val="20"/>
                <w:color w:val="auto"/>
              </w:rPr>
            </w:pPr>
            <w:r>
              <w:rPr>
                <w:rFonts w:ascii="Arial" w:cs="Arial" w:eastAsia="Arial" w:hAnsi="Arial"/>
                <w:sz w:val="16"/>
                <w:szCs w:val="16"/>
                <w:color w:val="auto"/>
              </w:rPr>
              <w:t>14</w:t>
            </w:r>
          </w:p>
        </w:tc>
        <w:tc>
          <w:tcPr>
            <w:tcW w:w="420" w:type="dxa"/>
            <w:vAlign w:val="bottom"/>
          </w:tcPr>
          <w:p>
            <w:pPr>
              <w:jc w:val="right"/>
              <w:ind w:right="266"/>
              <w:spacing w:after="0" w:line="167" w:lineRule="exact"/>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spacing w:after="0" w:line="166" w:lineRule="exact"/>
              <w:rPr>
                <w:sz w:val="20"/>
                <w:szCs w:val="20"/>
                <w:color w:val="auto"/>
              </w:rPr>
            </w:pPr>
            <w:r>
              <w:rPr>
                <w:rFonts w:ascii="Arial" w:cs="Arial" w:eastAsia="Arial" w:hAnsi="Arial"/>
                <w:sz w:val="16"/>
                <w:szCs w:val="16"/>
                <w:color w:val="auto"/>
              </w:rPr>
              <w:t>12</w:t>
            </w:r>
          </w:p>
        </w:tc>
        <w:tc>
          <w:tcPr>
            <w:tcW w:w="320" w:type="dxa"/>
            <w:vAlign w:val="bottom"/>
          </w:tcPr>
          <w:p>
            <w:pPr>
              <w:jc w:val="right"/>
              <w:ind w:right="166"/>
              <w:spacing w:after="0" w:line="167" w:lineRule="exact"/>
              <w:rPr>
                <w:sz w:val="20"/>
                <w:szCs w:val="20"/>
                <w:color w:val="auto"/>
              </w:rPr>
            </w:pPr>
            <w:r>
              <w:rPr>
                <w:rFonts w:ascii="Arial" w:cs="Arial" w:eastAsia="Arial" w:hAnsi="Arial"/>
                <w:sz w:val="15"/>
                <w:szCs w:val="15"/>
                <w:color w:val="auto"/>
                <w:w w:val="71"/>
              </w:rPr>
              <w:t>$</w:t>
            </w:r>
          </w:p>
        </w:tc>
        <w:tc>
          <w:tcPr>
            <w:tcW w:w="1700" w:type="dxa"/>
            <w:vAlign w:val="bottom"/>
          </w:tcPr>
          <w:p>
            <w:pPr>
              <w:ind w:left="1140"/>
              <w:spacing w:after="0" w:line="166" w:lineRule="exact"/>
              <w:rPr>
                <w:sz w:val="20"/>
                <w:szCs w:val="20"/>
                <w:color w:val="auto"/>
              </w:rPr>
            </w:pPr>
            <w:r>
              <w:rPr>
                <w:rFonts w:ascii="Arial" w:cs="Arial" w:eastAsia="Arial" w:hAnsi="Arial"/>
                <w:sz w:val="16"/>
                <w:szCs w:val="16"/>
                <w:color w:val="auto"/>
              </w:rPr>
              <w:t>― $</w:t>
            </w:r>
          </w:p>
        </w:tc>
        <w:tc>
          <w:tcPr>
            <w:tcW w:w="1320" w:type="dxa"/>
            <w:vAlign w:val="bottom"/>
          </w:tcPr>
          <w:p>
            <w:pPr>
              <w:jc w:val="right"/>
              <w:spacing w:after="0" w:line="166"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80"/>
        </w:trPr>
        <w:tc>
          <w:tcPr>
            <w:tcW w:w="3960" w:type="dxa"/>
            <w:vAlign w:val="bottom"/>
            <w:shd w:val="clear" w:color="auto" w:fill="000000"/>
          </w:tcPr>
          <w:p>
            <w:pPr>
              <w:spacing w:after="0"/>
              <w:rPr>
                <w:sz w:val="6"/>
                <w:szCs w:val="6"/>
                <w:color w:val="auto"/>
              </w:rPr>
            </w:pPr>
          </w:p>
        </w:tc>
        <w:tc>
          <w:tcPr>
            <w:tcW w:w="54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3280" w:type="dxa"/>
            <w:vAlign w:val="bottom"/>
            <w:gridSpan w:val="4"/>
            <w:shd w:val="clear" w:color="auto" w:fill="000000"/>
          </w:tcPr>
          <w:p>
            <w:pPr>
              <w:spacing w:after="0"/>
              <w:rPr>
                <w:sz w:val="6"/>
                <w:szCs w:val="6"/>
                <w:color w:val="auto"/>
              </w:rPr>
            </w:pPr>
          </w:p>
        </w:tc>
        <w:tc>
          <w:tcPr>
            <w:tcW w:w="13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3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gridSpan w:val="4"/>
          </w:tcPr>
          <w:p>
            <w:pPr>
              <w:jc w:val="right"/>
              <w:ind w:right="1102"/>
              <w:spacing w:after="0" w:line="159" w:lineRule="exact"/>
              <w:rPr>
                <w:sz w:val="20"/>
                <w:szCs w:val="20"/>
                <w:color w:val="auto"/>
              </w:rPr>
            </w:pPr>
            <w:r>
              <w:rPr>
                <w:rFonts w:ascii="Arial" w:cs="Arial" w:eastAsia="Arial" w:hAnsi="Arial"/>
                <w:sz w:val="14"/>
                <w:szCs w:val="14"/>
                <w:color w:val="auto"/>
              </w:rPr>
              <w:t>Six months ended June 30,</w:t>
            </w: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9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2014</w:t>
            </w:r>
          </w:p>
        </w:tc>
        <w:tc>
          <w:tcPr>
            <w:tcW w:w="4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2013</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2014</w:t>
            </w:r>
          </w:p>
        </w:tc>
        <w:tc>
          <w:tcPr>
            <w:tcW w:w="132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35"/>
        </w:trPr>
        <w:tc>
          <w:tcPr>
            <w:tcW w:w="3960" w:type="dxa"/>
            <w:vAlign w:val="bottom"/>
          </w:tcPr>
          <w:p>
            <w:pPr>
              <w:spacing w:after="0" w:line="135" w:lineRule="exact"/>
              <w:rPr>
                <w:sz w:val="20"/>
                <w:szCs w:val="20"/>
                <w:color w:val="auto"/>
              </w:rPr>
            </w:pPr>
            <w:r>
              <w:rPr>
                <w:rFonts w:ascii="Arial" w:cs="Arial" w:eastAsia="Arial" w:hAnsi="Arial"/>
                <w:sz w:val="15"/>
                <w:szCs w:val="15"/>
                <w:color w:val="auto"/>
              </w:rPr>
              <w:t>Service cost</w:t>
            </w:r>
          </w:p>
        </w:tc>
        <w:tc>
          <w:tcPr>
            <w:tcW w:w="1820" w:type="dxa"/>
            <w:vAlign w:val="bottom"/>
            <w:gridSpan w:val="3"/>
          </w:tcPr>
          <w:p>
            <w:pPr>
              <w:jc w:val="right"/>
              <w:ind w:right="868"/>
              <w:spacing w:after="0" w:line="135" w:lineRule="exact"/>
              <w:rPr>
                <w:sz w:val="20"/>
                <w:szCs w:val="20"/>
                <w:color w:val="auto"/>
              </w:rPr>
            </w:pPr>
            <w:r>
              <w:rPr>
                <w:rFonts w:ascii="Arial" w:cs="Arial" w:eastAsia="Arial" w:hAnsi="Arial"/>
                <w:sz w:val="15"/>
                <w:szCs w:val="15"/>
                <w:color w:val="auto"/>
              </w:rPr>
              <w:t>$</w:t>
            </w:r>
          </w:p>
        </w:tc>
        <w:tc>
          <w:tcPr>
            <w:tcW w:w="620" w:type="dxa"/>
            <w:vAlign w:val="bottom"/>
            <w:gridSpan w:val="2"/>
          </w:tcPr>
          <w:p>
            <w:pPr>
              <w:jc w:val="right"/>
              <w:spacing w:after="0" w:line="135" w:lineRule="exact"/>
              <w:rPr>
                <w:sz w:val="20"/>
                <w:szCs w:val="20"/>
                <w:color w:val="auto"/>
              </w:rPr>
            </w:pPr>
            <w:r>
              <w:rPr>
                <w:rFonts w:ascii="Arial" w:cs="Arial" w:eastAsia="Arial" w:hAnsi="Arial"/>
                <w:sz w:val="15"/>
                <w:szCs w:val="15"/>
                <w:color w:val="auto"/>
              </w:rPr>
              <w:t>15</w:t>
            </w:r>
          </w:p>
        </w:tc>
        <w:tc>
          <w:tcPr>
            <w:tcW w:w="420" w:type="dxa"/>
            <w:vAlign w:val="bottom"/>
          </w:tcPr>
          <w:p>
            <w:pPr>
              <w:jc w:val="right"/>
              <w:ind w:right="266"/>
              <w:spacing w:after="0" w:line="135" w:lineRule="exact"/>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spacing w:after="0" w:line="135" w:lineRule="exact"/>
              <w:rPr>
                <w:sz w:val="20"/>
                <w:szCs w:val="20"/>
                <w:color w:val="auto"/>
              </w:rPr>
            </w:pPr>
            <w:r>
              <w:rPr>
                <w:rFonts w:ascii="Arial" w:cs="Arial" w:eastAsia="Arial" w:hAnsi="Arial"/>
                <w:sz w:val="15"/>
                <w:szCs w:val="15"/>
                <w:color w:val="auto"/>
              </w:rPr>
              <w:t>16</w:t>
            </w:r>
          </w:p>
        </w:tc>
        <w:tc>
          <w:tcPr>
            <w:tcW w:w="320" w:type="dxa"/>
            <w:vAlign w:val="bottom"/>
          </w:tcPr>
          <w:p>
            <w:pPr>
              <w:jc w:val="right"/>
              <w:ind w:right="166"/>
              <w:spacing w:after="0" w:line="135" w:lineRule="exact"/>
              <w:rPr>
                <w:sz w:val="20"/>
                <w:szCs w:val="20"/>
                <w:color w:val="auto"/>
              </w:rPr>
            </w:pPr>
            <w:r>
              <w:rPr>
                <w:rFonts w:ascii="Arial" w:cs="Arial" w:eastAsia="Arial" w:hAnsi="Arial"/>
                <w:sz w:val="15"/>
                <w:szCs w:val="15"/>
                <w:color w:val="auto"/>
                <w:w w:val="71"/>
              </w:rPr>
              <w:t>$</w:t>
            </w:r>
          </w:p>
        </w:tc>
        <w:tc>
          <w:tcPr>
            <w:tcW w:w="1700" w:type="dxa"/>
            <w:vAlign w:val="bottom"/>
          </w:tcPr>
          <w:p>
            <w:pPr>
              <w:ind w:left="1220"/>
              <w:spacing w:after="0" w:line="135" w:lineRule="exact"/>
              <w:rPr>
                <w:sz w:val="20"/>
                <w:szCs w:val="20"/>
                <w:color w:val="auto"/>
              </w:rPr>
            </w:pPr>
            <w:r>
              <w:rPr>
                <w:rFonts w:ascii="Arial" w:cs="Arial" w:eastAsia="Arial" w:hAnsi="Arial"/>
                <w:sz w:val="15"/>
                <w:szCs w:val="15"/>
                <w:color w:val="auto"/>
              </w:rPr>
              <w:t>3 $</w:t>
            </w:r>
          </w:p>
        </w:tc>
        <w:tc>
          <w:tcPr>
            <w:tcW w:w="1320" w:type="dxa"/>
            <w:vAlign w:val="bottom"/>
          </w:tcPr>
          <w:p>
            <w:pPr>
              <w:jc w:val="right"/>
              <w:spacing w:after="0" w:line="135"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3"/>
        </w:trPr>
        <w:tc>
          <w:tcPr>
            <w:tcW w:w="3960" w:type="dxa"/>
            <w:vAlign w:val="bottom"/>
          </w:tcPr>
          <w:p>
            <w:pPr>
              <w:spacing w:after="0" w:line="173" w:lineRule="exact"/>
              <w:rPr>
                <w:sz w:val="20"/>
                <w:szCs w:val="20"/>
                <w:color w:val="auto"/>
              </w:rPr>
            </w:pPr>
            <w:r>
              <w:rPr>
                <w:rFonts w:ascii="Arial" w:cs="Arial" w:eastAsia="Arial" w:hAnsi="Arial"/>
                <w:sz w:val="16"/>
                <w:szCs w:val="16"/>
                <w:color w:val="auto"/>
              </w:rPr>
              <w:t>Interest cost</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22</w:t>
            </w:r>
          </w:p>
        </w:tc>
        <w:tc>
          <w:tcPr>
            <w:tcW w:w="420" w:type="dxa"/>
            <w:vAlign w:val="bottom"/>
          </w:tcPr>
          <w:p>
            <w:pPr>
              <w:spacing w:after="0"/>
              <w:rPr>
                <w:sz w:val="15"/>
                <w:szCs w:val="15"/>
                <w:color w:val="auto"/>
              </w:rPr>
            </w:pPr>
          </w:p>
        </w:tc>
        <w:tc>
          <w:tcPr>
            <w:tcW w:w="126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21</w:t>
            </w:r>
          </w:p>
        </w:tc>
        <w:tc>
          <w:tcPr>
            <w:tcW w:w="320" w:type="dxa"/>
            <w:vAlign w:val="bottom"/>
          </w:tcPr>
          <w:p>
            <w:pPr>
              <w:spacing w:after="0"/>
              <w:rPr>
                <w:sz w:val="15"/>
                <w:szCs w:val="15"/>
                <w:color w:val="auto"/>
              </w:rPr>
            </w:pPr>
          </w:p>
        </w:tc>
        <w:tc>
          <w:tcPr>
            <w:tcW w:w="1700" w:type="dxa"/>
            <w:vAlign w:val="bottom"/>
          </w:tcPr>
          <w:p>
            <w:pPr>
              <w:ind w:left="1220"/>
              <w:spacing w:after="0" w:line="173" w:lineRule="exact"/>
              <w:rPr>
                <w:sz w:val="20"/>
                <w:szCs w:val="20"/>
                <w:color w:val="auto"/>
              </w:rPr>
            </w:pPr>
            <w:r>
              <w:rPr>
                <w:rFonts w:ascii="Arial" w:cs="Arial" w:eastAsia="Arial" w:hAnsi="Arial"/>
                <w:sz w:val="16"/>
                <w:szCs w:val="16"/>
                <w:color w:val="auto"/>
              </w:rPr>
              <w:t>4</w:t>
            </w:r>
          </w:p>
        </w:tc>
        <w:tc>
          <w:tcPr>
            <w:tcW w:w="132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3"/>
        </w:trPr>
        <w:tc>
          <w:tcPr>
            <w:tcW w:w="3960" w:type="dxa"/>
            <w:vAlign w:val="bottom"/>
          </w:tcPr>
          <w:p>
            <w:pPr>
              <w:spacing w:after="0" w:line="173" w:lineRule="exact"/>
              <w:rPr>
                <w:sz w:val="20"/>
                <w:szCs w:val="20"/>
                <w:color w:val="auto"/>
              </w:rPr>
            </w:pPr>
            <w:r>
              <w:rPr>
                <w:rFonts w:ascii="Arial" w:cs="Arial" w:eastAsia="Arial" w:hAnsi="Arial"/>
                <w:sz w:val="16"/>
                <w:szCs w:val="16"/>
                <w:color w:val="auto"/>
              </w:rPr>
              <w:t>Expected return on assets</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jc w:val="center"/>
              <w:ind w:left="261"/>
              <w:spacing w:after="0" w:line="173" w:lineRule="exact"/>
              <w:rPr>
                <w:sz w:val="20"/>
                <w:szCs w:val="20"/>
                <w:color w:val="auto"/>
              </w:rPr>
            </w:pPr>
            <w:r>
              <w:rPr>
                <w:rFonts w:ascii="Arial" w:cs="Arial" w:eastAsia="Arial" w:hAnsi="Arial"/>
                <w:sz w:val="16"/>
                <w:szCs w:val="16"/>
                <w:color w:val="auto"/>
                <w:w w:val="98"/>
              </w:rPr>
              <w:t>(28)</w:t>
            </w:r>
          </w:p>
        </w:tc>
        <w:tc>
          <w:tcPr>
            <w:tcW w:w="420" w:type="dxa"/>
            <w:vAlign w:val="bottom"/>
          </w:tcPr>
          <w:p>
            <w:pPr>
              <w:spacing w:after="0"/>
              <w:rPr>
                <w:sz w:val="15"/>
                <w:szCs w:val="15"/>
                <w:color w:val="auto"/>
              </w:rPr>
            </w:pPr>
          </w:p>
        </w:tc>
        <w:tc>
          <w:tcPr>
            <w:tcW w:w="126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(26)</w:t>
            </w:r>
          </w:p>
        </w:tc>
        <w:tc>
          <w:tcPr>
            <w:tcW w:w="320" w:type="dxa"/>
            <w:vAlign w:val="bottom"/>
          </w:tcPr>
          <w:p>
            <w:pPr>
              <w:spacing w:after="0"/>
              <w:rPr>
                <w:sz w:val="15"/>
                <w:szCs w:val="15"/>
                <w:color w:val="auto"/>
              </w:rPr>
            </w:pPr>
          </w:p>
        </w:tc>
        <w:tc>
          <w:tcPr>
            <w:tcW w:w="1700" w:type="dxa"/>
            <w:vAlign w:val="bottom"/>
          </w:tcPr>
          <w:p>
            <w:pPr>
              <w:ind w:left="1160"/>
              <w:spacing w:after="0" w:line="173" w:lineRule="exact"/>
              <w:rPr>
                <w:sz w:val="20"/>
                <w:szCs w:val="20"/>
                <w:color w:val="auto"/>
              </w:rPr>
            </w:pPr>
            <w:r>
              <w:rPr>
                <w:rFonts w:ascii="Arial" w:cs="Arial" w:eastAsia="Arial" w:hAnsi="Arial"/>
                <w:sz w:val="16"/>
                <w:szCs w:val="16"/>
                <w:color w:val="auto"/>
              </w:rPr>
              <w:t>(6)</w:t>
            </w:r>
          </w:p>
        </w:tc>
        <w:tc>
          <w:tcPr>
            <w:tcW w:w="132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3"/>
        </w:trPr>
        <w:tc>
          <w:tcPr>
            <w:tcW w:w="3960" w:type="dxa"/>
            <w:vAlign w:val="bottom"/>
          </w:tcPr>
          <w:p>
            <w:pPr>
              <w:spacing w:after="0" w:line="173" w:lineRule="exact"/>
              <w:rPr>
                <w:sz w:val="20"/>
                <w:szCs w:val="20"/>
                <w:color w:val="auto"/>
              </w:rPr>
            </w:pPr>
            <w:r>
              <w:rPr>
                <w:rFonts w:ascii="Arial" w:cs="Arial" w:eastAsia="Arial" w:hAnsi="Arial"/>
                <w:sz w:val="16"/>
                <w:szCs w:val="16"/>
                <w:color w:val="auto"/>
              </w:rPr>
              <w:t>Amortization of:</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960" w:type="dxa"/>
            <w:vAlign w:val="bottom"/>
          </w:tcPr>
          <w:p>
            <w:pPr>
              <w:ind w:left="180"/>
              <w:spacing w:after="0" w:line="173" w:lineRule="exact"/>
              <w:rPr>
                <w:sz w:val="20"/>
                <w:szCs w:val="20"/>
                <w:color w:val="auto"/>
              </w:rPr>
            </w:pPr>
            <w:r>
              <w:rPr>
                <w:rFonts w:ascii="Arial" w:cs="Arial" w:eastAsia="Arial" w:hAnsi="Arial"/>
                <w:sz w:val="16"/>
                <w:szCs w:val="16"/>
                <w:color w:val="auto"/>
              </w:rPr>
              <w:t>Prior service cost</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420" w:type="dxa"/>
            <w:vAlign w:val="bottom"/>
          </w:tcPr>
          <w:p>
            <w:pPr>
              <w:spacing w:after="0"/>
              <w:rPr>
                <w:sz w:val="15"/>
                <w:szCs w:val="15"/>
                <w:color w:val="auto"/>
              </w:rPr>
            </w:pPr>
          </w:p>
        </w:tc>
        <w:tc>
          <w:tcPr>
            <w:tcW w:w="126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1</w:t>
            </w:r>
          </w:p>
        </w:tc>
        <w:tc>
          <w:tcPr>
            <w:tcW w:w="320" w:type="dxa"/>
            <w:vAlign w:val="bottom"/>
          </w:tcPr>
          <w:p>
            <w:pPr>
              <w:spacing w:after="0"/>
              <w:rPr>
                <w:sz w:val="15"/>
                <w:szCs w:val="15"/>
                <w:color w:val="auto"/>
              </w:rPr>
            </w:pPr>
          </w:p>
        </w:tc>
        <w:tc>
          <w:tcPr>
            <w:tcW w:w="1700" w:type="dxa"/>
            <w:vAlign w:val="bottom"/>
          </w:tcPr>
          <w:p>
            <w:pPr>
              <w:ind w:left="1220"/>
              <w:spacing w:after="0" w:line="173" w:lineRule="exact"/>
              <w:rPr>
                <w:sz w:val="20"/>
                <w:szCs w:val="20"/>
                <w:color w:val="auto"/>
              </w:rPr>
            </w:pPr>
            <w:r>
              <w:rPr>
                <w:rFonts w:ascii="Arial" w:cs="Arial" w:eastAsia="Arial" w:hAnsi="Arial"/>
                <w:sz w:val="16"/>
                <w:szCs w:val="16"/>
                <w:color w:val="auto"/>
              </w:rPr>
              <w:t>2</w:t>
            </w:r>
          </w:p>
        </w:tc>
        <w:tc>
          <w:tcPr>
            <w:tcW w:w="132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3"/>
        </w:trPr>
        <w:tc>
          <w:tcPr>
            <w:tcW w:w="3960" w:type="dxa"/>
            <w:vAlign w:val="bottom"/>
          </w:tcPr>
          <w:p>
            <w:pPr>
              <w:ind w:left="180"/>
              <w:spacing w:after="0" w:line="173" w:lineRule="exact"/>
              <w:rPr>
                <w:sz w:val="20"/>
                <w:szCs w:val="20"/>
                <w:color w:val="auto"/>
              </w:rPr>
            </w:pPr>
            <w:r>
              <w:rPr>
                <w:rFonts w:ascii="Arial" w:cs="Arial" w:eastAsia="Arial" w:hAnsi="Arial"/>
                <w:sz w:val="16"/>
                <w:szCs w:val="16"/>
                <w:color w:val="auto"/>
              </w:rPr>
              <w:t>Actuarial loss</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420" w:type="dxa"/>
            <w:vAlign w:val="bottom"/>
          </w:tcPr>
          <w:p>
            <w:pPr>
              <w:spacing w:after="0"/>
              <w:rPr>
                <w:sz w:val="15"/>
                <w:szCs w:val="15"/>
                <w:color w:val="auto"/>
              </w:rPr>
            </w:pPr>
          </w:p>
        </w:tc>
        <w:tc>
          <w:tcPr>
            <w:tcW w:w="126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7</w:t>
            </w:r>
          </w:p>
        </w:tc>
        <w:tc>
          <w:tcPr>
            <w:tcW w:w="320" w:type="dxa"/>
            <w:vAlign w:val="bottom"/>
          </w:tcPr>
          <w:p>
            <w:pPr>
              <w:spacing w:after="0"/>
              <w:rPr>
                <w:sz w:val="15"/>
                <w:szCs w:val="15"/>
                <w:color w:val="auto"/>
              </w:rPr>
            </w:pPr>
          </w:p>
        </w:tc>
        <w:tc>
          <w:tcPr>
            <w:tcW w:w="1700" w:type="dxa"/>
            <w:vAlign w:val="bottom"/>
          </w:tcPr>
          <w:p>
            <w:pPr>
              <w:ind w:left="1140"/>
              <w:spacing w:after="0" w:line="173" w:lineRule="exact"/>
              <w:rPr>
                <w:sz w:val="20"/>
                <w:szCs w:val="20"/>
                <w:color w:val="auto"/>
              </w:rPr>
            </w:pPr>
            <w:r>
              <w:rPr>
                <w:rFonts w:ascii="Arial" w:cs="Arial" w:eastAsia="Arial" w:hAnsi="Arial"/>
                <w:sz w:val="16"/>
                <w:szCs w:val="16"/>
                <w:color w:val="auto"/>
              </w:rPr>
              <w:t>―</w:t>
            </w:r>
          </w:p>
        </w:tc>
        <w:tc>
          <w:tcPr>
            <w:tcW w:w="13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3960" w:type="dxa"/>
            <w:vAlign w:val="bottom"/>
          </w:tcPr>
          <w:p>
            <w:pPr>
              <w:spacing w:after="0" w:line="173" w:lineRule="exact"/>
              <w:rPr>
                <w:sz w:val="20"/>
                <w:szCs w:val="20"/>
                <w:color w:val="auto"/>
              </w:rPr>
            </w:pPr>
            <w:r>
              <w:rPr>
                <w:rFonts w:ascii="Arial" w:cs="Arial" w:eastAsia="Arial" w:hAnsi="Arial"/>
                <w:sz w:val="16"/>
                <w:szCs w:val="16"/>
                <w:color w:val="auto"/>
              </w:rPr>
              <w:t>Settlement</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420" w:type="dxa"/>
            <w:vAlign w:val="bottom"/>
          </w:tcPr>
          <w:p>
            <w:pPr>
              <w:spacing w:after="0"/>
              <w:rPr>
                <w:sz w:val="15"/>
                <w:szCs w:val="15"/>
                <w:color w:val="auto"/>
              </w:rPr>
            </w:pPr>
          </w:p>
        </w:tc>
        <w:tc>
          <w:tcPr>
            <w:tcW w:w="126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700" w:type="dxa"/>
            <w:vAlign w:val="bottom"/>
          </w:tcPr>
          <w:p>
            <w:pPr>
              <w:ind w:left="1140"/>
              <w:spacing w:after="0" w:line="173" w:lineRule="exact"/>
              <w:rPr>
                <w:sz w:val="20"/>
                <w:szCs w:val="20"/>
                <w:color w:val="auto"/>
              </w:rPr>
            </w:pPr>
            <w:r>
              <w:rPr>
                <w:rFonts w:ascii="Arial" w:cs="Arial" w:eastAsia="Arial" w:hAnsi="Arial"/>
                <w:sz w:val="16"/>
                <w:szCs w:val="16"/>
                <w:color w:val="auto"/>
              </w:rPr>
              <w:t>―</w:t>
            </w:r>
          </w:p>
        </w:tc>
        <w:tc>
          <w:tcPr>
            <w:tcW w:w="13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960" w:type="dxa"/>
            <w:vAlign w:val="bottom"/>
          </w:tcPr>
          <w:p>
            <w:pPr>
              <w:spacing w:after="0"/>
              <w:rPr>
                <w:sz w:val="20"/>
                <w:szCs w:val="20"/>
                <w:color w:val="auto"/>
              </w:rPr>
            </w:pPr>
            <w:r>
              <w:rPr>
                <w:rFonts w:ascii="Arial" w:cs="Arial" w:eastAsia="Arial" w:hAnsi="Arial"/>
                <w:sz w:val="16"/>
                <w:szCs w:val="16"/>
                <w:color w:val="auto"/>
              </w:rPr>
              <w:t>Regulatory adjustment</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960" w:type="dxa"/>
            <w:vAlign w:val="bottom"/>
          </w:tcPr>
          <w:p>
            <w:pPr>
              <w:spacing w:after="0" w:line="166" w:lineRule="exact"/>
              <w:rPr>
                <w:sz w:val="20"/>
                <w:szCs w:val="20"/>
                <w:color w:val="auto"/>
              </w:rPr>
            </w:pPr>
            <w:r>
              <w:rPr>
                <w:rFonts w:ascii="Arial" w:cs="Arial" w:eastAsia="Arial" w:hAnsi="Arial"/>
                <w:sz w:val="16"/>
                <w:szCs w:val="16"/>
                <w:color w:val="auto"/>
              </w:rPr>
              <w:t>Total net periodic benefit cost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868"/>
              <w:spacing w:after="0" w:line="167" w:lineRule="exact"/>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line="166" w:lineRule="exact"/>
              <w:rPr>
                <w:sz w:val="20"/>
                <w:szCs w:val="20"/>
                <w:color w:val="auto"/>
              </w:rPr>
            </w:pPr>
            <w:r>
              <w:rPr>
                <w:rFonts w:ascii="Arial" w:cs="Arial" w:eastAsia="Arial" w:hAnsi="Arial"/>
                <w:sz w:val="16"/>
                <w:szCs w:val="16"/>
                <w:color w:val="auto"/>
              </w:rPr>
              <w:t>15</w:t>
            </w:r>
          </w:p>
        </w:tc>
        <w:tc>
          <w:tcPr>
            <w:tcW w:w="420" w:type="dxa"/>
            <w:vAlign w:val="bottom"/>
          </w:tcPr>
          <w:p>
            <w:pPr>
              <w:jc w:val="right"/>
              <w:ind w:right="266"/>
              <w:spacing w:after="0" w:line="167" w:lineRule="exact"/>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spacing w:after="0" w:line="166" w:lineRule="exact"/>
              <w:rPr>
                <w:sz w:val="20"/>
                <w:szCs w:val="20"/>
                <w:color w:val="auto"/>
              </w:rPr>
            </w:pPr>
            <w:r>
              <w:rPr>
                <w:rFonts w:ascii="Arial" w:cs="Arial" w:eastAsia="Arial" w:hAnsi="Arial"/>
                <w:sz w:val="16"/>
                <w:szCs w:val="16"/>
                <w:color w:val="auto"/>
              </w:rPr>
              <w:t>13</w:t>
            </w:r>
          </w:p>
        </w:tc>
        <w:tc>
          <w:tcPr>
            <w:tcW w:w="320" w:type="dxa"/>
            <w:vAlign w:val="bottom"/>
          </w:tcPr>
          <w:p>
            <w:pPr>
              <w:jc w:val="right"/>
              <w:ind w:right="166"/>
              <w:spacing w:after="0" w:line="167" w:lineRule="exact"/>
              <w:rPr>
                <w:sz w:val="20"/>
                <w:szCs w:val="20"/>
                <w:color w:val="auto"/>
              </w:rPr>
            </w:pPr>
            <w:r>
              <w:rPr>
                <w:rFonts w:ascii="Arial" w:cs="Arial" w:eastAsia="Arial" w:hAnsi="Arial"/>
                <w:sz w:val="15"/>
                <w:szCs w:val="15"/>
                <w:color w:val="auto"/>
                <w:w w:val="71"/>
              </w:rPr>
              <w:t>$</w:t>
            </w:r>
          </w:p>
        </w:tc>
        <w:tc>
          <w:tcPr>
            <w:tcW w:w="1700" w:type="dxa"/>
            <w:vAlign w:val="bottom"/>
          </w:tcPr>
          <w:p>
            <w:pPr>
              <w:ind w:left="1140"/>
              <w:spacing w:after="0" w:line="166" w:lineRule="exact"/>
              <w:rPr>
                <w:sz w:val="20"/>
                <w:szCs w:val="20"/>
                <w:color w:val="auto"/>
              </w:rPr>
            </w:pPr>
            <w:r>
              <w:rPr>
                <w:rFonts w:ascii="Arial" w:cs="Arial" w:eastAsia="Arial" w:hAnsi="Arial"/>
                <w:sz w:val="16"/>
                <w:szCs w:val="16"/>
                <w:color w:val="auto"/>
              </w:rPr>
              <w:t>― $</w:t>
            </w:r>
          </w:p>
        </w:tc>
        <w:tc>
          <w:tcPr>
            <w:tcW w:w="1320" w:type="dxa"/>
            <w:vAlign w:val="bottom"/>
          </w:tcPr>
          <w:p>
            <w:pPr>
              <w:jc w:val="right"/>
              <w:spacing w:after="0" w:line="166"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80"/>
        </w:trPr>
        <w:tc>
          <w:tcPr>
            <w:tcW w:w="3960" w:type="dxa"/>
            <w:vAlign w:val="bottom"/>
            <w:shd w:val="clear" w:color="auto" w:fill="000000"/>
          </w:tcPr>
          <w:p>
            <w:pPr>
              <w:spacing w:after="0"/>
              <w:rPr>
                <w:sz w:val="6"/>
                <w:szCs w:val="6"/>
                <w:color w:val="auto"/>
              </w:rPr>
            </w:pPr>
          </w:p>
        </w:tc>
        <w:tc>
          <w:tcPr>
            <w:tcW w:w="54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1700" w:type="dxa"/>
            <w:vAlign w:val="bottom"/>
            <w:shd w:val="clear" w:color="auto" w:fill="000000"/>
          </w:tcPr>
          <w:p>
            <w:pPr>
              <w:spacing w:after="0"/>
              <w:rPr>
                <w:sz w:val="6"/>
                <w:szCs w:val="6"/>
                <w:color w:val="auto"/>
              </w:rPr>
            </w:pPr>
          </w:p>
        </w:tc>
        <w:tc>
          <w:tcPr>
            <w:tcW w:w="13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598"/>
        </w:trPr>
        <w:tc>
          <w:tcPr>
            <w:tcW w:w="3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960" w:type="dxa"/>
            <w:vAlign w:val="bottom"/>
            <w:shd w:val="clear" w:color="auto" w:fill="C0C0C0"/>
          </w:tcPr>
          <w:p>
            <w:pPr>
              <w:spacing w:after="0" w:line="155" w:lineRule="exact"/>
              <w:rPr>
                <w:sz w:val="20"/>
                <w:szCs w:val="20"/>
                <w:color w:val="auto"/>
              </w:rPr>
            </w:pPr>
            <w:r>
              <w:rPr>
                <w:rFonts w:ascii="Arial" w:cs="Arial" w:eastAsia="Arial" w:hAnsi="Arial"/>
                <w:sz w:val="16"/>
                <w:szCs w:val="16"/>
                <w:b w:val="1"/>
                <w:bCs w:val="1"/>
                <w:color w:val="auto"/>
              </w:rPr>
              <w:t>NET PERIODIC BENEFIT COST – SOCALGAS</w:t>
            </w:r>
          </w:p>
        </w:tc>
        <w:tc>
          <w:tcPr>
            <w:tcW w:w="540" w:type="dxa"/>
            <w:vAlign w:val="bottom"/>
            <w:shd w:val="clear" w:color="auto" w:fill="C0C0C0"/>
          </w:tcPr>
          <w:p>
            <w:pPr>
              <w:spacing w:after="0"/>
              <w:rPr>
                <w:sz w:val="13"/>
                <w:szCs w:val="13"/>
                <w:color w:val="auto"/>
              </w:rPr>
            </w:pPr>
          </w:p>
        </w:tc>
        <w:tc>
          <w:tcPr>
            <w:tcW w:w="260" w:type="dxa"/>
            <w:vAlign w:val="bottom"/>
            <w:shd w:val="clear" w:color="auto" w:fill="C0C0C0"/>
          </w:tcPr>
          <w:p>
            <w:pPr>
              <w:spacing w:after="0"/>
              <w:rPr>
                <w:sz w:val="13"/>
                <w:szCs w:val="13"/>
                <w:color w:val="auto"/>
              </w:rPr>
            </w:pPr>
          </w:p>
        </w:tc>
        <w:tc>
          <w:tcPr>
            <w:tcW w:w="1020" w:type="dxa"/>
            <w:vAlign w:val="bottom"/>
            <w:shd w:val="clear" w:color="auto" w:fill="C0C0C0"/>
          </w:tcPr>
          <w:p>
            <w:pPr>
              <w:spacing w:after="0"/>
              <w:rPr>
                <w:sz w:val="13"/>
                <w:szCs w:val="13"/>
                <w:color w:val="auto"/>
              </w:rPr>
            </w:pPr>
          </w:p>
        </w:tc>
        <w:tc>
          <w:tcPr>
            <w:tcW w:w="440" w:type="dxa"/>
            <w:vAlign w:val="bottom"/>
            <w:shd w:val="clear" w:color="auto" w:fill="C0C0C0"/>
          </w:tcPr>
          <w:p>
            <w:pPr>
              <w:spacing w:after="0"/>
              <w:rPr>
                <w:sz w:val="13"/>
                <w:szCs w:val="13"/>
                <w:color w:val="auto"/>
              </w:rPr>
            </w:pPr>
          </w:p>
        </w:tc>
        <w:tc>
          <w:tcPr>
            <w:tcW w:w="180" w:type="dxa"/>
            <w:vAlign w:val="bottom"/>
            <w:shd w:val="clear" w:color="auto" w:fill="C0C0C0"/>
          </w:tcPr>
          <w:p>
            <w:pPr>
              <w:spacing w:after="0"/>
              <w:rPr>
                <w:sz w:val="13"/>
                <w:szCs w:val="13"/>
                <w:color w:val="auto"/>
              </w:rPr>
            </w:pPr>
          </w:p>
        </w:tc>
        <w:tc>
          <w:tcPr>
            <w:tcW w:w="420" w:type="dxa"/>
            <w:vAlign w:val="bottom"/>
            <w:shd w:val="clear" w:color="auto" w:fill="C0C0C0"/>
          </w:tcPr>
          <w:p>
            <w:pPr>
              <w:spacing w:after="0"/>
              <w:rPr>
                <w:sz w:val="13"/>
                <w:szCs w:val="13"/>
                <w:color w:val="auto"/>
              </w:rPr>
            </w:pPr>
          </w:p>
        </w:tc>
        <w:tc>
          <w:tcPr>
            <w:tcW w:w="1140" w:type="dxa"/>
            <w:vAlign w:val="bottom"/>
            <w:shd w:val="clear" w:color="auto" w:fill="C0C0C0"/>
          </w:tcPr>
          <w:p>
            <w:pPr>
              <w:spacing w:after="0"/>
              <w:rPr>
                <w:sz w:val="13"/>
                <w:szCs w:val="13"/>
                <w:color w:val="auto"/>
              </w:rPr>
            </w:pPr>
          </w:p>
        </w:tc>
        <w:tc>
          <w:tcPr>
            <w:tcW w:w="120" w:type="dxa"/>
            <w:vAlign w:val="bottom"/>
            <w:shd w:val="clear" w:color="auto" w:fill="C0C0C0"/>
          </w:tcPr>
          <w:p>
            <w:pPr>
              <w:spacing w:after="0"/>
              <w:rPr>
                <w:sz w:val="13"/>
                <w:szCs w:val="13"/>
                <w:color w:val="auto"/>
              </w:rPr>
            </w:pPr>
          </w:p>
        </w:tc>
        <w:tc>
          <w:tcPr>
            <w:tcW w:w="320" w:type="dxa"/>
            <w:vAlign w:val="bottom"/>
            <w:shd w:val="clear" w:color="auto" w:fill="C0C0C0"/>
          </w:tcPr>
          <w:p>
            <w:pPr>
              <w:spacing w:after="0"/>
              <w:rPr>
                <w:sz w:val="13"/>
                <w:szCs w:val="13"/>
                <w:color w:val="auto"/>
              </w:rPr>
            </w:pPr>
          </w:p>
        </w:tc>
        <w:tc>
          <w:tcPr>
            <w:tcW w:w="1700" w:type="dxa"/>
            <w:vAlign w:val="bottom"/>
            <w:shd w:val="clear" w:color="auto" w:fill="C0C0C0"/>
          </w:tcPr>
          <w:p>
            <w:pPr>
              <w:spacing w:after="0"/>
              <w:rPr>
                <w:sz w:val="13"/>
                <w:szCs w:val="13"/>
                <w:color w:val="auto"/>
              </w:rPr>
            </w:pPr>
          </w:p>
        </w:tc>
        <w:tc>
          <w:tcPr>
            <w:tcW w:w="1320" w:type="dxa"/>
            <w:vAlign w:val="bottom"/>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6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540" w:type="dxa"/>
            <w:vAlign w:val="bottom"/>
            <w:shd w:val="clear" w:color="auto" w:fill="C0C0C0"/>
          </w:tcPr>
          <w:p>
            <w:pPr>
              <w:spacing w:after="0"/>
              <w:rPr>
                <w:sz w:val="14"/>
                <w:szCs w:val="14"/>
                <w:color w:val="auto"/>
              </w:rPr>
            </w:pPr>
          </w:p>
        </w:tc>
        <w:tc>
          <w:tcPr>
            <w:tcW w:w="260" w:type="dxa"/>
            <w:vAlign w:val="bottom"/>
            <w:shd w:val="clear" w:color="auto" w:fill="C0C0C0"/>
          </w:tcPr>
          <w:p>
            <w:pPr>
              <w:spacing w:after="0"/>
              <w:rPr>
                <w:sz w:val="14"/>
                <w:szCs w:val="14"/>
                <w:color w:val="auto"/>
              </w:rPr>
            </w:pPr>
          </w:p>
        </w:tc>
        <w:tc>
          <w:tcPr>
            <w:tcW w:w="1020" w:type="dxa"/>
            <w:vAlign w:val="bottom"/>
            <w:shd w:val="clear" w:color="auto" w:fill="C0C0C0"/>
          </w:tcPr>
          <w:p>
            <w:pPr>
              <w:spacing w:after="0"/>
              <w:rPr>
                <w:sz w:val="14"/>
                <w:szCs w:val="14"/>
                <w:color w:val="auto"/>
              </w:rPr>
            </w:pPr>
          </w:p>
        </w:tc>
        <w:tc>
          <w:tcPr>
            <w:tcW w:w="44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114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320" w:type="dxa"/>
            <w:vAlign w:val="bottom"/>
            <w:shd w:val="clear" w:color="auto" w:fill="C0C0C0"/>
          </w:tcPr>
          <w:p>
            <w:pPr>
              <w:spacing w:after="0"/>
              <w:rPr>
                <w:sz w:val="14"/>
                <w:szCs w:val="14"/>
                <w:color w:val="auto"/>
              </w:rPr>
            </w:pPr>
          </w:p>
        </w:tc>
        <w:tc>
          <w:tcPr>
            <w:tcW w:w="1700" w:type="dxa"/>
            <w:vAlign w:val="bottom"/>
            <w:shd w:val="clear" w:color="auto" w:fill="C0C0C0"/>
          </w:tcPr>
          <w:p>
            <w:pPr>
              <w:spacing w:after="0"/>
              <w:rPr>
                <w:sz w:val="14"/>
                <w:szCs w:val="14"/>
                <w:color w:val="auto"/>
              </w:rPr>
            </w:pPr>
          </w:p>
        </w:tc>
        <w:tc>
          <w:tcPr>
            <w:tcW w:w="132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right"/>
              <w:ind w:right="6"/>
              <w:spacing w:after="0" w:line="159" w:lineRule="exact"/>
              <w:rPr>
                <w:sz w:val="20"/>
                <w:szCs w:val="20"/>
                <w:color w:val="auto"/>
              </w:rPr>
            </w:pPr>
            <w:r>
              <w:rPr>
                <w:rFonts w:ascii="Arial" w:cs="Arial" w:eastAsia="Arial" w:hAnsi="Arial"/>
                <w:sz w:val="14"/>
                <w:szCs w:val="14"/>
                <w:color w:val="auto"/>
              </w:rPr>
              <w:t>Pension Benefits</w:t>
            </w:r>
          </w:p>
        </w:tc>
        <w:tc>
          <w:tcPr>
            <w:tcW w:w="1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2"/>
          </w:tcPr>
          <w:p>
            <w:pPr>
              <w:ind w:left="340"/>
              <w:spacing w:after="0" w:line="159" w:lineRule="exact"/>
              <w:rPr>
                <w:sz w:val="20"/>
                <w:szCs w:val="20"/>
                <w:color w:val="auto"/>
              </w:rPr>
            </w:pPr>
            <w:r>
              <w:rPr>
                <w:rFonts w:ascii="Arial" w:cs="Arial" w:eastAsia="Arial" w:hAnsi="Arial"/>
                <w:sz w:val="14"/>
                <w:szCs w:val="14"/>
                <w:color w:val="auto"/>
              </w:rPr>
              <w:t>Other Postretirement Benefits</w:t>
            </w:r>
          </w:p>
        </w:tc>
        <w:tc>
          <w:tcPr>
            <w:tcW w:w="0" w:type="dxa"/>
            <w:vAlign w:val="bottom"/>
          </w:tcPr>
          <w:p>
            <w:pPr>
              <w:spacing w:after="0"/>
              <w:rPr>
                <w:sz w:val="1"/>
                <w:szCs w:val="1"/>
                <w:color w:val="auto"/>
              </w:rPr>
            </w:pPr>
          </w:p>
        </w:tc>
      </w:tr>
      <w:tr>
        <w:trPr>
          <w:trHeight w:val="153"/>
        </w:trPr>
        <w:tc>
          <w:tcPr>
            <w:tcW w:w="3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gridSpan w:val="4"/>
          </w:tcPr>
          <w:p>
            <w:pPr>
              <w:jc w:val="right"/>
              <w:ind w:right="1142"/>
              <w:spacing w:after="0" w:line="153" w:lineRule="exact"/>
              <w:rPr>
                <w:sz w:val="20"/>
                <w:szCs w:val="20"/>
                <w:color w:val="auto"/>
              </w:rPr>
            </w:pPr>
            <w:r>
              <w:rPr>
                <w:rFonts w:ascii="Arial" w:cs="Arial" w:eastAsia="Arial" w:hAnsi="Arial"/>
                <w:sz w:val="14"/>
                <w:szCs w:val="14"/>
                <w:color w:val="auto"/>
              </w:rPr>
              <w:t>Three months ended June 30,</w:t>
            </w: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2014</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color w:val="auto"/>
              </w:rPr>
              <w:t>2013</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2014</w:t>
            </w:r>
          </w:p>
        </w:tc>
        <w:tc>
          <w:tcPr>
            <w:tcW w:w="132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35"/>
        </w:trPr>
        <w:tc>
          <w:tcPr>
            <w:tcW w:w="3960" w:type="dxa"/>
            <w:vAlign w:val="bottom"/>
          </w:tcPr>
          <w:p>
            <w:pPr>
              <w:spacing w:after="0" w:line="135" w:lineRule="exact"/>
              <w:rPr>
                <w:sz w:val="20"/>
                <w:szCs w:val="20"/>
                <w:color w:val="auto"/>
              </w:rPr>
            </w:pPr>
            <w:r>
              <w:rPr>
                <w:rFonts w:ascii="Arial" w:cs="Arial" w:eastAsia="Arial" w:hAnsi="Arial"/>
                <w:sz w:val="15"/>
                <w:szCs w:val="15"/>
                <w:color w:val="auto"/>
              </w:rPr>
              <w:t>Service cost</w:t>
            </w:r>
          </w:p>
        </w:tc>
        <w:tc>
          <w:tcPr>
            <w:tcW w:w="800" w:type="dxa"/>
            <w:vAlign w:val="bottom"/>
            <w:gridSpan w:val="2"/>
          </w:tcPr>
          <w:p>
            <w:pPr>
              <w:jc w:val="right"/>
              <w:ind w:right="107"/>
              <w:spacing w:after="0" w:line="135" w:lineRule="exact"/>
              <w:rPr>
                <w:sz w:val="20"/>
                <w:szCs w:val="20"/>
                <w:color w:val="auto"/>
              </w:rPr>
            </w:pPr>
            <w:r>
              <w:rPr>
                <w:rFonts w:ascii="Arial" w:cs="Arial" w:eastAsia="Arial" w:hAnsi="Arial"/>
                <w:sz w:val="15"/>
                <w:szCs w:val="15"/>
                <w:color w:val="auto"/>
              </w:rPr>
              <w:t>$</w:t>
            </w:r>
          </w:p>
        </w:tc>
        <w:tc>
          <w:tcPr>
            <w:tcW w:w="10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5"/>
                <w:szCs w:val="15"/>
                <w:color w:val="auto"/>
              </w:rPr>
              <w:t>16</w:t>
            </w:r>
          </w:p>
        </w:tc>
        <w:tc>
          <w:tcPr>
            <w:tcW w:w="180" w:type="dxa"/>
            <w:vAlign w:val="bottom"/>
          </w:tcPr>
          <w:p>
            <w:pPr>
              <w:jc w:val="center"/>
              <w:ind w:right="2"/>
              <w:spacing w:after="0" w:line="135"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5"/>
                <w:szCs w:val="15"/>
                <w:color w:val="auto"/>
              </w:rPr>
              <w:t>17</w:t>
            </w:r>
          </w:p>
        </w:tc>
        <w:tc>
          <w:tcPr>
            <w:tcW w:w="120" w:type="dxa"/>
            <w:vAlign w:val="bottom"/>
          </w:tcPr>
          <w:p>
            <w:pPr>
              <w:jc w:val="right"/>
              <w:spacing w:after="0" w:line="135" w:lineRule="exact"/>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1"/>
                <w:szCs w:val="11"/>
                <w:color w:val="auto"/>
              </w:rPr>
            </w:pPr>
          </w:p>
        </w:tc>
        <w:tc>
          <w:tcPr>
            <w:tcW w:w="1700" w:type="dxa"/>
            <w:vAlign w:val="bottom"/>
          </w:tcPr>
          <w:p>
            <w:pPr>
              <w:ind w:left="1140"/>
              <w:spacing w:after="0" w:line="135" w:lineRule="exact"/>
              <w:rPr>
                <w:sz w:val="20"/>
                <w:szCs w:val="20"/>
                <w:color w:val="auto"/>
              </w:rPr>
            </w:pPr>
            <w:r>
              <w:rPr>
                <w:rFonts w:ascii="Arial" w:cs="Arial" w:eastAsia="Arial" w:hAnsi="Arial"/>
                <w:sz w:val="15"/>
                <w:szCs w:val="15"/>
                <w:color w:val="auto"/>
              </w:rPr>
              <w:t>4 $</w:t>
            </w:r>
          </w:p>
        </w:tc>
        <w:tc>
          <w:tcPr>
            <w:tcW w:w="1320" w:type="dxa"/>
            <w:vAlign w:val="bottom"/>
          </w:tcPr>
          <w:p>
            <w:pPr>
              <w:jc w:val="right"/>
              <w:spacing w:after="0" w:line="135"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3"/>
        </w:trPr>
        <w:tc>
          <w:tcPr>
            <w:tcW w:w="3960" w:type="dxa"/>
            <w:vAlign w:val="bottom"/>
          </w:tcPr>
          <w:p>
            <w:pPr>
              <w:spacing w:after="0" w:line="173" w:lineRule="exact"/>
              <w:rPr>
                <w:sz w:val="20"/>
                <w:szCs w:val="20"/>
                <w:color w:val="auto"/>
              </w:rPr>
            </w:pPr>
            <w:r>
              <w:rPr>
                <w:rFonts w:ascii="Arial" w:cs="Arial" w:eastAsia="Arial" w:hAnsi="Arial"/>
                <w:sz w:val="16"/>
                <w:szCs w:val="16"/>
                <w:color w:val="auto"/>
              </w:rPr>
              <w:t>Interest cost</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jc w:val="right"/>
              <w:spacing w:after="0" w:line="173" w:lineRule="exact"/>
              <w:rPr>
                <w:sz w:val="20"/>
                <w:szCs w:val="20"/>
                <w:color w:val="auto"/>
              </w:rPr>
            </w:pPr>
            <w:r>
              <w:rPr>
                <w:rFonts w:ascii="Arial" w:cs="Arial" w:eastAsia="Arial" w:hAnsi="Arial"/>
                <w:sz w:val="16"/>
                <w:szCs w:val="16"/>
                <w:color w:val="auto"/>
              </w:rPr>
              <w:t>26</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line="173" w:lineRule="exact"/>
              <w:rPr>
                <w:sz w:val="20"/>
                <w:szCs w:val="20"/>
                <w:color w:val="auto"/>
              </w:rPr>
            </w:pPr>
            <w:r>
              <w:rPr>
                <w:rFonts w:ascii="Arial" w:cs="Arial" w:eastAsia="Arial" w:hAnsi="Arial"/>
                <w:sz w:val="16"/>
                <w:szCs w:val="16"/>
                <w:color w:val="auto"/>
              </w:rPr>
              <w:t>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ind w:left="1060"/>
              <w:spacing w:after="0" w:line="173" w:lineRule="exact"/>
              <w:rPr>
                <w:sz w:val="20"/>
                <w:szCs w:val="20"/>
                <w:color w:val="auto"/>
              </w:rPr>
            </w:pPr>
            <w:r>
              <w:rPr>
                <w:rFonts w:ascii="Arial" w:cs="Arial" w:eastAsia="Arial" w:hAnsi="Arial"/>
                <w:sz w:val="16"/>
                <w:szCs w:val="16"/>
                <w:color w:val="auto"/>
              </w:rPr>
              <w:t>10</w:t>
            </w:r>
          </w:p>
        </w:tc>
        <w:tc>
          <w:tcPr>
            <w:tcW w:w="1320" w:type="dxa"/>
            <w:vAlign w:val="bottom"/>
          </w:tcPr>
          <w:p>
            <w:pPr>
              <w:jc w:val="right"/>
              <w:spacing w:after="0" w:line="173"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73"/>
        </w:trPr>
        <w:tc>
          <w:tcPr>
            <w:tcW w:w="3960" w:type="dxa"/>
            <w:vAlign w:val="bottom"/>
          </w:tcPr>
          <w:p>
            <w:pPr>
              <w:spacing w:after="0" w:line="173" w:lineRule="exact"/>
              <w:rPr>
                <w:sz w:val="20"/>
                <w:szCs w:val="20"/>
                <w:color w:val="auto"/>
              </w:rPr>
            </w:pPr>
            <w:r>
              <w:rPr>
                <w:rFonts w:ascii="Arial" w:cs="Arial" w:eastAsia="Arial" w:hAnsi="Arial"/>
                <w:sz w:val="16"/>
                <w:szCs w:val="16"/>
                <w:color w:val="auto"/>
              </w:rPr>
              <w:t>Expected return on assets</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jc w:val="right"/>
              <w:spacing w:after="0" w:line="173" w:lineRule="exact"/>
              <w:rPr>
                <w:sz w:val="20"/>
                <w:szCs w:val="20"/>
                <w:color w:val="auto"/>
              </w:rPr>
            </w:pPr>
            <w:r>
              <w:rPr>
                <w:rFonts w:ascii="Arial" w:cs="Arial" w:eastAsia="Arial" w:hAnsi="Arial"/>
                <w:sz w:val="16"/>
                <w:szCs w:val="16"/>
                <w:color w:val="auto"/>
              </w:rPr>
              <w:t>(26)</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line="173" w:lineRule="exact"/>
              <w:rPr>
                <w:sz w:val="20"/>
                <w:szCs w:val="20"/>
                <w:color w:val="auto"/>
              </w:rPr>
            </w:pPr>
            <w:r>
              <w:rPr>
                <w:rFonts w:ascii="Arial" w:cs="Arial" w:eastAsia="Arial" w:hAnsi="Arial"/>
                <w:sz w:val="16"/>
                <w:szCs w:val="16"/>
                <w:color w:val="auto"/>
              </w:rPr>
              <w:t>(24)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jc w:val="right"/>
              <w:ind w:right="342"/>
              <w:spacing w:after="0" w:line="173" w:lineRule="exact"/>
              <w:rPr>
                <w:sz w:val="20"/>
                <w:szCs w:val="20"/>
                <w:color w:val="auto"/>
              </w:rPr>
            </w:pPr>
            <w:r>
              <w:rPr>
                <w:rFonts w:ascii="Arial" w:cs="Arial" w:eastAsia="Arial" w:hAnsi="Arial"/>
                <w:sz w:val="16"/>
                <w:szCs w:val="16"/>
                <w:color w:val="auto"/>
              </w:rPr>
              <w:t>(13)</w:t>
            </w:r>
          </w:p>
        </w:tc>
        <w:tc>
          <w:tcPr>
            <w:tcW w:w="1320" w:type="dxa"/>
            <w:vAlign w:val="bottom"/>
          </w:tcPr>
          <w:p>
            <w:pPr>
              <w:jc w:val="right"/>
              <w:spacing w:after="0" w:line="173"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3"/>
        </w:trPr>
        <w:tc>
          <w:tcPr>
            <w:tcW w:w="3960" w:type="dxa"/>
            <w:vAlign w:val="bottom"/>
          </w:tcPr>
          <w:p>
            <w:pPr>
              <w:spacing w:after="0" w:line="173" w:lineRule="exact"/>
              <w:rPr>
                <w:sz w:val="20"/>
                <w:szCs w:val="20"/>
                <w:color w:val="auto"/>
              </w:rPr>
            </w:pPr>
            <w:r>
              <w:rPr>
                <w:rFonts w:ascii="Arial" w:cs="Arial" w:eastAsia="Arial" w:hAnsi="Arial"/>
                <w:sz w:val="16"/>
                <w:szCs w:val="16"/>
                <w:color w:val="auto"/>
              </w:rPr>
              <w:t>Amortization of:</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960" w:type="dxa"/>
            <w:vAlign w:val="bottom"/>
          </w:tcPr>
          <w:p>
            <w:pPr>
              <w:ind w:left="180"/>
              <w:spacing w:after="0" w:line="173" w:lineRule="exact"/>
              <w:rPr>
                <w:sz w:val="20"/>
                <w:szCs w:val="20"/>
                <w:color w:val="auto"/>
              </w:rPr>
            </w:pPr>
            <w:r>
              <w:rPr>
                <w:rFonts w:ascii="Arial" w:cs="Arial" w:eastAsia="Arial" w:hAnsi="Arial"/>
                <w:sz w:val="16"/>
                <w:szCs w:val="16"/>
                <w:color w:val="auto"/>
              </w:rPr>
              <w:t>Prior service cost (credit)</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jc w:val="right"/>
              <w:ind w:right="342"/>
              <w:spacing w:after="0" w:line="173" w:lineRule="exact"/>
              <w:rPr>
                <w:sz w:val="20"/>
                <w:szCs w:val="20"/>
                <w:color w:val="auto"/>
              </w:rPr>
            </w:pPr>
            <w:r>
              <w:rPr>
                <w:rFonts w:ascii="Arial" w:cs="Arial" w:eastAsia="Arial" w:hAnsi="Arial"/>
                <w:sz w:val="16"/>
                <w:szCs w:val="16"/>
                <w:color w:val="auto"/>
              </w:rPr>
              <w:t>(2)</w:t>
            </w:r>
          </w:p>
        </w:tc>
        <w:tc>
          <w:tcPr>
            <w:tcW w:w="132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3"/>
        </w:trPr>
        <w:tc>
          <w:tcPr>
            <w:tcW w:w="3960" w:type="dxa"/>
            <w:vAlign w:val="bottom"/>
          </w:tcPr>
          <w:p>
            <w:pPr>
              <w:ind w:left="180"/>
              <w:spacing w:after="0" w:line="173" w:lineRule="exact"/>
              <w:rPr>
                <w:sz w:val="20"/>
                <w:szCs w:val="20"/>
                <w:color w:val="auto"/>
              </w:rPr>
            </w:pPr>
            <w:r>
              <w:rPr>
                <w:rFonts w:ascii="Arial" w:cs="Arial" w:eastAsia="Arial" w:hAnsi="Arial"/>
                <w:sz w:val="16"/>
                <w:szCs w:val="16"/>
                <w:color w:val="auto"/>
              </w:rPr>
              <w:t>Actuarial loss</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line="173" w:lineRule="exact"/>
              <w:rPr>
                <w:sz w:val="20"/>
                <w:szCs w:val="20"/>
                <w:color w:val="auto"/>
              </w:rPr>
            </w:pPr>
            <w:r>
              <w:rPr>
                <w:rFonts w:ascii="Arial" w:cs="Arial" w:eastAsia="Arial" w:hAnsi="Arial"/>
                <w:sz w:val="16"/>
                <w:szCs w:val="16"/>
                <w:color w:val="auto"/>
              </w:rPr>
              <w:t>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ind w:left="1080"/>
              <w:spacing w:after="0" w:line="173" w:lineRule="exact"/>
              <w:rPr>
                <w:sz w:val="20"/>
                <w:szCs w:val="20"/>
                <w:color w:val="auto"/>
              </w:rPr>
            </w:pPr>
            <w:r>
              <w:rPr>
                <w:rFonts w:ascii="Arial" w:cs="Arial" w:eastAsia="Arial" w:hAnsi="Arial"/>
                <w:sz w:val="16"/>
                <w:szCs w:val="16"/>
                <w:color w:val="auto"/>
              </w:rPr>
              <w:t>―</w:t>
            </w:r>
          </w:p>
        </w:tc>
        <w:tc>
          <w:tcPr>
            <w:tcW w:w="132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3960" w:type="dxa"/>
            <w:vAlign w:val="bottom"/>
          </w:tcPr>
          <w:p>
            <w:pPr>
              <w:spacing w:after="0"/>
              <w:rPr>
                <w:sz w:val="20"/>
                <w:szCs w:val="20"/>
                <w:color w:val="auto"/>
              </w:rPr>
            </w:pPr>
            <w:r>
              <w:rPr>
                <w:rFonts w:ascii="Arial" w:cs="Arial" w:eastAsia="Arial" w:hAnsi="Arial"/>
                <w:sz w:val="16"/>
                <w:szCs w:val="16"/>
                <w:color w:val="auto"/>
              </w:rPr>
              <w:t>Regulatory adjustment</w:t>
            </w:r>
          </w:p>
        </w:tc>
        <w:tc>
          <w:tcPr>
            <w:tcW w:w="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6"/>
        </w:trPr>
        <w:tc>
          <w:tcPr>
            <w:tcW w:w="3960" w:type="dxa"/>
            <w:vAlign w:val="bottom"/>
          </w:tcPr>
          <w:p>
            <w:pPr>
              <w:spacing w:after="0" w:line="166" w:lineRule="exact"/>
              <w:rPr>
                <w:sz w:val="20"/>
                <w:szCs w:val="20"/>
                <w:color w:val="auto"/>
              </w:rPr>
            </w:pPr>
            <w:r>
              <w:rPr>
                <w:rFonts w:ascii="Arial" w:cs="Arial" w:eastAsia="Arial" w:hAnsi="Arial"/>
                <w:sz w:val="16"/>
                <w:szCs w:val="16"/>
                <w:color w:val="auto"/>
              </w:rPr>
              <w:t>Total net periodic benefit cost</w:t>
            </w:r>
          </w:p>
        </w:tc>
        <w:tc>
          <w:tcPr>
            <w:tcW w:w="540" w:type="dxa"/>
            <w:vAlign w:val="bottom"/>
          </w:tcPr>
          <w:p>
            <w:pPr>
              <w:spacing w:after="0"/>
              <w:rPr>
                <w:sz w:val="14"/>
                <w:szCs w:val="14"/>
                <w:color w:val="auto"/>
              </w:rPr>
            </w:pPr>
          </w:p>
        </w:tc>
        <w:tc>
          <w:tcPr>
            <w:tcW w:w="260" w:type="dxa"/>
            <w:vAlign w:val="bottom"/>
          </w:tcPr>
          <w:p>
            <w:pPr>
              <w:jc w:val="right"/>
              <w:ind w:right="107"/>
              <w:spacing w:after="0" w:line="167" w:lineRule="exact"/>
              <w:rPr>
                <w:sz w:val="20"/>
                <w:szCs w:val="20"/>
                <w:color w:val="auto"/>
              </w:rPr>
            </w:pPr>
            <w:r>
              <w:rPr>
                <w:rFonts w:ascii="Arial" w:cs="Arial" w:eastAsia="Arial" w:hAnsi="Arial"/>
                <w:sz w:val="15"/>
                <w:szCs w:val="15"/>
                <w:color w:val="auto"/>
                <w:w w:val="71"/>
              </w:rPr>
              <w:t>$</w:t>
            </w:r>
          </w:p>
        </w:tc>
        <w:tc>
          <w:tcPr>
            <w:tcW w:w="1020" w:type="dxa"/>
            <w:vAlign w:val="bottom"/>
          </w:tcPr>
          <w:p>
            <w:pPr>
              <w:spacing w:after="0"/>
              <w:rPr>
                <w:sz w:val="14"/>
                <w:szCs w:val="14"/>
                <w:color w:val="auto"/>
              </w:rPr>
            </w:pPr>
          </w:p>
        </w:tc>
        <w:tc>
          <w:tcPr>
            <w:tcW w:w="440" w:type="dxa"/>
            <w:vAlign w:val="bottom"/>
          </w:tcPr>
          <w:p>
            <w:pPr>
              <w:jc w:val="right"/>
              <w:spacing w:after="0" w:line="166" w:lineRule="exact"/>
              <w:rPr>
                <w:sz w:val="20"/>
                <w:szCs w:val="20"/>
                <w:color w:val="auto"/>
              </w:rPr>
            </w:pPr>
            <w:r>
              <w:rPr>
                <w:rFonts w:ascii="Arial" w:cs="Arial" w:eastAsia="Arial" w:hAnsi="Arial"/>
                <w:sz w:val="16"/>
                <w:szCs w:val="16"/>
                <w:color w:val="auto"/>
              </w:rPr>
              <w:t>14</w:t>
            </w:r>
          </w:p>
        </w:tc>
        <w:tc>
          <w:tcPr>
            <w:tcW w:w="180" w:type="dxa"/>
            <w:vAlign w:val="bottom"/>
          </w:tcPr>
          <w:p>
            <w:pPr>
              <w:jc w:val="center"/>
              <w:ind w:right="2"/>
              <w:spacing w:after="0" w:line="166"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1140" w:type="dxa"/>
            <w:vAlign w:val="bottom"/>
          </w:tcPr>
          <w:p>
            <w:pPr>
              <w:jc w:val="right"/>
              <w:spacing w:after="0" w:line="166" w:lineRule="exact"/>
              <w:rPr>
                <w:sz w:val="20"/>
                <w:szCs w:val="20"/>
                <w:color w:val="auto"/>
              </w:rPr>
            </w:pPr>
            <w:r>
              <w:rPr>
                <w:rFonts w:ascii="Arial" w:cs="Arial" w:eastAsia="Arial" w:hAnsi="Arial"/>
                <w:sz w:val="16"/>
                <w:szCs w:val="16"/>
                <w:color w:val="auto"/>
              </w:rPr>
              <w:t>3</w:t>
            </w:r>
          </w:p>
        </w:tc>
        <w:tc>
          <w:tcPr>
            <w:tcW w:w="12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4"/>
                <w:szCs w:val="14"/>
                <w:color w:val="auto"/>
              </w:rPr>
            </w:pPr>
          </w:p>
        </w:tc>
        <w:tc>
          <w:tcPr>
            <w:tcW w:w="1700" w:type="dxa"/>
            <w:vAlign w:val="bottom"/>
          </w:tcPr>
          <w:p>
            <w:pPr>
              <w:ind w:left="1080"/>
              <w:spacing w:after="0" w:line="166" w:lineRule="exact"/>
              <w:rPr>
                <w:sz w:val="20"/>
                <w:szCs w:val="20"/>
                <w:color w:val="auto"/>
              </w:rPr>
            </w:pPr>
            <w:r>
              <w:rPr>
                <w:rFonts w:ascii="Arial" w:cs="Arial" w:eastAsia="Arial" w:hAnsi="Arial"/>
                <w:sz w:val="16"/>
                <w:szCs w:val="16"/>
                <w:color w:val="auto"/>
              </w:rPr>
              <w:t>― $</w:t>
            </w:r>
          </w:p>
        </w:tc>
        <w:tc>
          <w:tcPr>
            <w:tcW w:w="1320" w:type="dxa"/>
            <w:vAlign w:val="bottom"/>
          </w:tcPr>
          <w:p>
            <w:pPr>
              <w:jc w:val="right"/>
              <w:spacing w:after="0" w:line="166"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80"/>
        </w:trPr>
        <w:tc>
          <w:tcPr>
            <w:tcW w:w="3960" w:type="dxa"/>
            <w:vAlign w:val="bottom"/>
            <w:shd w:val="clear" w:color="auto" w:fill="000000"/>
          </w:tcPr>
          <w:p>
            <w:pPr>
              <w:spacing w:after="0"/>
              <w:rPr>
                <w:sz w:val="6"/>
                <w:szCs w:val="6"/>
                <w:color w:val="auto"/>
              </w:rPr>
            </w:pPr>
          </w:p>
        </w:tc>
        <w:tc>
          <w:tcPr>
            <w:tcW w:w="54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3280" w:type="dxa"/>
            <w:vAlign w:val="bottom"/>
            <w:gridSpan w:val="4"/>
            <w:shd w:val="clear" w:color="auto" w:fill="000000"/>
          </w:tcPr>
          <w:p>
            <w:pPr>
              <w:spacing w:after="0"/>
              <w:rPr>
                <w:sz w:val="6"/>
                <w:szCs w:val="6"/>
                <w:color w:val="auto"/>
              </w:rPr>
            </w:pPr>
          </w:p>
        </w:tc>
        <w:tc>
          <w:tcPr>
            <w:tcW w:w="13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3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gridSpan w:val="4"/>
          </w:tcPr>
          <w:p>
            <w:pPr>
              <w:jc w:val="right"/>
              <w:ind w:right="1222"/>
              <w:spacing w:after="0" w:line="159" w:lineRule="exact"/>
              <w:rPr>
                <w:sz w:val="20"/>
                <w:szCs w:val="20"/>
                <w:color w:val="auto"/>
              </w:rPr>
            </w:pPr>
            <w:r>
              <w:rPr>
                <w:rFonts w:ascii="Arial" w:cs="Arial" w:eastAsia="Arial" w:hAnsi="Arial"/>
                <w:sz w:val="14"/>
                <w:szCs w:val="14"/>
                <w:color w:val="auto"/>
              </w:rPr>
              <w:t>Six months ended June 30,</w:t>
            </w: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9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color w:val="auto"/>
              </w:rPr>
              <w:t>2014</w:t>
            </w:r>
          </w:p>
        </w:tc>
        <w:tc>
          <w:tcPr>
            <w:tcW w:w="4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color w:val="auto"/>
              </w:rPr>
              <w:t>2013</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2014</w:t>
            </w:r>
          </w:p>
        </w:tc>
        <w:tc>
          <w:tcPr>
            <w:tcW w:w="132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35"/>
        </w:trPr>
        <w:tc>
          <w:tcPr>
            <w:tcW w:w="3960" w:type="dxa"/>
            <w:vAlign w:val="bottom"/>
          </w:tcPr>
          <w:p>
            <w:pPr>
              <w:spacing w:after="0" w:line="135" w:lineRule="exact"/>
              <w:rPr>
                <w:sz w:val="20"/>
                <w:szCs w:val="20"/>
                <w:color w:val="auto"/>
              </w:rPr>
            </w:pPr>
            <w:r>
              <w:rPr>
                <w:rFonts w:ascii="Arial" w:cs="Arial" w:eastAsia="Arial" w:hAnsi="Arial"/>
                <w:sz w:val="15"/>
                <w:szCs w:val="15"/>
                <w:color w:val="auto"/>
              </w:rPr>
              <w:t>Service cost</w:t>
            </w:r>
          </w:p>
        </w:tc>
        <w:tc>
          <w:tcPr>
            <w:tcW w:w="800" w:type="dxa"/>
            <w:vAlign w:val="bottom"/>
            <w:gridSpan w:val="2"/>
          </w:tcPr>
          <w:p>
            <w:pPr>
              <w:jc w:val="right"/>
              <w:ind w:right="107"/>
              <w:spacing w:after="0" w:line="135" w:lineRule="exact"/>
              <w:rPr>
                <w:sz w:val="20"/>
                <w:szCs w:val="20"/>
                <w:color w:val="auto"/>
              </w:rPr>
            </w:pPr>
            <w:r>
              <w:rPr>
                <w:rFonts w:ascii="Arial" w:cs="Arial" w:eastAsia="Arial" w:hAnsi="Arial"/>
                <w:sz w:val="15"/>
                <w:szCs w:val="15"/>
                <w:color w:val="auto"/>
              </w:rPr>
              <w:t>$</w:t>
            </w:r>
          </w:p>
        </w:tc>
        <w:tc>
          <w:tcPr>
            <w:tcW w:w="10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5"/>
                <w:szCs w:val="15"/>
                <w:color w:val="auto"/>
              </w:rPr>
              <w:t>32</w:t>
            </w:r>
          </w:p>
        </w:tc>
        <w:tc>
          <w:tcPr>
            <w:tcW w:w="180" w:type="dxa"/>
            <w:vAlign w:val="bottom"/>
          </w:tcPr>
          <w:p>
            <w:pPr>
              <w:jc w:val="center"/>
              <w:ind w:right="2"/>
              <w:spacing w:after="0" w:line="135"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5"/>
                <w:szCs w:val="15"/>
                <w:color w:val="auto"/>
              </w:rPr>
              <w:t>33</w:t>
            </w:r>
          </w:p>
        </w:tc>
        <w:tc>
          <w:tcPr>
            <w:tcW w:w="120" w:type="dxa"/>
            <w:vAlign w:val="bottom"/>
          </w:tcPr>
          <w:p>
            <w:pPr>
              <w:jc w:val="right"/>
              <w:spacing w:after="0" w:line="135" w:lineRule="exact"/>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1"/>
                <w:szCs w:val="11"/>
                <w:color w:val="auto"/>
              </w:rPr>
            </w:pPr>
          </w:p>
        </w:tc>
        <w:tc>
          <w:tcPr>
            <w:tcW w:w="1700" w:type="dxa"/>
            <w:vAlign w:val="bottom"/>
          </w:tcPr>
          <w:p>
            <w:pPr>
              <w:ind w:left="1140"/>
              <w:spacing w:after="0" w:line="135" w:lineRule="exact"/>
              <w:rPr>
                <w:sz w:val="20"/>
                <w:szCs w:val="20"/>
                <w:color w:val="auto"/>
              </w:rPr>
            </w:pPr>
            <w:r>
              <w:rPr>
                <w:rFonts w:ascii="Arial" w:cs="Arial" w:eastAsia="Arial" w:hAnsi="Arial"/>
                <w:sz w:val="15"/>
                <w:szCs w:val="15"/>
                <w:color w:val="auto"/>
              </w:rPr>
              <w:t>8 $</w:t>
            </w:r>
          </w:p>
        </w:tc>
        <w:tc>
          <w:tcPr>
            <w:tcW w:w="1320" w:type="dxa"/>
            <w:vAlign w:val="bottom"/>
          </w:tcPr>
          <w:p>
            <w:pPr>
              <w:jc w:val="right"/>
              <w:spacing w:after="0" w:line="135" w:lineRule="exact"/>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73"/>
        </w:trPr>
        <w:tc>
          <w:tcPr>
            <w:tcW w:w="3960" w:type="dxa"/>
            <w:vAlign w:val="bottom"/>
          </w:tcPr>
          <w:p>
            <w:pPr>
              <w:spacing w:after="0" w:line="173" w:lineRule="exact"/>
              <w:rPr>
                <w:sz w:val="20"/>
                <w:szCs w:val="20"/>
                <w:color w:val="auto"/>
              </w:rPr>
            </w:pPr>
            <w:r>
              <w:rPr>
                <w:rFonts w:ascii="Arial" w:cs="Arial" w:eastAsia="Arial" w:hAnsi="Arial"/>
                <w:sz w:val="16"/>
                <w:szCs w:val="16"/>
                <w:color w:val="auto"/>
              </w:rPr>
              <w:t>Interest cost</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jc w:val="right"/>
              <w:spacing w:after="0" w:line="173" w:lineRule="exact"/>
              <w:rPr>
                <w:sz w:val="20"/>
                <w:szCs w:val="20"/>
                <w:color w:val="auto"/>
              </w:rPr>
            </w:pPr>
            <w:r>
              <w:rPr>
                <w:rFonts w:ascii="Arial" w:cs="Arial" w:eastAsia="Arial" w:hAnsi="Arial"/>
                <w:sz w:val="16"/>
                <w:szCs w:val="16"/>
                <w:color w:val="auto"/>
              </w:rPr>
              <w:t>51</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line="173" w:lineRule="exact"/>
              <w:rPr>
                <w:sz w:val="20"/>
                <w:szCs w:val="20"/>
                <w:color w:val="auto"/>
              </w:rPr>
            </w:pPr>
            <w:r>
              <w:rPr>
                <w:rFonts w:ascii="Arial" w:cs="Arial" w:eastAsia="Arial" w:hAnsi="Arial"/>
                <w:sz w:val="16"/>
                <w:szCs w:val="16"/>
                <w:color w:val="auto"/>
              </w:rPr>
              <w:t>46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ind w:left="1060"/>
              <w:spacing w:after="0" w:line="173" w:lineRule="exact"/>
              <w:rPr>
                <w:sz w:val="20"/>
                <w:szCs w:val="20"/>
                <w:color w:val="auto"/>
              </w:rPr>
            </w:pPr>
            <w:r>
              <w:rPr>
                <w:rFonts w:ascii="Arial" w:cs="Arial" w:eastAsia="Arial" w:hAnsi="Arial"/>
                <w:sz w:val="16"/>
                <w:szCs w:val="16"/>
                <w:color w:val="auto"/>
              </w:rPr>
              <w:t>19</w:t>
            </w:r>
          </w:p>
        </w:tc>
        <w:tc>
          <w:tcPr>
            <w:tcW w:w="1320" w:type="dxa"/>
            <w:vAlign w:val="bottom"/>
          </w:tcPr>
          <w:p>
            <w:pPr>
              <w:jc w:val="right"/>
              <w:spacing w:after="0" w:line="173"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73"/>
        </w:trPr>
        <w:tc>
          <w:tcPr>
            <w:tcW w:w="3960" w:type="dxa"/>
            <w:vAlign w:val="bottom"/>
          </w:tcPr>
          <w:p>
            <w:pPr>
              <w:spacing w:after="0" w:line="173" w:lineRule="exact"/>
              <w:rPr>
                <w:sz w:val="20"/>
                <w:szCs w:val="20"/>
                <w:color w:val="auto"/>
              </w:rPr>
            </w:pPr>
            <w:r>
              <w:rPr>
                <w:rFonts w:ascii="Arial" w:cs="Arial" w:eastAsia="Arial" w:hAnsi="Arial"/>
                <w:sz w:val="16"/>
                <w:szCs w:val="16"/>
                <w:color w:val="auto"/>
              </w:rPr>
              <w:t>Expected return on assets</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jc w:val="right"/>
              <w:spacing w:after="0" w:line="173" w:lineRule="exact"/>
              <w:rPr>
                <w:sz w:val="20"/>
                <w:szCs w:val="20"/>
                <w:color w:val="auto"/>
              </w:rPr>
            </w:pPr>
            <w:r>
              <w:rPr>
                <w:rFonts w:ascii="Arial" w:cs="Arial" w:eastAsia="Arial" w:hAnsi="Arial"/>
                <w:sz w:val="16"/>
                <w:szCs w:val="16"/>
                <w:color w:val="auto"/>
              </w:rPr>
              <w:t>(52)</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line="173" w:lineRule="exact"/>
              <w:rPr>
                <w:sz w:val="20"/>
                <w:szCs w:val="20"/>
                <w:color w:val="auto"/>
              </w:rPr>
            </w:pPr>
            <w:r>
              <w:rPr>
                <w:rFonts w:ascii="Arial" w:cs="Arial" w:eastAsia="Arial" w:hAnsi="Arial"/>
                <w:sz w:val="16"/>
                <w:szCs w:val="16"/>
                <w:color w:val="auto"/>
              </w:rPr>
              <w:t>(49)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jc w:val="right"/>
              <w:ind w:right="342"/>
              <w:spacing w:after="0" w:line="173" w:lineRule="exact"/>
              <w:rPr>
                <w:sz w:val="20"/>
                <w:szCs w:val="20"/>
                <w:color w:val="auto"/>
              </w:rPr>
            </w:pPr>
            <w:r>
              <w:rPr>
                <w:rFonts w:ascii="Arial" w:cs="Arial" w:eastAsia="Arial" w:hAnsi="Arial"/>
                <w:sz w:val="16"/>
                <w:szCs w:val="16"/>
                <w:color w:val="auto"/>
              </w:rPr>
              <w:t>(26)</w:t>
            </w:r>
          </w:p>
        </w:tc>
        <w:tc>
          <w:tcPr>
            <w:tcW w:w="1320" w:type="dxa"/>
            <w:vAlign w:val="bottom"/>
          </w:tcPr>
          <w:p>
            <w:pPr>
              <w:jc w:val="right"/>
              <w:spacing w:after="0" w:line="173"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73"/>
        </w:trPr>
        <w:tc>
          <w:tcPr>
            <w:tcW w:w="3960" w:type="dxa"/>
            <w:vAlign w:val="bottom"/>
          </w:tcPr>
          <w:p>
            <w:pPr>
              <w:spacing w:after="0" w:line="173" w:lineRule="exact"/>
              <w:rPr>
                <w:sz w:val="20"/>
                <w:szCs w:val="20"/>
                <w:color w:val="auto"/>
              </w:rPr>
            </w:pPr>
            <w:r>
              <w:rPr>
                <w:rFonts w:ascii="Arial" w:cs="Arial" w:eastAsia="Arial" w:hAnsi="Arial"/>
                <w:sz w:val="16"/>
                <w:szCs w:val="16"/>
                <w:color w:val="auto"/>
              </w:rPr>
              <w:t>Amortization of:</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960" w:type="dxa"/>
            <w:vAlign w:val="bottom"/>
          </w:tcPr>
          <w:p>
            <w:pPr>
              <w:ind w:left="180"/>
              <w:spacing w:after="0" w:line="173" w:lineRule="exact"/>
              <w:rPr>
                <w:sz w:val="20"/>
                <w:szCs w:val="20"/>
                <w:color w:val="auto"/>
              </w:rPr>
            </w:pPr>
            <w:r>
              <w:rPr>
                <w:rFonts w:ascii="Arial" w:cs="Arial" w:eastAsia="Arial" w:hAnsi="Arial"/>
                <w:sz w:val="16"/>
                <w:szCs w:val="16"/>
                <w:color w:val="auto"/>
              </w:rPr>
              <w:t>Prior service cost (credit)</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jc w:val="right"/>
              <w:ind w:right="342"/>
              <w:spacing w:after="0" w:line="173" w:lineRule="exact"/>
              <w:rPr>
                <w:sz w:val="20"/>
                <w:szCs w:val="20"/>
                <w:color w:val="auto"/>
              </w:rPr>
            </w:pPr>
            <w:r>
              <w:rPr>
                <w:rFonts w:ascii="Arial" w:cs="Arial" w:eastAsia="Arial" w:hAnsi="Arial"/>
                <w:sz w:val="16"/>
                <w:szCs w:val="16"/>
                <w:color w:val="auto"/>
              </w:rPr>
              <w:t>(4)</w:t>
            </w:r>
          </w:p>
        </w:tc>
        <w:tc>
          <w:tcPr>
            <w:tcW w:w="132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3"/>
        </w:trPr>
        <w:tc>
          <w:tcPr>
            <w:tcW w:w="3960" w:type="dxa"/>
            <w:vAlign w:val="bottom"/>
          </w:tcPr>
          <w:p>
            <w:pPr>
              <w:ind w:left="180"/>
              <w:spacing w:after="0" w:line="173" w:lineRule="exact"/>
              <w:rPr>
                <w:sz w:val="20"/>
                <w:szCs w:val="20"/>
                <w:color w:val="auto"/>
              </w:rPr>
            </w:pPr>
            <w:r>
              <w:rPr>
                <w:rFonts w:ascii="Arial" w:cs="Arial" w:eastAsia="Arial" w:hAnsi="Arial"/>
                <w:sz w:val="16"/>
                <w:szCs w:val="16"/>
                <w:color w:val="auto"/>
              </w:rPr>
              <w:t>Actuarial loss</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line="173" w:lineRule="exact"/>
              <w:rPr>
                <w:sz w:val="20"/>
                <w:szCs w:val="20"/>
                <w:color w:val="auto"/>
              </w:rPr>
            </w:pPr>
            <w:r>
              <w:rPr>
                <w:rFonts w:ascii="Arial" w:cs="Arial" w:eastAsia="Arial" w:hAnsi="Arial"/>
                <w:sz w:val="16"/>
                <w:szCs w:val="16"/>
                <w:color w:val="auto"/>
              </w:rPr>
              <w:t>17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ind w:left="1080"/>
              <w:spacing w:after="0" w:line="173" w:lineRule="exact"/>
              <w:rPr>
                <w:sz w:val="20"/>
                <w:szCs w:val="20"/>
                <w:color w:val="auto"/>
              </w:rPr>
            </w:pPr>
            <w:r>
              <w:rPr>
                <w:rFonts w:ascii="Arial" w:cs="Arial" w:eastAsia="Arial" w:hAnsi="Arial"/>
                <w:sz w:val="16"/>
                <w:szCs w:val="16"/>
                <w:color w:val="auto"/>
              </w:rPr>
              <w:t>―</w:t>
            </w:r>
          </w:p>
        </w:tc>
        <w:tc>
          <w:tcPr>
            <w:tcW w:w="132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4"/>
        </w:trPr>
        <w:tc>
          <w:tcPr>
            <w:tcW w:w="3960" w:type="dxa"/>
            <w:vAlign w:val="bottom"/>
          </w:tcPr>
          <w:p>
            <w:pPr>
              <w:spacing w:after="0"/>
              <w:rPr>
                <w:sz w:val="20"/>
                <w:szCs w:val="20"/>
                <w:color w:val="auto"/>
              </w:rPr>
            </w:pPr>
            <w:r>
              <w:rPr>
                <w:rFonts w:ascii="Arial" w:cs="Arial" w:eastAsia="Arial" w:hAnsi="Arial"/>
                <w:sz w:val="16"/>
                <w:szCs w:val="16"/>
                <w:color w:val="auto"/>
              </w:rPr>
              <w:t>Regulatory adjustment</w:t>
            </w:r>
          </w:p>
        </w:tc>
        <w:tc>
          <w:tcPr>
            <w:tcW w:w="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6"/>
        </w:trPr>
        <w:tc>
          <w:tcPr>
            <w:tcW w:w="3960" w:type="dxa"/>
            <w:vAlign w:val="bottom"/>
          </w:tcPr>
          <w:p>
            <w:pPr>
              <w:spacing w:after="0" w:line="166" w:lineRule="exact"/>
              <w:rPr>
                <w:sz w:val="20"/>
                <w:szCs w:val="20"/>
                <w:color w:val="auto"/>
              </w:rPr>
            </w:pPr>
            <w:r>
              <w:rPr>
                <w:rFonts w:ascii="Arial" w:cs="Arial" w:eastAsia="Arial" w:hAnsi="Arial"/>
                <w:sz w:val="16"/>
                <w:szCs w:val="16"/>
                <w:color w:val="auto"/>
              </w:rPr>
              <w:t>Total net periodic benefit cost</w:t>
            </w:r>
          </w:p>
        </w:tc>
        <w:tc>
          <w:tcPr>
            <w:tcW w:w="540" w:type="dxa"/>
            <w:vAlign w:val="bottom"/>
          </w:tcPr>
          <w:p>
            <w:pPr>
              <w:spacing w:after="0"/>
              <w:rPr>
                <w:sz w:val="14"/>
                <w:szCs w:val="14"/>
                <w:color w:val="auto"/>
              </w:rPr>
            </w:pPr>
          </w:p>
        </w:tc>
        <w:tc>
          <w:tcPr>
            <w:tcW w:w="260" w:type="dxa"/>
            <w:vAlign w:val="bottom"/>
          </w:tcPr>
          <w:p>
            <w:pPr>
              <w:jc w:val="right"/>
              <w:ind w:right="107"/>
              <w:spacing w:after="0" w:line="167" w:lineRule="exact"/>
              <w:rPr>
                <w:sz w:val="20"/>
                <w:szCs w:val="20"/>
                <w:color w:val="auto"/>
              </w:rPr>
            </w:pPr>
            <w:r>
              <w:rPr>
                <w:rFonts w:ascii="Arial" w:cs="Arial" w:eastAsia="Arial" w:hAnsi="Arial"/>
                <w:sz w:val="15"/>
                <w:szCs w:val="15"/>
                <w:color w:val="auto"/>
                <w:w w:val="71"/>
              </w:rPr>
              <w:t>$</w:t>
            </w:r>
          </w:p>
        </w:tc>
        <w:tc>
          <w:tcPr>
            <w:tcW w:w="1020" w:type="dxa"/>
            <w:vAlign w:val="bottom"/>
          </w:tcPr>
          <w:p>
            <w:pPr>
              <w:spacing w:after="0"/>
              <w:rPr>
                <w:sz w:val="14"/>
                <w:szCs w:val="14"/>
                <w:color w:val="auto"/>
              </w:rPr>
            </w:pPr>
          </w:p>
        </w:tc>
        <w:tc>
          <w:tcPr>
            <w:tcW w:w="440" w:type="dxa"/>
            <w:vAlign w:val="bottom"/>
          </w:tcPr>
          <w:p>
            <w:pPr>
              <w:jc w:val="right"/>
              <w:spacing w:after="0" w:line="166" w:lineRule="exact"/>
              <w:rPr>
                <w:sz w:val="20"/>
                <w:szCs w:val="20"/>
                <w:color w:val="auto"/>
              </w:rPr>
            </w:pPr>
            <w:r>
              <w:rPr>
                <w:rFonts w:ascii="Arial" w:cs="Arial" w:eastAsia="Arial" w:hAnsi="Arial"/>
                <w:sz w:val="16"/>
                <w:szCs w:val="16"/>
                <w:color w:val="auto"/>
              </w:rPr>
              <w:t>14</w:t>
            </w:r>
          </w:p>
        </w:tc>
        <w:tc>
          <w:tcPr>
            <w:tcW w:w="180" w:type="dxa"/>
            <w:vAlign w:val="bottom"/>
          </w:tcPr>
          <w:p>
            <w:pPr>
              <w:jc w:val="center"/>
              <w:ind w:right="2"/>
              <w:spacing w:after="0" w:line="166"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1140" w:type="dxa"/>
            <w:vAlign w:val="bottom"/>
          </w:tcPr>
          <w:p>
            <w:pPr>
              <w:jc w:val="right"/>
              <w:spacing w:after="0" w:line="166" w:lineRule="exact"/>
              <w:rPr>
                <w:sz w:val="20"/>
                <w:szCs w:val="20"/>
                <w:color w:val="auto"/>
              </w:rPr>
            </w:pPr>
            <w:r>
              <w:rPr>
                <w:rFonts w:ascii="Arial" w:cs="Arial" w:eastAsia="Arial" w:hAnsi="Arial"/>
                <w:sz w:val="16"/>
                <w:szCs w:val="16"/>
                <w:color w:val="auto"/>
              </w:rPr>
              <w:t>3</w:t>
            </w:r>
          </w:p>
        </w:tc>
        <w:tc>
          <w:tcPr>
            <w:tcW w:w="12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4"/>
                <w:szCs w:val="14"/>
                <w:color w:val="auto"/>
              </w:rPr>
            </w:pPr>
          </w:p>
        </w:tc>
        <w:tc>
          <w:tcPr>
            <w:tcW w:w="1700" w:type="dxa"/>
            <w:vAlign w:val="bottom"/>
          </w:tcPr>
          <w:p>
            <w:pPr>
              <w:ind w:left="1080"/>
              <w:spacing w:after="0" w:line="166" w:lineRule="exact"/>
              <w:rPr>
                <w:sz w:val="20"/>
                <w:szCs w:val="20"/>
                <w:color w:val="auto"/>
              </w:rPr>
            </w:pPr>
            <w:r>
              <w:rPr>
                <w:rFonts w:ascii="Arial" w:cs="Arial" w:eastAsia="Arial" w:hAnsi="Arial"/>
                <w:sz w:val="16"/>
                <w:szCs w:val="16"/>
                <w:color w:val="auto"/>
              </w:rPr>
              <w:t>― $</w:t>
            </w:r>
          </w:p>
        </w:tc>
        <w:tc>
          <w:tcPr>
            <w:tcW w:w="1320" w:type="dxa"/>
            <w:vAlign w:val="bottom"/>
          </w:tcPr>
          <w:p>
            <w:pPr>
              <w:jc w:val="right"/>
              <w:spacing w:after="0" w:line="166"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80"/>
        </w:trPr>
        <w:tc>
          <w:tcPr>
            <w:tcW w:w="3960" w:type="dxa"/>
            <w:vAlign w:val="bottom"/>
            <w:shd w:val="clear" w:color="auto" w:fill="000000"/>
          </w:tcPr>
          <w:p>
            <w:pPr>
              <w:spacing w:after="0"/>
              <w:rPr>
                <w:sz w:val="6"/>
                <w:szCs w:val="6"/>
                <w:color w:val="auto"/>
              </w:rPr>
            </w:pPr>
          </w:p>
        </w:tc>
        <w:tc>
          <w:tcPr>
            <w:tcW w:w="54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1700" w:type="dxa"/>
            <w:vAlign w:val="bottom"/>
            <w:shd w:val="clear" w:color="auto" w:fill="000000"/>
          </w:tcPr>
          <w:p>
            <w:pPr>
              <w:spacing w:after="0"/>
              <w:rPr>
                <w:sz w:val="6"/>
                <w:szCs w:val="6"/>
                <w:color w:val="auto"/>
              </w:rPr>
            </w:pPr>
          </w:p>
        </w:tc>
        <w:tc>
          <w:tcPr>
            <w:tcW w:w="13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Benefit Plan Contributions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year-to-date contributions to pension and other postretirement benefit plans and the amounts we expect to contribute in 2014:</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940" w:type="dxa"/>
            <w:vAlign w:val="bottom"/>
          </w:tcPr>
          <w:p>
            <w:pPr>
              <w:jc w:val="right"/>
              <w:ind w:right="45"/>
              <w:spacing w:after="0"/>
              <w:rPr>
                <w:sz w:val="20"/>
                <w:szCs w:val="20"/>
                <w:color w:val="auto"/>
              </w:rPr>
            </w:pPr>
            <w:r>
              <w:rPr>
                <w:rFonts w:ascii="Arial" w:cs="Arial" w:eastAsia="Arial" w:hAnsi="Arial"/>
                <w:sz w:val="14"/>
                <w:szCs w:val="14"/>
                <w:color w:val="auto"/>
              </w:rPr>
              <w:t>Sempra Energy</w:t>
            </w:r>
          </w:p>
        </w:tc>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3"/>
        </w:trPr>
        <w:tc>
          <w:tcPr>
            <w:tcW w:w="39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294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color w:val="auto"/>
              </w:rPr>
              <w:t>Consolidated</w:t>
            </w:r>
          </w:p>
        </w:tc>
        <w:tc>
          <w:tcPr>
            <w:tcW w:w="4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color w:val="auto"/>
              </w:rPr>
              <w:t>SDG&amp;E</w:t>
            </w:r>
          </w:p>
        </w:tc>
        <w:tc>
          <w:tcPr>
            <w:tcW w:w="5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color w:val="auto"/>
              </w:rPr>
              <w:t>SoCalGas</w:t>
            </w:r>
          </w:p>
        </w:tc>
      </w:tr>
      <w:tr>
        <w:trPr>
          <w:trHeight w:val="135"/>
        </w:trPr>
        <w:tc>
          <w:tcPr>
            <w:tcW w:w="3960" w:type="dxa"/>
            <w:vAlign w:val="bottom"/>
          </w:tcPr>
          <w:p>
            <w:pPr>
              <w:spacing w:after="0" w:line="135" w:lineRule="exact"/>
              <w:rPr>
                <w:sz w:val="20"/>
                <w:szCs w:val="20"/>
                <w:color w:val="auto"/>
              </w:rPr>
            </w:pPr>
            <w:r>
              <w:rPr>
                <w:rFonts w:ascii="Arial" w:cs="Arial" w:eastAsia="Arial" w:hAnsi="Arial"/>
                <w:sz w:val="15"/>
                <w:szCs w:val="15"/>
                <w:color w:val="auto"/>
              </w:rPr>
              <w:t>Contributions through June 30, 2014:</w:t>
            </w:r>
          </w:p>
        </w:tc>
        <w:tc>
          <w:tcPr>
            <w:tcW w:w="2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73"/>
        </w:trPr>
        <w:tc>
          <w:tcPr>
            <w:tcW w:w="3960" w:type="dxa"/>
            <w:vAlign w:val="bottom"/>
          </w:tcPr>
          <w:p>
            <w:pPr>
              <w:ind w:left="180"/>
              <w:spacing w:after="0" w:line="173" w:lineRule="exact"/>
              <w:rPr>
                <w:sz w:val="20"/>
                <w:szCs w:val="20"/>
                <w:color w:val="auto"/>
              </w:rPr>
            </w:pPr>
            <w:r>
              <w:rPr>
                <w:rFonts w:ascii="Arial" w:cs="Arial" w:eastAsia="Arial" w:hAnsi="Arial"/>
                <w:sz w:val="16"/>
                <w:szCs w:val="16"/>
                <w:color w:val="auto"/>
              </w:rPr>
              <w:t>Pension plans</w:t>
            </w:r>
          </w:p>
        </w:tc>
        <w:tc>
          <w:tcPr>
            <w:tcW w:w="2940" w:type="dxa"/>
            <w:vAlign w:val="bottom"/>
          </w:tcPr>
          <w:p>
            <w:pPr>
              <w:jc w:val="right"/>
              <w:ind w:right="1445"/>
              <w:spacing w:after="0" w:line="173"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73" w:lineRule="exact"/>
              <w:rPr>
                <w:sz w:val="20"/>
                <w:szCs w:val="20"/>
                <w:color w:val="auto"/>
              </w:rPr>
            </w:pPr>
            <w:r>
              <w:rPr>
                <w:rFonts w:ascii="Arial" w:cs="Arial" w:eastAsia="Arial" w:hAnsi="Arial"/>
                <w:sz w:val="16"/>
                <w:szCs w:val="16"/>
                <w:color w:val="auto"/>
              </w:rPr>
              <w:t>58</w:t>
            </w:r>
          </w:p>
        </w:tc>
        <w:tc>
          <w:tcPr>
            <w:tcW w:w="1560" w:type="dxa"/>
            <w:vAlign w:val="bottom"/>
          </w:tcPr>
          <w:p>
            <w:pPr>
              <w:jc w:val="right"/>
              <w:ind w:right="1363"/>
              <w:spacing w:after="0" w:line="173" w:lineRule="exact"/>
              <w:rPr>
                <w:sz w:val="20"/>
                <w:szCs w:val="20"/>
                <w:color w:val="auto"/>
              </w:rPr>
            </w:pPr>
            <w:r>
              <w:rPr>
                <w:rFonts w:ascii="Arial" w:cs="Arial" w:eastAsia="Arial" w:hAnsi="Arial"/>
                <w:sz w:val="16"/>
                <w:szCs w:val="16"/>
                <w:color w:val="auto"/>
              </w:rPr>
              <w:t>$</w:t>
            </w: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17</w:t>
            </w:r>
          </w:p>
        </w:tc>
        <w:tc>
          <w:tcPr>
            <w:tcW w:w="400" w:type="dxa"/>
            <w:vAlign w:val="bottom"/>
          </w:tcPr>
          <w:p>
            <w:pPr>
              <w:jc w:val="right"/>
              <w:ind w:right="220"/>
              <w:spacing w:after="0" w:line="173" w:lineRule="exact"/>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line="173" w:lineRule="exact"/>
              <w:rPr>
                <w:sz w:val="20"/>
                <w:szCs w:val="20"/>
                <w:color w:val="auto"/>
              </w:rPr>
            </w:pPr>
            <w:r>
              <w:rPr>
                <w:rFonts w:ascii="Arial" w:cs="Arial" w:eastAsia="Arial" w:hAnsi="Arial"/>
                <w:sz w:val="16"/>
                <w:szCs w:val="16"/>
                <w:color w:val="auto"/>
              </w:rPr>
              <w:t>16</w:t>
            </w:r>
          </w:p>
        </w:tc>
      </w:tr>
      <w:tr>
        <w:trPr>
          <w:trHeight w:val="173"/>
        </w:trPr>
        <w:tc>
          <w:tcPr>
            <w:tcW w:w="3960" w:type="dxa"/>
            <w:vAlign w:val="bottom"/>
          </w:tcPr>
          <w:p>
            <w:pPr>
              <w:ind w:left="180"/>
              <w:spacing w:after="0" w:line="173" w:lineRule="exact"/>
              <w:rPr>
                <w:sz w:val="20"/>
                <w:szCs w:val="20"/>
                <w:color w:val="auto"/>
              </w:rPr>
            </w:pPr>
            <w:r>
              <w:rPr>
                <w:rFonts w:ascii="Arial" w:cs="Arial" w:eastAsia="Arial" w:hAnsi="Arial"/>
                <w:sz w:val="16"/>
                <w:szCs w:val="16"/>
                <w:color w:val="auto"/>
              </w:rPr>
              <w:t>Other postretirement benefit plans</w:t>
            </w:r>
          </w:p>
        </w:tc>
        <w:tc>
          <w:tcPr>
            <w:tcW w:w="2940" w:type="dxa"/>
            <w:vAlign w:val="bottom"/>
          </w:tcPr>
          <w:p>
            <w:pPr>
              <w:spacing w:after="0"/>
              <w:rPr>
                <w:sz w:val="15"/>
                <w:szCs w:val="15"/>
                <w:color w:val="auto"/>
              </w:rPr>
            </w:pPr>
          </w:p>
        </w:tc>
        <w:tc>
          <w:tcPr>
            <w:tcW w:w="40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1560" w:type="dxa"/>
            <w:vAlign w:val="bottom"/>
          </w:tcPr>
          <w:p>
            <w:pPr>
              <w:spacing w:after="0"/>
              <w:rPr>
                <w:sz w:val="15"/>
                <w:szCs w:val="15"/>
                <w:color w:val="auto"/>
              </w:rPr>
            </w:pP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400" w:type="dxa"/>
            <w:vAlign w:val="bottom"/>
          </w:tcPr>
          <w:p>
            <w:pPr>
              <w:spacing w:after="0"/>
              <w:rPr>
                <w:sz w:val="15"/>
                <w:szCs w:val="15"/>
                <w:color w:val="auto"/>
              </w:rPr>
            </w:pPr>
          </w:p>
        </w:tc>
        <w:tc>
          <w:tcPr>
            <w:tcW w:w="16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r>
      <w:tr>
        <w:trPr>
          <w:trHeight w:val="173"/>
        </w:trPr>
        <w:tc>
          <w:tcPr>
            <w:tcW w:w="3960" w:type="dxa"/>
            <w:vAlign w:val="bottom"/>
          </w:tcPr>
          <w:p>
            <w:pPr>
              <w:spacing w:after="0" w:line="173" w:lineRule="exact"/>
              <w:rPr>
                <w:sz w:val="20"/>
                <w:szCs w:val="20"/>
                <w:color w:val="auto"/>
              </w:rPr>
            </w:pPr>
            <w:r>
              <w:rPr>
                <w:rFonts w:ascii="Arial" w:cs="Arial" w:eastAsia="Arial" w:hAnsi="Arial"/>
                <w:sz w:val="16"/>
                <w:szCs w:val="16"/>
                <w:color w:val="auto"/>
              </w:rPr>
              <w:t>Total expected contributions in 2014:</w:t>
            </w:r>
          </w:p>
        </w:tc>
        <w:tc>
          <w:tcPr>
            <w:tcW w:w="2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3960" w:type="dxa"/>
            <w:vAlign w:val="bottom"/>
          </w:tcPr>
          <w:p>
            <w:pPr>
              <w:ind w:left="180"/>
              <w:spacing w:after="0" w:line="173" w:lineRule="exact"/>
              <w:rPr>
                <w:sz w:val="20"/>
                <w:szCs w:val="20"/>
                <w:color w:val="auto"/>
              </w:rPr>
            </w:pPr>
            <w:r>
              <w:rPr>
                <w:rFonts w:ascii="Arial" w:cs="Arial" w:eastAsia="Arial" w:hAnsi="Arial"/>
                <w:sz w:val="16"/>
                <w:szCs w:val="16"/>
                <w:color w:val="auto"/>
              </w:rPr>
              <w:t>Pension plans</w:t>
            </w:r>
          </w:p>
        </w:tc>
        <w:tc>
          <w:tcPr>
            <w:tcW w:w="2940" w:type="dxa"/>
            <w:vAlign w:val="bottom"/>
          </w:tcPr>
          <w:p>
            <w:pPr>
              <w:jc w:val="right"/>
              <w:ind w:right="1445"/>
              <w:spacing w:after="0" w:line="173"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73" w:lineRule="exact"/>
              <w:rPr>
                <w:sz w:val="20"/>
                <w:szCs w:val="20"/>
                <w:color w:val="auto"/>
              </w:rPr>
            </w:pPr>
            <w:r>
              <w:rPr>
                <w:rFonts w:ascii="Arial" w:cs="Arial" w:eastAsia="Arial" w:hAnsi="Arial"/>
                <w:sz w:val="16"/>
                <w:szCs w:val="16"/>
                <w:color w:val="auto"/>
              </w:rPr>
              <w:t>187</w:t>
            </w:r>
          </w:p>
        </w:tc>
        <w:tc>
          <w:tcPr>
            <w:tcW w:w="1560" w:type="dxa"/>
            <w:vAlign w:val="bottom"/>
          </w:tcPr>
          <w:p>
            <w:pPr>
              <w:jc w:val="right"/>
              <w:ind w:right="1363"/>
              <w:spacing w:after="0" w:line="173" w:lineRule="exact"/>
              <w:rPr>
                <w:sz w:val="20"/>
                <w:szCs w:val="20"/>
                <w:color w:val="auto"/>
              </w:rPr>
            </w:pPr>
            <w:r>
              <w:rPr>
                <w:rFonts w:ascii="Arial" w:cs="Arial" w:eastAsia="Arial" w:hAnsi="Arial"/>
                <w:sz w:val="16"/>
                <w:szCs w:val="16"/>
                <w:color w:val="auto"/>
              </w:rPr>
              <w:t>$</w:t>
            </w:r>
          </w:p>
        </w:tc>
        <w:tc>
          <w:tcPr>
            <w:tcW w:w="500" w:type="dxa"/>
            <w:vAlign w:val="bottom"/>
          </w:tcPr>
          <w:p>
            <w:pPr>
              <w:jc w:val="right"/>
              <w:spacing w:after="0" w:line="173" w:lineRule="exact"/>
              <w:rPr>
                <w:sz w:val="20"/>
                <w:szCs w:val="20"/>
                <w:color w:val="auto"/>
              </w:rPr>
            </w:pPr>
            <w:r>
              <w:rPr>
                <w:rFonts w:ascii="Arial" w:cs="Arial" w:eastAsia="Arial" w:hAnsi="Arial"/>
                <w:sz w:val="16"/>
                <w:szCs w:val="16"/>
                <w:color w:val="auto"/>
              </w:rPr>
              <w:t>65</w:t>
            </w:r>
          </w:p>
        </w:tc>
        <w:tc>
          <w:tcPr>
            <w:tcW w:w="400" w:type="dxa"/>
            <w:vAlign w:val="bottom"/>
          </w:tcPr>
          <w:p>
            <w:pPr>
              <w:jc w:val="right"/>
              <w:ind w:right="220"/>
              <w:spacing w:after="0" w:line="173" w:lineRule="exact"/>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line="173" w:lineRule="exact"/>
              <w:rPr>
                <w:sz w:val="20"/>
                <w:szCs w:val="20"/>
                <w:color w:val="auto"/>
              </w:rPr>
            </w:pPr>
            <w:r>
              <w:rPr>
                <w:rFonts w:ascii="Arial" w:cs="Arial" w:eastAsia="Arial" w:hAnsi="Arial"/>
                <w:sz w:val="16"/>
                <w:szCs w:val="16"/>
                <w:color w:val="auto"/>
              </w:rPr>
              <w:t>86</w:t>
            </w:r>
          </w:p>
        </w:tc>
      </w:tr>
      <w:tr>
        <w:trPr>
          <w:trHeight w:val="204"/>
        </w:trPr>
        <w:tc>
          <w:tcPr>
            <w:tcW w:w="3960" w:type="dxa"/>
            <w:vAlign w:val="bottom"/>
          </w:tcPr>
          <w:p>
            <w:pPr>
              <w:ind w:left="180"/>
              <w:spacing w:after="0"/>
              <w:rPr>
                <w:sz w:val="20"/>
                <w:szCs w:val="20"/>
                <w:color w:val="auto"/>
              </w:rPr>
            </w:pPr>
            <w:r>
              <w:rPr>
                <w:rFonts w:ascii="Arial" w:cs="Arial" w:eastAsia="Arial" w:hAnsi="Arial"/>
                <w:sz w:val="16"/>
                <w:szCs w:val="16"/>
                <w:color w:val="auto"/>
              </w:rPr>
              <w:t>Other postretirement benefit plans</w:t>
            </w:r>
          </w:p>
        </w:tc>
        <w:tc>
          <w:tcPr>
            <w:tcW w:w="29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w:t>
            </w:r>
          </w:p>
        </w:tc>
        <w:tc>
          <w:tcPr>
            <w:tcW w:w="15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c>
          <w:tcPr>
            <w:tcW w:w="4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0"/>
        </w:trPr>
        <w:tc>
          <w:tcPr>
            <w:tcW w:w="3960" w:type="dxa"/>
            <w:vAlign w:val="bottom"/>
            <w:shd w:val="clear" w:color="auto" w:fill="C0C0C0"/>
          </w:tcPr>
          <w:p>
            <w:pPr>
              <w:spacing w:after="0"/>
              <w:rPr>
                <w:sz w:val="6"/>
                <w:szCs w:val="6"/>
                <w:color w:val="auto"/>
              </w:rPr>
            </w:pPr>
          </w:p>
        </w:tc>
        <w:tc>
          <w:tcPr>
            <w:tcW w:w="2940" w:type="dxa"/>
            <w:vAlign w:val="bottom"/>
            <w:shd w:val="clear" w:color="auto" w:fill="C0C0C0"/>
          </w:tcPr>
          <w:p>
            <w:pPr>
              <w:spacing w:after="0"/>
              <w:rPr>
                <w:sz w:val="6"/>
                <w:szCs w:val="6"/>
                <w:color w:val="auto"/>
              </w:rPr>
            </w:pPr>
          </w:p>
        </w:tc>
        <w:tc>
          <w:tcPr>
            <w:tcW w:w="400" w:type="dxa"/>
            <w:vAlign w:val="bottom"/>
            <w:shd w:val="clear" w:color="auto" w:fill="C0C0C0"/>
          </w:tcPr>
          <w:p>
            <w:pPr>
              <w:spacing w:after="0"/>
              <w:rPr>
                <w:sz w:val="6"/>
                <w:szCs w:val="6"/>
                <w:color w:val="auto"/>
              </w:rPr>
            </w:pPr>
          </w:p>
        </w:tc>
        <w:tc>
          <w:tcPr>
            <w:tcW w:w="1560" w:type="dxa"/>
            <w:vAlign w:val="bottom"/>
            <w:shd w:val="clear" w:color="auto" w:fill="C0C0C0"/>
          </w:tcPr>
          <w:p>
            <w:pPr>
              <w:spacing w:after="0"/>
              <w:rPr>
                <w:sz w:val="6"/>
                <w:szCs w:val="6"/>
                <w:color w:val="auto"/>
              </w:rPr>
            </w:pPr>
          </w:p>
        </w:tc>
        <w:tc>
          <w:tcPr>
            <w:tcW w:w="500" w:type="dxa"/>
            <w:vAlign w:val="bottom"/>
            <w:shd w:val="clear" w:color="auto" w:fill="C0C0C0"/>
          </w:tcPr>
          <w:p>
            <w:pPr>
              <w:spacing w:after="0"/>
              <w:rPr>
                <w:sz w:val="6"/>
                <w:szCs w:val="6"/>
                <w:color w:val="auto"/>
              </w:rPr>
            </w:pPr>
          </w:p>
        </w:tc>
        <w:tc>
          <w:tcPr>
            <w:tcW w:w="400" w:type="dxa"/>
            <w:vAlign w:val="bottom"/>
            <w:shd w:val="clear" w:color="auto" w:fill="C0C0C0"/>
          </w:tcPr>
          <w:p>
            <w:pPr>
              <w:spacing w:after="0"/>
              <w:rPr>
                <w:sz w:val="6"/>
                <w:szCs w:val="6"/>
                <w:color w:val="auto"/>
              </w:rPr>
            </w:pPr>
          </w:p>
        </w:tc>
        <w:tc>
          <w:tcPr>
            <w:tcW w:w="1660" w:type="dxa"/>
            <w:vAlign w:val="bottom"/>
            <w:shd w:val="clear" w:color="auto" w:fill="C0C0C0"/>
          </w:tcPr>
          <w:p>
            <w:pPr>
              <w:spacing w:after="0"/>
              <w:rPr>
                <w:sz w:val="6"/>
                <w:szCs w:val="6"/>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RABBI TRUST</w:t>
      </w:r>
    </w:p>
    <w:p>
      <w:pPr>
        <w:spacing w:after="0" w:line="22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In support of its Supplemental Executive Retirement, Cash Balance Restoration and Deferred Compensation Plans, Sempra Energy maintains dedicated assets, including a Rabbi Trust and investments in life insurance contracts, which totaled $477 million and $506 million at June 30, 2014 and December 31, 2013, respectively.</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following table provides the per share computations for our earnings for the three months and six months ended June 30, 2014 and 2013. Basic earnings per common share (EPS) is calculated by dividing earnings attributable to common stock by the weighted-average number of common shares outstanding for the period. Diluted EPS includes the potential dilution of common stock equivalent shares that could occur if securities or other contracts to issue common stock were exercised or converted into common stock.</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 COMPUTATIONS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 shares in thousands)</w:t>
      </w:r>
    </w:p>
    <w:p>
      <w:pPr>
        <w:ind w:left="5640"/>
        <w:spacing w:after="0"/>
        <w:tabs>
          <w:tab w:leader="none" w:pos="9000" w:val="left"/>
        </w:tabs>
        <w:rPr>
          <w:sz w:val="20"/>
          <w:szCs w:val="20"/>
          <w:color w:val="auto"/>
        </w:rPr>
      </w:pPr>
      <w:r>
        <w:rPr>
          <w:rFonts w:ascii="Arial" w:cs="Arial" w:eastAsia="Arial" w:hAnsi="Arial"/>
          <w:sz w:val="14"/>
          <w:szCs w:val="14"/>
          <w:color w:val="auto"/>
        </w:rPr>
        <w:t>Three months ended June 30,</w:t>
      </w:r>
      <w:r>
        <w:rPr>
          <w:sz w:val="20"/>
          <w:szCs w:val="20"/>
          <w:color w:val="auto"/>
        </w:rPr>
        <w:tab/>
      </w:r>
      <w:r>
        <w:rPr>
          <w:rFonts w:ascii="Arial" w:cs="Arial" w:eastAsia="Arial" w:hAnsi="Arial"/>
          <w:sz w:val="14"/>
          <w:szCs w:val="14"/>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-3175</wp:posOffset>
            </wp:positionV>
            <wp:extent cx="40252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25265" cy="8255"/>
                    </a:xfrm>
                    <a:prstGeom prst="rect">
                      <a:avLst/>
                    </a:prstGeom>
                    <a:noFill/>
                  </pic:spPr>
                </pic:pic>
              </a:graphicData>
            </a:graphic>
          </wp:anchor>
        </w:drawing>
      </w:r>
    </w:p>
    <w:p>
      <w:pPr>
        <w:sectPr>
          <w:pgSz w:w="11900" w:h="16838" w:orient="portrait"/>
          <w:cols w:equalWidth="0" w:num="1">
            <w:col w:w="11420"/>
          </w:cols>
          <w:pgMar w:left="240" w:top="119" w:right="23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6"/>
        </w:trPr>
        <w:tc>
          <w:tcPr>
            <w:tcW w:w="4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color w:val="auto"/>
              </w:rPr>
              <w:t>2013</w:t>
            </w:r>
          </w:p>
        </w:tc>
      </w:tr>
      <w:tr>
        <w:trPr>
          <w:trHeight w:val="135"/>
        </w:trPr>
        <w:tc>
          <w:tcPr>
            <w:tcW w:w="4320" w:type="dxa"/>
            <w:vAlign w:val="bottom"/>
          </w:tcPr>
          <w:p>
            <w:pPr>
              <w:spacing w:after="0" w:line="135" w:lineRule="exact"/>
              <w:rPr>
                <w:sz w:val="20"/>
                <w:szCs w:val="20"/>
                <w:color w:val="auto"/>
              </w:rPr>
            </w:pPr>
            <w:r>
              <w:rPr>
                <w:rFonts w:ascii="Arial" w:cs="Arial" w:eastAsia="Arial" w:hAnsi="Arial"/>
                <w:sz w:val="15"/>
                <w:szCs w:val="15"/>
                <w:color w:val="auto"/>
              </w:rPr>
              <w:t>Numerator:</w:t>
            </w:r>
          </w:p>
        </w:tc>
        <w:tc>
          <w:tcPr>
            <w:tcW w:w="1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14"/>
        </w:trPr>
        <w:tc>
          <w:tcPr>
            <w:tcW w:w="4320" w:type="dxa"/>
            <w:vAlign w:val="bottom"/>
          </w:tcPr>
          <w:p>
            <w:pPr>
              <w:ind w:left="180"/>
              <w:spacing w:after="0"/>
              <w:rPr>
                <w:sz w:val="20"/>
                <w:szCs w:val="20"/>
                <w:color w:val="auto"/>
              </w:rPr>
            </w:pPr>
            <w:r>
              <w:rPr>
                <w:rFonts w:ascii="Arial" w:cs="Arial" w:eastAsia="Arial" w:hAnsi="Arial"/>
                <w:sz w:val="16"/>
                <w:szCs w:val="16"/>
                <w:color w:val="auto"/>
              </w:rPr>
              <w:t>Earnings/Income attributable to common shares</w:t>
            </w:r>
          </w:p>
        </w:tc>
        <w:tc>
          <w:tcPr>
            <w:tcW w:w="166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269</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245</w:t>
            </w:r>
          </w:p>
        </w:tc>
        <w:tc>
          <w:tcPr>
            <w:tcW w:w="4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516</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423</w:t>
            </w:r>
          </w:p>
        </w:tc>
      </w:tr>
      <w:tr>
        <w:trPr>
          <w:trHeight w:val="304"/>
        </w:trPr>
        <w:tc>
          <w:tcPr>
            <w:tcW w:w="4320" w:type="dxa"/>
            <w:vAlign w:val="bottom"/>
          </w:tcPr>
          <w:p>
            <w:pPr>
              <w:spacing w:after="0"/>
              <w:rPr>
                <w:sz w:val="20"/>
                <w:szCs w:val="20"/>
                <w:color w:val="auto"/>
              </w:rPr>
            </w:pPr>
            <w:r>
              <w:rPr>
                <w:rFonts w:ascii="Arial" w:cs="Arial" w:eastAsia="Arial" w:hAnsi="Arial"/>
                <w:sz w:val="16"/>
                <w:szCs w:val="16"/>
                <w:color w:val="auto"/>
              </w:rPr>
              <w:t>Denominator:</w:t>
            </w: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3"/>
        </w:trPr>
        <w:tc>
          <w:tcPr>
            <w:tcW w:w="4320" w:type="dxa"/>
            <w:vAlign w:val="bottom"/>
          </w:tcPr>
          <w:p>
            <w:pPr>
              <w:ind w:left="180"/>
              <w:spacing w:after="0" w:line="173" w:lineRule="exact"/>
              <w:rPr>
                <w:sz w:val="20"/>
                <w:szCs w:val="20"/>
                <w:color w:val="auto"/>
              </w:rPr>
            </w:pPr>
            <w:r>
              <w:rPr>
                <w:rFonts w:ascii="Arial" w:cs="Arial" w:eastAsia="Arial" w:hAnsi="Arial"/>
                <w:sz w:val="16"/>
                <w:szCs w:val="16"/>
                <w:color w:val="auto"/>
              </w:rPr>
              <w:t>Weighted-average common shares</w:t>
            </w:r>
          </w:p>
        </w:tc>
        <w:tc>
          <w:tcPr>
            <w:tcW w:w="1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3"/>
        </w:trPr>
        <w:tc>
          <w:tcPr>
            <w:tcW w:w="4320" w:type="dxa"/>
            <w:vAlign w:val="bottom"/>
          </w:tcPr>
          <w:p>
            <w:pPr>
              <w:ind w:left="380"/>
              <w:spacing w:after="0" w:line="173" w:lineRule="exact"/>
              <w:rPr>
                <w:sz w:val="20"/>
                <w:szCs w:val="20"/>
                <w:color w:val="auto"/>
              </w:rPr>
            </w:pPr>
            <w:r>
              <w:rPr>
                <w:rFonts w:ascii="Arial" w:cs="Arial" w:eastAsia="Arial" w:hAnsi="Arial"/>
                <w:sz w:val="16"/>
                <w:szCs w:val="16"/>
                <w:color w:val="auto"/>
              </w:rPr>
              <w:t>outstanding for basic EPS</w:t>
            </w:r>
          </w:p>
        </w:tc>
        <w:tc>
          <w:tcPr>
            <w:tcW w:w="1660" w:type="dxa"/>
            <w:vAlign w:val="bottom"/>
          </w:tcPr>
          <w:p>
            <w:pPr>
              <w:spacing w:after="0"/>
              <w:rPr>
                <w:sz w:val="15"/>
                <w:szCs w:val="15"/>
                <w:color w:val="auto"/>
              </w:rPr>
            </w:pPr>
          </w:p>
        </w:tc>
        <w:tc>
          <w:tcPr>
            <w:tcW w:w="600" w:type="dxa"/>
            <w:vAlign w:val="bottom"/>
          </w:tcPr>
          <w:p>
            <w:pPr>
              <w:jc w:val="right"/>
              <w:spacing w:after="0" w:line="173" w:lineRule="exact"/>
              <w:rPr>
                <w:sz w:val="20"/>
                <w:szCs w:val="20"/>
                <w:color w:val="auto"/>
              </w:rPr>
            </w:pPr>
            <w:r>
              <w:rPr>
                <w:rFonts w:ascii="Arial" w:cs="Arial" w:eastAsia="Arial" w:hAnsi="Arial"/>
                <w:sz w:val="16"/>
                <w:szCs w:val="16"/>
                <w:color w:val="auto"/>
                <w:w w:val="96"/>
              </w:rPr>
              <w:t>245,688</w:t>
            </w:r>
          </w:p>
        </w:tc>
        <w:tc>
          <w:tcPr>
            <w:tcW w:w="360" w:type="dxa"/>
            <w:vAlign w:val="bottom"/>
          </w:tcPr>
          <w:p>
            <w:pPr>
              <w:spacing w:after="0"/>
              <w:rPr>
                <w:sz w:val="15"/>
                <w:szCs w:val="15"/>
                <w:color w:val="auto"/>
              </w:rPr>
            </w:pPr>
          </w:p>
        </w:tc>
        <w:tc>
          <w:tcPr>
            <w:tcW w:w="1280" w:type="dxa"/>
            <w:vAlign w:val="bottom"/>
          </w:tcPr>
          <w:p>
            <w:pPr>
              <w:jc w:val="right"/>
              <w:ind w:right="82"/>
              <w:spacing w:after="0" w:line="173" w:lineRule="exact"/>
              <w:rPr>
                <w:sz w:val="20"/>
                <w:szCs w:val="20"/>
                <w:color w:val="auto"/>
              </w:rPr>
            </w:pPr>
            <w:r>
              <w:rPr>
                <w:rFonts w:ascii="Arial" w:cs="Arial" w:eastAsia="Arial" w:hAnsi="Arial"/>
                <w:sz w:val="16"/>
                <w:szCs w:val="16"/>
                <w:color w:val="auto"/>
              </w:rPr>
              <w:t>243,603</w:t>
            </w:r>
          </w:p>
        </w:tc>
        <w:tc>
          <w:tcPr>
            <w:tcW w:w="48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245,484</w:t>
            </w:r>
          </w:p>
        </w:tc>
        <w:tc>
          <w:tcPr>
            <w:tcW w:w="36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243,449</w:t>
            </w:r>
          </w:p>
        </w:tc>
      </w:tr>
      <w:tr>
        <w:trPr>
          <w:trHeight w:val="173"/>
        </w:trPr>
        <w:tc>
          <w:tcPr>
            <w:tcW w:w="4320" w:type="dxa"/>
            <w:vAlign w:val="bottom"/>
          </w:tcPr>
          <w:p>
            <w:pPr>
              <w:ind w:left="180"/>
              <w:spacing w:after="0" w:line="173" w:lineRule="exact"/>
              <w:rPr>
                <w:sz w:val="20"/>
                <w:szCs w:val="20"/>
                <w:color w:val="auto"/>
              </w:rPr>
            </w:pPr>
            <w:r>
              <w:rPr>
                <w:rFonts w:ascii="Arial" w:cs="Arial" w:eastAsia="Arial" w:hAnsi="Arial"/>
                <w:sz w:val="16"/>
                <w:szCs w:val="16"/>
                <w:color w:val="auto"/>
              </w:rPr>
              <w:t>Dilutive effect of stock options, restricted</w:t>
            </w:r>
          </w:p>
        </w:tc>
        <w:tc>
          <w:tcPr>
            <w:tcW w:w="1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3"/>
        </w:trPr>
        <w:tc>
          <w:tcPr>
            <w:tcW w:w="4320" w:type="dxa"/>
            <w:vAlign w:val="bottom"/>
          </w:tcPr>
          <w:p>
            <w:pPr>
              <w:ind w:left="380"/>
              <w:spacing w:after="0" w:line="173" w:lineRule="exact"/>
              <w:rPr>
                <w:sz w:val="20"/>
                <w:szCs w:val="20"/>
                <w:color w:val="auto"/>
              </w:rPr>
            </w:pPr>
            <w:r>
              <w:rPr>
                <w:rFonts w:ascii="Arial" w:cs="Arial" w:eastAsia="Arial" w:hAnsi="Arial"/>
                <w:sz w:val="16"/>
                <w:szCs w:val="16"/>
                <w:color w:val="auto"/>
              </w:rPr>
              <w:t>stock awards and restricted stock units</w:t>
            </w:r>
          </w:p>
        </w:tc>
        <w:tc>
          <w:tcPr>
            <w:tcW w:w="1660" w:type="dxa"/>
            <w:vAlign w:val="bottom"/>
          </w:tcPr>
          <w:p>
            <w:pPr>
              <w:spacing w:after="0"/>
              <w:rPr>
                <w:sz w:val="15"/>
                <w:szCs w:val="15"/>
                <w:color w:val="auto"/>
              </w:rPr>
            </w:pPr>
          </w:p>
        </w:tc>
        <w:tc>
          <w:tcPr>
            <w:tcW w:w="600" w:type="dxa"/>
            <w:vAlign w:val="bottom"/>
          </w:tcPr>
          <w:p>
            <w:pPr>
              <w:jc w:val="right"/>
              <w:spacing w:after="0" w:line="173" w:lineRule="exact"/>
              <w:rPr>
                <w:sz w:val="20"/>
                <w:szCs w:val="20"/>
                <w:color w:val="auto"/>
              </w:rPr>
            </w:pPr>
            <w:r>
              <w:rPr>
                <w:rFonts w:ascii="Arial" w:cs="Arial" w:eastAsia="Arial" w:hAnsi="Arial"/>
                <w:sz w:val="16"/>
                <w:szCs w:val="16"/>
                <w:color w:val="auto"/>
              </w:rPr>
              <w:t>4,373</w:t>
            </w:r>
          </w:p>
        </w:tc>
        <w:tc>
          <w:tcPr>
            <w:tcW w:w="360" w:type="dxa"/>
            <w:vAlign w:val="bottom"/>
          </w:tcPr>
          <w:p>
            <w:pPr>
              <w:spacing w:after="0"/>
              <w:rPr>
                <w:sz w:val="15"/>
                <w:szCs w:val="15"/>
                <w:color w:val="auto"/>
              </w:rPr>
            </w:pPr>
          </w:p>
        </w:tc>
        <w:tc>
          <w:tcPr>
            <w:tcW w:w="1280" w:type="dxa"/>
            <w:vAlign w:val="bottom"/>
          </w:tcPr>
          <w:p>
            <w:pPr>
              <w:jc w:val="right"/>
              <w:ind w:right="82"/>
              <w:spacing w:after="0" w:line="173" w:lineRule="exact"/>
              <w:rPr>
                <w:sz w:val="20"/>
                <w:szCs w:val="20"/>
                <w:color w:val="auto"/>
              </w:rPr>
            </w:pPr>
            <w:r>
              <w:rPr>
                <w:rFonts w:ascii="Arial" w:cs="Arial" w:eastAsia="Arial" w:hAnsi="Arial"/>
                <w:sz w:val="16"/>
                <w:szCs w:val="16"/>
                <w:color w:val="auto"/>
              </w:rPr>
              <w:t>4,912</w:t>
            </w:r>
          </w:p>
        </w:tc>
        <w:tc>
          <w:tcPr>
            <w:tcW w:w="48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4,332</w:t>
            </w:r>
          </w:p>
        </w:tc>
        <w:tc>
          <w:tcPr>
            <w:tcW w:w="36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4,830</w:t>
            </w:r>
          </w:p>
        </w:tc>
      </w:tr>
      <w:tr>
        <w:trPr>
          <w:trHeight w:val="173"/>
        </w:trPr>
        <w:tc>
          <w:tcPr>
            <w:tcW w:w="4320" w:type="dxa"/>
            <w:vAlign w:val="bottom"/>
          </w:tcPr>
          <w:p>
            <w:pPr>
              <w:ind w:left="180"/>
              <w:spacing w:after="0" w:line="173" w:lineRule="exact"/>
              <w:rPr>
                <w:sz w:val="20"/>
                <w:szCs w:val="20"/>
                <w:color w:val="auto"/>
              </w:rPr>
            </w:pPr>
            <w:r>
              <w:rPr>
                <w:rFonts w:ascii="Arial" w:cs="Arial" w:eastAsia="Arial" w:hAnsi="Arial"/>
                <w:sz w:val="16"/>
                <w:szCs w:val="16"/>
                <w:color w:val="auto"/>
              </w:rPr>
              <w:t>Weighted-average common shares</w:t>
            </w:r>
          </w:p>
        </w:tc>
        <w:tc>
          <w:tcPr>
            <w:tcW w:w="1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4"/>
        </w:trPr>
        <w:tc>
          <w:tcPr>
            <w:tcW w:w="4320" w:type="dxa"/>
            <w:vAlign w:val="bottom"/>
          </w:tcPr>
          <w:p>
            <w:pPr>
              <w:ind w:left="380"/>
              <w:spacing w:after="0"/>
              <w:rPr>
                <w:sz w:val="20"/>
                <w:szCs w:val="20"/>
                <w:color w:val="auto"/>
              </w:rPr>
            </w:pPr>
            <w:r>
              <w:rPr>
                <w:rFonts w:ascii="Arial" w:cs="Arial" w:eastAsia="Arial" w:hAnsi="Arial"/>
                <w:sz w:val="16"/>
                <w:szCs w:val="16"/>
                <w:color w:val="auto"/>
              </w:rPr>
              <w:t>outstanding for diluted EPS</w:t>
            </w:r>
          </w:p>
        </w:tc>
        <w:tc>
          <w:tcPr>
            <w:tcW w:w="16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250,061</w:t>
            </w:r>
          </w:p>
        </w:tc>
        <w:tc>
          <w:tcPr>
            <w:tcW w:w="360" w:type="dxa"/>
            <w:vAlign w:val="bottom"/>
          </w:tcPr>
          <w:p>
            <w:pPr>
              <w:spacing w:after="0"/>
              <w:rPr>
                <w:sz w:val="18"/>
                <w:szCs w:val="18"/>
                <w:color w:val="auto"/>
              </w:rPr>
            </w:pP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248,515</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249,816</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248,279</w:t>
            </w:r>
          </w:p>
        </w:tc>
      </w:tr>
      <w:tr>
        <w:trPr>
          <w:trHeight w:val="331"/>
        </w:trPr>
        <w:tc>
          <w:tcPr>
            <w:tcW w:w="4320" w:type="dxa"/>
            <w:vAlign w:val="bottom"/>
          </w:tcPr>
          <w:p>
            <w:pPr>
              <w:spacing w:after="0"/>
              <w:rPr>
                <w:sz w:val="20"/>
                <w:szCs w:val="20"/>
                <w:color w:val="auto"/>
              </w:rPr>
            </w:pPr>
            <w:r>
              <w:rPr>
                <w:rFonts w:ascii="Arial" w:cs="Arial" w:eastAsia="Arial" w:hAnsi="Arial"/>
                <w:sz w:val="16"/>
                <w:szCs w:val="16"/>
                <w:color w:val="auto"/>
              </w:rPr>
              <w:t>Earnings per share:</w:t>
            </w: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3"/>
        </w:trPr>
        <w:tc>
          <w:tcPr>
            <w:tcW w:w="4320" w:type="dxa"/>
            <w:vAlign w:val="bottom"/>
          </w:tcPr>
          <w:p>
            <w:pPr>
              <w:ind w:left="180"/>
              <w:spacing w:after="0" w:line="173" w:lineRule="exact"/>
              <w:rPr>
                <w:sz w:val="20"/>
                <w:szCs w:val="20"/>
                <w:color w:val="auto"/>
              </w:rPr>
            </w:pPr>
            <w:r>
              <w:rPr>
                <w:rFonts w:ascii="Arial" w:cs="Arial" w:eastAsia="Arial" w:hAnsi="Arial"/>
                <w:sz w:val="16"/>
                <w:szCs w:val="16"/>
                <w:color w:val="auto"/>
              </w:rPr>
              <w:t>Basic</w:t>
            </w:r>
          </w:p>
        </w:tc>
        <w:tc>
          <w:tcPr>
            <w:tcW w:w="1660" w:type="dxa"/>
            <w:vAlign w:val="bottom"/>
          </w:tcPr>
          <w:p>
            <w:pPr>
              <w:jc w:val="right"/>
              <w:ind w:right="722"/>
              <w:spacing w:after="0" w:line="173"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73" w:lineRule="exact"/>
              <w:rPr>
                <w:sz w:val="20"/>
                <w:szCs w:val="20"/>
                <w:color w:val="auto"/>
              </w:rPr>
            </w:pPr>
            <w:r>
              <w:rPr>
                <w:rFonts w:ascii="Arial" w:cs="Arial" w:eastAsia="Arial" w:hAnsi="Arial"/>
                <w:sz w:val="16"/>
                <w:szCs w:val="16"/>
                <w:color w:val="auto"/>
              </w:rPr>
              <w:t>1.10</w:t>
            </w:r>
          </w:p>
        </w:tc>
        <w:tc>
          <w:tcPr>
            <w:tcW w:w="360" w:type="dxa"/>
            <w:vAlign w:val="bottom"/>
          </w:tcPr>
          <w:p>
            <w:pPr>
              <w:jc w:val="right"/>
              <w:ind w:right="180"/>
              <w:spacing w:after="0" w:line="173" w:lineRule="exact"/>
              <w:rPr>
                <w:sz w:val="20"/>
                <w:szCs w:val="20"/>
                <w:color w:val="auto"/>
              </w:rPr>
            </w:pPr>
            <w:r>
              <w:rPr>
                <w:rFonts w:ascii="Arial" w:cs="Arial" w:eastAsia="Arial" w:hAnsi="Arial"/>
                <w:sz w:val="16"/>
                <w:szCs w:val="16"/>
                <w:color w:val="auto"/>
                <w:w w:val="89"/>
              </w:rPr>
              <w:t>$</w:t>
            </w:r>
          </w:p>
        </w:tc>
        <w:tc>
          <w:tcPr>
            <w:tcW w:w="1280" w:type="dxa"/>
            <w:vAlign w:val="bottom"/>
          </w:tcPr>
          <w:p>
            <w:pPr>
              <w:jc w:val="right"/>
              <w:ind w:right="82"/>
              <w:spacing w:after="0" w:line="173" w:lineRule="exact"/>
              <w:rPr>
                <w:sz w:val="20"/>
                <w:szCs w:val="20"/>
                <w:color w:val="auto"/>
              </w:rPr>
            </w:pPr>
            <w:r>
              <w:rPr>
                <w:rFonts w:ascii="Arial" w:cs="Arial" w:eastAsia="Arial" w:hAnsi="Arial"/>
                <w:sz w:val="16"/>
                <w:szCs w:val="16"/>
                <w:color w:val="auto"/>
              </w:rPr>
              <w:t>1.00</w:t>
            </w:r>
          </w:p>
        </w:tc>
        <w:tc>
          <w:tcPr>
            <w:tcW w:w="480" w:type="dxa"/>
            <w:vAlign w:val="bottom"/>
          </w:tcPr>
          <w:p>
            <w:pPr>
              <w:jc w:val="right"/>
              <w:ind w:right="160"/>
              <w:spacing w:after="0" w:line="173"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2.10</w:t>
            </w:r>
          </w:p>
        </w:tc>
        <w:tc>
          <w:tcPr>
            <w:tcW w:w="360" w:type="dxa"/>
            <w:vAlign w:val="bottom"/>
          </w:tcPr>
          <w:p>
            <w:pPr>
              <w:jc w:val="right"/>
              <w:ind w:right="180"/>
              <w:spacing w:after="0" w:line="173" w:lineRule="exact"/>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1.74</w:t>
            </w:r>
          </w:p>
        </w:tc>
      </w:tr>
      <w:tr>
        <w:trPr>
          <w:trHeight w:val="204"/>
        </w:trPr>
        <w:tc>
          <w:tcPr>
            <w:tcW w:w="4320" w:type="dxa"/>
            <w:vAlign w:val="bottom"/>
          </w:tcPr>
          <w:p>
            <w:pPr>
              <w:ind w:left="180"/>
              <w:spacing w:after="0"/>
              <w:rPr>
                <w:sz w:val="20"/>
                <w:szCs w:val="20"/>
                <w:color w:val="auto"/>
              </w:rPr>
            </w:pPr>
            <w:r>
              <w:rPr>
                <w:rFonts w:ascii="Arial" w:cs="Arial" w:eastAsia="Arial" w:hAnsi="Arial"/>
                <w:sz w:val="16"/>
                <w:szCs w:val="16"/>
                <w:color w:val="auto"/>
              </w:rPr>
              <w:t>Diluted</w:t>
            </w:r>
          </w:p>
        </w:tc>
        <w:tc>
          <w:tcPr>
            <w:tcW w:w="166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1.08</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0.98</w:t>
            </w:r>
          </w:p>
        </w:tc>
        <w:tc>
          <w:tcPr>
            <w:tcW w:w="4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2.07</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80"/>
        </w:trPr>
        <w:tc>
          <w:tcPr>
            <w:tcW w:w="4320" w:type="dxa"/>
            <w:vAlign w:val="bottom"/>
            <w:shd w:val="clear" w:color="auto" w:fill="969696"/>
          </w:tcPr>
          <w:p>
            <w:pPr>
              <w:spacing w:after="0"/>
              <w:rPr>
                <w:sz w:val="6"/>
                <w:szCs w:val="6"/>
                <w:color w:val="auto"/>
              </w:rPr>
            </w:pPr>
          </w:p>
        </w:tc>
        <w:tc>
          <w:tcPr>
            <w:tcW w:w="1660" w:type="dxa"/>
            <w:vAlign w:val="bottom"/>
            <w:shd w:val="clear" w:color="auto" w:fill="969696"/>
          </w:tcPr>
          <w:p>
            <w:pPr>
              <w:spacing w:after="0"/>
              <w:rPr>
                <w:sz w:val="6"/>
                <w:szCs w:val="6"/>
                <w:color w:val="auto"/>
              </w:rPr>
            </w:pPr>
          </w:p>
        </w:tc>
        <w:tc>
          <w:tcPr>
            <w:tcW w:w="600" w:type="dxa"/>
            <w:vAlign w:val="bottom"/>
            <w:shd w:val="clear" w:color="auto" w:fill="969696"/>
          </w:tcPr>
          <w:p>
            <w:pPr>
              <w:spacing w:after="0"/>
              <w:rPr>
                <w:sz w:val="6"/>
                <w:szCs w:val="6"/>
                <w:color w:val="auto"/>
              </w:rPr>
            </w:pPr>
          </w:p>
        </w:tc>
        <w:tc>
          <w:tcPr>
            <w:tcW w:w="360" w:type="dxa"/>
            <w:vAlign w:val="bottom"/>
            <w:shd w:val="clear" w:color="auto" w:fill="969696"/>
          </w:tcPr>
          <w:p>
            <w:pPr>
              <w:spacing w:after="0"/>
              <w:rPr>
                <w:sz w:val="6"/>
                <w:szCs w:val="6"/>
                <w:color w:val="auto"/>
              </w:rPr>
            </w:pPr>
          </w:p>
        </w:tc>
        <w:tc>
          <w:tcPr>
            <w:tcW w:w="1280" w:type="dxa"/>
            <w:vAlign w:val="bottom"/>
            <w:shd w:val="clear" w:color="auto" w:fill="969696"/>
          </w:tcPr>
          <w:p>
            <w:pPr>
              <w:spacing w:after="0"/>
              <w:rPr>
                <w:sz w:val="6"/>
                <w:szCs w:val="6"/>
                <w:color w:val="auto"/>
              </w:rPr>
            </w:pPr>
          </w:p>
        </w:tc>
        <w:tc>
          <w:tcPr>
            <w:tcW w:w="480" w:type="dxa"/>
            <w:vAlign w:val="bottom"/>
            <w:shd w:val="clear" w:color="auto" w:fill="969696"/>
          </w:tcPr>
          <w:p>
            <w:pPr>
              <w:spacing w:after="0"/>
              <w:rPr>
                <w:sz w:val="6"/>
                <w:szCs w:val="6"/>
                <w:color w:val="auto"/>
              </w:rPr>
            </w:pPr>
          </w:p>
        </w:tc>
        <w:tc>
          <w:tcPr>
            <w:tcW w:w="1160" w:type="dxa"/>
            <w:vAlign w:val="bottom"/>
            <w:shd w:val="clear" w:color="auto" w:fill="969696"/>
          </w:tcPr>
          <w:p>
            <w:pPr>
              <w:spacing w:after="0"/>
              <w:rPr>
                <w:sz w:val="6"/>
                <w:szCs w:val="6"/>
                <w:color w:val="auto"/>
              </w:rPr>
            </w:pPr>
          </w:p>
        </w:tc>
        <w:tc>
          <w:tcPr>
            <w:tcW w:w="360" w:type="dxa"/>
            <w:vAlign w:val="bottom"/>
            <w:shd w:val="clear" w:color="auto" w:fill="969696"/>
          </w:tcPr>
          <w:p>
            <w:pPr>
              <w:spacing w:after="0"/>
              <w:rPr>
                <w:sz w:val="6"/>
                <w:szCs w:val="6"/>
                <w:color w:val="auto"/>
              </w:rPr>
            </w:pPr>
          </w:p>
        </w:tc>
        <w:tc>
          <w:tcPr>
            <w:tcW w:w="1200" w:type="dxa"/>
            <w:vAlign w:val="bottom"/>
            <w:shd w:val="clear" w:color="auto" w:fill="969696"/>
          </w:tcPr>
          <w:p>
            <w:pPr>
              <w:spacing w:after="0"/>
              <w:rPr>
                <w:sz w:val="6"/>
                <w:szCs w:val="6"/>
                <w:color w:val="auto"/>
              </w:rPr>
            </w:pPr>
          </w:p>
        </w:tc>
      </w:tr>
    </w:tbl>
    <w:p>
      <w:pPr>
        <w:spacing w:after="0" w:line="18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dilution from common stock options is based on the treasury stock method. Under this method, proceeds based on the exercise price plus unearned compensation and windfall tax benefits recognized, minus tax shortfalls recognized, are assumed to be used to repurchase shares on the open market at the average market price for the period. The windfall tax benefits are tax deductions we would receive upon the assumed exercise of stock options in excess of the deferred income taxes we recorded related to the compensation expense on the stock options. Tax shortfalls occur when the assumed tax deductions are less than recorded deferred income taxes. The calculation of dilutive common stock equivalents excludes options for which the exercise price on common stock was greater than the average market price during the period (out-of-the-money options). We had no such antidilutive stock options outstanding during either the three months or six months ended June 30, 2014 and 2013.</w:t>
      </w:r>
    </w:p>
    <w:p>
      <w:pPr>
        <w:spacing w:after="0" w:line="186"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During the three months and six months ended June 30, 2014 and 2013, we had no stock options outstanding that were antidilutive because of the unearned compensation and windfall tax benefits included in the assumed proceeds under the treasury stock method.</w:t>
      </w:r>
    </w:p>
    <w:p>
      <w:pPr>
        <w:spacing w:after="0" w:line="16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dilution from unvested restricted stock awards (RSAs) and restricted stock units (RSUs) is also based on the treasury stock method. Proceeds equal to the unearned compensation and windfall tax benefits recognized, minus tax shortfalls recognized, related to the awards and units are assumed to be used to repurchase shares on the open market at the average market price for the period. The windfall tax benefits or tax shortfalls recognized are the difference between tax deductions we would receive upon the assumed vesting of RSAs or RSUs and the deferred income taxes we recorded related to the compensation expense on such awards and units. There were no antidilutive RSUs or RSAs from the application of unearned compensation in the treasury stock method for either the three months or six months ended June 30, 2014. There were 1,477 such antidilutive RSUs and no such antidilutive RSUs for the three months and six months ended June 30, 2013, respectively. There were no such antidilutive RSAs and 3,877 such antidilutive RSAs for the three months and six months ended June 30, 2013, respectively.</w:t>
      </w:r>
    </w:p>
    <w:p>
      <w:pPr>
        <w:spacing w:after="0" w:line="18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Each performance-based RSU represents the right to receive up to 1.5 shares (2.0 shares for awards granted in 2014) of Sempra Energy common stock based on total shareholder return or EPS growth. RSU awards vest based on Sempra Energy’s four-year cumulative total shareholder return compared to the Standard &amp; Poor’s (S&amp;P) 500 Utilities Index,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4600" w:type="dxa"/>
            <w:vAlign w:val="bottom"/>
          </w:tcPr>
          <w:p>
            <w:pPr>
              <w:ind w:left="1180"/>
              <w:spacing w:after="0"/>
              <w:rPr>
                <w:sz w:val="20"/>
                <w:szCs w:val="20"/>
                <w:color w:val="auto"/>
              </w:rPr>
            </w:pPr>
            <w:r>
              <w:rPr>
                <w:rFonts w:ascii="Arial" w:cs="Arial" w:eastAsia="Arial" w:hAnsi="Arial"/>
                <w:sz w:val="14"/>
                <w:szCs w:val="14"/>
                <w:color w:val="auto"/>
              </w:rPr>
              <w:t>Number of Sempra Energy Common Shares Received</w:t>
            </w:r>
          </w:p>
        </w:tc>
      </w:tr>
      <w:tr>
        <w:trPr>
          <w:trHeight w:val="159"/>
        </w:trPr>
        <w:tc>
          <w:tcPr>
            <w:tcW w:w="6820" w:type="dxa"/>
            <w:vAlign w:val="bottom"/>
          </w:tcPr>
          <w:p>
            <w:pPr>
              <w:spacing w:after="0"/>
              <w:rPr>
                <w:sz w:val="13"/>
                <w:szCs w:val="13"/>
                <w:color w:val="auto"/>
              </w:rPr>
            </w:pPr>
          </w:p>
        </w:tc>
        <w:tc>
          <w:tcPr>
            <w:tcW w:w="4600" w:type="dxa"/>
            <w:vAlign w:val="bottom"/>
          </w:tcPr>
          <w:p>
            <w:pPr>
              <w:ind w:left="1180"/>
              <w:spacing w:after="0" w:line="159" w:lineRule="exact"/>
              <w:rPr>
                <w:sz w:val="20"/>
                <w:szCs w:val="20"/>
                <w:color w:val="auto"/>
              </w:rPr>
            </w:pPr>
            <w:r>
              <w:rPr>
                <w:rFonts w:ascii="Arial" w:cs="Arial" w:eastAsia="Arial" w:hAnsi="Arial"/>
                <w:sz w:val="14"/>
                <w:szCs w:val="14"/>
                <w:color w:val="auto"/>
              </w:rPr>
              <w:t>for Each Performance-Based Restricted Stock Unit(2)</w:t>
            </w:r>
          </w:p>
        </w:tc>
      </w:tr>
      <w:tr>
        <w:trPr>
          <w:trHeight w:val="173"/>
        </w:trPr>
        <w:tc>
          <w:tcPr>
            <w:tcW w:w="6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Four-Year Cumulative Total Shareholder Return Ranking versus S&amp;P 500 Utilities Index(1)</w:t>
            </w:r>
          </w:p>
        </w:tc>
        <w:tc>
          <w:tcPr>
            <w:tcW w:w="460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rPr>
              <w:t>(3)</w:t>
            </w:r>
          </w:p>
        </w:tc>
      </w:tr>
      <w:tr>
        <w:trPr>
          <w:trHeight w:val="135"/>
        </w:trPr>
        <w:tc>
          <w:tcPr>
            <w:tcW w:w="6820" w:type="dxa"/>
            <w:vAlign w:val="bottom"/>
          </w:tcPr>
          <w:p>
            <w:pPr>
              <w:spacing w:after="0" w:line="135" w:lineRule="exact"/>
              <w:rPr>
                <w:sz w:val="20"/>
                <w:szCs w:val="20"/>
                <w:color w:val="auto"/>
              </w:rPr>
            </w:pPr>
            <w:r>
              <w:rPr>
                <w:rFonts w:ascii="Arial" w:cs="Arial" w:eastAsia="Arial" w:hAnsi="Arial"/>
                <w:sz w:val="15"/>
                <w:szCs w:val="15"/>
                <w:color w:val="auto"/>
              </w:rPr>
              <w:t>90th percentile or above (2014 awards only)</w:t>
            </w:r>
          </w:p>
        </w:tc>
        <w:tc>
          <w:tcPr>
            <w:tcW w:w="4600" w:type="dxa"/>
            <w:vAlign w:val="bottom"/>
          </w:tcPr>
          <w:p>
            <w:pPr>
              <w:jc w:val="center"/>
              <w:ind w:left="1065"/>
              <w:spacing w:after="0" w:line="135" w:lineRule="exact"/>
              <w:rPr>
                <w:sz w:val="20"/>
                <w:szCs w:val="20"/>
                <w:color w:val="auto"/>
              </w:rPr>
            </w:pPr>
            <w:r>
              <w:rPr>
                <w:rFonts w:ascii="Arial" w:cs="Arial" w:eastAsia="Arial" w:hAnsi="Arial"/>
                <w:sz w:val="15"/>
                <w:szCs w:val="15"/>
                <w:color w:val="auto"/>
              </w:rPr>
              <w:t>2.0</w:t>
            </w:r>
          </w:p>
        </w:tc>
      </w:tr>
      <w:tr>
        <w:trPr>
          <w:trHeight w:val="173"/>
        </w:trPr>
        <w:tc>
          <w:tcPr>
            <w:tcW w:w="6820" w:type="dxa"/>
            <w:vAlign w:val="bottom"/>
          </w:tcPr>
          <w:p>
            <w:pPr>
              <w:spacing w:after="0" w:line="173" w:lineRule="exact"/>
              <w:rPr>
                <w:sz w:val="20"/>
                <w:szCs w:val="20"/>
                <w:color w:val="auto"/>
              </w:rPr>
            </w:pPr>
            <w:r>
              <w:rPr>
                <w:rFonts w:ascii="Arial" w:cs="Arial" w:eastAsia="Arial" w:hAnsi="Arial"/>
                <w:sz w:val="16"/>
                <w:szCs w:val="16"/>
                <w:color w:val="auto"/>
              </w:rPr>
              <w:t>75th percentile (maximum for awards prior to 2014)</w:t>
            </w:r>
          </w:p>
        </w:tc>
        <w:tc>
          <w:tcPr>
            <w:tcW w:w="4600" w:type="dxa"/>
            <w:vAlign w:val="bottom"/>
          </w:tcPr>
          <w:p>
            <w:pPr>
              <w:jc w:val="center"/>
              <w:ind w:left="1065"/>
              <w:spacing w:after="0" w:line="173" w:lineRule="exact"/>
              <w:rPr>
                <w:sz w:val="20"/>
                <w:szCs w:val="20"/>
                <w:color w:val="auto"/>
              </w:rPr>
            </w:pPr>
            <w:r>
              <w:rPr>
                <w:rFonts w:ascii="Arial" w:cs="Arial" w:eastAsia="Arial" w:hAnsi="Arial"/>
                <w:sz w:val="16"/>
                <w:szCs w:val="16"/>
                <w:color w:val="auto"/>
                <w:w w:val="98"/>
              </w:rPr>
              <w:t>1.5</w:t>
            </w:r>
          </w:p>
        </w:tc>
      </w:tr>
      <w:tr>
        <w:trPr>
          <w:trHeight w:val="173"/>
        </w:trPr>
        <w:tc>
          <w:tcPr>
            <w:tcW w:w="6820" w:type="dxa"/>
            <w:vAlign w:val="bottom"/>
          </w:tcPr>
          <w:p>
            <w:pPr>
              <w:spacing w:after="0" w:line="173" w:lineRule="exact"/>
              <w:rPr>
                <w:sz w:val="20"/>
                <w:szCs w:val="20"/>
                <w:color w:val="auto"/>
              </w:rPr>
            </w:pPr>
            <w:r>
              <w:rPr>
                <w:rFonts w:ascii="Arial" w:cs="Arial" w:eastAsia="Arial" w:hAnsi="Arial"/>
                <w:sz w:val="16"/>
                <w:szCs w:val="16"/>
                <w:color w:val="auto"/>
              </w:rPr>
              <w:t>50th percentile</w:t>
            </w:r>
          </w:p>
        </w:tc>
        <w:tc>
          <w:tcPr>
            <w:tcW w:w="4600" w:type="dxa"/>
            <w:vAlign w:val="bottom"/>
          </w:tcPr>
          <w:p>
            <w:pPr>
              <w:jc w:val="center"/>
              <w:ind w:left="1065"/>
              <w:spacing w:after="0" w:line="173" w:lineRule="exact"/>
              <w:rPr>
                <w:sz w:val="20"/>
                <w:szCs w:val="20"/>
                <w:color w:val="auto"/>
              </w:rPr>
            </w:pPr>
            <w:r>
              <w:rPr>
                <w:rFonts w:ascii="Arial" w:cs="Arial" w:eastAsia="Arial" w:hAnsi="Arial"/>
                <w:sz w:val="16"/>
                <w:szCs w:val="16"/>
                <w:color w:val="auto"/>
                <w:w w:val="98"/>
              </w:rPr>
              <w:t>1.0</w:t>
            </w:r>
          </w:p>
        </w:tc>
      </w:tr>
      <w:tr>
        <w:trPr>
          <w:trHeight w:val="204"/>
        </w:trPr>
        <w:tc>
          <w:tcPr>
            <w:tcW w:w="6820" w:type="dxa"/>
            <w:vAlign w:val="bottom"/>
          </w:tcPr>
          <w:p>
            <w:pPr>
              <w:spacing w:after="0"/>
              <w:rPr>
                <w:sz w:val="20"/>
                <w:szCs w:val="20"/>
                <w:color w:val="auto"/>
              </w:rPr>
            </w:pPr>
            <w:r>
              <w:rPr>
                <w:rFonts w:ascii="Arial" w:cs="Arial" w:eastAsia="Arial" w:hAnsi="Arial"/>
                <w:sz w:val="16"/>
                <w:szCs w:val="16"/>
                <w:color w:val="auto"/>
              </w:rPr>
              <w:t>35th percentile or below</w:t>
            </w:r>
          </w:p>
        </w:tc>
        <w:tc>
          <w:tcPr>
            <w:tcW w:w="4600" w:type="dxa"/>
            <w:vAlign w:val="bottom"/>
          </w:tcPr>
          <w:p>
            <w:pPr>
              <w:jc w:val="center"/>
              <w:ind w:left="1045"/>
              <w:spacing w:after="0"/>
              <w:rPr>
                <w:sz w:val="20"/>
                <w:szCs w:val="20"/>
                <w:color w:val="auto"/>
              </w:rPr>
            </w:pPr>
            <w:r>
              <w:rPr>
                <w:rFonts w:ascii="Arial" w:cs="Arial" w:eastAsia="Arial" w:hAnsi="Arial"/>
                <w:sz w:val="16"/>
                <w:szCs w:val="16"/>
                <w:color w:val="auto"/>
                <w:w w:val="99"/>
              </w:rPr>
              <w:t>―</w:t>
            </w:r>
          </w:p>
        </w:tc>
      </w:tr>
      <w:tr>
        <w:trPr>
          <w:trHeight w:val="80"/>
        </w:trPr>
        <w:tc>
          <w:tcPr>
            <w:tcW w:w="6820" w:type="dxa"/>
            <w:vAlign w:val="bottom"/>
            <w:shd w:val="clear" w:color="auto" w:fill="A6A6A6"/>
          </w:tcPr>
          <w:p>
            <w:pPr>
              <w:spacing w:after="0"/>
              <w:rPr>
                <w:sz w:val="6"/>
                <w:szCs w:val="6"/>
                <w:color w:val="auto"/>
              </w:rPr>
            </w:pPr>
          </w:p>
        </w:tc>
        <w:tc>
          <w:tcPr>
            <w:tcW w:w="4600" w:type="dxa"/>
            <w:vAlign w:val="bottom"/>
            <w:shd w:val="clear" w:color="auto" w:fill="A6A6A6"/>
          </w:tcPr>
          <w:p>
            <w:pPr>
              <w:spacing w:after="0"/>
              <w:rPr>
                <w:sz w:val="6"/>
                <w:szCs w:val="6"/>
                <w:color w:val="auto"/>
              </w:rPr>
            </w:pPr>
          </w:p>
        </w:tc>
      </w:tr>
    </w:tbl>
    <w:p>
      <w:pPr>
        <w:ind w:left="640" w:hanging="634"/>
        <w:spacing w:after="0"/>
        <w:tabs>
          <w:tab w:leader="none" w:pos="64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If Sempra Energy ranks at or above the 50th percentile compared to the S&amp;P 500 Index, participants will receive a minimum of 1.0 share for each RSU.</w:t>
      </w:r>
    </w:p>
    <w:p>
      <w:pPr>
        <w:spacing w:after="0" w:line="3" w:lineRule="exact"/>
        <w:rPr>
          <w:rFonts w:ascii="Arial" w:cs="Arial" w:eastAsia="Arial" w:hAnsi="Arial"/>
          <w:sz w:val="14"/>
          <w:szCs w:val="14"/>
          <w:i w:val="1"/>
          <w:iCs w:val="1"/>
          <w:color w:val="auto"/>
        </w:rPr>
      </w:pPr>
    </w:p>
    <w:p>
      <w:pPr>
        <w:ind w:left="640" w:right="380" w:hanging="634"/>
        <w:spacing w:after="0" w:line="237" w:lineRule="auto"/>
        <w:tabs>
          <w:tab w:leader="none" w:pos="64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Participants also receive additional shares for dividend equivalents on shares subject to RSUs, which are deemed reinvested to purchase additional units that become subject to the same vesting conditions as the RSUs to which the dividends relate.</w:t>
      </w:r>
    </w:p>
    <w:p>
      <w:pPr>
        <w:ind w:left="640" w:hanging="634"/>
        <w:spacing w:after="0"/>
        <w:tabs>
          <w:tab w:leader="none" w:pos="64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If performance falls between the tiers shown above, we calculate the payout using linear interpolation.</w:t>
      </w:r>
    </w:p>
    <w:p>
      <w:pPr>
        <w:spacing w:after="0" w:line="200" w:lineRule="exact"/>
        <w:rPr>
          <w:sz w:val="20"/>
          <w:szCs w:val="20"/>
          <w:color w:val="auto"/>
        </w:rPr>
      </w:pPr>
    </w:p>
    <w:p>
      <w:pPr>
        <w:spacing w:after="0" w:line="20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Beginning in January 2014, we issued performance-based RSUs representing the right to receive up to 2.0 shares of Sempra Energy common stock based on Sempra Energy’s four-year EPS compound annual growth rate beginning January 1, 2014 and ending on December 31, 2017. These RSU awards vest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5580" w:type="dxa"/>
            <w:vAlign w:val="bottom"/>
          </w:tcPr>
          <w:p>
            <w:pPr>
              <w:ind w:left="1880"/>
              <w:spacing w:after="0"/>
              <w:rPr>
                <w:sz w:val="20"/>
                <w:szCs w:val="20"/>
                <w:color w:val="auto"/>
              </w:rPr>
            </w:pPr>
            <w:r>
              <w:rPr>
                <w:rFonts w:ascii="Arial" w:cs="Arial" w:eastAsia="Arial" w:hAnsi="Arial"/>
                <w:sz w:val="14"/>
                <w:szCs w:val="14"/>
                <w:color w:val="auto"/>
              </w:rPr>
              <w:t>Number of Sempra Energy Common Shares Received for</w:t>
            </w:r>
          </w:p>
        </w:tc>
      </w:tr>
      <w:tr>
        <w:trPr>
          <w:trHeight w:val="173"/>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Four-Year Earnings Per Share Compound Annual Growth Rate</w:t>
            </w:r>
          </w:p>
        </w:tc>
        <w:tc>
          <w:tcPr>
            <w:tcW w:w="5580" w:type="dxa"/>
            <w:vAlign w:val="bottom"/>
            <w:tcBorders>
              <w:bottom w:val="single" w:sz="8" w:color="auto"/>
            </w:tcBorders>
          </w:tcPr>
          <w:p>
            <w:pPr>
              <w:ind w:left="1880"/>
              <w:spacing w:after="0"/>
              <w:rPr>
                <w:sz w:val="20"/>
                <w:szCs w:val="20"/>
                <w:color w:val="auto"/>
              </w:rPr>
            </w:pPr>
            <w:r>
              <w:rPr>
                <w:rFonts w:ascii="Arial" w:cs="Arial" w:eastAsia="Arial" w:hAnsi="Arial"/>
                <w:sz w:val="14"/>
                <w:szCs w:val="14"/>
                <w:color w:val="auto"/>
              </w:rPr>
              <w:t>Each Performance-Based Restricted Stock Unit(1)(2)</w:t>
            </w:r>
          </w:p>
        </w:tc>
      </w:tr>
      <w:tr>
        <w:trPr>
          <w:trHeight w:val="135"/>
        </w:trPr>
        <w:tc>
          <w:tcPr>
            <w:tcW w:w="5840" w:type="dxa"/>
            <w:vAlign w:val="bottom"/>
          </w:tcPr>
          <w:p>
            <w:pPr>
              <w:spacing w:after="0" w:line="135" w:lineRule="exact"/>
              <w:rPr>
                <w:sz w:val="20"/>
                <w:szCs w:val="20"/>
                <w:color w:val="auto"/>
              </w:rPr>
            </w:pPr>
            <w:r>
              <w:rPr>
                <w:rFonts w:ascii="Arial" w:cs="Arial" w:eastAsia="Arial" w:hAnsi="Arial"/>
                <w:sz w:val="15"/>
                <w:szCs w:val="15"/>
                <w:color w:val="auto"/>
              </w:rPr>
              <w:t>8.0% or above</w:t>
            </w:r>
          </w:p>
        </w:tc>
        <w:tc>
          <w:tcPr>
            <w:tcW w:w="5580" w:type="dxa"/>
            <w:vAlign w:val="bottom"/>
          </w:tcPr>
          <w:p>
            <w:pPr>
              <w:jc w:val="center"/>
              <w:ind w:left="1764"/>
              <w:spacing w:after="0" w:line="135" w:lineRule="exact"/>
              <w:rPr>
                <w:sz w:val="20"/>
                <w:szCs w:val="20"/>
                <w:color w:val="auto"/>
              </w:rPr>
            </w:pPr>
            <w:r>
              <w:rPr>
                <w:rFonts w:ascii="Arial" w:cs="Arial" w:eastAsia="Arial" w:hAnsi="Arial"/>
                <w:sz w:val="15"/>
                <w:szCs w:val="15"/>
                <w:color w:val="auto"/>
              </w:rPr>
              <w:t>2.0</w:t>
            </w:r>
          </w:p>
        </w:tc>
      </w:tr>
      <w:tr>
        <w:trPr>
          <w:trHeight w:val="173"/>
        </w:trPr>
        <w:tc>
          <w:tcPr>
            <w:tcW w:w="5840" w:type="dxa"/>
            <w:vAlign w:val="bottom"/>
          </w:tcPr>
          <w:p>
            <w:pPr>
              <w:spacing w:after="0" w:line="173" w:lineRule="exact"/>
              <w:rPr>
                <w:sz w:val="20"/>
                <w:szCs w:val="20"/>
                <w:color w:val="auto"/>
              </w:rPr>
            </w:pPr>
            <w:r>
              <w:rPr>
                <w:rFonts w:ascii="Arial" w:cs="Arial" w:eastAsia="Arial" w:hAnsi="Arial"/>
                <w:sz w:val="16"/>
                <w:szCs w:val="16"/>
                <w:color w:val="auto"/>
              </w:rPr>
              <w:t>6.7%</w:t>
            </w:r>
          </w:p>
        </w:tc>
        <w:tc>
          <w:tcPr>
            <w:tcW w:w="5580" w:type="dxa"/>
            <w:vAlign w:val="bottom"/>
          </w:tcPr>
          <w:p>
            <w:pPr>
              <w:jc w:val="center"/>
              <w:ind w:left="1764"/>
              <w:spacing w:after="0" w:line="173" w:lineRule="exact"/>
              <w:rPr>
                <w:sz w:val="20"/>
                <w:szCs w:val="20"/>
                <w:color w:val="auto"/>
              </w:rPr>
            </w:pPr>
            <w:r>
              <w:rPr>
                <w:rFonts w:ascii="Arial" w:cs="Arial" w:eastAsia="Arial" w:hAnsi="Arial"/>
                <w:sz w:val="16"/>
                <w:szCs w:val="16"/>
                <w:color w:val="auto"/>
                <w:w w:val="98"/>
              </w:rPr>
              <w:t>1.5</w:t>
            </w:r>
          </w:p>
        </w:tc>
      </w:tr>
      <w:tr>
        <w:trPr>
          <w:trHeight w:val="173"/>
        </w:trPr>
        <w:tc>
          <w:tcPr>
            <w:tcW w:w="5840" w:type="dxa"/>
            <w:vAlign w:val="bottom"/>
          </w:tcPr>
          <w:p>
            <w:pPr>
              <w:spacing w:after="0" w:line="173" w:lineRule="exact"/>
              <w:rPr>
                <w:sz w:val="20"/>
                <w:szCs w:val="20"/>
                <w:color w:val="auto"/>
              </w:rPr>
            </w:pPr>
            <w:r>
              <w:rPr>
                <w:rFonts w:ascii="Arial" w:cs="Arial" w:eastAsia="Arial" w:hAnsi="Arial"/>
                <w:sz w:val="16"/>
                <w:szCs w:val="16"/>
                <w:color w:val="auto"/>
              </w:rPr>
              <w:t>4.4%</w:t>
            </w:r>
          </w:p>
        </w:tc>
        <w:tc>
          <w:tcPr>
            <w:tcW w:w="5580" w:type="dxa"/>
            <w:vAlign w:val="bottom"/>
          </w:tcPr>
          <w:p>
            <w:pPr>
              <w:jc w:val="center"/>
              <w:ind w:left="1764"/>
              <w:spacing w:after="0" w:line="173" w:lineRule="exact"/>
              <w:rPr>
                <w:sz w:val="20"/>
                <w:szCs w:val="20"/>
                <w:color w:val="auto"/>
              </w:rPr>
            </w:pPr>
            <w:r>
              <w:rPr>
                <w:rFonts w:ascii="Arial" w:cs="Arial" w:eastAsia="Arial" w:hAnsi="Arial"/>
                <w:sz w:val="16"/>
                <w:szCs w:val="16"/>
                <w:color w:val="auto"/>
                <w:w w:val="98"/>
              </w:rPr>
              <w:t>1.0</w:t>
            </w:r>
          </w:p>
        </w:tc>
      </w:tr>
      <w:tr>
        <w:trPr>
          <w:trHeight w:val="204"/>
        </w:trPr>
        <w:tc>
          <w:tcPr>
            <w:tcW w:w="5840" w:type="dxa"/>
            <w:vAlign w:val="bottom"/>
          </w:tcPr>
          <w:p>
            <w:pPr>
              <w:spacing w:after="0"/>
              <w:rPr>
                <w:sz w:val="20"/>
                <w:szCs w:val="20"/>
                <w:color w:val="auto"/>
              </w:rPr>
            </w:pPr>
            <w:r>
              <w:rPr>
                <w:rFonts w:ascii="Arial" w:cs="Arial" w:eastAsia="Arial" w:hAnsi="Arial"/>
                <w:sz w:val="16"/>
                <w:szCs w:val="16"/>
                <w:color w:val="auto"/>
              </w:rPr>
              <w:t>3.3% or below</w:t>
            </w:r>
          </w:p>
        </w:tc>
        <w:tc>
          <w:tcPr>
            <w:tcW w:w="5580" w:type="dxa"/>
            <w:vAlign w:val="bottom"/>
          </w:tcPr>
          <w:p>
            <w:pPr>
              <w:jc w:val="center"/>
              <w:ind w:left="1784"/>
              <w:spacing w:after="0"/>
              <w:rPr>
                <w:sz w:val="20"/>
                <w:szCs w:val="20"/>
                <w:color w:val="auto"/>
              </w:rPr>
            </w:pPr>
            <w:r>
              <w:rPr>
                <w:rFonts w:ascii="Arial" w:cs="Arial" w:eastAsia="Arial" w:hAnsi="Arial"/>
                <w:sz w:val="16"/>
                <w:szCs w:val="16"/>
                <w:color w:val="auto"/>
                <w:w w:val="99"/>
              </w:rPr>
              <w:t>―</w:t>
            </w:r>
          </w:p>
        </w:tc>
      </w:tr>
      <w:tr>
        <w:trPr>
          <w:trHeight w:val="80"/>
        </w:trPr>
        <w:tc>
          <w:tcPr>
            <w:tcW w:w="5840" w:type="dxa"/>
            <w:vAlign w:val="bottom"/>
            <w:shd w:val="clear" w:color="auto" w:fill="A6A6A6"/>
          </w:tcPr>
          <w:p>
            <w:pPr>
              <w:spacing w:after="0"/>
              <w:rPr>
                <w:sz w:val="6"/>
                <w:szCs w:val="6"/>
                <w:color w:val="auto"/>
              </w:rPr>
            </w:pPr>
          </w:p>
        </w:tc>
        <w:tc>
          <w:tcPr>
            <w:tcW w:w="5580" w:type="dxa"/>
            <w:vAlign w:val="bottom"/>
            <w:shd w:val="clear" w:color="auto" w:fill="A6A6A6"/>
          </w:tcPr>
          <w:p>
            <w:pPr>
              <w:spacing w:after="0"/>
              <w:rPr>
                <w:sz w:val="6"/>
                <w:szCs w:val="6"/>
                <w:color w:val="auto"/>
              </w:rPr>
            </w:pPr>
          </w:p>
        </w:tc>
      </w:tr>
    </w:tbl>
    <w:p>
      <w:pPr>
        <w:ind w:left="700" w:right="320" w:hanging="694"/>
        <w:spacing w:after="0" w:line="241" w:lineRule="auto"/>
        <w:tabs>
          <w:tab w:leader="none" w:pos="70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Participants also receive additional shares for dividend equivalents on shares subject to RSUs, which are deemed reinvested to purchase additional units that become subject to the same vesting conditions as the RSUs to which the dividends relate.</w:t>
      </w:r>
    </w:p>
    <w:p>
      <w:pPr>
        <w:ind w:left="700" w:hanging="694"/>
        <w:spacing w:after="0"/>
        <w:tabs>
          <w:tab w:leader="none" w:pos="70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If performance falls between the tiers shown above, we calculate the payout using linear interpolation.</w:t>
      </w:r>
    </w:p>
    <w:p>
      <w:pPr>
        <w:spacing w:after="0" w:line="200" w:lineRule="exact"/>
        <w:rPr>
          <w:sz w:val="20"/>
          <w:szCs w:val="20"/>
          <w:color w:val="auto"/>
        </w:rPr>
      </w:pPr>
    </w:p>
    <w:p>
      <w:pPr>
        <w:spacing w:after="0" w:line="20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Our RSAs, which are solely service-based, and those RSUs that are solely service-based represent the right to receive 1.0 share at the end of the service period and have the same dividend equivalent rights as performance-based RSUs. We include RSAs and those RSUs that are solely service-based in potential dilutive shares at 100 percent, subject to the application of the treasury stock method. We include our performance-based RSUs in potential dilutive shares at zero to up to 200 percent to the extent that they currently meet the performance requirements for vesting, subject to the application of the treasury stock method. Due to market fluctuations of both Sempra Energy stock and the comparative indices, dilutive performance-based RSU shares may vary widely from period-to-period. If it were assumed that performance goals for all RSUs were met at maximum levels and if the treasury stock method were not applied to any of our RSAs or RSUs, the incremental potential dilutive shares would be 1,137,593 and 1,206,873 for the three months and six months ended June 30, 2014, respectively, and 1,006,657 and 1,098,081 for the three months and six months ended June 30, 2013, respectively.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5" w:lineRule="exact"/>
        <w:rPr>
          <w:sz w:val="20"/>
          <w:szCs w:val="20"/>
          <w:color w:val="auto"/>
        </w:rPr>
      </w:pPr>
    </w:p>
    <w:p>
      <w:pPr>
        <w:ind w:right="140"/>
        <w:spacing w:after="0" w:line="305" w:lineRule="auto"/>
        <w:rPr>
          <w:sz w:val="20"/>
          <w:szCs w:val="20"/>
          <w:color w:val="auto"/>
        </w:rPr>
      </w:pPr>
      <w:r>
        <w:rPr>
          <w:rFonts w:ascii="Times New Roman" w:cs="Times New Roman" w:eastAsia="Times New Roman" w:hAnsi="Times New Roman"/>
          <w:sz w:val="17"/>
          <w:szCs w:val="17"/>
          <w:color w:val="auto"/>
        </w:rPr>
        <w:t>We discuss our share-based compensation plans in Note 8 of the Notes to Consolidated Financial Statements in the Annual Report. We recorded share-based compensation expense, net of income taxes, of $7 million and $5 million for the three months ended June 30, 2014 and 2013, respectively, and $14 million and</w:t>
      </w:r>
    </w:p>
    <w:p>
      <w:pPr>
        <w:sectPr>
          <w:pgSz w:w="11900" w:h="16838" w:orient="portrait"/>
          <w:cols w:equalWidth="0" w:num="1">
            <w:col w:w="11420"/>
          </w:cols>
          <w:pgMar w:left="240" w:top="126" w:right="239" w:bottom="0" w:gutter="0" w:footer="0" w:header="0"/>
        </w:sectPr>
      </w:pPr>
    </w:p>
    <w:bookmarkStart w:id="18" w:name="page19"/>
    <w:bookmarkEnd w:id="18"/>
    <w:p>
      <w:pPr>
        <w:ind w:right="100"/>
        <w:spacing w:after="0" w:line="253" w:lineRule="auto"/>
        <w:rPr>
          <w:sz w:val="20"/>
          <w:szCs w:val="20"/>
          <w:color w:val="auto"/>
        </w:rPr>
      </w:pPr>
      <w:r>
        <w:rPr>
          <w:rFonts w:ascii="Times New Roman" w:cs="Times New Roman" w:eastAsia="Times New Roman" w:hAnsi="Times New Roman"/>
          <w:sz w:val="18"/>
          <w:szCs w:val="18"/>
          <w:color w:val="auto"/>
        </w:rPr>
        <w:t>$11 million for the six months ended June 30, 2014 and 2013, respectively. Pursuant to our Sempra Energy share-based compensation plans, Sempra Energy’s board of directors granted 444,241 performance-based RSUs and 80,697 service-based RSUs during the six months ended June 30, 2014, primarily in January. Of the 444,241 performance-based RSUs granted, 355,638 vest based on our four-year comparative total shareholder return performance and 88,603 vest based on our four-year EPS compound annual growth rate performance. During the six months ended June 30, 2014, IEnova issued 136,996 RSUs from the IEnova 2013 Long-Term Incentive Plan.</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FINANCING COSTS</w:t>
      </w:r>
    </w:p>
    <w:p>
      <w:pPr>
        <w:spacing w:after="0" w:line="22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Capitalized financing costs include capitalized interest costs and, primarily at the California Utilities, an allowance for funds used during construction (AFUDC) related to both debt and equity financing of construction projects.</w:t>
      </w:r>
    </w:p>
    <w:p>
      <w:pPr>
        <w:spacing w:after="0" w:line="16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Pipeline projects currently under construction by Sempra Mexico that are both regulated by the Comisión Reguladora de Energía (or CRE, the Energy Regulatory Commission) and meet U.S. GAAP regulatory accounting requirements record the impact of AFUDC related to equity. Beginning in the fourth quarter of 2013, Sempra Mexico began recording AFUDC related to equity for its Sonora Pipeline project, which was $11 million and $20 million for the three months and six months ended June 30, 2014,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capitalized financing costs for the three months and six months ended June 30, 2014 and 2013.</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940" w:type="dxa"/>
            <w:vAlign w:val="bottom"/>
            <w:gridSpan w:val="3"/>
            <w:vMerge w:val="restart"/>
          </w:tcPr>
          <w:p>
            <w:pPr>
              <w:jc w:val="right"/>
              <w:ind w:right="242"/>
              <w:spacing w:after="0"/>
              <w:rPr>
                <w:sz w:val="20"/>
                <w:szCs w:val="20"/>
                <w:color w:val="auto"/>
              </w:rPr>
            </w:pPr>
            <w:r>
              <w:rPr>
                <w:rFonts w:ascii="Arial" w:cs="Arial" w:eastAsia="Arial" w:hAnsi="Arial"/>
                <w:sz w:val="14"/>
                <w:szCs w:val="14"/>
                <w:color w:val="auto"/>
              </w:rPr>
              <w:t>Three months ended June 30,</w:t>
            </w:r>
          </w:p>
        </w:tc>
        <w:tc>
          <w:tcPr>
            <w:tcW w:w="460" w:type="dxa"/>
            <w:vAlign w:val="bottom"/>
          </w:tcPr>
          <w:p>
            <w:pPr>
              <w:spacing w:after="0"/>
              <w:rPr>
                <w:sz w:val="14"/>
                <w:szCs w:val="14"/>
                <w:color w:val="auto"/>
              </w:rPr>
            </w:pPr>
          </w:p>
        </w:tc>
        <w:tc>
          <w:tcPr>
            <w:tcW w:w="400" w:type="dxa"/>
            <w:vAlign w:val="bottom"/>
            <w:shd w:val="clear" w:color="auto" w:fill="C0C0C0"/>
          </w:tcPr>
          <w:p>
            <w:pPr>
              <w:spacing w:after="0"/>
              <w:rPr>
                <w:sz w:val="14"/>
                <w:szCs w:val="14"/>
                <w:color w:val="auto"/>
              </w:rPr>
            </w:pPr>
          </w:p>
        </w:tc>
        <w:tc>
          <w:tcPr>
            <w:tcW w:w="130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134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560" w:type="dxa"/>
            <w:vAlign w:val="bottom"/>
          </w:tcPr>
          <w:p>
            <w:pPr>
              <w:spacing w:after="0"/>
              <w:rPr>
                <w:sz w:val="13"/>
                <w:szCs w:val="13"/>
                <w:color w:val="auto"/>
              </w:rPr>
            </w:pPr>
          </w:p>
        </w:tc>
        <w:tc>
          <w:tcPr>
            <w:tcW w:w="2940" w:type="dxa"/>
            <w:vAlign w:val="bottom"/>
            <w:tcBorders>
              <w:bottom w:val="single" w:sz="8" w:color="auto"/>
            </w:tcBorders>
            <w:gridSpan w:val="3"/>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3"/>
          </w:tcPr>
          <w:p>
            <w:pPr>
              <w:jc w:val="right"/>
              <w:ind w:right="801"/>
              <w:spacing w:after="0" w:line="159" w:lineRule="exact"/>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66"/>
        </w:trPr>
        <w:tc>
          <w:tcPr>
            <w:tcW w:w="45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color w:val="auto"/>
              </w:rPr>
              <w:t>2014</w:t>
            </w: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2013</w:t>
            </w: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color w:val="auto"/>
              </w:rPr>
              <w:t>2014</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5"/>
                <w:szCs w:val="15"/>
                <w:b w:val="1"/>
                <w:bCs w:val="1"/>
                <w:color w:val="auto"/>
              </w:rPr>
              <w:t>Sempra Energy Consolidated:</w:t>
            </w:r>
          </w:p>
        </w:tc>
        <w:tc>
          <w:tcPr>
            <w:tcW w:w="1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560" w:type="dxa"/>
            <w:vAlign w:val="bottom"/>
          </w:tcPr>
          <w:p>
            <w:pPr>
              <w:ind w:left="180"/>
              <w:spacing w:after="0" w:line="173" w:lineRule="exact"/>
              <w:rPr>
                <w:sz w:val="20"/>
                <w:szCs w:val="20"/>
                <w:color w:val="auto"/>
              </w:rPr>
            </w:pPr>
            <w:r>
              <w:rPr>
                <w:rFonts w:ascii="Arial" w:cs="Arial" w:eastAsia="Arial" w:hAnsi="Arial"/>
                <w:sz w:val="16"/>
                <w:szCs w:val="16"/>
                <w:color w:val="auto"/>
              </w:rPr>
              <w:t>AFUDC related to debt</w:t>
            </w:r>
          </w:p>
        </w:tc>
        <w:tc>
          <w:tcPr>
            <w:tcW w:w="1220" w:type="dxa"/>
            <w:vAlign w:val="bottom"/>
          </w:tcPr>
          <w:p>
            <w:pPr>
              <w:jc w:val="right"/>
              <w:ind w:right="106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1260" w:type="dxa"/>
            <w:vAlign w:val="bottom"/>
          </w:tcPr>
          <w:p>
            <w:pPr>
              <w:jc w:val="right"/>
              <w:ind w:right="1082"/>
              <w:spacing w:after="0" w:line="173" w:lineRule="exact"/>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line="173" w:lineRule="exact"/>
              <w:rPr>
                <w:sz w:val="20"/>
                <w:szCs w:val="20"/>
                <w:color w:val="auto"/>
              </w:rPr>
            </w:pPr>
            <w:r>
              <w:rPr>
                <w:rFonts w:ascii="Arial" w:cs="Arial" w:eastAsia="Arial" w:hAnsi="Arial"/>
                <w:sz w:val="16"/>
                <w:szCs w:val="16"/>
                <w:color w:val="auto"/>
              </w:rPr>
              <w:t>5</w:t>
            </w:r>
          </w:p>
        </w:tc>
        <w:tc>
          <w:tcPr>
            <w:tcW w:w="400" w:type="dxa"/>
            <w:vAlign w:val="bottom"/>
          </w:tcPr>
          <w:p>
            <w:pPr>
              <w:jc w:val="right"/>
              <w:ind w:right="220"/>
              <w:spacing w:after="0" w:line="173"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10</w:t>
            </w:r>
          </w:p>
        </w:tc>
        <w:tc>
          <w:tcPr>
            <w:tcW w:w="420" w:type="dxa"/>
            <w:vAlign w:val="bottom"/>
          </w:tcPr>
          <w:p>
            <w:pPr>
              <w:jc w:val="right"/>
              <w:ind w:right="240"/>
              <w:spacing w:after="0" w:line="173" w:lineRule="exact"/>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line="173"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73"/>
        </w:trPr>
        <w:tc>
          <w:tcPr>
            <w:tcW w:w="4560" w:type="dxa"/>
            <w:vAlign w:val="bottom"/>
          </w:tcPr>
          <w:p>
            <w:pPr>
              <w:ind w:left="180"/>
              <w:spacing w:after="0" w:line="173" w:lineRule="exact"/>
              <w:rPr>
                <w:sz w:val="20"/>
                <w:szCs w:val="20"/>
                <w:color w:val="auto"/>
              </w:rPr>
            </w:pPr>
            <w:r>
              <w:rPr>
                <w:rFonts w:ascii="Arial" w:cs="Arial" w:eastAsia="Arial" w:hAnsi="Arial"/>
                <w:sz w:val="16"/>
                <w:szCs w:val="16"/>
                <w:color w:val="auto"/>
              </w:rPr>
              <w:t>AFUDC related to equity</w:t>
            </w:r>
          </w:p>
        </w:tc>
        <w:tc>
          <w:tcPr>
            <w:tcW w:w="1220" w:type="dxa"/>
            <w:vAlign w:val="bottom"/>
          </w:tcPr>
          <w:p>
            <w:pPr>
              <w:spacing w:after="0"/>
              <w:rPr>
                <w:sz w:val="15"/>
                <w:szCs w:val="15"/>
                <w:color w:val="auto"/>
              </w:rPr>
            </w:pPr>
          </w:p>
        </w:tc>
        <w:tc>
          <w:tcPr>
            <w:tcW w:w="460" w:type="dxa"/>
            <w:vAlign w:val="bottom"/>
          </w:tcPr>
          <w:p>
            <w:pPr>
              <w:jc w:val="right"/>
              <w:spacing w:after="0" w:line="173" w:lineRule="exact"/>
              <w:rPr>
                <w:sz w:val="20"/>
                <w:szCs w:val="20"/>
                <w:color w:val="auto"/>
              </w:rPr>
            </w:pPr>
            <w:r>
              <w:rPr>
                <w:rFonts w:ascii="Arial" w:cs="Arial" w:eastAsia="Arial" w:hAnsi="Arial"/>
                <w:sz w:val="16"/>
                <w:szCs w:val="16"/>
                <w:color w:val="auto"/>
              </w:rPr>
              <w:t>24</w:t>
            </w:r>
          </w:p>
        </w:tc>
        <w:tc>
          <w:tcPr>
            <w:tcW w:w="1260" w:type="dxa"/>
            <w:vAlign w:val="bottom"/>
          </w:tcPr>
          <w:p>
            <w:pPr>
              <w:spacing w:after="0"/>
              <w:rPr>
                <w:sz w:val="15"/>
                <w:szCs w:val="15"/>
                <w:color w:val="auto"/>
              </w:rPr>
            </w:pPr>
          </w:p>
        </w:tc>
        <w:tc>
          <w:tcPr>
            <w:tcW w:w="460" w:type="dxa"/>
            <w:vAlign w:val="bottom"/>
          </w:tcPr>
          <w:p>
            <w:pPr>
              <w:jc w:val="right"/>
              <w:spacing w:after="0" w:line="173" w:lineRule="exact"/>
              <w:rPr>
                <w:sz w:val="20"/>
                <w:szCs w:val="20"/>
                <w:color w:val="auto"/>
              </w:rPr>
            </w:pPr>
            <w:r>
              <w:rPr>
                <w:rFonts w:ascii="Arial" w:cs="Arial" w:eastAsia="Arial" w:hAnsi="Arial"/>
                <w:sz w:val="16"/>
                <w:szCs w:val="16"/>
                <w:color w:val="auto"/>
              </w:rPr>
              <w:t>15</w:t>
            </w:r>
          </w:p>
        </w:tc>
        <w:tc>
          <w:tcPr>
            <w:tcW w:w="40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49</w:t>
            </w:r>
          </w:p>
        </w:tc>
        <w:tc>
          <w:tcPr>
            <w:tcW w:w="420" w:type="dxa"/>
            <w:vAlign w:val="bottom"/>
          </w:tcPr>
          <w:p>
            <w:pPr>
              <w:spacing w:after="0"/>
              <w:rPr>
                <w:sz w:val="15"/>
                <w:szCs w:val="15"/>
                <w:color w:val="auto"/>
              </w:rPr>
            </w:pPr>
          </w:p>
        </w:tc>
        <w:tc>
          <w:tcPr>
            <w:tcW w:w="1340" w:type="dxa"/>
            <w:vAlign w:val="bottom"/>
          </w:tcPr>
          <w:p>
            <w:pPr>
              <w:jc w:val="right"/>
              <w:spacing w:after="0" w:line="173"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4"/>
        </w:trPr>
        <w:tc>
          <w:tcPr>
            <w:tcW w:w="4560" w:type="dxa"/>
            <w:vAlign w:val="bottom"/>
          </w:tcPr>
          <w:p>
            <w:pPr>
              <w:ind w:left="180"/>
              <w:spacing w:after="0"/>
              <w:rPr>
                <w:sz w:val="20"/>
                <w:szCs w:val="20"/>
                <w:color w:val="auto"/>
              </w:rPr>
            </w:pPr>
            <w:r>
              <w:rPr>
                <w:rFonts w:ascii="Arial" w:cs="Arial" w:eastAsia="Arial" w:hAnsi="Arial"/>
                <w:sz w:val="16"/>
                <w:szCs w:val="16"/>
                <w:color w:val="auto"/>
              </w:rPr>
              <w:t>Other capitalized financing costs</w:t>
            </w:r>
          </w:p>
        </w:tc>
        <w:tc>
          <w:tcPr>
            <w:tcW w:w="1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6"/>
        </w:trPr>
        <w:tc>
          <w:tcPr>
            <w:tcW w:w="4560" w:type="dxa"/>
            <w:vAlign w:val="bottom"/>
          </w:tcPr>
          <w:p>
            <w:pPr>
              <w:ind w:left="360"/>
              <w:spacing w:after="0" w:line="166" w:lineRule="exact"/>
              <w:rPr>
                <w:sz w:val="20"/>
                <w:szCs w:val="20"/>
                <w:color w:val="auto"/>
              </w:rPr>
            </w:pPr>
            <w:r>
              <w:rPr>
                <w:rFonts w:ascii="Arial" w:cs="Arial" w:eastAsia="Arial" w:hAnsi="Arial"/>
                <w:sz w:val="16"/>
                <w:szCs w:val="16"/>
                <w:color w:val="auto"/>
              </w:rPr>
              <w:t>Total Sempra Energy Consolidated</w:t>
            </w:r>
          </w:p>
        </w:tc>
        <w:tc>
          <w:tcPr>
            <w:tcW w:w="1220" w:type="dxa"/>
            <w:vAlign w:val="bottom"/>
          </w:tcPr>
          <w:p>
            <w:pPr>
              <w:jc w:val="right"/>
              <w:ind w:right="1067"/>
              <w:spacing w:after="0" w:line="167" w:lineRule="exact"/>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line="166" w:lineRule="exact"/>
              <w:rPr>
                <w:sz w:val="20"/>
                <w:szCs w:val="20"/>
                <w:color w:val="auto"/>
              </w:rPr>
            </w:pPr>
            <w:r>
              <w:rPr>
                <w:rFonts w:ascii="Arial" w:cs="Arial" w:eastAsia="Arial" w:hAnsi="Arial"/>
                <w:sz w:val="16"/>
                <w:szCs w:val="16"/>
                <w:color w:val="auto"/>
              </w:rPr>
              <w:t>36</w:t>
            </w:r>
          </w:p>
        </w:tc>
        <w:tc>
          <w:tcPr>
            <w:tcW w:w="1260" w:type="dxa"/>
            <w:vAlign w:val="bottom"/>
          </w:tcPr>
          <w:p>
            <w:pPr>
              <w:jc w:val="right"/>
              <w:ind w:right="1082"/>
              <w:spacing w:after="0" w:line="166" w:lineRule="exact"/>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line="166" w:lineRule="exact"/>
              <w:rPr>
                <w:sz w:val="20"/>
                <w:szCs w:val="20"/>
                <w:color w:val="auto"/>
              </w:rPr>
            </w:pPr>
            <w:r>
              <w:rPr>
                <w:rFonts w:ascii="Arial" w:cs="Arial" w:eastAsia="Arial" w:hAnsi="Arial"/>
                <w:sz w:val="16"/>
                <w:szCs w:val="16"/>
                <w:color w:val="auto"/>
              </w:rPr>
              <w:t>28</w:t>
            </w:r>
          </w:p>
        </w:tc>
        <w:tc>
          <w:tcPr>
            <w:tcW w:w="400" w:type="dxa"/>
            <w:vAlign w:val="bottom"/>
          </w:tcPr>
          <w:p>
            <w:pPr>
              <w:jc w:val="right"/>
              <w:ind w:right="220"/>
              <w:spacing w:after="0" w:line="166"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66" w:lineRule="exact"/>
              <w:rPr>
                <w:sz w:val="20"/>
                <w:szCs w:val="20"/>
                <w:color w:val="auto"/>
              </w:rPr>
            </w:pPr>
            <w:r>
              <w:rPr>
                <w:rFonts w:ascii="Arial" w:cs="Arial" w:eastAsia="Arial" w:hAnsi="Arial"/>
                <w:sz w:val="16"/>
                <w:szCs w:val="16"/>
                <w:color w:val="auto"/>
              </w:rPr>
              <w:t>75</w:t>
            </w:r>
          </w:p>
        </w:tc>
        <w:tc>
          <w:tcPr>
            <w:tcW w:w="420" w:type="dxa"/>
            <w:vAlign w:val="bottom"/>
          </w:tcPr>
          <w:p>
            <w:pPr>
              <w:jc w:val="right"/>
              <w:ind w:right="240"/>
              <w:spacing w:after="0" w:line="166" w:lineRule="exact"/>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line="166" w:lineRule="exact"/>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80"/>
        </w:trPr>
        <w:tc>
          <w:tcPr>
            <w:tcW w:w="4560" w:type="dxa"/>
            <w:vAlign w:val="bottom"/>
            <w:shd w:val="clear" w:color="auto" w:fill="000000"/>
          </w:tcPr>
          <w:p>
            <w:pPr>
              <w:spacing w:after="0"/>
              <w:rPr>
                <w:sz w:val="6"/>
                <w:szCs w:val="6"/>
                <w:color w:val="auto"/>
              </w:rPr>
            </w:pPr>
          </w:p>
        </w:tc>
        <w:tc>
          <w:tcPr>
            <w:tcW w:w="122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126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13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560" w:type="dxa"/>
            <w:vAlign w:val="bottom"/>
          </w:tcPr>
          <w:p>
            <w:pPr>
              <w:spacing w:after="0" w:line="142" w:lineRule="exact"/>
              <w:rPr>
                <w:sz w:val="20"/>
                <w:szCs w:val="20"/>
                <w:color w:val="auto"/>
              </w:rPr>
            </w:pPr>
            <w:r>
              <w:rPr>
                <w:rFonts w:ascii="Arial" w:cs="Arial" w:eastAsia="Arial" w:hAnsi="Arial"/>
                <w:sz w:val="16"/>
                <w:szCs w:val="16"/>
                <w:b w:val="1"/>
                <w:bCs w:val="1"/>
                <w:color w:val="auto"/>
              </w:rPr>
              <w:t>SDG&amp;E:</w:t>
            </w: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tcPr>
          <w:p>
            <w:pPr>
              <w:ind w:left="180"/>
              <w:spacing w:after="0" w:line="173" w:lineRule="exact"/>
              <w:rPr>
                <w:sz w:val="20"/>
                <w:szCs w:val="20"/>
                <w:color w:val="auto"/>
              </w:rPr>
            </w:pPr>
            <w:r>
              <w:rPr>
                <w:rFonts w:ascii="Arial" w:cs="Arial" w:eastAsia="Arial" w:hAnsi="Arial"/>
                <w:sz w:val="16"/>
                <w:szCs w:val="16"/>
                <w:color w:val="auto"/>
              </w:rPr>
              <w:t>AFUDC related to debt</w:t>
            </w:r>
          </w:p>
        </w:tc>
        <w:tc>
          <w:tcPr>
            <w:tcW w:w="1220" w:type="dxa"/>
            <w:vAlign w:val="bottom"/>
          </w:tcPr>
          <w:p>
            <w:pPr>
              <w:jc w:val="right"/>
              <w:ind w:right="106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line="173" w:lineRule="exact"/>
              <w:rPr>
                <w:sz w:val="20"/>
                <w:szCs w:val="20"/>
                <w:color w:val="auto"/>
              </w:rPr>
            </w:pPr>
            <w:r>
              <w:rPr>
                <w:rFonts w:ascii="Arial" w:cs="Arial" w:eastAsia="Arial" w:hAnsi="Arial"/>
                <w:sz w:val="16"/>
                <w:szCs w:val="16"/>
                <w:color w:val="auto"/>
              </w:rPr>
              <w:t>3</w:t>
            </w:r>
          </w:p>
        </w:tc>
        <w:tc>
          <w:tcPr>
            <w:tcW w:w="1260" w:type="dxa"/>
            <w:vAlign w:val="bottom"/>
          </w:tcPr>
          <w:p>
            <w:pPr>
              <w:jc w:val="right"/>
              <w:ind w:right="1082"/>
              <w:spacing w:after="0" w:line="173" w:lineRule="exact"/>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400" w:type="dxa"/>
            <w:vAlign w:val="bottom"/>
          </w:tcPr>
          <w:p>
            <w:pPr>
              <w:jc w:val="right"/>
              <w:ind w:right="220"/>
              <w:spacing w:after="0" w:line="173"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7</w:t>
            </w:r>
          </w:p>
        </w:tc>
        <w:tc>
          <w:tcPr>
            <w:tcW w:w="420" w:type="dxa"/>
            <w:vAlign w:val="bottom"/>
          </w:tcPr>
          <w:p>
            <w:pPr>
              <w:jc w:val="right"/>
              <w:ind w:right="240"/>
              <w:spacing w:after="0" w:line="173" w:lineRule="exact"/>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line="173"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4"/>
        </w:trPr>
        <w:tc>
          <w:tcPr>
            <w:tcW w:w="4560" w:type="dxa"/>
            <w:vAlign w:val="bottom"/>
          </w:tcPr>
          <w:p>
            <w:pPr>
              <w:ind w:left="180"/>
              <w:spacing w:after="0"/>
              <w:rPr>
                <w:sz w:val="20"/>
                <w:szCs w:val="20"/>
                <w:color w:val="auto"/>
              </w:rPr>
            </w:pPr>
            <w:r>
              <w:rPr>
                <w:rFonts w:ascii="Arial" w:cs="Arial" w:eastAsia="Arial" w:hAnsi="Arial"/>
                <w:sz w:val="16"/>
                <w:szCs w:val="16"/>
                <w:color w:val="auto"/>
              </w:rPr>
              <w:t>AFUDC related to equity</w:t>
            </w:r>
          </w:p>
        </w:tc>
        <w:tc>
          <w:tcPr>
            <w:tcW w:w="1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66"/>
        </w:trPr>
        <w:tc>
          <w:tcPr>
            <w:tcW w:w="4560" w:type="dxa"/>
            <w:vAlign w:val="bottom"/>
          </w:tcPr>
          <w:p>
            <w:pPr>
              <w:ind w:left="360"/>
              <w:spacing w:after="0" w:line="166" w:lineRule="exact"/>
              <w:rPr>
                <w:sz w:val="20"/>
                <w:szCs w:val="20"/>
                <w:color w:val="auto"/>
              </w:rPr>
            </w:pPr>
            <w:r>
              <w:rPr>
                <w:rFonts w:ascii="Arial" w:cs="Arial" w:eastAsia="Arial" w:hAnsi="Arial"/>
                <w:sz w:val="16"/>
                <w:szCs w:val="16"/>
                <w:color w:val="auto"/>
              </w:rPr>
              <w:t>Total SDG&amp;E</w:t>
            </w:r>
          </w:p>
        </w:tc>
        <w:tc>
          <w:tcPr>
            <w:tcW w:w="1220" w:type="dxa"/>
            <w:vAlign w:val="bottom"/>
          </w:tcPr>
          <w:p>
            <w:pPr>
              <w:jc w:val="right"/>
              <w:ind w:right="1067"/>
              <w:spacing w:after="0" w:line="167" w:lineRule="exact"/>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line="166" w:lineRule="exact"/>
              <w:rPr>
                <w:sz w:val="20"/>
                <w:szCs w:val="20"/>
                <w:color w:val="auto"/>
              </w:rPr>
            </w:pPr>
            <w:r>
              <w:rPr>
                <w:rFonts w:ascii="Arial" w:cs="Arial" w:eastAsia="Arial" w:hAnsi="Arial"/>
                <w:sz w:val="16"/>
                <w:szCs w:val="16"/>
                <w:color w:val="auto"/>
              </w:rPr>
              <w:t>10</w:t>
            </w:r>
          </w:p>
        </w:tc>
        <w:tc>
          <w:tcPr>
            <w:tcW w:w="1260" w:type="dxa"/>
            <w:vAlign w:val="bottom"/>
          </w:tcPr>
          <w:p>
            <w:pPr>
              <w:jc w:val="right"/>
              <w:ind w:right="1082"/>
              <w:spacing w:after="0" w:line="166" w:lineRule="exact"/>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line="166" w:lineRule="exact"/>
              <w:rPr>
                <w:sz w:val="20"/>
                <w:szCs w:val="20"/>
                <w:color w:val="auto"/>
              </w:rPr>
            </w:pPr>
            <w:r>
              <w:rPr>
                <w:rFonts w:ascii="Arial" w:cs="Arial" w:eastAsia="Arial" w:hAnsi="Arial"/>
                <w:sz w:val="16"/>
                <w:szCs w:val="16"/>
                <w:color w:val="auto"/>
              </w:rPr>
              <w:t>14</w:t>
            </w:r>
          </w:p>
        </w:tc>
        <w:tc>
          <w:tcPr>
            <w:tcW w:w="400" w:type="dxa"/>
            <w:vAlign w:val="bottom"/>
          </w:tcPr>
          <w:p>
            <w:pPr>
              <w:jc w:val="right"/>
              <w:ind w:right="220"/>
              <w:spacing w:after="0" w:line="166"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66" w:lineRule="exact"/>
              <w:rPr>
                <w:sz w:val="20"/>
                <w:szCs w:val="20"/>
                <w:color w:val="auto"/>
              </w:rPr>
            </w:pPr>
            <w:r>
              <w:rPr>
                <w:rFonts w:ascii="Arial" w:cs="Arial" w:eastAsia="Arial" w:hAnsi="Arial"/>
                <w:sz w:val="16"/>
                <w:szCs w:val="16"/>
                <w:color w:val="auto"/>
              </w:rPr>
              <w:t>25</w:t>
            </w:r>
          </w:p>
        </w:tc>
        <w:tc>
          <w:tcPr>
            <w:tcW w:w="420" w:type="dxa"/>
            <w:vAlign w:val="bottom"/>
          </w:tcPr>
          <w:p>
            <w:pPr>
              <w:jc w:val="right"/>
              <w:ind w:right="240"/>
              <w:spacing w:after="0" w:line="166" w:lineRule="exact"/>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line="166"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80"/>
        </w:trPr>
        <w:tc>
          <w:tcPr>
            <w:tcW w:w="4560" w:type="dxa"/>
            <w:vAlign w:val="bottom"/>
            <w:shd w:val="clear" w:color="auto" w:fill="000000"/>
          </w:tcPr>
          <w:p>
            <w:pPr>
              <w:spacing w:after="0"/>
              <w:rPr>
                <w:sz w:val="6"/>
                <w:szCs w:val="6"/>
                <w:color w:val="auto"/>
              </w:rPr>
            </w:pPr>
          </w:p>
        </w:tc>
        <w:tc>
          <w:tcPr>
            <w:tcW w:w="122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126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13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560" w:type="dxa"/>
            <w:vAlign w:val="bottom"/>
          </w:tcPr>
          <w:p>
            <w:pPr>
              <w:spacing w:after="0" w:line="142" w:lineRule="exact"/>
              <w:rPr>
                <w:sz w:val="20"/>
                <w:szCs w:val="20"/>
                <w:color w:val="auto"/>
              </w:rPr>
            </w:pPr>
            <w:r>
              <w:rPr>
                <w:rFonts w:ascii="Arial" w:cs="Arial" w:eastAsia="Arial" w:hAnsi="Arial"/>
                <w:sz w:val="16"/>
                <w:szCs w:val="16"/>
                <w:b w:val="1"/>
                <w:bCs w:val="1"/>
                <w:color w:val="auto"/>
              </w:rPr>
              <w:t>SoCalGas:</w:t>
            </w: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tcPr>
          <w:p>
            <w:pPr>
              <w:ind w:left="180"/>
              <w:spacing w:after="0" w:line="173" w:lineRule="exact"/>
              <w:rPr>
                <w:sz w:val="20"/>
                <w:szCs w:val="20"/>
                <w:color w:val="auto"/>
              </w:rPr>
            </w:pPr>
            <w:r>
              <w:rPr>
                <w:rFonts w:ascii="Arial" w:cs="Arial" w:eastAsia="Arial" w:hAnsi="Arial"/>
                <w:sz w:val="16"/>
                <w:szCs w:val="16"/>
                <w:color w:val="auto"/>
              </w:rPr>
              <w:t>AFUDC related to debt</w:t>
            </w:r>
          </w:p>
        </w:tc>
        <w:tc>
          <w:tcPr>
            <w:tcW w:w="1220" w:type="dxa"/>
            <w:vAlign w:val="bottom"/>
          </w:tcPr>
          <w:p>
            <w:pPr>
              <w:jc w:val="right"/>
              <w:ind w:right="106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1260" w:type="dxa"/>
            <w:vAlign w:val="bottom"/>
          </w:tcPr>
          <w:p>
            <w:pPr>
              <w:jc w:val="right"/>
              <w:ind w:right="1082"/>
              <w:spacing w:after="0" w:line="173" w:lineRule="exact"/>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400" w:type="dxa"/>
            <w:vAlign w:val="bottom"/>
          </w:tcPr>
          <w:p>
            <w:pPr>
              <w:jc w:val="right"/>
              <w:ind w:right="220"/>
              <w:spacing w:after="0" w:line="173"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3</w:t>
            </w:r>
          </w:p>
        </w:tc>
        <w:tc>
          <w:tcPr>
            <w:tcW w:w="420" w:type="dxa"/>
            <w:vAlign w:val="bottom"/>
          </w:tcPr>
          <w:p>
            <w:pPr>
              <w:jc w:val="right"/>
              <w:ind w:right="240"/>
              <w:spacing w:after="0" w:line="173" w:lineRule="exact"/>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line="17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4"/>
        </w:trPr>
        <w:tc>
          <w:tcPr>
            <w:tcW w:w="4560" w:type="dxa"/>
            <w:vAlign w:val="bottom"/>
          </w:tcPr>
          <w:p>
            <w:pPr>
              <w:ind w:left="180"/>
              <w:spacing w:after="0"/>
              <w:rPr>
                <w:sz w:val="20"/>
                <w:szCs w:val="20"/>
                <w:color w:val="auto"/>
              </w:rPr>
            </w:pPr>
            <w:r>
              <w:rPr>
                <w:rFonts w:ascii="Arial" w:cs="Arial" w:eastAsia="Arial" w:hAnsi="Arial"/>
                <w:sz w:val="16"/>
                <w:szCs w:val="16"/>
                <w:color w:val="auto"/>
              </w:rPr>
              <w:t>AFUDC related to equity</w:t>
            </w:r>
          </w:p>
        </w:tc>
        <w:tc>
          <w:tcPr>
            <w:tcW w:w="1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6"/>
        </w:trPr>
        <w:tc>
          <w:tcPr>
            <w:tcW w:w="4560" w:type="dxa"/>
            <w:vAlign w:val="bottom"/>
          </w:tcPr>
          <w:p>
            <w:pPr>
              <w:ind w:left="360"/>
              <w:spacing w:after="0" w:line="166" w:lineRule="exact"/>
              <w:rPr>
                <w:sz w:val="20"/>
                <w:szCs w:val="20"/>
                <w:color w:val="auto"/>
              </w:rPr>
            </w:pPr>
            <w:r>
              <w:rPr>
                <w:rFonts w:ascii="Arial" w:cs="Arial" w:eastAsia="Arial" w:hAnsi="Arial"/>
                <w:sz w:val="16"/>
                <w:szCs w:val="16"/>
                <w:color w:val="auto"/>
              </w:rPr>
              <w:t>Total SoCalGas</w:t>
            </w:r>
          </w:p>
        </w:tc>
        <w:tc>
          <w:tcPr>
            <w:tcW w:w="1220" w:type="dxa"/>
            <w:vAlign w:val="bottom"/>
          </w:tcPr>
          <w:p>
            <w:pPr>
              <w:jc w:val="right"/>
              <w:ind w:right="1067"/>
              <w:spacing w:after="0" w:line="167" w:lineRule="exact"/>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line="166" w:lineRule="exact"/>
              <w:rPr>
                <w:sz w:val="20"/>
                <w:szCs w:val="20"/>
                <w:color w:val="auto"/>
              </w:rPr>
            </w:pPr>
            <w:r>
              <w:rPr>
                <w:rFonts w:ascii="Arial" w:cs="Arial" w:eastAsia="Arial" w:hAnsi="Arial"/>
                <w:sz w:val="16"/>
                <w:szCs w:val="16"/>
                <w:color w:val="auto"/>
              </w:rPr>
              <w:t>7</w:t>
            </w:r>
          </w:p>
        </w:tc>
        <w:tc>
          <w:tcPr>
            <w:tcW w:w="1260" w:type="dxa"/>
            <w:vAlign w:val="bottom"/>
          </w:tcPr>
          <w:p>
            <w:pPr>
              <w:jc w:val="right"/>
              <w:ind w:right="1082"/>
              <w:spacing w:after="0" w:line="166" w:lineRule="exact"/>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line="166" w:lineRule="exact"/>
              <w:rPr>
                <w:sz w:val="20"/>
                <w:szCs w:val="20"/>
                <w:color w:val="auto"/>
              </w:rPr>
            </w:pPr>
            <w:r>
              <w:rPr>
                <w:rFonts w:ascii="Arial" w:cs="Arial" w:eastAsia="Arial" w:hAnsi="Arial"/>
                <w:sz w:val="16"/>
                <w:szCs w:val="16"/>
                <w:color w:val="auto"/>
              </w:rPr>
              <w:t>6</w:t>
            </w:r>
          </w:p>
        </w:tc>
        <w:tc>
          <w:tcPr>
            <w:tcW w:w="400" w:type="dxa"/>
            <w:vAlign w:val="bottom"/>
          </w:tcPr>
          <w:p>
            <w:pPr>
              <w:jc w:val="right"/>
              <w:ind w:right="220"/>
              <w:spacing w:after="0" w:line="166"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66" w:lineRule="exact"/>
              <w:rPr>
                <w:sz w:val="20"/>
                <w:szCs w:val="20"/>
                <w:color w:val="auto"/>
              </w:rPr>
            </w:pPr>
            <w:r>
              <w:rPr>
                <w:rFonts w:ascii="Arial" w:cs="Arial" w:eastAsia="Arial" w:hAnsi="Arial"/>
                <w:sz w:val="16"/>
                <w:szCs w:val="16"/>
                <w:color w:val="auto"/>
              </w:rPr>
              <w:t>14</w:t>
            </w:r>
          </w:p>
        </w:tc>
        <w:tc>
          <w:tcPr>
            <w:tcW w:w="420" w:type="dxa"/>
            <w:vAlign w:val="bottom"/>
          </w:tcPr>
          <w:p>
            <w:pPr>
              <w:jc w:val="right"/>
              <w:ind w:right="240"/>
              <w:spacing w:after="0" w:line="166" w:lineRule="exact"/>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line="166"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80"/>
        </w:trPr>
        <w:tc>
          <w:tcPr>
            <w:tcW w:w="4560" w:type="dxa"/>
            <w:vAlign w:val="bottom"/>
            <w:shd w:val="clear" w:color="auto" w:fill="000000"/>
          </w:tcPr>
          <w:p>
            <w:pPr>
              <w:spacing w:after="0"/>
              <w:rPr>
                <w:sz w:val="6"/>
                <w:szCs w:val="6"/>
                <w:color w:val="auto"/>
              </w:rPr>
            </w:pPr>
          </w:p>
        </w:tc>
        <w:tc>
          <w:tcPr>
            <w:tcW w:w="122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126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13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following tables present the changes in Accumulated Other Comprehensive Income (Loss) (AOCI) by component and amounts reclassified out of AOCI to net income, excluding amounts attributable to noncontrolling interests:</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ACCUMULATED OTHER COMPREHENSIVE INCOME (LOSS) BY COMPONENT(1)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SEMPRA ENERGY CONSOLIDATED</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41"/>
        </w:trPr>
        <w:tc>
          <w:tcPr>
            <w:tcW w:w="3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80" w:type="dxa"/>
            <w:vAlign w:val="bottom"/>
            <w:gridSpan w:val="2"/>
          </w:tcPr>
          <w:p>
            <w:pPr>
              <w:jc w:val="center"/>
              <w:ind w:right="222"/>
              <w:spacing w:after="0" w:line="141" w:lineRule="exact"/>
              <w:rPr>
                <w:sz w:val="20"/>
                <w:szCs w:val="20"/>
                <w:color w:val="auto"/>
              </w:rPr>
            </w:pPr>
            <w:r>
              <w:rPr>
                <w:rFonts w:ascii="Arial" w:cs="Arial" w:eastAsia="Arial" w:hAnsi="Arial"/>
                <w:sz w:val="14"/>
                <w:szCs w:val="14"/>
                <w:color w:val="auto"/>
              </w:rPr>
              <w:t>Pension and Other</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2"/>
          </w:tcPr>
          <w:p>
            <w:pPr>
              <w:jc w:val="center"/>
              <w:ind w:right="202"/>
              <w:spacing w:after="0"/>
              <w:rPr>
                <w:sz w:val="20"/>
                <w:szCs w:val="20"/>
                <w:color w:val="auto"/>
              </w:rPr>
            </w:pPr>
            <w:r>
              <w:rPr>
                <w:rFonts w:ascii="Arial" w:cs="Arial" w:eastAsia="Arial" w:hAnsi="Arial"/>
                <w:sz w:val="14"/>
                <w:szCs w:val="14"/>
                <w:color w:val="auto"/>
              </w:rPr>
              <w:t>Postretirement Benefits</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color w:val="auto"/>
              </w:rPr>
              <w:t>Foreign</w:t>
            </w: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tcPr>
          <w:p>
            <w:pPr>
              <w:jc w:val="center"/>
              <w:ind w:right="142"/>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color w:val="auto"/>
              </w:rPr>
              <w:t>Currency</w:t>
            </w:r>
          </w:p>
        </w:tc>
        <w:tc>
          <w:tcPr>
            <w:tcW w:w="1500" w:type="dxa"/>
            <w:vAlign w:val="bottom"/>
          </w:tcPr>
          <w:p>
            <w:pPr>
              <w:jc w:val="center"/>
              <w:ind w:right="423"/>
              <w:spacing w:after="0"/>
              <w:rPr>
                <w:sz w:val="20"/>
                <w:szCs w:val="20"/>
                <w:color w:val="auto"/>
              </w:rPr>
            </w:pPr>
            <w:r>
              <w:rPr>
                <w:rFonts w:ascii="Arial" w:cs="Arial" w:eastAsia="Arial" w:hAnsi="Arial"/>
                <w:sz w:val="14"/>
                <w:szCs w:val="14"/>
                <w:color w:val="auto"/>
              </w:rPr>
              <w:t>Unamortized</w:t>
            </w:r>
          </w:p>
        </w:tc>
        <w:tc>
          <w:tcPr>
            <w:tcW w:w="1180" w:type="dxa"/>
            <w:vAlign w:val="bottom"/>
          </w:tcPr>
          <w:p>
            <w:pPr>
              <w:jc w:val="center"/>
              <w:ind w:right="142"/>
              <w:spacing w:after="0"/>
              <w:rPr>
                <w:sz w:val="20"/>
                <w:szCs w:val="20"/>
                <w:color w:val="auto"/>
              </w:rPr>
            </w:pPr>
            <w:r>
              <w:rPr>
                <w:rFonts w:ascii="Arial" w:cs="Arial" w:eastAsia="Arial" w:hAnsi="Arial"/>
                <w:sz w:val="14"/>
                <w:szCs w:val="14"/>
                <w:color w:val="auto"/>
              </w:rPr>
              <w:t>Unamortized</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jc w:val="center"/>
              <w:ind w:right="122"/>
              <w:spacing w:after="0"/>
              <w:rPr>
                <w:sz w:val="20"/>
                <w:szCs w:val="20"/>
                <w:color w:val="auto"/>
              </w:rPr>
            </w:pPr>
            <w:r>
              <w:rPr>
                <w:rFonts w:ascii="Arial" w:cs="Arial" w:eastAsia="Arial" w:hAnsi="Arial"/>
                <w:sz w:val="14"/>
                <w:szCs w:val="14"/>
                <w:color w:val="auto"/>
              </w:rPr>
              <w:t>Accumulated Other</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color w:val="auto"/>
              </w:rPr>
              <w:t>Translation</w:t>
            </w:r>
          </w:p>
        </w:tc>
        <w:tc>
          <w:tcPr>
            <w:tcW w:w="1500" w:type="dxa"/>
            <w:vAlign w:val="bottom"/>
          </w:tcPr>
          <w:p>
            <w:pPr>
              <w:jc w:val="center"/>
              <w:ind w:right="423"/>
              <w:spacing w:after="0"/>
              <w:rPr>
                <w:sz w:val="20"/>
                <w:szCs w:val="20"/>
                <w:color w:val="auto"/>
              </w:rPr>
            </w:pPr>
            <w:r>
              <w:rPr>
                <w:rFonts w:ascii="Arial" w:cs="Arial" w:eastAsia="Arial" w:hAnsi="Arial"/>
                <w:sz w:val="14"/>
                <w:szCs w:val="14"/>
                <w:color w:val="auto"/>
                <w:w w:val="99"/>
              </w:rPr>
              <w:t>Net Actuarial</w:t>
            </w:r>
          </w:p>
        </w:tc>
        <w:tc>
          <w:tcPr>
            <w:tcW w:w="1180" w:type="dxa"/>
            <w:vAlign w:val="bottom"/>
          </w:tcPr>
          <w:p>
            <w:pPr>
              <w:jc w:val="center"/>
              <w:ind w:right="142"/>
              <w:spacing w:after="0"/>
              <w:rPr>
                <w:sz w:val="20"/>
                <w:szCs w:val="20"/>
                <w:color w:val="auto"/>
              </w:rPr>
            </w:pPr>
            <w:r>
              <w:rPr>
                <w:rFonts w:ascii="Arial" w:cs="Arial" w:eastAsia="Arial" w:hAnsi="Arial"/>
                <w:sz w:val="14"/>
                <w:szCs w:val="14"/>
                <w:color w:val="auto"/>
                <w:w w:val="99"/>
              </w:rPr>
              <w:t>Prior Service</w:t>
            </w:r>
          </w:p>
        </w:tc>
        <w:tc>
          <w:tcPr>
            <w:tcW w:w="160" w:type="dxa"/>
            <w:vAlign w:val="bottom"/>
          </w:tcPr>
          <w:p>
            <w:pPr>
              <w:spacing w:after="0"/>
              <w:rPr>
                <w:sz w:val="16"/>
                <w:szCs w:val="16"/>
                <w:color w:val="auto"/>
              </w:rPr>
            </w:pPr>
          </w:p>
        </w:tc>
        <w:tc>
          <w:tcPr>
            <w:tcW w:w="1240" w:type="dxa"/>
            <w:vAlign w:val="bottom"/>
          </w:tcPr>
          <w:p>
            <w:pPr>
              <w:jc w:val="right"/>
              <w:ind w:right="441"/>
              <w:spacing w:after="0"/>
              <w:rPr>
                <w:sz w:val="20"/>
                <w:szCs w:val="20"/>
                <w:color w:val="auto"/>
              </w:rPr>
            </w:pPr>
            <w:r>
              <w:rPr>
                <w:rFonts w:ascii="Arial" w:cs="Arial" w:eastAsia="Arial" w:hAnsi="Arial"/>
                <w:sz w:val="14"/>
                <w:szCs w:val="14"/>
                <w:color w:val="auto"/>
              </w:rPr>
              <w:t>Financial</w:t>
            </w:r>
          </w:p>
        </w:tc>
        <w:tc>
          <w:tcPr>
            <w:tcW w:w="1600" w:type="dxa"/>
            <w:vAlign w:val="bottom"/>
          </w:tcPr>
          <w:p>
            <w:pPr>
              <w:jc w:val="center"/>
              <w:ind w:right="122"/>
              <w:spacing w:after="0"/>
              <w:rPr>
                <w:sz w:val="20"/>
                <w:szCs w:val="20"/>
                <w:color w:val="auto"/>
              </w:rPr>
            </w:pPr>
            <w:r>
              <w:rPr>
                <w:rFonts w:ascii="Arial" w:cs="Arial" w:eastAsia="Arial" w:hAnsi="Arial"/>
                <w:sz w:val="14"/>
                <w:szCs w:val="14"/>
                <w:color w:val="auto"/>
              </w:rPr>
              <w:t>Comprehensive</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color w:val="auto"/>
              </w:rPr>
              <w:t>Adjustments</w:t>
            </w:r>
          </w:p>
        </w:tc>
        <w:tc>
          <w:tcPr>
            <w:tcW w:w="1500" w:type="dxa"/>
            <w:vAlign w:val="bottom"/>
            <w:tcBorders>
              <w:bottom w:val="single" w:sz="8" w:color="auto"/>
            </w:tcBorders>
          </w:tcPr>
          <w:p>
            <w:pPr>
              <w:jc w:val="center"/>
              <w:ind w:right="383"/>
              <w:spacing w:after="0"/>
              <w:rPr>
                <w:sz w:val="20"/>
                <w:szCs w:val="20"/>
                <w:color w:val="auto"/>
              </w:rPr>
            </w:pPr>
            <w:r>
              <w:rPr>
                <w:rFonts w:ascii="Arial" w:cs="Arial" w:eastAsia="Arial" w:hAnsi="Arial"/>
                <w:sz w:val="14"/>
                <w:szCs w:val="14"/>
                <w:color w:val="auto"/>
                <w:w w:val="99"/>
              </w:rPr>
              <w:t>Gain (Loss)</w:t>
            </w:r>
          </w:p>
        </w:tc>
        <w:tc>
          <w:tcPr>
            <w:tcW w:w="11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w w:val="96"/>
              </w:rPr>
              <w:t>Credit</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Instruments</w:t>
            </w:r>
          </w:p>
        </w:tc>
        <w:tc>
          <w:tcPr>
            <w:tcW w:w="16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Income (Loss)</w:t>
            </w:r>
          </w:p>
        </w:tc>
        <w:tc>
          <w:tcPr>
            <w:tcW w:w="0" w:type="dxa"/>
            <w:vAlign w:val="bottom"/>
          </w:tcPr>
          <w:p>
            <w:pPr>
              <w:spacing w:after="0"/>
              <w:rPr>
                <w:sz w:val="1"/>
                <w:szCs w:val="1"/>
                <w:color w:val="auto"/>
              </w:rPr>
            </w:pPr>
          </w:p>
        </w:tc>
      </w:tr>
      <w:tr>
        <w:trPr>
          <w:trHeight w:val="153"/>
        </w:trPr>
        <w:tc>
          <w:tcPr>
            <w:tcW w:w="36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80" w:type="dxa"/>
            <w:vAlign w:val="bottom"/>
            <w:tcBorders>
              <w:bottom w:val="single" w:sz="8" w:color="auto"/>
            </w:tcBorders>
            <w:gridSpan w:val="4"/>
          </w:tcPr>
          <w:p>
            <w:pPr>
              <w:jc w:val="right"/>
              <w:ind w:right="541"/>
              <w:spacing w:after="0" w:line="153" w:lineRule="exact"/>
              <w:rPr>
                <w:sz w:val="20"/>
                <w:szCs w:val="20"/>
                <w:color w:val="auto"/>
              </w:rPr>
            </w:pPr>
            <w:r>
              <w:rPr>
                <w:rFonts w:ascii="Arial" w:cs="Arial" w:eastAsia="Arial" w:hAnsi="Arial"/>
                <w:sz w:val="14"/>
                <w:szCs w:val="14"/>
                <w:color w:val="auto"/>
              </w:rPr>
              <w:t>Three months ended June 30, 2014 and 2013</w:t>
            </w:r>
          </w:p>
        </w:tc>
        <w:tc>
          <w:tcPr>
            <w:tcW w:w="1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line="148" w:lineRule="exact"/>
              <w:rPr>
                <w:sz w:val="20"/>
                <w:szCs w:val="20"/>
                <w:color w:val="auto"/>
              </w:rPr>
            </w:pPr>
            <w:r>
              <w:rPr>
                <w:rFonts w:ascii="Arial" w:cs="Arial" w:eastAsia="Arial" w:hAnsi="Arial"/>
                <w:sz w:val="16"/>
                <w:szCs w:val="16"/>
                <w:b w:val="1"/>
                <w:bCs w:val="1"/>
                <w:color w:val="auto"/>
              </w:rPr>
              <w:t>2014:</w:t>
            </w:r>
          </w:p>
        </w:tc>
        <w:tc>
          <w:tcPr>
            <w:tcW w:w="640" w:type="dxa"/>
            <w:vAlign w:val="bottom"/>
            <w:gridSpan w:val="2"/>
            <w:vMerge w:val="restart"/>
          </w:tcPr>
          <w:p>
            <w:pPr>
              <w:jc w:val="right"/>
              <w:ind w:right="26"/>
              <w:spacing w:after="0"/>
              <w:rPr>
                <w:sz w:val="20"/>
                <w:szCs w:val="20"/>
                <w:color w:val="auto"/>
              </w:rPr>
            </w:pPr>
            <w:r>
              <w:rPr>
                <w:rFonts w:ascii="Arial" w:cs="Arial" w:eastAsia="Arial" w:hAnsi="Arial"/>
                <w:sz w:val="16"/>
                <w:szCs w:val="16"/>
                <w:color w:val="auto"/>
              </w:rPr>
              <w:t>$</w:t>
            </w: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(172)$</w:t>
            </w:r>
          </w:p>
        </w:tc>
        <w:tc>
          <w:tcPr>
            <w:tcW w:w="1500" w:type="dxa"/>
            <w:vAlign w:val="bottom"/>
            <w:vMerge w:val="restart"/>
          </w:tcPr>
          <w:p>
            <w:pPr>
              <w:jc w:val="right"/>
              <w:ind w:right="3"/>
              <w:spacing w:after="0"/>
              <w:rPr>
                <w:sz w:val="20"/>
                <w:szCs w:val="20"/>
                <w:color w:val="auto"/>
              </w:rPr>
            </w:pPr>
            <w:r>
              <w:rPr>
                <w:rFonts w:ascii="Arial" w:cs="Arial" w:eastAsia="Arial" w:hAnsi="Arial"/>
                <w:sz w:val="16"/>
                <w:szCs w:val="16"/>
                <w:color w:val="auto"/>
              </w:rPr>
              <w:t>(70)$</w:t>
            </w:r>
          </w:p>
        </w:tc>
        <w:tc>
          <w:tcPr>
            <w:tcW w:w="1340" w:type="dxa"/>
            <w:vAlign w:val="bottom"/>
            <w:gridSpan w:val="2"/>
            <w:vMerge w:val="restart"/>
          </w:tcPr>
          <w:p>
            <w:pPr>
              <w:ind w:left="980"/>
              <w:spacing w:after="0"/>
              <w:rPr>
                <w:sz w:val="20"/>
                <w:szCs w:val="20"/>
                <w:color w:val="auto"/>
              </w:rPr>
            </w:pPr>
            <w:r>
              <w:rPr>
                <w:rFonts w:ascii="Arial" w:cs="Arial" w:eastAsia="Arial" w:hAnsi="Arial"/>
                <w:sz w:val="16"/>
                <w:szCs w:val="16"/>
                <w:color w:val="auto"/>
              </w:rPr>
              <w:t>― $</w:t>
            </w:r>
          </w:p>
        </w:tc>
        <w:tc>
          <w:tcPr>
            <w:tcW w:w="1240" w:type="dxa"/>
            <w:vAlign w:val="bottom"/>
            <w:vMerge w:val="restart"/>
          </w:tcPr>
          <w:p>
            <w:pPr>
              <w:jc w:val="right"/>
              <w:ind w:right="1"/>
              <w:spacing w:after="0"/>
              <w:rPr>
                <w:sz w:val="20"/>
                <w:szCs w:val="20"/>
                <w:color w:val="auto"/>
              </w:rPr>
            </w:pPr>
            <w:r>
              <w:rPr>
                <w:rFonts w:ascii="Arial" w:cs="Arial" w:eastAsia="Arial" w:hAnsi="Arial"/>
                <w:sz w:val="16"/>
                <w:szCs w:val="16"/>
                <w:color w:val="auto"/>
              </w:rPr>
              <w:t>(31)$</w:t>
            </w: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91"/>
        </w:trPr>
        <w:tc>
          <w:tcPr>
            <w:tcW w:w="3660" w:type="dxa"/>
            <w:vAlign w:val="bottom"/>
          </w:tcPr>
          <w:p>
            <w:pPr>
              <w:spacing w:after="0"/>
              <w:rPr>
                <w:sz w:val="20"/>
                <w:szCs w:val="20"/>
                <w:color w:val="auto"/>
              </w:rPr>
            </w:pPr>
            <w:r>
              <w:rPr>
                <w:rFonts w:ascii="Arial" w:cs="Arial" w:eastAsia="Arial" w:hAnsi="Arial"/>
                <w:sz w:val="16"/>
                <w:szCs w:val="16"/>
                <w:color w:val="auto"/>
              </w:rPr>
              <w:t>Balance as of March 31, 2014</w:t>
            </w:r>
          </w:p>
        </w:tc>
        <w:tc>
          <w:tcPr>
            <w:tcW w:w="64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5"/>
                <w:szCs w:val="15"/>
                <w:color w:val="auto"/>
              </w:rPr>
              <w:t>Other comprehensive income (loss) before</w:t>
            </w:r>
          </w:p>
        </w:tc>
        <w:tc>
          <w:tcPr>
            <w:tcW w:w="4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660" w:type="dxa"/>
            <w:vAlign w:val="bottom"/>
          </w:tcPr>
          <w:p>
            <w:pPr>
              <w:ind w:left="140"/>
              <w:spacing w:after="0" w:line="173" w:lineRule="exact"/>
              <w:rPr>
                <w:sz w:val="20"/>
                <w:szCs w:val="20"/>
                <w:color w:val="auto"/>
              </w:rPr>
            </w:pPr>
            <w:r>
              <w:rPr>
                <w:rFonts w:ascii="Arial" w:cs="Arial" w:eastAsia="Arial" w:hAnsi="Arial"/>
                <w:sz w:val="16"/>
                <w:szCs w:val="16"/>
                <w:color w:val="auto"/>
              </w:rPr>
              <w:t>reclassifications</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280" w:type="dxa"/>
            <w:vAlign w:val="bottom"/>
          </w:tcPr>
          <w:p>
            <w:pPr>
              <w:spacing w:after="0"/>
              <w:rPr>
                <w:sz w:val="15"/>
                <w:szCs w:val="15"/>
                <w:color w:val="auto"/>
              </w:rPr>
            </w:pPr>
          </w:p>
        </w:tc>
        <w:tc>
          <w:tcPr>
            <w:tcW w:w="1500" w:type="dxa"/>
            <w:vAlign w:val="bottom"/>
          </w:tcPr>
          <w:p>
            <w:pPr>
              <w:jc w:val="right"/>
              <w:ind w:right="143"/>
              <w:spacing w:after="0" w:line="173" w:lineRule="exact"/>
              <w:rPr>
                <w:sz w:val="20"/>
                <w:szCs w:val="20"/>
                <w:color w:val="auto"/>
              </w:rPr>
            </w:pPr>
            <w:r>
              <w:rPr>
                <w:rFonts w:ascii="Arial" w:cs="Arial" w:eastAsia="Arial" w:hAnsi="Arial"/>
                <w:sz w:val="16"/>
                <w:szCs w:val="16"/>
                <w:color w:val="auto"/>
              </w:rPr>
              <w:t>―</w:t>
            </w:r>
          </w:p>
        </w:tc>
        <w:tc>
          <w:tcPr>
            <w:tcW w:w="1180" w:type="dxa"/>
            <w:vAlign w:val="bottom"/>
          </w:tcPr>
          <w:p>
            <w:pPr>
              <w:ind w:left="980"/>
              <w:spacing w:after="0" w:line="17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240" w:type="dxa"/>
            <w:vAlign w:val="bottom"/>
          </w:tcPr>
          <w:p>
            <w:pPr>
              <w:jc w:val="right"/>
              <w:ind w:right="81"/>
              <w:spacing w:after="0" w:line="173" w:lineRule="exact"/>
              <w:rPr>
                <w:sz w:val="20"/>
                <w:szCs w:val="20"/>
                <w:color w:val="auto"/>
              </w:rPr>
            </w:pPr>
            <w:r>
              <w:rPr>
                <w:rFonts w:ascii="Arial" w:cs="Arial" w:eastAsia="Arial" w:hAnsi="Arial"/>
                <w:sz w:val="16"/>
                <w:szCs w:val="16"/>
                <w:color w:val="auto"/>
              </w:rPr>
              <w:t>(12)</w:t>
            </w:r>
          </w:p>
        </w:tc>
        <w:tc>
          <w:tcPr>
            <w:tcW w:w="1600" w:type="dxa"/>
            <w:vAlign w:val="bottom"/>
          </w:tcPr>
          <w:p>
            <w:pPr>
              <w:jc w:val="right"/>
              <w:spacing w:after="0" w:line="173"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1500" w:type="dxa"/>
            <w:vAlign w:val="bottom"/>
            <w:vMerge w:val="restart"/>
          </w:tcPr>
          <w:p>
            <w:pPr>
              <w:jc w:val="right"/>
              <w:ind w:right="143"/>
              <w:spacing w:after="0"/>
              <w:rPr>
                <w:sz w:val="20"/>
                <w:szCs w:val="20"/>
                <w:color w:val="auto"/>
              </w:rPr>
            </w:pPr>
            <w:r>
              <w:rPr>
                <w:rFonts w:ascii="Arial" w:cs="Arial" w:eastAsia="Arial" w:hAnsi="Arial"/>
                <w:sz w:val="16"/>
                <w:szCs w:val="16"/>
                <w:color w:val="auto"/>
              </w:rPr>
              <w:t>5</w:t>
            </w:r>
          </w:p>
        </w:tc>
        <w:tc>
          <w:tcPr>
            <w:tcW w:w="1180" w:type="dxa"/>
            <w:vAlign w:val="bottom"/>
            <w:vMerge w:val="restart"/>
          </w:tcPr>
          <w:p>
            <w:pPr>
              <w:ind w:left="9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40" w:type="dxa"/>
            <w:vAlign w:val="bottom"/>
            <w:vMerge w:val="restart"/>
          </w:tcPr>
          <w:p>
            <w:pPr>
              <w:jc w:val="right"/>
              <w:ind w:right="121"/>
              <w:spacing w:after="0"/>
              <w:rPr>
                <w:sz w:val="20"/>
                <w:szCs w:val="20"/>
                <w:color w:val="auto"/>
              </w:rPr>
            </w:pPr>
            <w:r>
              <w:rPr>
                <w:rFonts w:ascii="Arial" w:cs="Arial" w:eastAsia="Arial" w:hAnsi="Arial"/>
                <w:sz w:val="16"/>
                <w:szCs w:val="16"/>
                <w:color w:val="auto"/>
              </w:rPr>
              <w:t>5</w:t>
            </w: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1"/>
        </w:trPr>
        <w:tc>
          <w:tcPr>
            <w:tcW w:w="366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660" w:type="dxa"/>
            <w:vAlign w:val="bottom"/>
          </w:tcPr>
          <w:p>
            <w:pPr>
              <w:spacing w:after="0" w:line="166" w:lineRule="exact"/>
              <w:rPr>
                <w:sz w:val="20"/>
                <w:szCs w:val="20"/>
                <w:color w:val="auto"/>
              </w:rPr>
            </w:pPr>
            <w:r>
              <w:rPr>
                <w:rFonts w:ascii="Arial" w:cs="Arial" w:eastAsia="Arial" w:hAnsi="Arial"/>
                <w:sz w:val="16"/>
                <w:szCs w:val="16"/>
                <w:color w:val="auto"/>
              </w:rPr>
              <w:t>Net other comprehensive income (loss)</w:t>
            </w: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43"/>
              <w:spacing w:after="0" w:line="166" w:lineRule="exact"/>
              <w:rPr>
                <w:sz w:val="20"/>
                <w:szCs w:val="20"/>
                <w:color w:val="auto"/>
              </w:rPr>
            </w:pPr>
            <w:r>
              <w:rPr>
                <w:rFonts w:ascii="Arial" w:cs="Arial" w:eastAsia="Arial" w:hAnsi="Arial"/>
                <w:sz w:val="16"/>
                <w:szCs w:val="16"/>
                <w:color w:val="auto"/>
              </w:rPr>
              <w:t>5</w:t>
            </w:r>
          </w:p>
        </w:tc>
        <w:tc>
          <w:tcPr>
            <w:tcW w:w="1180" w:type="dxa"/>
            <w:vAlign w:val="bottom"/>
            <w:tcBorders>
              <w:bottom w:val="single" w:sz="8" w:color="auto"/>
            </w:tcBorders>
          </w:tcPr>
          <w:p>
            <w:pPr>
              <w:ind w:left="980"/>
              <w:spacing w:after="0" w:line="166"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1"/>
              <w:spacing w:after="0" w:line="166" w:lineRule="exact"/>
              <w:rPr>
                <w:sz w:val="20"/>
                <w:szCs w:val="20"/>
                <w:color w:val="auto"/>
              </w:rPr>
            </w:pPr>
            <w:r>
              <w:rPr>
                <w:rFonts w:ascii="Arial" w:cs="Arial" w:eastAsia="Arial" w:hAnsi="Arial"/>
                <w:sz w:val="16"/>
                <w:szCs w:val="16"/>
                <w:color w:val="auto"/>
              </w:rPr>
              <w:t>(7)</w:t>
            </w:r>
          </w:p>
        </w:tc>
        <w:tc>
          <w:tcPr>
            <w:tcW w:w="16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366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Balance as of June 30, 2014</w:t>
            </w: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gridSpan w:val="2"/>
          </w:tcPr>
          <w:p>
            <w:pPr>
              <w:jc w:val="right"/>
              <w:ind w:right="200"/>
              <w:spacing w:after="0" w:line="166" w:lineRule="exact"/>
              <w:rPr>
                <w:sz w:val="20"/>
                <w:szCs w:val="20"/>
                <w:color w:val="auto"/>
              </w:rPr>
            </w:pPr>
            <w:r>
              <w:rPr>
                <w:rFonts w:ascii="Arial" w:cs="Arial" w:eastAsia="Arial" w:hAnsi="Arial"/>
                <w:sz w:val="16"/>
                <w:szCs w:val="16"/>
                <w:color w:val="auto"/>
              </w:rPr>
              <w:t>(170)$</w:t>
            </w:r>
          </w:p>
        </w:tc>
        <w:tc>
          <w:tcPr>
            <w:tcW w:w="1500" w:type="dxa"/>
            <w:vAlign w:val="bottom"/>
            <w:tcBorders>
              <w:bottom w:val="single" w:sz="8" w:color="auto"/>
            </w:tcBorders>
          </w:tcPr>
          <w:p>
            <w:pPr>
              <w:jc w:val="right"/>
              <w:ind w:right="3"/>
              <w:spacing w:after="0" w:line="166" w:lineRule="exact"/>
              <w:rPr>
                <w:sz w:val="20"/>
                <w:szCs w:val="20"/>
                <w:color w:val="auto"/>
              </w:rPr>
            </w:pPr>
            <w:r>
              <w:rPr>
                <w:rFonts w:ascii="Arial" w:cs="Arial" w:eastAsia="Arial" w:hAnsi="Arial"/>
                <w:sz w:val="16"/>
                <w:szCs w:val="16"/>
                <w:color w:val="auto"/>
              </w:rPr>
              <w:t>(65)$</w:t>
            </w:r>
          </w:p>
        </w:tc>
        <w:tc>
          <w:tcPr>
            <w:tcW w:w="1340" w:type="dxa"/>
            <w:vAlign w:val="bottom"/>
            <w:tcBorders>
              <w:bottom w:val="single" w:sz="8" w:color="auto"/>
            </w:tcBorders>
            <w:gridSpan w:val="2"/>
          </w:tcPr>
          <w:p>
            <w:pPr>
              <w:ind w:left="980"/>
              <w:spacing w:after="0" w:line="166" w:lineRule="exact"/>
              <w:rPr>
                <w:sz w:val="20"/>
                <w:szCs w:val="20"/>
                <w:color w:val="auto"/>
              </w:rPr>
            </w:pPr>
            <w:r>
              <w:rPr>
                <w:rFonts w:ascii="Arial" w:cs="Arial" w:eastAsia="Arial" w:hAnsi="Arial"/>
                <w:sz w:val="16"/>
                <w:szCs w:val="16"/>
                <w:color w:val="auto"/>
              </w:rPr>
              <w:t>― $</w:t>
            </w:r>
          </w:p>
        </w:tc>
        <w:tc>
          <w:tcPr>
            <w:tcW w:w="1240" w:type="dxa"/>
            <w:vAlign w:val="bottom"/>
            <w:tcBorders>
              <w:bottom w:val="single" w:sz="8" w:color="auto"/>
            </w:tcBorders>
          </w:tcPr>
          <w:p>
            <w:pPr>
              <w:jc w:val="right"/>
              <w:ind w:right="1"/>
              <w:spacing w:after="0" w:line="166" w:lineRule="exact"/>
              <w:rPr>
                <w:sz w:val="20"/>
                <w:szCs w:val="20"/>
                <w:color w:val="auto"/>
              </w:rPr>
            </w:pPr>
            <w:r>
              <w:rPr>
                <w:rFonts w:ascii="Arial" w:cs="Arial" w:eastAsia="Arial" w:hAnsi="Arial"/>
                <w:sz w:val="16"/>
                <w:szCs w:val="16"/>
                <w:color w:val="auto"/>
              </w:rPr>
              <w:t>(38)$</w:t>
            </w:r>
          </w:p>
        </w:tc>
        <w:tc>
          <w:tcPr>
            <w:tcW w:w="16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55"/>
        </w:trPr>
        <w:tc>
          <w:tcPr>
            <w:tcW w:w="3660" w:type="dxa"/>
            <w:vAlign w:val="bottom"/>
          </w:tcPr>
          <w:p>
            <w:pPr>
              <w:spacing w:after="0" w:line="155" w:lineRule="exact"/>
              <w:rPr>
                <w:sz w:val="20"/>
                <w:szCs w:val="20"/>
                <w:color w:val="auto"/>
              </w:rPr>
            </w:pPr>
            <w:r>
              <w:rPr>
                <w:rFonts w:ascii="Arial" w:cs="Arial" w:eastAsia="Arial" w:hAnsi="Arial"/>
                <w:sz w:val="16"/>
                <w:szCs w:val="16"/>
                <w:b w:val="1"/>
                <w:bCs w:val="1"/>
                <w:color w:val="auto"/>
              </w:rPr>
              <w:t>2013:</w:t>
            </w:r>
          </w:p>
        </w:tc>
        <w:tc>
          <w:tcPr>
            <w:tcW w:w="640" w:type="dxa"/>
            <w:vAlign w:val="bottom"/>
            <w:gridSpan w:val="2"/>
            <w:vMerge w:val="restart"/>
          </w:tcPr>
          <w:p>
            <w:pPr>
              <w:jc w:val="right"/>
              <w:ind w:right="26"/>
              <w:spacing w:after="0"/>
              <w:rPr>
                <w:sz w:val="20"/>
                <w:szCs w:val="20"/>
                <w:color w:val="auto"/>
              </w:rPr>
            </w:pPr>
            <w:r>
              <w:rPr>
                <w:rFonts w:ascii="Arial" w:cs="Arial" w:eastAsia="Arial" w:hAnsi="Arial"/>
                <w:sz w:val="16"/>
                <w:szCs w:val="16"/>
                <w:color w:val="auto"/>
              </w:rPr>
              <w:t>$</w:t>
            </w: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(230)$</w:t>
            </w:r>
          </w:p>
        </w:tc>
        <w:tc>
          <w:tcPr>
            <w:tcW w:w="1500" w:type="dxa"/>
            <w:vAlign w:val="bottom"/>
            <w:vMerge w:val="restart"/>
          </w:tcPr>
          <w:p>
            <w:pPr>
              <w:jc w:val="right"/>
              <w:ind w:right="3"/>
              <w:spacing w:after="0"/>
              <w:rPr>
                <w:sz w:val="20"/>
                <w:szCs w:val="20"/>
                <w:color w:val="auto"/>
              </w:rPr>
            </w:pPr>
            <w:r>
              <w:rPr>
                <w:rFonts w:ascii="Arial" w:cs="Arial" w:eastAsia="Arial" w:hAnsi="Arial"/>
                <w:sz w:val="16"/>
                <w:szCs w:val="16"/>
                <w:color w:val="auto"/>
              </w:rPr>
              <w:t>(99)$</w:t>
            </w:r>
          </w:p>
        </w:tc>
        <w:tc>
          <w:tcPr>
            <w:tcW w:w="1180" w:type="dxa"/>
            <w:vAlign w:val="bottom"/>
            <w:vMerge w:val="restart"/>
          </w:tcPr>
          <w:p>
            <w:pPr>
              <w:ind w:left="1040"/>
              <w:spacing w:after="0"/>
              <w:rPr>
                <w:sz w:val="20"/>
                <w:szCs w:val="20"/>
                <w:color w:val="auto"/>
              </w:rPr>
            </w:pPr>
            <w:r>
              <w:rPr>
                <w:rFonts w:ascii="Arial" w:cs="Arial" w:eastAsia="Arial" w:hAnsi="Arial"/>
                <w:sz w:val="16"/>
                <w:szCs w:val="16"/>
                <w:color w:val="auto"/>
              </w:rPr>
              <w:t>1</w:t>
            </w:r>
          </w:p>
        </w:tc>
        <w:tc>
          <w:tcPr>
            <w:tcW w:w="160" w:type="dxa"/>
            <w:vAlign w:val="bottom"/>
            <w:vMerge w:val="restart"/>
          </w:tcPr>
          <w:p>
            <w:pPr>
              <w:jc w:val="right"/>
              <w:ind w:right="6"/>
              <w:spacing w:after="0"/>
              <w:rPr>
                <w:sz w:val="20"/>
                <w:szCs w:val="20"/>
                <w:color w:val="auto"/>
              </w:rPr>
            </w:pPr>
            <w:r>
              <w:rPr>
                <w:rFonts w:ascii="Arial" w:cs="Arial" w:eastAsia="Arial" w:hAnsi="Arial"/>
                <w:sz w:val="15"/>
                <w:szCs w:val="15"/>
                <w:color w:val="auto"/>
                <w:w w:val="71"/>
              </w:rPr>
              <w:t>$</w:t>
            </w:r>
          </w:p>
        </w:tc>
        <w:tc>
          <w:tcPr>
            <w:tcW w:w="1240" w:type="dxa"/>
            <w:vAlign w:val="bottom"/>
            <w:vMerge w:val="restart"/>
          </w:tcPr>
          <w:p>
            <w:pPr>
              <w:jc w:val="right"/>
              <w:ind w:right="1"/>
              <w:spacing w:after="0"/>
              <w:rPr>
                <w:sz w:val="20"/>
                <w:szCs w:val="20"/>
                <w:color w:val="auto"/>
              </w:rPr>
            </w:pPr>
            <w:r>
              <w:rPr>
                <w:rFonts w:ascii="Arial" w:cs="Arial" w:eastAsia="Arial" w:hAnsi="Arial"/>
                <w:sz w:val="16"/>
                <w:szCs w:val="16"/>
                <w:color w:val="auto"/>
              </w:rPr>
              <w:t>(49)$</w:t>
            </w: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191"/>
        </w:trPr>
        <w:tc>
          <w:tcPr>
            <w:tcW w:w="3660" w:type="dxa"/>
            <w:vAlign w:val="bottom"/>
          </w:tcPr>
          <w:p>
            <w:pPr>
              <w:spacing w:after="0"/>
              <w:rPr>
                <w:sz w:val="20"/>
                <w:szCs w:val="20"/>
                <w:color w:val="auto"/>
              </w:rPr>
            </w:pPr>
            <w:r>
              <w:rPr>
                <w:rFonts w:ascii="Arial" w:cs="Arial" w:eastAsia="Arial" w:hAnsi="Arial"/>
                <w:sz w:val="16"/>
                <w:szCs w:val="16"/>
                <w:color w:val="auto"/>
              </w:rPr>
              <w:t>Balance as of March 31, 2013</w:t>
            </w:r>
          </w:p>
        </w:tc>
        <w:tc>
          <w:tcPr>
            <w:tcW w:w="64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5"/>
                <w:szCs w:val="15"/>
                <w:color w:val="auto"/>
              </w:rPr>
              <w:t>Other comprehensive income (loss) before</w:t>
            </w:r>
          </w:p>
        </w:tc>
        <w:tc>
          <w:tcPr>
            <w:tcW w:w="4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660" w:type="dxa"/>
            <w:vAlign w:val="bottom"/>
          </w:tcPr>
          <w:p>
            <w:pPr>
              <w:ind w:left="140"/>
              <w:spacing w:after="0" w:line="173" w:lineRule="exact"/>
              <w:rPr>
                <w:sz w:val="20"/>
                <w:szCs w:val="20"/>
                <w:color w:val="auto"/>
              </w:rPr>
            </w:pPr>
            <w:r>
              <w:rPr>
                <w:rFonts w:ascii="Arial" w:cs="Arial" w:eastAsia="Arial" w:hAnsi="Arial"/>
                <w:sz w:val="16"/>
                <w:szCs w:val="16"/>
                <w:color w:val="auto"/>
              </w:rPr>
              <w:t>reclassifications</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(136)</w:t>
            </w:r>
          </w:p>
        </w:tc>
        <w:tc>
          <w:tcPr>
            <w:tcW w:w="280" w:type="dxa"/>
            <w:vAlign w:val="bottom"/>
          </w:tcPr>
          <w:p>
            <w:pPr>
              <w:spacing w:after="0"/>
              <w:rPr>
                <w:sz w:val="15"/>
                <w:szCs w:val="15"/>
                <w:color w:val="auto"/>
              </w:rPr>
            </w:pPr>
          </w:p>
        </w:tc>
        <w:tc>
          <w:tcPr>
            <w:tcW w:w="1500" w:type="dxa"/>
            <w:vAlign w:val="bottom"/>
          </w:tcPr>
          <w:p>
            <w:pPr>
              <w:jc w:val="right"/>
              <w:ind w:right="143"/>
              <w:spacing w:after="0" w:line="173" w:lineRule="exact"/>
              <w:rPr>
                <w:sz w:val="20"/>
                <w:szCs w:val="20"/>
                <w:color w:val="auto"/>
              </w:rPr>
            </w:pPr>
            <w:r>
              <w:rPr>
                <w:rFonts w:ascii="Arial" w:cs="Arial" w:eastAsia="Arial" w:hAnsi="Arial"/>
                <w:sz w:val="16"/>
                <w:szCs w:val="16"/>
                <w:color w:val="auto"/>
              </w:rPr>
              <w:t>―</w:t>
            </w:r>
          </w:p>
        </w:tc>
        <w:tc>
          <w:tcPr>
            <w:tcW w:w="1180" w:type="dxa"/>
            <w:vAlign w:val="bottom"/>
          </w:tcPr>
          <w:p>
            <w:pPr>
              <w:ind w:left="980"/>
              <w:spacing w:after="0" w:line="17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240" w:type="dxa"/>
            <w:vAlign w:val="bottom"/>
          </w:tcPr>
          <w:p>
            <w:pPr>
              <w:jc w:val="right"/>
              <w:ind w:right="121"/>
              <w:spacing w:after="0" w:line="173" w:lineRule="exact"/>
              <w:rPr>
                <w:sz w:val="20"/>
                <w:szCs w:val="20"/>
                <w:color w:val="auto"/>
              </w:rPr>
            </w:pPr>
            <w:r>
              <w:rPr>
                <w:rFonts w:ascii="Arial" w:cs="Arial" w:eastAsia="Arial" w:hAnsi="Arial"/>
                <w:sz w:val="16"/>
                <w:szCs w:val="16"/>
                <w:color w:val="auto"/>
              </w:rPr>
              <w:t>23</w:t>
            </w:r>
          </w:p>
        </w:tc>
        <w:tc>
          <w:tcPr>
            <w:tcW w:w="1600" w:type="dxa"/>
            <w:vAlign w:val="bottom"/>
          </w:tcPr>
          <w:p>
            <w:pPr>
              <w:jc w:val="right"/>
              <w:spacing w:after="0" w:line="173" w:lineRule="exact"/>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 xml:space="preserve">270 </w:t>
            </w:r>
            <w:r>
              <w:rPr>
                <w:rFonts w:ascii="Arial" w:cs="Arial" w:eastAsia="Arial" w:hAnsi="Arial"/>
                <w:sz w:val="14"/>
                <w:szCs w:val="14"/>
                <w:i w:val="1"/>
                <w:iCs w:val="1"/>
                <w:color w:val="auto"/>
              </w:rPr>
              <w:t>(2)</w:t>
            </w:r>
          </w:p>
        </w:tc>
        <w:tc>
          <w:tcPr>
            <w:tcW w:w="1500" w:type="dxa"/>
            <w:vAlign w:val="bottom"/>
            <w:vMerge w:val="restart"/>
          </w:tcPr>
          <w:p>
            <w:pPr>
              <w:jc w:val="right"/>
              <w:ind w:right="143"/>
              <w:spacing w:after="0"/>
              <w:rPr>
                <w:sz w:val="20"/>
                <w:szCs w:val="20"/>
                <w:color w:val="auto"/>
              </w:rPr>
            </w:pPr>
            <w:r>
              <w:rPr>
                <w:rFonts w:ascii="Arial" w:cs="Arial" w:eastAsia="Arial" w:hAnsi="Arial"/>
                <w:sz w:val="16"/>
                <w:szCs w:val="16"/>
                <w:color w:val="auto"/>
              </w:rPr>
              <w:t>1</w:t>
            </w:r>
          </w:p>
        </w:tc>
        <w:tc>
          <w:tcPr>
            <w:tcW w:w="1180" w:type="dxa"/>
            <w:vAlign w:val="bottom"/>
            <w:vMerge w:val="restart"/>
          </w:tcPr>
          <w:p>
            <w:pPr>
              <w:ind w:left="9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4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191"/>
        </w:trPr>
        <w:tc>
          <w:tcPr>
            <w:tcW w:w="366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660" w:type="dxa"/>
            <w:vAlign w:val="bottom"/>
          </w:tcPr>
          <w:p>
            <w:pPr>
              <w:spacing w:after="0" w:line="166" w:lineRule="exact"/>
              <w:rPr>
                <w:sz w:val="20"/>
                <w:szCs w:val="20"/>
                <w:color w:val="auto"/>
              </w:rPr>
            </w:pPr>
            <w:r>
              <w:rPr>
                <w:rFonts w:ascii="Arial" w:cs="Arial" w:eastAsia="Arial" w:hAnsi="Arial"/>
                <w:sz w:val="16"/>
                <w:szCs w:val="16"/>
                <w:color w:val="auto"/>
              </w:rPr>
              <w:t>Net other comprehensive income</w:t>
            </w: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134</w:t>
            </w: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43"/>
              <w:spacing w:after="0" w:line="166" w:lineRule="exact"/>
              <w:rPr>
                <w:sz w:val="20"/>
                <w:szCs w:val="20"/>
                <w:color w:val="auto"/>
              </w:rPr>
            </w:pPr>
            <w:r>
              <w:rPr>
                <w:rFonts w:ascii="Arial" w:cs="Arial" w:eastAsia="Arial" w:hAnsi="Arial"/>
                <w:sz w:val="16"/>
                <w:szCs w:val="16"/>
                <w:color w:val="auto"/>
              </w:rPr>
              <w:t>1</w:t>
            </w:r>
          </w:p>
        </w:tc>
        <w:tc>
          <w:tcPr>
            <w:tcW w:w="1180" w:type="dxa"/>
            <w:vAlign w:val="bottom"/>
            <w:tcBorders>
              <w:bottom w:val="single" w:sz="8" w:color="auto"/>
            </w:tcBorders>
          </w:tcPr>
          <w:p>
            <w:pPr>
              <w:ind w:left="980"/>
              <w:spacing w:after="0" w:line="166"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21"/>
              <w:spacing w:after="0" w:line="166" w:lineRule="exact"/>
              <w:rPr>
                <w:sz w:val="20"/>
                <w:szCs w:val="20"/>
                <w:color w:val="auto"/>
              </w:rPr>
            </w:pPr>
            <w:r>
              <w:rPr>
                <w:rFonts w:ascii="Arial" w:cs="Arial" w:eastAsia="Arial" w:hAnsi="Arial"/>
                <w:sz w:val="16"/>
                <w:szCs w:val="16"/>
                <w:color w:val="auto"/>
              </w:rPr>
              <w:t>23</w:t>
            </w:r>
          </w:p>
        </w:tc>
        <w:tc>
          <w:tcPr>
            <w:tcW w:w="16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73"/>
        </w:trPr>
        <w:tc>
          <w:tcPr>
            <w:tcW w:w="366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Balance as of June 30, 2013</w:t>
            </w: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gridSpan w:val="2"/>
          </w:tcPr>
          <w:p>
            <w:pPr>
              <w:jc w:val="right"/>
              <w:ind w:right="200"/>
              <w:spacing w:after="0" w:line="166" w:lineRule="exact"/>
              <w:rPr>
                <w:sz w:val="20"/>
                <w:szCs w:val="20"/>
                <w:color w:val="auto"/>
              </w:rPr>
            </w:pPr>
            <w:r>
              <w:rPr>
                <w:rFonts w:ascii="Arial" w:cs="Arial" w:eastAsia="Arial" w:hAnsi="Arial"/>
                <w:sz w:val="16"/>
                <w:szCs w:val="16"/>
                <w:color w:val="auto"/>
              </w:rPr>
              <w:t>(96)$</w:t>
            </w:r>
          </w:p>
        </w:tc>
        <w:tc>
          <w:tcPr>
            <w:tcW w:w="1500" w:type="dxa"/>
            <w:vAlign w:val="bottom"/>
            <w:tcBorders>
              <w:bottom w:val="single" w:sz="8" w:color="auto"/>
            </w:tcBorders>
          </w:tcPr>
          <w:p>
            <w:pPr>
              <w:jc w:val="right"/>
              <w:ind w:right="3"/>
              <w:spacing w:after="0" w:line="166" w:lineRule="exact"/>
              <w:rPr>
                <w:sz w:val="20"/>
                <w:szCs w:val="20"/>
                <w:color w:val="auto"/>
              </w:rPr>
            </w:pPr>
            <w:r>
              <w:rPr>
                <w:rFonts w:ascii="Arial" w:cs="Arial" w:eastAsia="Arial" w:hAnsi="Arial"/>
                <w:sz w:val="16"/>
                <w:szCs w:val="16"/>
                <w:color w:val="auto"/>
              </w:rPr>
              <w:t>(98)$</w:t>
            </w:r>
          </w:p>
        </w:tc>
        <w:tc>
          <w:tcPr>
            <w:tcW w:w="1180" w:type="dxa"/>
            <w:vAlign w:val="bottom"/>
            <w:tcBorders>
              <w:bottom w:val="single" w:sz="8" w:color="auto"/>
            </w:tcBorders>
          </w:tcPr>
          <w:p>
            <w:pPr>
              <w:ind w:left="1040"/>
              <w:spacing w:after="0" w:line="166" w:lineRule="exact"/>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
              <w:spacing w:after="0" w:line="166" w:lineRule="exact"/>
              <w:rPr>
                <w:sz w:val="20"/>
                <w:szCs w:val="20"/>
                <w:color w:val="auto"/>
              </w:rPr>
            </w:pPr>
            <w:r>
              <w:rPr>
                <w:rFonts w:ascii="Arial" w:cs="Arial" w:eastAsia="Arial" w:hAnsi="Arial"/>
                <w:sz w:val="16"/>
                <w:szCs w:val="16"/>
                <w:color w:val="auto"/>
              </w:rPr>
              <w:t>(26)$</w:t>
            </w:r>
          </w:p>
        </w:tc>
        <w:tc>
          <w:tcPr>
            <w:tcW w:w="16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332"/>
        </w:trPr>
        <w:tc>
          <w:tcPr>
            <w:tcW w:w="3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4"/>
                <w:szCs w:val="14"/>
                <w:color w:val="auto"/>
              </w:rPr>
              <w:t>Six months ended June 30, 2014 and 2013</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line="148" w:lineRule="exact"/>
              <w:rPr>
                <w:sz w:val="20"/>
                <w:szCs w:val="20"/>
                <w:color w:val="auto"/>
              </w:rPr>
            </w:pPr>
            <w:r>
              <w:rPr>
                <w:rFonts w:ascii="Arial" w:cs="Arial" w:eastAsia="Arial" w:hAnsi="Arial"/>
                <w:sz w:val="16"/>
                <w:szCs w:val="16"/>
                <w:b w:val="1"/>
                <w:bCs w:val="1"/>
                <w:color w:val="auto"/>
              </w:rPr>
              <w:t>2014:</w:t>
            </w:r>
          </w:p>
        </w:tc>
        <w:tc>
          <w:tcPr>
            <w:tcW w:w="640" w:type="dxa"/>
            <w:vAlign w:val="bottom"/>
            <w:gridSpan w:val="2"/>
            <w:vMerge w:val="restart"/>
          </w:tcPr>
          <w:p>
            <w:pPr>
              <w:jc w:val="right"/>
              <w:ind w:right="26"/>
              <w:spacing w:after="0"/>
              <w:rPr>
                <w:sz w:val="20"/>
                <w:szCs w:val="20"/>
                <w:color w:val="auto"/>
              </w:rPr>
            </w:pPr>
            <w:r>
              <w:rPr>
                <w:rFonts w:ascii="Arial" w:cs="Arial" w:eastAsia="Arial" w:hAnsi="Arial"/>
                <w:sz w:val="16"/>
                <w:szCs w:val="16"/>
                <w:color w:val="auto"/>
              </w:rPr>
              <w:t>$</w:t>
            </w: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(129)$</w:t>
            </w:r>
          </w:p>
        </w:tc>
        <w:tc>
          <w:tcPr>
            <w:tcW w:w="1500" w:type="dxa"/>
            <w:vAlign w:val="bottom"/>
            <w:vMerge w:val="restart"/>
          </w:tcPr>
          <w:p>
            <w:pPr>
              <w:jc w:val="right"/>
              <w:ind w:right="3"/>
              <w:spacing w:after="0"/>
              <w:rPr>
                <w:sz w:val="20"/>
                <w:szCs w:val="20"/>
                <w:color w:val="auto"/>
              </w:rPr>
            </w:pPr>
            <w:r>
              <w:rPr>
                <w:rFonts w:ascii="Arial" w:cs="Arial" w:eastAsia="Arial" w:hAnsi="Arial"/>
                <w:sz w:val="16"/>
                <w:szCs w:val="16"/>
                <w:color w:val="auto"/>
              </w:rPr>
              <w:t>(73)$</w:t>
            </w:r>
          </w:p>
        </w:tc>
        <w:tc>
          <w:tcPr>
            <w:tcW w:w="1340" w:type="dxa"/>
            <w:vAlign w:val="bottom"/>
            <w:gridSpan w:val="2"/>
            <w:vMerge w:val="restart"/>
          </w:tcPr>
          <w:p>
            <w:pPr>
              <w:ind w:left="980"/>
              <w:spacing w:after="0"/>
              <w:rPr>
                <w:sz w:val="20"/>
                <w:szCs w:val="20"/>
                <w:color w:val="auto"/>
              </w:rPr>
            </w:pPr>
            <w:r>
              <w:rPr>
                <w:rFonts w:ascii="Arial" w:cs="Arial" w:eastAsia="Arial" w:hAnsi="Arial"/>
                <w:sz w:val="16"/>
                <w:szCs w:val="16"/>
                <w:color w:val="auto"/>
              </w:rPr>
              <w:t>― $</w:t>
            </w:r>
          </w:p>
        </w:tc>
        <w:tc>
          <w:tcPr>
            <w:tcW w:w="1240" w:type="dxa"/>
            <w:vAlign w:val="bottom"/>
            <w:vMerge w:val="restart"/>
          </w:tcPr>
          <w:p>
            <w:pPr>
              <w:jc w:val="right"/>
              <w:ind w:right="1"/>
              <w:spacing w:after="0"/>
              <w:rPr>
                <w:sz w:val="20"/>
                <w:szCs w:val="20"/>
                <w:color w:val="auto"/>
              </w:rPr>
            </w:pPr>
            <w:r>
              <w:rPr>
                <w:rFonts w:ascii="Arial" w:cs="Arial" w:eastAsia="Arial" w:hAnsi="Arial"/>
                <w:sz w:val="16"/>
                <w:szCs w:val="16"/>
                <w:color w:val="auto"/>
              </w:rPr>
              <w:t>(26)$</w:t>
            </w: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191"/>
        </w:trPr>
        <w:tc>
          <w:tcPr>
            <w:tcW w:w="3660" w:type="dxa"/>
            <w:vAlign w:val="bottom"/>
          </w:tcPr>
          <w:p>
            <w:pPr>
              <w:spacing w:after="0"/>
              <w:rPr>
                <w:sz w:val="20"/>
                <w:szCs w:val="20"/>
                <w:color w:val="auto"/>
              </w:rPr>
            </w:pPr>
            <w:r>
              <w:rPr>
                <w:rFonts w:ascii="Arial" w:cs="Arial" w:eastAsia="Arial" w:hAnsi="Arial"/>
                <w:sz w:val="16"/>
                <w:szCs w:val="16"/>
                <w:color w:val="auto"/>
              </w:rPr>
              <w:t>Balance as of December 31, 2013</w:t>
            </w:r>
          </w:p>
        </w:tc>
        <w:tc>
          <w:tcPr>
            <w:tcW w:w="64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5"/>
                <w:szCs w:val="15"/>
                <w:color w:val="auto"/>
              </w:rPr>
              <w:t>Other comprehensive loss before</w:t>
            </w:r>
          </w:p>
        </w:tc>
        <w:tc>
          <w:tcPr>
            <w:tcW w:w="4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660" w:type="dxa"/>
            <w:vAlign w:val="bottom"/>
          </w:tcPr>
          <w:p>
            <w:pPr>
              <w:ind w:left="140"/>
              <w:spacing w:after="0" w:line="173" w:lineRule="exact"/>
              <w:rPr>
                <w:sz w:val="20"/>
                <w:szCs w:val="20"/>
                <w:color w:val="auto"/>
              </w:rPr>
            </w:pPr>
            <w:r>
              <w:rPr>
                <w:rFonts w:ascii="Arial" w:cs="Arial" w:eastAsia="Arial" w:hAnsi="Arial"/>
                <w:sz w:val="16"/>
                <w:szCs w:val="16"/>
                <w:color w:val="auto"/>
              </w:rPr>
              <w:t>reclassifications</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(41)</w:t>
            </w:r>
          </w:p>
        </w:tc>
        <w:tc>
          <w:tcPr>
            <w:tcW w:w="280" w:type="dxa"/>
            <w:vAlign w:val="bottom"/>
          </w:tcPr>
          <w:p>
            <w:pPr>
              <w:spacing w:after="0"/>
              <w:rPr>
                <w:sz w:val="15"/>
                <w:szCs w:val="15"/>
                <w:color w:val="auto"/>
              </w:rPr>
            </w:pPr>
          </w:p>
        </w:tc>
        <w:tc>
          <w:tcPr>
            <w:tcW w:w="1500" w:type="dxa"/>
            <w:vAlign w:val="bottom"/>
          </w:tcPr>
          <w:p>
            <w:pPr>
              <w:jc w:val="right"/>
              <w:ind w:right="143"/>
              <w:spacing w:after="0" w:line="173" w:lineRule="exact"/>
              <w:rPr>
                <w:sz w:val="20"/>
                <w:szCs w:val="20"/>
                <w:color w:val="auto"/>
              </w:rPr>
            </w:pPr>
            <w:r>
              <w:rPr>
                <w:rFonts w:ascii="Arial" w:cs="Arial" w:eastAsia="Arial" w:hAnsi="Arial"/>
                <w:sz w:val="16"/>
                <w:szCs w:val="16"/>
                <w:color w:val="auto"/>
              </w:rPr>
              <w:t>―</w:t>
            </w:r>
          </w:p>
        </w:tc>
        <w:tc>
          <w:tcPr>
            <w:tcW w:w="1180" w:type="dxa"/>
            <w:vAlign w:val="bottom"/>
          </w:tcPr>
          <w:p>
            <w:pPr>
              <w:ind w:left="980"/>
              <w:spacing w:after="0" w:line="17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240" w:type="dxa"/>
            <w:vAlign w:val="bottom"/>
          </w:tcPr>
          <w:p>
            <w:pPr>
              <w:jc w:val="right"/>
              <w:ind w:right="81"/>
              <w:spacing w:after="0" w:line="173" w:lineRule="exact"/>
              <w:rPr>
                <w:sz w:val="20"/>
                <w:szCs w:val="20"/>
                <w:color w:val="auto"/>
              </w:rPr>
            </w:pPr>
            <w:r>
              <w:rPr>
                <w:rFonts w:ascii="Arial" w:cs="Arial" w:eastAsia="Arial" w:hAnsi="Arial"/>
                <w:sz w:val="16"/>
                <w:szCs w:val="16"/>
                <w:color w:val="auto"/>
              </w:rPr>
              <w:t>(26)</w:t>
            </w:r>
          </w:p>
        </w:tc>
        <w:tc>
          <w:tcPr>
            <w:tcW w:w="1600" w:type="dxa"/>
            <w:vAlign w:val="bottom"/>
          </w:tcPr>
          <w:p>
            <w:pPr>
              <w:jc w:val="right"/>
              <w:spacing w:after="0" w:line="173" w:lineRule="exact"/>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1500" w:type="dxa"/>
            <w:vAlign w:val="bottom"/>
            <w:vMerge w:val="restart"/>
          </w:tcPr>
          <w:p>
            <w:pPr>
              <w:jc w:val="right"/>
              <w:ind w:right="143"/>
              <w:spacing w:after="0"/>
              <w:rPr>
                <w:sz w:val="20"/>
                <w:szCs w:val="20"/>
                <w:color w:val="auto"/>
              </w:rPr>
            </w:pPr>
            <w:r>
              <w:rPr>
                <w:rFonts w:ascii="Arial" w:cs="Arial" w:eastAsia="Arial" w:hAnsi="Arial"/>
                <w:sz w:val="16"/>
                <w:szCs w:val="16"/>
                <w:color w:val="auto"/>
              </w:rPr>
              <w:t>8</w:t>
            </w:r>
          </w:p>
        </w:tc>
        <w:tc>
          <w:tcPr>
            <w:tcW w:w="1180" w:type="dxa"/>
            <w:vAlign w:val="bottom"/>
            <w:vMerge w:val="restart"/>
          </w:tcPr>
          <w:p>
            <w:pPr>
              <w:ind w:left="9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40" w:type="dxa"/>
            <w:vAlign w:val="bottom"/>
            <w:vMerge w:val="restart"/>
          </w:tcPr>
          <w:p>
            <w:pPr>
              <w:jc w:val="right"/>
              <w:ind w:right="121"/>
              <w:spacing w:after="0"/>
              <w:rPr>
                <w:sz w:val="20"/>
                <w:szCs w:val="20"/>
                <w:color w:val="auto"/>
              </w:rPr>
            </w:pPr>
            <w:r>
              <w:rPr>
                <w:rFonts w:ascii="Arial" w:cs="Arial" w:eastAsia="Arial" w:hAnsi="Arial"/>
                <w:sz w:val="16"/>
                <w:szCs w:val="16"/>
                <w:color w:val="auto"/>
              </w:rPr>
              <w:t>14</w:t>
            </w: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1"/>
        </w:trPr>
        <w:tc>
          <w:tcPr>
            <w:tcW w:w="366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660" w:type="dxa"/>
            <w:vAlign w:val="bottom"/>
          </w:tcPr>
          <w:p>
            <w:pPr>
              <w:spacing w:after="0" w:line="166" w:lineRule="exact"/>
              <w:rPr>
                <w:sz w:val="20"/>
                <w:szCs w:val="20"/>
                <w:color w:val="auto"/>
              </w:rPr>
            </w:pPr>
            <w:r>
              <w:rPr>
                <w:rFonts w:ascii="Arial" w:cs="Arial" w:eastAsia="Arial" w:hAnsi="Arial"/>
                <w:sz w:val="16"/>
                <w:szCs w:val="16"/>
                <w:color w:val="auto"/>
              </w:rPr>
              <w:t>Net other comprehensive income (loss)</w:t>
            </w: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(41)</w:t>
            </w: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43"/>
              <w:spacing w:after="0" w:line="166" w:lineRule="exact"/>
              <w:rPr>
                <w:sz w:val="20"/>
                <w:szCs w:val="20"/>
                <w:color w:val="auto"/>
              </w:rPr>
            </w:pPr>
            <w:r>
              <w:rPr>
                <w:rFonts w:ascii="Arial" w:cs="Arial" w:eastAsia="Arial" w:hAnsi="Arial"/>
                <w:sz w:val="16"/>
                <w:szCs w:val="16"/>
                <w:color w:val="auto"/>
              </w:rPr>
              <w:t>8</w:t>
            </w:r>
          </w:p>
        </w:tc>
        <w:tc>
          <w:tcPr>
            <w:tcW w:w="1180" w:type="dxa"/>
            <w:vAlign w:val="bottom"/>
            <w:tcBorders>
              <w:bottom w:val="single" w:sz="8" w:color="auto"/>
            </w:tcBorders>
          </w:tcPr>
          <w:p>
            <w:pPr>
              <w:ind w:left="980"/>
              <w:spacing w:after="0" w:line="166"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1"/>
              <w:spacing w:after="0" w:line="166" w:lineRule="exact"/>
              <w:rPr>
                <w:sz w:val="20"/>
                <w:szCs w:val="20"/>
                <w:color w:val="auto"/>
              </w:rPr>
            </w:pPr>
            <w:r>
              <w:rPr>
                <w:rFonts w:ascii="Arial" w:cs="Arial" w:eastAsia="Arial" w:hAnsi="Arial"/>
                <w:sz w:val="16"/>
                <w:szCs w:val="16"/>
                <w:color w:val="auto"/>
              </w:rPr>
              <w:t>(12)</w:t>
            </w:r>
          </w:p>
        </w:tc>
        <w:tc>
          <w:tcPr>
            <w:tcW w:w="16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73"/>
        </w:trPr>
        <w:tc>
          <w:tcPr>
            <w:tcW w:w="366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Balance as of June 30, 2014</w:t>
            </w: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gridSpan w:val="2"/>
          </w:tcPr>
          <w:p>
            <w:pPr>
              <w:jc w:val="right"/>
              <w:ind w:right="200"/>
              <w:spacing w:after="0" w:line="166" w:lineRule="exact"/>
              <w:rPr>
                <w:sz w:val="20"/>
                <w:szCs w:val="20"/>
                <w:color w:val="auto"/>
              </w:rPr>
            </w:pPr>
            <w:r>
              <w:rPr>
                <w:rFonts w:ascii="Arial" w:cs="Arial" w:eastAsia="Arial" w:hAnsi="Arial"/>
                <w:sz w:val="16"/>
                <w:szCs w:val="16"/>
                <w:color w:val="auto"/>
              </w:rPr>
              <w:t>(170)$</w:t>
            </w:r>
          </w:p>
        </w:tc>
        <w:tc>
          <w:tcPr>
            <w:tcW w:w="1500" w:type="dxa"/>
            <w:vAlign w:val="bottom"/>
            <w:tcBorders>
              <w:bottom w:val="single" w:sz="8" w:color="auto"/>
            </w:tcBorders>
          </w:tcPr>
          <w:p>
            <w:pPr>
              <w:jc w:val="right"/>
              <w:ind w:right="3"/>
              <w:spacing w:after="0" w:line="166" w:lineRule="exact"/>
              <w:rPr>
                <w:sz w:val="20"/>
                <w:szCs w:val="20"/>
                <w:color w:val="auto"/>
              </w:rPr>
            </w:pPr>
            <w:r>
              <w:rPr>
                <w:rFonts w:ascii="Arial" w:cs="Arial" w:eastAsia="Arial" w:hAnsi="Arial"/>
                <w:sz w:val="16"/>
                <w:szCs w:val="16"/>
                <w:color w:val="auto"/>
              </w:rPr>
              <w:t>(65)$</w:t>
            </w:r>
          </w:p>
        </w:tc>
        <w:tc>
          <w:tcPr>
            <w:tcW w:w="1340" w:type="dxa"/>
            <w:vAlign w:val="bottom"/>
            <w:tcBorders>
              <w:bottom w:val="single" w:sz="8" w:color="auto"/>
            </w:tcBorders>
            <w:gridSpan w:val="2"/>
          </w:tcPr>
          <w:p>
            <w:pPr>
              <w:ind w:left="980"/>
              <w:spacing w:after="0" w:line="166" w:lineRule="exact"/>
              <w:rPr>
                <w:sz w:val="20"/>
                <w:szCs w:val="20"/>
                <w:color w:val="auto"/>
              </w:rPr>
            </w:pPr>
            <w:r>
              <w:rPr>
                <w:rFonts w:ascii="Arial" w:cs="Arial" w:eastAsia="Arial" w:hAnsi="Arial"/>
                <w:sz w:val="16"/>
                <w:szCs w:val="16"/>
                <w:color w:val="auto"/>
              </w:rPr>
              <w:t>― $</w:t>
            </w:r>
          </w:p>
        </w:tc>
        <w:tc>
          <w:tcPr>
            <w:tcW w:w="1240" w:type="dxa"/>
            <w:vAlign w:val="bottom"/>
            <w:tcBorders>
              <w:bottom w:val="single" w:sz="8" w:color="auto"/>
            </w:tcBorders>
          </w:tcPr>
          <w:p>
            <w:pPr>
              <w:jc w:val="right"/>
              <w:ind w:right="1"/>
              <w:spacing w:after="0" w:line="166" w:lineRule="exact"/>
              <w:rPr>
                <w:sz w:val="20"/>
                <w:szCs w:val="20"/>
                <w:color w:val="auto"/>
              </w:rPr>
            </w:pPr>
            <w:r>
              <w:rPr>
                <w:rFonts w:ascii="Arial" w:cs="Arial" w:eastAsia="Arial" w:hAnsi="Arial"/>
                <w:sz w:val="16"/>
                <w:szCs w:val="16"/>
                <w:color w:val="auto"/>
              </w:rPr>
              <w:t>(38)$</w:t>
            </w:r>
          </w:p>
        </w:tc>
        <w:tc>
          <w:tcPr>
            <w:tcW w:w="16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55"/>
        </w:trPr>
        <w:tc>
          <w:tcPr>
            <w:tcW w:w="3660" w:type="dxa"/>
            <w:vAlign w:val="bottom"/>
          </w:tcPr>
          <w:p>
            <w:pPr>
              <w:spacing w:after="0" w:line="155" w:lineRule="exact"/>
              <w:rPr>
                <w:sz w:val="20"/>
                <w:szCs w:val="20"/>
                <w:color w:val="auto"/>
              </w:rPr>
            </w:pPr>
            <w:r>
              <w:rPr>
                <w:rFonts w:ascii="Arial" w:cs="Arial" w:eastAsia="Arial" w:hAnsi="Arial"/>
                <w:sz w:val="16"/>
                <w:szCs w:val="16"/>
                <w:b w:val="1"/>
                <w:bCs w:val="1"/>
                <w:color w:val="auto"/>
              </w:rPr>
              <w:t>2013:</w:t>
            </w:r>
          </w:p>
        </w:tc>
        <w:tc>
          <w:tcPr>
            <w:tcW w:w="640" w:type="dxa"/>
            <w:vAlign w:val="bottom"/>
            <w:gridSpan w:val="2"/>
            <w:vMerge w:val="restart"/>
          </w:tcPr>
          <w:p>
            <w:pPr>
              <w:jc w:val="right"/>
              <w:ind w:right="26"/>
              <w:spacing w:after="0"/>
              <w:rPr>
                <w:sz w:val="20"/>
                <w:szCs w:val="20"/>
                <w:color w:val="auto"/>
              </w:rPr>
            </w:pPr>
            <w:r>
              <w:rPr>
                <w:rFonts w:ascii="Arial" w:cs="Arial" w:eastAsia="Arial" w:hAnsi="Arial"/>
                <w:sz w:val="16"/>
                <w:szCs w:val="16"/>
                <w:color w:val="auto"/>
              </w:rPr>
              <w:t>$</w:t>
            </w: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(240)$</w:t>
            </w:r>
          </w:p>
        </w:tc>
        <w:tc>
          <w:tcPr>
            <w:tcW w:w="1500" w:type="dxa"/>
            <w:vAlign w:val="bottom"/>
            <w:vMerge w:val="restart"/>
          </w:tcPr>
          <w:p>
            <w:pPr>
              <w:jc w:val="right"/>
              <w:ind w:right="3"/>
              <w:spacing w:after="0"/>
              <w:rPr>
                <w:sz w:val="20"/>
                <w:szCs w:val="20"/>
                <w:color w:val="auto"/>
              </w:rPr>
            </w:pPr>
            <w:r>
              <w:rPr>
                <w:rFonts w:ascii="Arial" w:cs="Arial" w:eastAsia="Arial" w:hAnsi="Arial"/>
                <w:sz w:val="16"/>
                <w:szCs w:val="16"/>
                <w:color w:val="auto"/>
              </w:rPr>
              <w:t>(102)$</w:t>
            </w:r>
          </w:p>
        </w:tc>
        <w:tc>
          <w:tcPr>
            <w:tcW w:w="1180" w:type="dxa"/>
            <w:vAlign w:val="bottom"/>
            <w:vMerge w:val="restart"/>
          </w:tcPr>
          <w:p>
            <w:pPr>
              <w:ind w:left="1040"/>
              <w:spacing w:after="0"/>
              <w:rPr>
                <w:sz w:val="20"/>
                <w:szCs w:val="20"/>
                <w:color w:val="auto"/>
              </w:rPr>
            </w:pPr>
            <w:r>
              <w:rPr>
                <w:rFonts w:ascii="Arial" w:cs="Arial" w:eastAsia="Arial" w:hAnsi="Arial"/>
                <w:sz w:val="16"/>
                <w:szCs w:val="16"/>
                <w:color w:val="auto"/>
              </w:rPr>
              <w:t>1</w:t>
            </w:r>
          </w:p>
        </w:tc>
        <w:tc>
          <w:tcPr>
            <w:tcW w:w="160" w:type="dxa"/>
            <w:vAlign w:val="bottom"/>
            <w:vMerge w:val="restart"/>
          </w:tcPr>
          <w:p>
            <w:pPr>
              <w:jc w:val="right"/>
              <w:ind w:right="6"/>
              <w:spacing w:after="0"/>
              <w:rPr>
                <w:sz w:val="20"/>
                <w:szCs w:val="20"/>
                <w:color w:val="auto"/>
              </w:rPr>
            </w:pPr>
            <w:r>
              <w:rPr>
                <w:rFonts w:ascii="Arial" w:cs="Arial" w:eastAsia="Arial" w:hAnsi="Arial"/>
                <w:sz w:val="15"/>
                <w:szCs w:val="15"/>
                <w:color w:val="auto"/>
                <w:w w:val="71"/>
              </w:rPr>
              <w:t>$</w:t>
            </w:r>
          </w:p>
        </w:tc>
        <w:tc>
          <w:tcPr>
            <w:tcW w:w="1240" w:type="dxa"/>
            <w:vAlign w:val="bottom"/>
            <w:vMerge w:val="restart"/>
          </w:tcPr>
          <w:p>
            <w:pPr>
              <w:jc w:val="right"/>
              <w:ind w:right="1"/>
              <w:spacing w:after="0"/>
              <w:rPr>
                <w:sz w:val="20"/>
                <w:szCs w:val="20"/>
                <w:color w:val="auto"/>
              </w:rPr>
            </w:pPr>
            <w:r>
              <w:rPr>
                <w:rFonts w:ascii="Arial" w:cs="Arial" w:eastAsia="Arial" w:hAnsi="Arial"/>
                <w:sz w:val="16"/>
                <w:szCs w:val="16"/>
                <w:color w:val="auto"/>
              </w:rPr>
              <w:t>(35)$</w:t>
            </w: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191"/>
        </w:trPr>
        <w:tc>
          <w:tcPr>
            <w:tcW w:w="3660" w:type="dxa"/>
            <w:vAlign w:val="bottom"/>
          </w:tcPr>
          <w:p>
            <w:pPr>
              <w:spacing w:after="0"/>
              <w:rPr>
                <w:sz w:val="20"/>
                <w:szCs w:val="20"/>
                <w:color w:val="auto"/>
              </w:rPr>
            </w:pPr>
            <w:r>
              <w:rPr>
                <w:rFonts w:ascii="Arial" w:cs="Arial" w:eastAsia="Arial" w:hAnsi="Arial"/>
                <w:sz w:val="16"/>
                <w:szCs w:val="16"/>
                <w:color w:val="auto"/>
              </w:rPr>
              <w:t>Balance as of December 31, 2012</w:t>
            </w:r>
          </w:p>
        </w:tc>
        <w:tc>
          <w:tcPr>
            <w:tcW w:w="64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660" w:type="dxa"/>
            <w:vAlign w:val="bottom"/>
          </w:tcPr>
          <w:p>
            <w:pPr>
              <w:spacing w:after="0"/>
              <w:rPr>
                <w:sz w:val="20"/>
                <w:szCs w:val="20"/>
                <w:color w:val="auto"/>
              </w:rPr>
            </w:pPr>
            <w:r>
              <w:rPr>
                <w:rFonts w:ascii="Arial" w:cs="Arial" w:eastAsia="Arial" w:hAnsi="Arial"/>
                <w:sz w:val="16"/>
                <w:szCs w:val="16"/>
                <w:color w:val="auto"/>
              </w:rPr>
              <w:t>Other comprehensive income (loss) before</w:t>
            </w:r>
          </w:p>
        </w:tc>
        <w:tc>
          <w:tcPr>
            <w:tcW w:w="4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ind w:left="140"/>
              <w:spacing w:after="0"/>
              <w:rPr>
                <w:sz w:val="20"/>
                <w:szCs w:val="20"/>
                <w:color w:val="auto"/>
              </w:rPr>
            </w:pPr>
            <w:r>
              <w:rPr>
                <w:rFonts w:ascii="Arial" w:cs="Arial" w:eastAsia="Arial" w:hAnsi="Arial"/>
                <w:sz w:val="16"/>
                <w:szCs w:val="16"/>
                <w:color w:val="auto"/>
              </w:rPr>
              <w:t>reclassifications</w:t>
            </w: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60" w:type="dxa"/>
            <w:vAlign w:val="bottom"/>
          </w:tcPr>
          <w:p>
            <w:pPr>
              <w:jc w:val="right"/>
              <w:ind w:right="660"/>
              <w:spacing w:after="0"/>
              <w:rPr>
                <w:sz w:val="20"/>
                <w:szCs w:val="20"/>
                <w:color w:val="auto"/>
              </w:rPr>
            </w:pPr>
            <w:r>
              <w:rPr>
                <w:rFonts w:ascii="Arial" w:cs="Arial" w:eastAsia="Arial" w:hAnsi="Arial"/>
                <w:sz w:val="16"/>
                <w:szCs w:val="16"/>
                <w:color w:val="auto"/>
              </w:rPr>
              <w:t>(126)</w:t>
            </w:r>
          </w:p>
        </w:tc>
        <w:tc>
          <w:tcPr>
            <w:tcW w:w="1480" w:type="dxa"/>
            <w:vAlign w:val="bottom"/>
          </w:tcPr>
          <w:p>
            <w:pPr>
              <w:jc w:val="right"/>
              <w:ind w:right="5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1460" w:type="dxa"/>
            <w:vAlign w:val="bottom"/>
          </w:tcPr>
          <w:p>
            <w:pPr>
              <w:jc w:val="center"/>
              <w:ind w:right="120"/>
              <w:spacing w:after="0"/>
              <w:rPr>
                <w:sz w:val="20"/>
                <w:szCs w:val="20"/>
                <w:color w:val="auto"/>
              </w:rPr>
            </w:pPr>
            <w:r>
              <w:rPr>
                <w:rFonts w:ascii="Arial" w:cs="Arial" w:eastAsia="Arial" w:hAnsi="Arial"/>
                <w:sz w:val="16"/>
                <w:szCs w:val="16"/>
                <w:color w:val="auto"/>
              </w:rPr>
              <w:t>7</w:t>
            </w:r>
          </w:p>
        </w:tc>
        <w:tc>
          <w:tcPr>
            <w:tcW w:w="102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60" w:type="dxa"/>
            <w:vAlign w:val="bottom"/>
            <w:vMerge w:val="restart"/>
          </w:tcPr>
          <w:p>
            <w:pPr>
              <w:ind w:left="500"/>
              <w:spacing w:after="0"/>
              <w:rPr>
                <w:sz w:val="20"/>
                <w:szCs w:val="20"/>
                <w:color w:val="auto"/>
              </w:rPr>
            </w:pPr>
            <w:r>
              <w:rPr>
                <w:rFonts w:ascii="Arial" w:cs="Arial" w:eastAsia="Arial" w:hAnsi="Arial"/>
                <w:sz w:val="16"/>
                <w:szCs w:val="16"/>
                <w:color w:val="auto"/>
              </w:rPr>
              <w:t xml:space="preserve">270 </w:t>
            </w:r>
            <w:r>
              <w:rPr>
                <w:rFonts w:ascii="Arial" w:cs="Arial" w:eastAsia="Arial" w:hAnsi="Arial"/>
                <w:sz w:val="14"/>
                <w:szCs w:val="14"/>
                <w:i w:val="1"/>
                <w:iCs w:val="1"/>
                <w:color w:val="auto"/>
              </w:rPr>
              <w:t>(2)</w:t>
            </w:r>
          </w:p>
        </w:tc>
        <w:tc>
          <w:tcPr>
            <w:tcW w:w="1480" w:type="dxa"/>
            <w:vAlign w:val="bottom"/>
            <w:vMerge w:val="restart"/>
          </w:tcPr>
          <w:p>
            <w:pPr>
              <w:jc w:val="right"/>
              <w:ind w:right="580"/>
              <w:spacing w:after="0"/>
              <w:rPr>
                <w:sz w:val="20"/>
                <w:szCs w:val="20"/>
                <w:color w:val="auto"/>
              </w:rPr>
            </w:pPr>
            <w:r>
              <w:rPr>
                <w:rFonts w:ascii="Arial" w:cs="Arial" w:eastAsia="Arial" w:hAnsi="Arial"/>
                <w:sz w:val="16"/>
                <w:szCs w:val="16"/>
                <w:color w:val="auto"/>
              </w:rPr>
              <w:t>4</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1460" w:type="dxa"/>
            <w:vAlign w:val="bottom"/>
            <w:vMerge w:val="restart"/>
          </w:tcPr>
          <w:p>
            <w:pPr>
              <w:jc w:val="center"/>
              <w:ind w:right="120"/>
              <w:spacing w:after="0"/>
              <w:rPr>
                <w:sz w:val="20"/>
                <w:szCs w:val="20"/>
                <w:color w:val="auto"/>
              </w:rPr>
            </w:pPr>
            <w:r>
              <w:rPr>
                <w:rFonts w:ascii="Arial" w:cs="Arial" w:eastAsia="Arial" w:hAnsi="Arial"/>
                <w:sz w:val="16"/>
                <w:szCs w:val="16"/>
                <w:color w:val="auto"/>
              </w:rPr>
              <w:t>2</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191"/>
        </w:trPr>
        <w:tc>
          <w:tcPr>
            <w:tcW w:w="366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4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660" w:type="dxa"/>
            <w:vAlign w:val="bottom"/>
          </w:tcPr>
          <w:p>
            <w:pPr>
              <w:spacing w:after="0" w:line="166" w:lineRule="exact"/>
              <w:rPr>
                <w:sz w:val="20"/>
                <w:szCs w:val="20"/>
                <w:color w:val="auto"/>
              </w:rPr>
            </w:pPr>
            <w:r>
              <w:rPr>
                <w:rFonts w:ascii="Arial" w:cs="Arial" w:eastAsia="Arial" w:hAnsi="Arial"/>
                <w:sz w:val="16"/>
                <w:szCs w:val="16"/>
                <w:color w:val="auto"/>
              </w:rPr>
              <w:t>Net other comprehensive income</w:t>
            </w:r>
          </w:p>
        </w:tc>
        <w:tc>
          <w:tcPr>
            <w:tcW w:w="4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500"/>
              <w:spacing w:after="0" w:line="166" w:lineRule="exact"/>
              <w:rPr>
                <w:sz w:val="20"/>
                <w:szCs w:val="20"/>
                <w:color w:val="auto"/>
              </w:rPr>
            </w:pPr>
            <w:r>
              <w:rPr>
                <w:rFonts w:ascii="Arial" w:cs="Arial" w:eastAsia="Arial" w:hAnsi="Arial"/>
                <w:sz w:val="16"/>
                <w:szCs w:val="16"/>
                <w:color w:val="auto"/>
              </w:rPr>
              <w:t>144</w:t>
            </w:r>
          </w:p>
        </w:tc>
        <w:tc>
          <w:tcPr>
            <w:tcW w:w="1480" w:type="dxa"/>
            <w:vAlign w:val="bottom"/>
            <w:tcBorders>
              <w:bottom w:val="single" w:sz="8" w:color="auto"/>
            </w:tcBorders>
          </w:tcPr>
          <w:p>
            <w:pPr>
              <w:jc w:val="right"/>
              <w:ind w:right="580"/>
              <w:spacing w:after="0" w:line="166" w:lineRule="exact"/>
              <w:rPr>
                <w:sz w:val="20"/>
                <w:szCs w:val="20"/>
                <w:color w:val="auto"/>
              </w:rPr>
            </w:pPr>
            <w:r>
              <w:rPr>
                <w:rFonts w:ascii="Arial" w:cs="Arial" w:eastAsia="Arial" w:hAnsi="Arial"/>
                <w:sz w:val="16"/>
                <w:szCs w:val="16"/>
                <w:color w:val="auto"/>
              </w:rPr>
              <w:t>4</w:t>
            </w:r>
          </w:p>
        </w:tc>
        <w:tc>
          <w:tcPr>
            <w:tcW w:w="7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120"/>
              <w:spacing w:after="0" w:line="166" w:lineRule="exact"/>
              <w:rPr>
                <w:sz w:val="20"/>
                <w:szCs w:val="20"/>
                <w:color w:val="auto"/>
              </w:rPr>
            </w:pPr>
            <w:r>
              <w:rPr>
                <w:rFonts w:ascii="Arial" w:cs="Arial" w:eastAsia="Arial" w:hAnsi="Arial"/>
                <w:sz w:val="16"/>
                <w:szCs w:val="16"/>
                <w:color w:val="auto"/>
              </w:rPr>
              <w:t>9</w:t>
            </w:r>
          </w:p>
        </w:tc>
        <w:tc>
          <w:tcPr>
            <w:tcW w:w="10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197"/>
        </w:trPr>
        <w:tc>
          <w:tcPr>
            <w:tcW w:w="3660" w:type="dxa"/>
            <w:vAlign w:val="bottom"/>
          </w:tcPr>
          <w:p>
            <w:pPr>
              <w:spacing w:after="0"/>
              <w:rPr>
                <w:sz w:val="20"/>
                <w:szCs w:val="20"/>
                <w:color w:val="auto"/>
              </w:rPr>
            </w:pPr>
            <w:r>
              <w:rPr>
                <w:rFonts w:ascii="Arial" w:cs="Arial" w:eastAsia="Arial" w:hAnsi="Arial"/>
                <w:sz w:val="16"/>
                <w:szCs w:val="16"/>
                <w:color w:val="auto"/>
              </w:rPr>
              <w:t>Balance as of June 30, 2013</w:t>
            </w:r>
          </w:p>
        </w:tc>
        <w:tc>
          <w:tcPr>
            <w:tcW w:w="460" w:type="dxa"/>
            <w:vAlign w:val="bottom"/>
          </w:tcPr>
          <w:p>
            <w:pPr>
              <w:spacing w:after="0"/>
              <w:rPr>
                <w:sz w:val="17"/>
                <w:szCs w:val="17"/>
                <w:color w:val="auto"/>
              </w:rPr>
            </w:pP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ind w:right="580"/>
              <w:spacing w:after="0"/>
              <w:rPr>
                <w:sz w:val="20"/>
                <w:szCs w:val="20"/>
                <w:color w:val="auto"/>
              </w:rPr>
            </w:pPr>
            <w:r>
              <w:rPr>
                <w:rFonts w:ascii="Arial" w:cs="Arial" w:eastAsia="Arial" w:hAnsi="Arial"/>
                <w:sz w:val="16"/>
                <w:szCs w:val="16"/>
                <w:color w:val="auto"/>
              </w:rPr>
              <w:t>(96)$</w:t>
            </w:r>
          </w:p>
        </w:tc>
        <w:tc>
          <w:tcPr>
            <w:tcW w:w="1480" w:type="dxa"/>
            <w:vAlign w:val="bottom"/>
          </w:tcPr>
          <w:p>
            <w:pPr>
              <w:jc w:val="right"/>
              <w:ind w:right="440"/>
              <w:spacing w:after="0"/>
              <w:rPr>
                <w:sz w:val="20"/>
                <w:szCs w:val="20"/>
                <w:color w:val="auto"/>
              </w:rPr>
            </w:pPr>
            <w:r>
              <w:rPr>
                <w:rFonts w:ascii="Arial" w:cs="Arial" w:eastAsia="Arial" w:hAnsi="Arial"/>
                <w:sz w:val="16"/>
                <w:szCs w:val="16"/>
                <w:color w:val="auto"/>
              </w:rPr>
              <w:t>(98)$</w:t>
            </w: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1460" w:type="dxa"/>
            <w:vAlign w:val="bottom"/>
          </w:tcPr>
          <w:p>
            <w:pPr>
              <w:jc w:val="center"/>
              <w:ind w:right="140"/>
              <w:spacing w:after="0"/>
              <w:rPr>
                <w:sz w:val="20"/>
                <w:szCs w:val="20"/>
                <w:color w:val="auto"/>
              </w:rPr>
            </w:pPr>
            <w:r>
              <w:rPr>
                <w:rFonts w:ascii="Arial" w:cs="Arial" w:eastAsia="Arial" w:hAnsi="Arial"/>
                <w:sz w:val="16"/>
                <w:szCs w:val="16"/>
                <w:color w:val="auto"/>
                <w:w w:val="96"/>
              </w:rPr>
              <w:t>(26)$</w:t>
            </w:r>
          </w:p>
        </w:tc>
        <w:tc>
          <w:tcPr>
            <w:tcW w:w="1020" w:type="dxa"/>
            <w:vAlign w:val="bottom"/>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2485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500" w:hanging="494"/>
        <w:spacing w:after="0" w:line="237" w:lineRule="auto"/>
        <w:tabs>
          <w:tab w:leader="none" w:pos="5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All amounts are net of income tax, if subject to tax, and exclude noncontrolling interests.</w:t>
      </w:r>
    </w:p>
    <w:p>
      <w:pPr>
        <w:ind w:left="500" w:right="340" w:hanging="494"/>
        <w:spacing w:after="0" w:line="254" w:lineRule="auto"/>
        <w:tabs>
          <w:tab w:leader="none" w:pos="5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cumulative foreign currency translation adjustment related to the impairment of our Argentine investments in 2006, which is substantially offset by an accrued liability established at that time. We provide additional information about these investments in Note 4.</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ACCUMULATED OTHER COMPREHENSIVE INCOME (LOSS) BY COMPONENT(1)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41"/>
        </w:trPr>
        <w:tc>
          <w:tcPr>
            <w:tcW w:w="5180" w:type="dxa"/>
            <w:vAlign w:val="bottom"/>
          </w:tcPr>
          <w:p>
            <w:pPr>
              <w:spacing w:after="0"/>
              <w:rPr>
                <w:sz w:val="12"/>
                <w:szCs w:val="12"/>
                <w:color w:val="auto"/>
              </w:rPr>
            </w:pPr>
          </w:p>
        </w:tc>
        <w:tc>
          <w:tcPr>
            <w:tcW w:w="3220" w:type="dxa"/>
            <w:vAlign w:val="bottom"/>
            <w:gridSpan w:val="2"/>
          </w:tcPr>
          <w:p>
            <w:pPr>
              <w:jc w:val="right"/>
              <w:ind w:right="782"/>
              <w:spacing w:after="0" w:line="141" w:lineRule="exact"/>
              <w:rPr>
                <w:sz w:val="20"/>
                <w:szCs w:val="20"/>
                <w:color w:val="auto"/>
              </w:rPr>
            </w:pPr>
            <w:r>
              <w:rPr>
                <w:rFonts w:ascii="Arial" w:cs="Arial" w:eastAsia="Arial" w:hAnsi="Arial"/>
                <w:sz w:val="14"/>
                <w:szCs w:val="14"/>
                <w:color w:val="auto"/>
              </w:rPr>
              <w:t>Pension and Other</w:t>
            </w: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3220" w:type="dxa"/>
            <w:vAlign w:val="bottom"/>
            <w:tcBorders>
              <w:bottom w:val="single" w:sz="8" w:color="auto"/>
            </w:tcBorders>
            <w:gridSpan w:val="2"/>
          </w:tcPr>
          <w:p>
            <w:pPr>
              <w:jc w:val="right"/>
              <w:ind w:right="622"/>
              <w:spacing w:after="0"/>
              <w:rPr>
                <w:sz w:val="20"/>
                <w:szCs w:val="20"/>
                <w:color w:val="auto"/>
              </w:rPr>
            </w:pPr>
            <w:r>
              <w:rPr>
                <w:rFonts w:ascii="Arial" w:cs="Arial" w:eastAsia="Arial" w:hAnsi="Arial"/>
                <w:sz w:val="14"/>
                <w:szCs w:val="14"/>
                <w:color w:val="auto"/>
              </w:rPr>
              <w:t>Postretirement Benefits</w:t>
            </w:r>
          </w:p>
        </w:tc>
        <w:tc>
          <w:tcPr>
            <w:tcW w:w="340" w:type="dxa"/>
            <w:vAlign w:val="bottom"/>
            <w:tcBorders>
              <w:bottom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60" w:type="dxa"/>
            <w:vAlign w:val="bottom"/>
          </w:tcPr>
          <w:p>
            <w:pPr>
              <w:jc w:val="center"/>
              <w:ind w:right="422"/>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99"/>
        </w:trPr>
        <w:tc>
          <w:tcPr>
            <w:tcW w:w="5180" w:type="dxa"/>
            <w:vAlign w:val="bottom"/>
          </w:tcPr>
          <w:p>
            <w:pPr>
              <w:spacing w:after="0"/>
              <w:rPr>
                <w:sz w:val="17"/>
                <w:szCs w:val="17"/>
                <w:color w:val="auto"/>
              </w:rPr>
            </w:pPr>
          </w:p>
        </w:tc>
        <w:tc>
          <w:tcPr>
            <w:tcW w:w="1440" w:type="dxa"/>
            <w:vAlign w:val="bottom"/>
          </w:tcPr>
          <w:p>
            <w:pPr>
              <w:jc w:val="center"/>
              <w:ind w:left="287"/>
              <w:spacing w:after="0"/>
              <w:rPr>
                <w:sz w:val="20"/>
                <w:szCs w:val="20"/>
                <w:color w:val="auto"/>
              </w:rPr>
            </w:pPr>
            <w:r>
              <w:rPr>
                <w:rFonts w:ascii="Arial" w:cs="Arial" w:eastAsia="Arial" w:hAnsi="Arial"/>
                <w:sz w:val="14"/>
                <w:szCs w:val="14"/>
                <w:color w:val="auto"/>
              </w:rPr>
              <w:t>Unamortized</w:t>
            </w:r>
          </w:p>
        </w:tc>
        <w:tc>
          <w:tcPr>
            <w:tcW w:w="1780" w:type="dxa"/>
            <w:vAlign w:val="bottom"/>
          </w:tcPr>
          <w:p>
            <w:pPr>
              <w:jc w:val="center"/>
              <w:ind w:left="622"/>
              <w:spacing w:after="0"/>
              <w:rPr>
                <w:sz w:val="20"/>
                <w:szCs w:val="20"/>
                <w:color w:val="auto"/>
              </w:rPr>
            </w:pPr>
            <w:r>
              <w:rPr>
                <w:rFonts w:ascii="Arial" w:cs="Arial" w:eastAsia="Arial" w:hAnsi="Arial"/>
                <w:sz w:val="14"/>
                <w:szCs w:val="14"/>
                <w:color w:val="auto"/>
              </w:rPr>
              <w:t>Unamortized</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jc w:val="center"/>
              <w:ind w:right="422"/>
              <w:spacing w:after="0"/>
              <w:rPr>
                <w:sz w:val="20"/>
                <w:szCs w:val="20"/>
                <w:color w:val="auto"/>
              </w:rPr>
            </w:pPr>
            <w:r>
              <w:rPr>
                <w:rFonts w:ascii="Arial" w:cs="Arial" w:eastAsia="Arial" w:hAnsi="Arial"/>
                <w:sz w:val="14"/>
                <w:szCs w:val="14"/>
                <w:color w:val="auto"/>
              </w:rPr>
              <w:t>Accumulated Other</w:t>
            </w:r>
          </w:p>
        </w:tc>
        <w:tc>
          <w:tcPr>
            <w:tcW w:w="0" w:type="dxa"/>
            <w:vAlign w:val="bottom"/>
          </w:tcPr>
          <w:p>
            <w:pPr>
              <w:spacing w:after="0"/>
              <w:rPr>
                <w:sz w:val="1"/>
                <w:szCs w:val="1"/>
                <w:color w:val="auto"/>
              </w:rPr>
            </w:pPr>
          </w:p>
        </w:tc>
      </w:tr>
      <w:tr>
        <w:trPr>
          <w:trHeight w:val="195"/>
        </w:trPr>
        <w:tc>
          <w:tcPr>
            <w:tcW w:w="5180" w:type="dxa"/>
            <w:vAlign w:val="bottom"/>
          </w:tcPr>
          <w:p>
            <w:pPr>
              <w:spacing w:after="0"/>
              <w:rPr>
                <w:sz w:val="16"/>
                <w:szCs w:val="16"/>
                <w:color w:val="auto"/>
              </w:rPr>
            </w:pPr>
          </w:p>
        </w:tc>
        <w:tc>
          <w:tcPr>
            <w:tcW w:w="1440" w:type="dxa"/>
            <w:vAlign w:val="bottom"/>
          </w:tcPr>
          <w:p>
            <w:pPr>
              <w:jc w:val="center"/>
              <w:ind w:left="307"/>
              <w:spacing w:after="0"/>
              <w:rPr>
                <w:sz w:val="20"/>
                <w:szCs w:val="20"/>
                <w:color w:val="auto"/>
              </w:rPr>
            </w:pPr>
            <w:r>
              <w:rPr>
                <w:rFonts w:ascii="Arial" w:cs="Arial" w:eastAsia="Arial" w:hAnsi="Arial"/>
                <w:sz w:val="14"/>
                <w:szCs w:val="14"/>
                <w:color w:val="auto"/>
              </w:rPr>
              <w:t>Net Actuarial</w:t>
            </w:r>
          </w:p>
        </w:tc>
        <w:tc>
          <w:tcPr>
            <w:tcW w:w="1780" w:type="dxa"/>
            <w:vAlign w:val="bottom"/>
          </w:tcPr>
          <w:p>
            <w:pPr>
              <w:jc w:val="center"/>
              <w:ind w:left="642"/>
              <w:spacing w:after="0"/>
              <w:rPr>
                <w:sz w:val="20"/>
                <w:szCs w:val="20"/>
                <w:color w:val="auto"/>
              </w:rPr>
            </w:pPr>
            <w:r>
              <w:rPr>
                <w:rFonts w:ascii="Arial" w:cs="Arial" w:eastAsia="Arial" w:hAnsi="Arial"/>
                <w:sz w:val="14"/>
                <w:szCs w:val="14"/>
                <w:color w:val="auto"/>
              </w:rPr>
              <w:t>Prior Service</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60" w:type="dxa"/>
            <w:vAlign w:val="bottom"/>
          </w:tcPr>
          <w:p>
            <w:pPr>
              <w:jc w:val="center"/>
              <w:ind w:right="422"/>
              <w:spacing w:after="0"/>
              <w:rPr>
                <w:sz w:val="20"/>
                <w:szCs w:val="20"/>
                <w:color w:val="auto"/>
              </w:rPr>
            </w:pPr>
            <w:r>
              <w:rPr>
                <w:rFonts w:ascii="Arial" w:cs="Arial" w:eastAsia="Arial" w:hAnsi="Arial"/>
                <w:sz w:val="14"/>
                <w:szCs w:val="14"/>
                <w:color w:val="auto"/>
                <w:w w:val="99"/>
              </w:rPr>
              <w:t>Comprehensive</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440" w:type="dxa"/>
            <w:vAlign w:val="bottom"/>
            <w:tcBorders>
              <w:bottom w:val="single" w:sz="8" w:color="auto"/>
            </w:tcBorders>
          </w:tcPr>
          <w:p>
            <w:pPr>
              <w:jc w:val="center"/>
              <w:ind w:left="347"/>
              <w:spacing w:after="0"/>
              <w:rPr>
                <w:sz w:val="20"/>
                <w:szCs w:val="20"/>
                <w:color w:val="auto"/>
              </w:rPr>
            </w:pPr>
            <w:r>
              <w:rPr>
                <w:rFonts w:ascii="Arial" w:cs="Arial" w:eastAsia="Arial" w:hAnsi="Arial"/>
                <w:sz w:val="14"/>
                <w:szCs w:val="14"/>
                <w:color w:val="auto"/>
              </w:rPr>
              <w:t>Gain (Loss)</w:t>
            </w:r>
          </w:p>
        </w:tc>
        <w:tc>
          <w:tcPr>
            <w:tcW w:w="1780" w:type="dxa"/>
            <w:vAlign w:val="bottom"/>
            <w:tcBorders>
              <w:bottom w:val="single" w:sz="8" w:color="auto"/>
            </w:tcBorders>
          </w:tcPr>
          <w:p>
            <w:pPr>
              <w:jc w:val="center"/>
              <w:ind w:left="682"/>
              <w:spacing w:after="0"/>
              <w:rPr>
                <w:sz w:val="20"/>
                <w:szCs w:val="20"/>
                <w:color w:val="auto"/>
              </w:rPr>
            </w:pPr>
            <w:r>
              <w:rPr>
                <w:rFonts w:ascii="Arial" w:cs="Arial" w:eastAsia="Arial" w:hAnsi="Arial"/>
                <w:sz w:val="14"/>
                <w:szCs w:val="14"/>
                <w:color w:val="auto"/>
              </w:rPr>
              <w:t>Credit</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382"/>
              <w:spacing w:after="0"/>
              <w:rPr>
                <w:sz w:val="20"/>
                <w:szCs w:val="20"/>
                <w:color w:val="auto"/>
              </w:rPr>
            </w:pPr>
            <w:r>
              <w:rPr>
                <w:rFonts w:ascii="Arial" w:cs="Arial" w:eastAsia="Arial" w:hAnsi="Arial"/>
                <w:sz w:val="14"/>
                <w:szCs w:val="14"/>
                <w:color w:val="auto"/>
              </w:rPr>
              <w:t>Income (Loss)</w:t>
            </w:r>
          </w:p>
        </w:tc>
        <w:tc>
          <w:tcPr>
            <w:tcW w:w="0" w:type="dxa"/>
            <w:vAlign w:val="bottom"/>
          </w:tcPr>
          <w:p>
            <w:pPr>
              <w:spacing w:after="0"/>
              <w:rPr>
                <w:sz w:val="1"/>
                <w:szCs w:val="1"/>
                <w:color w:val="auto"/>
              </w:rPr>
            </w:pPr>
          </w:p>
        </w:tc>
      </w:tr>
      <w:tr>
        <w:trPr>
          <w:trHeight w:val="153"/>
        </w:trPr>
        <w:tc>
          <w:tcPr>
            <w:tcW w:w="5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4800" w:type="dxa"/>
            <w:vAlign w:val="bottom"/>
            <w:tcBorders>
              <w:bottom w:val="single" w:sz="8" w:color="auto"/>
            </w:tcBorders>
            <w:gridSpan w:val="4"/>
          </w:tcPr>
          <w:p>
            <w:pPr>
              <w:jc w:val="right"/>
              <w:ind w:right="1602"/>
              <w:spacing w:after="0" w:line="153" w:lineRule="exact"/>
              <w:rPr>
                <w:sz w:val="20"/>
                <w:szCs w:val="20"/>
                <w:color w:val="auto"/>
              </w:rPr>
            </w:pPr>
            <w:r>
              <w:rPr>
                <w:rFonts w:ascii="Arial" w:cs="Arial" w:eastAsia="Arial" w:hAnsi="Arial"/>
                <w:sz w:val="14"/>
                <w:szCs w:val="14"/>
                <w:color w:val="auto"/>
              </w:rPr>
              <w:t>Three months ended June 30, 2014 and 2013</w:t>
            </w:r>
          </w:p>
        </w:tc>
        <w:tc>
          <w:tcPr>
            <w:tcW w:w="0" w:type="dxa"/>
            <w:vAlign w:val="bottom"/>
          </w:tcPr>
          <w:p>
            <w:pPr>
              <w:spacing w:after="0"/>
              <w:rPr>
                <w:sz w:val="1"/>
                <w:szCs w:val="1"/>
                <w:color w:val="auto"/>
              </w:rPr>
            </w:pPr>
          </w:p>
        </w:tc>
      </w:tr>
      <w:tr>
        <w:trPr>
          <w:trHeight w:val="148"/>
        </w:trPr>
        <w:tc>
          <w:tcPr>
            <w:tcW w:w="5180" w:type="dxa"/>
            <w:vAlign w:val="bottom"/>
          </w:tcPr>
          <w:p>
            <w:pPr>
              <w:spacing w:after="0" w:line="148" w:lineRule="exact"/>
              <w:rPr>
                <w:sz w:val="20"/>
                <w:szCs w:val="20"/>
                <w:color w:val="auto"/>
              </w:rPr>
            </w:pPr>
            <w:r>
              <w:rPr>
                <w:rFonts w:ascii="Arial" w:cs="Arial" w:eastAsia="Arial" w:hAnsi="Arial"/>
                <w:sz w:val="16"/>
                <w:szCs w:val="16"/>
                <w:b w:val="1"/>
                <w:bCs w:val="1"/>
                <w:color w:val="auto"/>
              </w:rPr>
              <w:t>2014:</w:t>
            </w:r>
          </w:p>
        </w:tc>
        <w:tc>
          <w:tcPr>
            <w:tcW w:w="1440" w:type="dxa"/>
            <w:vAlign w:val="bottom"/>
            <w:vMerge w:val="restart"/>
          </w:tcPr>
          <w:p>
            <w:pPr>
              <w:jc w:val="right"/>
              <w:ind w:right="1287"/>
              <w:spacing w:after="0"/>
              <w:rPr>
                <w:sz w:val="20"/>
                <w:szCs w:val="20"/>
                <w:color w:val="auto"/>
              </w:rPr>
            </w:pPr>
            <w:r>
              <w:rPr>
                <w:rFonts w:ascii="Arial" w:cs="Arial" w:eastAsia="Arial" w:hAnsi="Arial"/>
                <w:sz w:val="15"/>
                <w:szCs w:val="15"/>
                <w:color w:val="auto"/>
                <w:w w:val="71"/>
              </w:rPr>
              <w:t>$</w:t>
            </w:r>
          </w:p>
        </w:tc>
        <w:tc>
          <w:tcPr>
            <w:tcW w:w="1780" w:type="dxa"/>
            <w:vAlign w:val="bottom"/>
            <w:vMerge w:val="restart"/>
          </w:tcPr>
          <w:p>
            <w:pPr>
              <w:jc w:val="right"/>
              <w:ind w:right="1202"/>
              <w:spacing w:after="0"/>
              <w:rPr>
                <w:sz w:val="20"/>
                <w:szCs w:val="20"/>
                <w:color w:val="auto"/>
              </w:rPr>
            </w:pPr>
            <w:r>
              <w:rPr>
                <w:rFonts w:ascii="Arial" w:cs="Arial" w:eastAsia="Arial" w:hAnsi="Arial"/>
                <w:sz w:val="16"/>
                <w:szCs w:val="16"/>
                <w:color w:val="auto"/>
              </w:rPr>
              <w:t>(10)$</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920" w:type="dxa"/>
            <w:vAlign w:val="bottom"/>
            <w:vMerge w:val="restart"/>
          </w:tcPr>
          <w:p>
            <w:pPr>
              <w:jc w:val="right"/>
              <w:ind w:right="280"/>
              <w:spacing w:after="0"/>
              <w:rPr>
                <w:sz w:val="20"/>
                <w:szCs w:val="20"/>
                <w:color w:val="auto"/>
              </w:rPr>
            </w:pPr>
            <w:r>
              <w:rPr>
                <w:rFonts w:ascii="Arial" w:cs="Arial" w:eastAsia="Arial" w:hAnsi="Arial"/>
                <w:sz w:val="16"/>
                <w:szCs w:val="16"/>
                <w:color w:val="auto"/>
              </w:rPr>
              <w:t>$</w:t>
            </w:r>
          </w:p>
        </w:tc>
        <w:tc>
          <w:tcPr>
            <w:tcW w:w="176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color w:val="auto"/>
              </w:rPr>
              <w:t>Balance as of March 31, 2014</w:t>
            </w:r>
          </w:p>
        </w:tc>
        <w:tc>
          <w:tcPr>
            <w:tcW w:w="144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line="148" w:lineRule="exact"/>
              <w:rPr>
                <w:sz w:val="20"/>
                <w:szCs w:val="20"/>
                <w:color w:val="auto"/>
              </w:rPr>
            </w:pPr>
            <w:r>
              <w:rPr>
                <w:rFonts w:ascii="Arial" w:cs="Arial" w:eastAsia="Arial" w:hAnsi="Arial"/>
                <w:sz w:val="16"/>
                <w:szCs w:val="16"/>
                <w:color w:val="auto"/>
              </w:rPr>
              <w:t>Amounts reclassified from accumulated other</w:t>
            </w:r>
          </w:p>
        </w:tc>
        <w:tc>
          <w:tcPr>
            <w:tcW w:w="1440" w:type="dxa"/>
            <w:vAlign w:val="bottom"/>
          </w:tcPr>
          <w:p>
            <w:pPr>
              <w:spacing w:after="0"/>
              <w:rPr>
                <w:sz w:val="12"/>
                <w:szCs w:val="12"/>
                <w:color w:val="auto"/>
              </w:rPr>
            </w:pPr>
          </w:p>
        </w:tc>
        <w:tc>
          <w:tcPr>
            <w:tcW w:w="1780" w:type="dxa"/>
            <w:vAlign w:val="bottom"/>
            <w:vMerge w:val="restart"/>
          </w:tcPr>
          <w:p>
            <w:pPr>
              <w:jc w:val="center"/>
              <w:ind w:right="1042"/>
              <w:spacing w:after="0"/>
              <w:rPr>
                <w:sz w:val="20"/>
                <w:szCs w:val="20"/>
                <w:color w:val="auto"/>
              </w:rPr>
            </w:pPr>
            <w:r>
              <w:rPr>
                <w:rFonts w:ascii="Arial" w:cs="Arial" w:eastAsia="Arial" w:hAnsi="Arial"/>
                <w:sz w:val="16"/>
                <w:szCs w:val="16"/>
                <w:color w:val="auto"/>
              </w:rPr>
              <w:t>1</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2"/>
                <w:szCs w:val="12"/>
                <w:color w:val="auto"/>
              </w:rPr>
            </w:pPr>
          </w:p>
        </w:tc>
        <w:tc>
          <w:tcPr>
            <w:tcW w:w="17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1"/>
        </w:trPr>
        <w:tc>
          <w:tcPr>
            <w:tcW w:w="518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14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line="166" w:lineRule="exact"/>
              <w:rPr>
                <w:sz w:val="20"/>
                <w:szCs w:val="20"/>
                <w:color w:val="auto"/>
              </w:rPr>
            </w:pPr>
            <w:r>
              <w:rPr>
                <w:rFonts w:ascii="Arial" w:cs="Arial" w:eastAsia="Arial" w:hAnsi="Arial"/>
                <w:sz w:val="16"/>
                <w:szCs w:val="16"/>
                <w:color w:val="auto"/>
              </w:rPr>
              <w:t>Net other comprehensive income</w:t>
            </w:r>
          </w:p>
        </w:tc>
        <w:tc>
          <w:tcPr>
            <w:tcW w:w="14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ind w:right="1042"/>
              <w:spacing w:after="0" w:line="166" w:lineRule="exact"/>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3"/>
        </w:trPr>
        <w:tc>
          <w:tcPr>
            <w:tcW w:w="518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Balance as of June 30, 2014</w:t>
            </w:r>
          </w:p>
        </w:tc>
        <w:tc>
          <w:tcPr>
            <w:tcW w:w="1440" w:type="dxa"/>
            <w:vAlign w:val="bottom"/>
            <w:tcBorders>
              <w:bottom w:val="single" w:sz="8" w:color="auto"/>
            </w:tcBorders>
          </w:tcPr>
          <w:p>
            <w:pPr>
              <w:jc w:val="right"/>
              <w:ind w:right="1287"/>
              <w:spacing w:after="0" w:line="167" w:lineRule="exact"/>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ind w:right="1202"/>
              <w:spacing w:after="0" w:line="166" w:lineRule="exact"/>
              <w:rPr>
                <w:sz w:val="20"/>
                <w:szCs w:val="20"/>
                <w:color w:val="auto"/>
              </w:rPr>
            </w:pPr>
            <w:r>
              <w:rPr>
                <w:rFonts w:ascii="Arial" w:cs="Arial" w:eastAsia="Arial" w:hAnsi="Arial"/>
                <w:sz w:val="16"/>
                <w:szCs w:val="16"/>
                <w:color w:val="auto"/>
              </w:rPr>
              <w:t>(9)$</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920" w:type="dxa"/>
            <w:vAlign w:val="bottom"/>
            <w:tcBorders>
              <w:bottom w:val="single" w:sz="8" w:color="auto"/>
            </w:tcBorders>
          </w:tcPr>
          <w:p>
            <w:pPr>
              <w:jc w:val="right"/>
              <w:ind w:right="280"/>
              <w:spacing w:after="0" w:line="166" w:lineRule="exact"/>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55"/>
        </w:trPr>
        <w:tc>
          <w:tcPr>
            <w:tcW w:w="5180" w:type="dxa"/>
            <w:vAlign w:val="bottom"/>
          </w:tcPr>
          <w:p>
            <w:pPr>
              <w:spacing w:after="0" w:line="155" w:lineRule="exact"/>
              <w:rPr>
                <w:sz w:val="20"/>
                <w:szCs w:val="20"/>
                <w:color w:val="auto"/>
              </w:rPr>
            </w:pPr>
            <w:r>
              <w:rPr>
                <w:rFonts w:ascii="Arial" w:cs="Arial" w:eastAsia="Arial" w:hAnsi="Arial"/>
                <w:sz w:val="16"/>
                <w:szCs w:val="16"/>
                <w:b w:val="1"/>
                <w:bCs w:val="1"/>
                <w:color w:val="auto"/>
              </w:rPr>
              <w:t>2013:</w:t>
            </w:r>
          </w:p>
        </w:tc>
        <w:tc>
          <w:tcPr>
            <w:tcW w:w="1440" w:type="dxa"/>
            <w:vAlign w:val="bottom"/>
            <w:vMerge w:val="restart"/>
          </w:tcPr>
          <w:p>
            <w:pPr>
              <w:jc w:val="right"/>
              <w:ind w:right="1287"/>
              <w:spacing w:after="0"/>
              <w:rPr>
                <w:sz w:val="20"/>
                <w:szCs w:val="20"/>
                <w:color w:val="auto"/>
              </w:rPr>
            </w:pPr>
            <w:r>
              <w:rPr>
                <w:rFonts w:ascii="Arial" w:cs="Arial" w:eastAsia="Arial" w:hAnsi="Arial"/>
                <w:sz w:val="15"/>
                <w:szCs w:val="15"/>
                <w:color w:val="auto"/>
                <w:w w:val="71"/>
              </w:rPr>
              <w:t>$</w:t>
            </w:r>
          </w:p>
        </w:tc>
        <w:tc>
          <w:tcPr>
            <w:tcW w:w="1780" w:type="dxa"/>
            <w:vAlign w:val="bottom"/>
            <w:vMerge w:val="restart"/>
          </w:tcPr>
          <w:p>
            <w:pPr>
              <w:jc w:val="right"/>
              <w:ind w:right="1202"/>
              <w:spacing w:after="0"/>
              <w:rPr>
                <w:sz w:val="20"/>
                <w:szCs w:val="20"/>
                <w:color w:val="auto"/>
              </w:rPr>
            </w:pPr>
            <w:r>
              <w:rPr>
                <w:rFonts w:ascii="Arial" w:cs="Arial" w:eastAsia="Arial" w:hAnsi="Arial"/>
                <w:sz w:val="16"/>
                <w:szCs w:val="16"/>
                <w:color w:val="auto"/>
              </w:rPr>
              <w:t>(12)$</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920" w:type="dxa"/>
            <w:vAlign w:val="bottom"/>
            <w:vMerge w:val="restart"/>
          </w:tcPr>
          <w:p>
            <w:pPr>
              <w:jc w:val="right"/>
              <w:ind w:right="280"/>
              <w:spacing w:after="0"/>
              <w:rPr>
                <w:sz w:val="20"/>
                <w:szCs w:val="20"/>
                <w:color w:val="auto"/>
              </w:rPr>
            </w:pPr>
            <w:r>
              <w:rPr>
                <w:rFonts w:ascii="Arial" w:cs="Arial" w:eastAsia="Arial" w:hAnsi="Arial"/>
                <w:sz w:val="16"/>
                <w:szCs w:val="16"/>
                <w:color w:val="auto"/>
              </w:rPr>
              <w:t>$</w:t>
            </w:r>
          </w:p>
        </w:tc>
        <w:tc>
          <w:tcPr>
            <w:tcW w:w="176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color w:val="auto"/>
              </w:rPr>
              <w:t>Balance as of March 31, 2013</w:t>
            </w:r>
          </w:p>
        </w:tc>
        <w:tc>
          <w:tcPr>
            <w:tcW w:w="144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line="148" w:lineRule="exact"/>
              <w:rPr>
                <w:sz w:val="20"/>
                <w:szCs w:val="20"/>
                <w:color w:val="auto"/>
              </w:rPr>
            </w:pPr>
            <w:r>
              <w:rPr>
                <w:rFonts w:ascii="Arial" w:cs="Arial" w:eastAsia="Arial" w:hAnsi="Arial"/>
                <w:sz w:val="16"/>
                <w:szCs w:val="16"/>
                <w:color w:val="auto"/>
              </w:rPr>
              <w:t>Amounts reclassified from accumulated other</w:t>
            </w:r>
          </w:p>
        </w:tc>
        <w:tc>
          <w:tcPr>
            <w:tcW w:w="1440" w:type="dxa"/>
            <w:vAlign w:val="bottom"/>
          </w:tcPr>
          <w:p>
            <w:pPr>
              <w:spacing w:after="0"/>
              <w:rPr>
                <w:sz w:val="12"/>
                <w:szCs w:val="12"/>
                <w:color w:val="auto"/>
              </w:rPr>
            </w:pPr>
          </w:p>
        </w:tc>
        <w:tc>
          <w:tcPr>
            <w:tcW w:w="1780" w:type="dxa"/>
            <w:vAlign w:val="bottom"/>
            <w:vMerge w:val="restart"/>
          </w:tcPr>
          <w:p>
            <w:pPr>
              <w:jc w:val="center"/>
              <w:ind w:right="1042"/>
              <w:spacing w:after="0"/>
              <w:rPr>
                <w:sz w:val="20"/>
                <w:szCs w:val="20"/>
                <w:color w:val="auto"/>
              </w:rPr>
            </w:pPr>
            <w:r>
              <w:rPr>
                <w:rFonts w:ascii="Arial" w:cs="Arial" w:eastAsia="Arial" w:hAnsi="Arial"/>
                <w:sz w:val="16"/>
                <w:szCs w:val="16"/>
                <w:color w:val="auto"/>
              </w:rPr>
              <w:t>1</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2"/>
                <w:szCs w:val="12"/>
                <w:color w:val="auto"/>
              </w:rPr>
            </w:pPr>
          </w:p>
        </w:tc>
        <w:tc>
          <w:tcPr>
            <w:tcW w:w="17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1"/>
        </w:trPr>
        <w:tc>
          <w:tcPr>
            <w:tcW w:w="518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14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line="166" w:lineRule="exact"/>
              <w:rPr>
                <w:sz w:val="20"/>
                <w:szCs w:val="20"/>
                <w:color w:val="auto"/>
              </w:rPr>
            </w:pPr>
            <w:r>
              <w:rPr>
                <w:rFonts w:ascii="Arial" w:cs="Arial" w:eastAsia="Arial" w:hAnsi="Arial"/>
                <w:sz w:val="16"/>
                <w:szCs w:val="16"/>
                <w:color w:val="auto"/>
              </w:rPr>
              <w:t>Net other comprehensive income</w:t>
            </w:r>
          </w:p>
        </w:tc>
        <w:tc>
          <w:tcPr>
            <w:tcW w:w="14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ind w:right="1042"/>
              <w:spacing w:after="0" w:line="166" w:lineRule="exact"/>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3"/>
        </w:trPr>
        <w:tc>
          <w:tcPr>
            <w:tcW w:w="518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Balance as of June 30, 2013</w:t>
            </w:r>
          </w:p>
        </w:tc>
        <w:tc>
          <w:tcPr>
            <w:tcW w:w="1440" w:type="dxa"/>
            <w:vAlign w:val="bottom"/>
            <w:tcBorders>
              <w:bottom w:val="single" w:sz="8" w:color="auto"/>
            </w:tcBorders>
          </w:tcPr>
          <w:p>
            <w:pPr>
              <w:jc w:val="right"/>
              <w:ind w:right="1287"/>
              <w:spacing w:after="0" w:line="167" w:lineRule="exact"/>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center"/>
              <w:ind w:right="1062"/>
              <w:spacing w:after="0" w:line="166" w:lineRule="exact"/>
              <w:rPr>
                <w:sz w:val="20"/>
                <w:szCs w:val="20"/>
                <w:color w:val="auto"/>
              </w:rPr>
            </w:pPr>
            <w:r>
              <w:rPr>
                <w:rFonts w:ascii="Arial" w:cs="Arial" w:eastAsia="Arial" w:hAnsi="Arial"/>
                <w:sz w:val="16"/>
                <w:szCs w:val="16"/>
                <w:color w:val="auto"/>
                <w:w w:val="96"/>
              </w:rPr>
              <w:t>(11)$</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920" w:type="dxa"/>
            <w:vAlign w:val="bottom"/>
            <w:tcBorders>
              <w:bottom w:val="single" w:sz="8" w:color="auto"/>
            </w:tcBorders>
          </w:tcPr>
          <w:p>
            <w:pPr>
              <w:jc w:val="right"/>
              <w:ind w:right="280"/>
              <w:spacing w:after="0" w:line="166" w:lineRule="exact"/>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2"/>
        </w:trPr>
        <w:tc>
          <w:tcPr>
            <w:tcW w:w="5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 ended June 30, 2014 and 2013</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line="148" w:lineRule="exact"/>
              <w:rPr>
                <w:sz w:val="20"/>
                <w:szCs w:val="20"/>
                <w:color w:val="auto"/>
              </w:rPr>
            </w:pPr>
            <w:r>
              <w:rPr>
                <w:rFonts w:ascii="Arial" w:cs="Arial" w:eastAsia="Arial" w:hAnsi="Arial"/>
                <w:sz w:val="16"/>
                <w:szCs w:val="16"/>
                <w:b w:val="1"/>
                <w:bCs w:val="1"/>
                <w:color w:val="auto"/>
              </w:rPr>
              <w:t>2014:</w:t>
            </w:r>
          </w:p>
        </w:tc>
        <w:tc>
          <w:tcPr>
            <w:tcW w:w="1440" w:type="dxa"/>
            <w:vAlign w:val="bottom"/>
            <w:vMerge w:val="restart"/>
          </w:tcPr>
          <w:p>
            <w:pPr>
              <w:jc w:val="right"/>
              <w:ind w:right="1287"/>
              <w:spacing w:after="0"/>
              <w:rPr>
                <w:sz w:val="20"/>
                <w:szCs w:val="20"/>
                <w:color w:val="auto"/>
              </w:rPr>
            </w:pPr>
            <w:r>
              <w:rPr>
                <w:rFonts w:ascii="Arial" w:cs="Arial" w:eastAsia="Arial" w:hAnsi="Arial"/>
                <w:sz w:val="15"/>
                <w:szCs w:val="15"/>
                <w:color w:val="auto"/>
                <w:w w:val="71"/>
              </w:rPr>
              <w:t>$</w:t>
            </w:r>
          </w:p>
        </w:tc>
        <w:tc>
          <w:tcPr>
            <w:tcW w:w="1780" w:type="dxa"/>
            <w:vAlign w:val="bottom"/>
            <w:vMerge w:val="restart"/>
          </w:tcPr>
          <w:p>
            <w:pPr>
              <w:jc w:val="right"/>
              <w:ind w:right="1202"/>
              <w:spacing w:after="0"/>
              <w:rPr>
                <w:sz w:val="20"/>
                <w:szCs w:val="20"/>
                <w:color w:val="auto"/>
              </w:rPr>
            </w:pPr>
            <w:r>
              <w:rPr>
                <w:rFonts w:ascii="Arial" w:cs="Arial" w:eastAsia="Arial" w:hAnsi="Arial"/>
                <w:sz w:val="16"/>
                <w:szCs w:val="16"/>
                <w:color w:val="auto"/>
              </w:rPr>
              <w:t>(10)$</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920" w:type="dxa"/>
            <w:vAlign w:val="bottom"/>
            <w:vMerge w:val="restart"/>
          </w:tcPr>
          <w:p>
            <w:pPr>
              <w:jc w:val="right"/>
              <w:ind w:right="280"/>
              <w:spacing w:after="0"/>
              <w:rPr>
                <w:sz w:val="20"/>
                <w:szCs w:val="20"/>
                <w:color w:val="auto"/>
              </w:rPr>
            </w:pPr>
            <w:r>
              <w:rPr>
                <w:rFonts w:ascii="Arial" w:cs="Arial" w:eastAsia="Arial" w:hAnsi="Arial"/>
                <w:sz w:val="16"/>
                <w:szCs w:val="16"/>
                <w:color w:val="auto"/>
              </w:rPr>
              <w:t>$</w:t>
            </w:r>
          </w:p>
        </w:tc>
        <w:tc>
          <w:tcPr>
            <w:tcW w:w="176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color w:val="auto"/>
              </w:rPr>
              <w:t>Balance as of December 31, 2013</w:t>
            </w:r>
          </w:p>
        </w:tc>
        <w:tc>
          <w:tcPr>
            <w:tcW w:w="144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line="148" w:lineRule="exact"/>
              <w:rPr>
                <w:sz w:val="20"/>
                <w:szCs w:val="20"/>
                <w:color w:val="auto"/>
              </w:rPr>
            </w:pPr>
            <w:r>
              <w:rPr>
                <w:rFonts w:ascii="Arial" w:cs="Arial" w:eastAsia="Arial" w:hAnsi="Arial"/>
                <w:sz w:val="16"/>
                <w:szCs w:val="16"/>
                <w:color w:val="auto"/>
              </w:rPr>
              <w:t>Amounts reclassified from accumulated other</w:t>
            </w:r>
          </w:p>
        </w:tc>
        <w:tc>
          <w:tcPr>
            <w:tcW w:w="1440" w:type="dxa"/>
            <w:vAlign w:val="bottom"/>
          </w:tcPr>
          <w:p>
            <w:pPr>
              <w:spacing w:after="0"/>
              <w:rPr>
                <w:sz w:val="12"/>
                <w:szCs w:val="12"/>
                <w:color w:val="auto"/>
              </w:rPr>
            </w:pPr>
          </w:p>
        </w:tc>
        <w:tc>
          <w:tcPr>
            <w:tcW w:w="1780" w:type="dxa"/>
            <w:vAlign w:val="bottom"/>
            <w:vMerge w:val="restart"/>
          </w:tcPr>
          <w:p>
            <w:pPr>
              <w:jc w:val="center"/>
              <w:ind w:right="1042"/>
              <w:spacing w:after="0"/>
              <w:rPr>
                <w:sz w:val="20"/>
                <w:szCs w:val="20"/>
                <w:color w:val="auto"/>
              </w:rPr>
            </w:pPr>
            <w:r>
              <w:rPr>
                <w:rFonts w:ascii="Arial" w:cs="Arial" w:eastAsia="Arial" w:hAnsi="Arial"/>
                <w:sz w:val="16"/>
                <w:szCs w:val="16"/>
                <w:color w:val="auto"/>
              </w:rPr>
              <w:t>1</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2"/>
                <w:szCs w:val="12"/>
                <w:color w:val="auto"/>
              </w:rPr>
            </w:pPr>
          </w:p>
        </w:tc>
        <w:tc>
          <w:tcPr>
            <w:tcW w:w="17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1"/>
        </w:trPr>
        <w:tc>
          <w:tcPr>
            <w:tcW w:w="518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14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line="166" w:lineRule="exact"/>
              <w:rPr>
                <w:sz w:val="20"/>
                <w:szCs w:val="20"/>
                <w:color w:val="auto"/>
              </w:rPr>
            </w:pPr>
            <w:r>
              <w:rPr>
                <w:rFonts w:ascii="Arial" w:cs="Arial" w:eastAsia="Arial" w:hAnsi="Arial"/>
                <w:sz w:val="16"/>
                <w:szCs w:val="16"/>
                <w:color w:val="auto"/>
              </w:rPr>
              <w:t>Net other comprehensive income</w:t>
            </w:r>
          </w:p>
        </w:tc>
        <w:tc>
          <w:tcPr>
            <w:tcW w:w="14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ind w:right="1042"/>
              <w:spacing w:after="0" w:line="166" w:lineRule="exact"/>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3"/>
        </w:trPr>
        <w:tc>
          <w:tcPr>
            <w:tcW w:w="518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Balance as of June 30, 2014</w:t>
            </w:r>
          </w:p>
        </w:tc>
        <w:tc>
          <w:tcPr>
            <w:tcW w:w="1440" w:type="dxa"/>
            <w:vAlign w:val="bottom"/>
            <w:tcBorders>
              <w:bottom w:val="single" w:sz="8" w:color="auto"/>
            </w:tcBorders>
          </w:tcPr>
          <w:p>
            <w:pPr>
              <w:jc w:val="right"/>
              <w:ind w:right="1287"/>
              <w:spacing w:after="0" w:line="167" w:lineRule="exact"/>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ind w:right="1202"/>
              <w:spacing w:after="0" w:line="166" w:lineRule="exact"/>
              <w:rPr>
                <w:sz w:val="20"/>
                <w:szCs w:val="20"/>
                <w:color w:val="auto"/>
              </w:rPr>
            </w:pPr>
            <w:r>
              <w:rPr>
                <w:rFonts w:ascii="Arial" w:cs="Arial" w:eastAsia="Arial" w:hAnsi="Arial"/>
                <w:sz w:val="16"/>
                <w:szCs w:val="16"/>
                <w:color w:val="auto"/>
              </w:rPr>
              <w:t>(9)$</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920" w:type="dxa"/>
            <w:vAlign w:val="bottom"/>
            <w:tcBorders>
              <w:bottom w:val="single" w:sz="8" w:color="auto"/>
            </w:tcBorders>
          </w:tcPr>
          <w:p>
            <w:pPr>
              <w:jc w:val="right"/>
              <w:ind w:right="280"/>
              <w:spacing w:after="0" w:line="166" w:lineRule="exact"/>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55"/>
        </w:trPr>
        <w:tc>
          <w:tcPr>
            <w:tcW w:w="5180" w:type="dxa"/>
            <w:vAlign w:val="bottom"/>
          </w:tcPr>
          <w:p>
            <w:pPr>
              <w:spacing w:after="0" w:line="155" w:lineRule="exact"/>
              <w:rPr>
                <w:sz w:val="20"/>
                <w:szCs w:val="20"/>
                <w:color w:val="auto"/>
              </w:rPr>
            </w:pPr>
            <w:r>
              <w:rPr>
                <w:rFonts w:ascii="Arial" w:cs="Arial" w:eastAsia="Arial" w:hAnsi="Arial"/>
                <w:sz w:val="16"/>
                <w:szCs w:val="16"/>
                <w:b w:val="1"/>
                <w:bCs w:val="1"/>
                <w:color w:val="auto"/>
              </w:rPr>
              <w:t>2013:</w:t>
            </w:r>
          </w:p>
        </w:tc>
        <w:tc>
          <w:tcPr>
            <w:tcW w:w="1440" w:type="dxa"/>
            <w:vAlign w:val="bottom"/>
            <w:vMerge w:val="restart"/>
          </w:tcPr>
          <w:p>
            <w:pPr>
              <w:jc w:val="right"/>
              <w:ind w:right="1287"/>
              <w:spacing w:after="0"/>
              <w:rPr>
                <w:sz w:val="20"/>
                <w:szCs w:val="20"/>
                <w:color w:val="auto"/>
              </w:rPr>
            </w:pPr>
            <w:r>
              <w:rPr>
                <w:rFonts w:ascii="Arial" w:cs="Arial" w:eastAsia="Arial" w:hAnsi="Arial"/>
                <w:sz w:val="15"/>
                <w:szCs w:val="15"/>
                <w:color w:val="auto"/>
                <w:w w:val="71"/>
              </w:rPr>
              <w:t>$</w:t>
            </w:r>
          </w:p>
        </w:tc>
        <w:tc>
          <w:tcPr>
            <w:tcW w:w="1780" w:type="dxa"/>
            <w:vAlign w:val="bottom"/>
            <w:vMerge w:val="restart"/>
          </w:tcPr>
          <w:p>
            <w:pPr>
              <w:jc w:val="right"/>
              <w:ind w:right="1202"/>
              <w:spacing w:after="0"/>
              <w:rPr>
                <w:sz w:val="20"/>
                <w:szCs w:val="20"/>
                <w:color w:val="auto"/>
              </w:rPr>
            </w:pPr>
            <w:r>
              <w:rPr>
                <w:rFonts w:ascii="Arial" w:cs="Arial" w:eastAsia="Arial" w:hAnsi="Arial"/>
                <w:sz w:val="16"/>
                <w:szCs w:val="16"/>
                <w:color w:val="auto"/>
              </w:rPr>
              <w:t>(12)$</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920" w:type="dxa"/>
            <w:vAlign w:val="bottom"/>
            <w:vMerge w:val="restart"/>
          </w:tcPr>
          <w:p>
            <w:pPr>
              <w:jc w:val="right"/>
              <w:ind w:right="280"/>
              <w:spacing w:after="0"/>
              <w:rPr>
                <w:sz w:val="20"/>
                <w:szCs w:val="20"/>
                <w:color w:val="auto"/>
              </w:rPr>
            </w:pPr>
            <w:r>
              <w:rPr>
                <w:rFonts w:ascii="Arial" w:cs="Arial" w:eastAsia="Arial" w:hAnsi="Arial"/>
                <w:sz w:val="16"/>
                <w:szCs w:val="16"/>
                <w:color w:val="auto"/>
              </w:rPr>
              <w:t>$</w:t>
            </w:r>
          </w:p>
        </w:tc>
        <w:tc>
          <w:tcPr>
            <w:tcW w:w="176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color w:val="auto"/>
              </w:rPr>
              <w:t>Balance as of December 31, 2012</w:t>
            </w:r>
          </w:p>
        </w:tc>
        <w:tc>
          <w:tcPr>
            <w:tcW w:w="144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line="148" w:lineRule="exact"/>
              <w:rPr>
                <w:sz w:val="20"/>
                <w:szCs w:val="20"/>
                <w:color w:val="auto"/>
              </w:rPr>
            </w:pPr>
            <w:r>
              <w:rPr>
                <w:rFonts w:ascii="Arial" w:cs="Arial" w:eastAsia="Arial" w:hAnsi="Arial"/>
                <w:sz w:val="16"/>
                <w:szCs w:val="16"/>
                <w:color w:val="auto"/>
              </w:rPr>
              <w:t>Amounts reclassified from accumulated other</w:t>
            </w:r>
          </w:p>
        </w:tc>
        <w:tc>
          <w:tcPr>
            <w:tcW w:w="1440" w:type="dxa"/>
            <w:vAlign w:val="bottom"/>
          </w:tcPr>
          <w:p>
            <w:pPr>
              <w:spacing w:after="0"/>
              <w:rPr>
                <w:sz w:val="12"/>
                <w:szCs w:val="12"/>
                <w:color w:val="auto"/>
              </w:rPr>
            </w:pPr>
          </w:p>
        </w:tc>
        <w:tc>
          <w:tcPr>
            <w:tcW w:w="1780" w:type="dxa"/>
            <w:vAlign w:val="bottom"/>
            <w:vMerge w:val="restart"/>
          </w:tcPr>
          <w:p>
            <w:pPr>
              <w:jc w:val="center"/>
              <w:ind w:right="1042"/>
              <w:spacing w:after="0"/>
              <w:rPr>
                <w:sz w:val="20"/>
                <w:szCs w:val="20"/>
                <w:color w:val="auto"/>
              </w:rPr>
            </w:pPr>
            <w:r>
              <w:rPr>
                <w:rFonts w:ascii="Arial" w:cs="Arial" w:eastAsia="Arial" w:hAnsi="Arial"/>
                <w:sz w:val="16"/>
                <w:szCs w:val="16"/>
                <w:color w:val="auto"/>
              </w:rPr>
              <w:t>1</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2"/>
                <w:szCs w:val="12"/>
                <w:color w:val="auto"/>
              </w:rPr>
            </w:pPr>
          </w:p>
        </w:tc>
        <w:tc>
          <w:tcPr>
            <w:tcW w:w="17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1"/>
        </w:trPr>
        <w:tc>
          <w:tcPr>
            <w:tcW w:w="518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14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180" w:type="dxa"/>
            <w:vAlign w:val="bottom"/>
          </w:tcPr>
          <w:p>
            <w:pPr>
              <w:spacing w:after="0" w:line="166" w:lineRule="exact"/>
              <w:rPr>
                <w:sz w:val="20"/>
                <w:szCs w:val="20"/>
                <w:color w:val="auto"/>
              </w:rPr>
            </w:pPr>
            <w:r>
              <w:rPr>
                <w:rFonts w:ascii="Arial" w:cs="Arial" w:eastAsia="Arial" w:hAnsi="Arial"/>
                <w:sz w:val="16"/>
                <w:szCs w:val="16"/>
                <w:color w:val="auto"/>
              </w:rPr>
              <w:t>Net other comprehensive income</w:t>
            </w:r>
          </w:p>
        </w:tc>
        <w:tc>
          <w:tcPr>
            <w:tcW w:w="14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ind w:right="1042"/>
              <w:spacing w:after="0" w:line="166" w:lineRule="exact"/>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7"/>
        </w:trPr>
        <w:tc>
          <w:tcPr>
            <w:tcW w:w="5180" w:type="dxa"/>
            <w:vAlign w:val="bottom"/>
          </w:tcPr>
          <w:p>
            <w:pPr>
              <w:spacing w:after="0"/>
              <w:rPr>
                <w:sz w:val="20"/>
                <w:szCs w:val="20"/>
                <w:color w:val="auto"/>
              </w:rPr>
            </w:pPr>
            <w:r>
              <w:rPr>
                <w:rFonts w:ascii="Arial" w:cs="Arial" w:eastAsia="Arial" w:hAnsi="Arial"/>
                <w:sz w:val="16"/>
                <w:szCs w:val="16"/>
                <w:color w:val="auto"/>
              </w:rPr>
              <w:t>Balance as of June 30, 2013</w:t>
            </w:r>
          </w:p>
        </w:tc>
        <w:tc>
          <w:tcPr>
            <w:tcW w:w="1440" w:type="dxa"/>
            <w:vAlign w:val="bottom"/>
          </w:tcPr>
          <w:p>
            <w:pPr>
              <w:jc w:val="right"/>
              <w:ind w:right="1287"/>
              <w:spacing w:after="0"/>
              <w:rPr>
                <w:sz w:val="20"/>
                <w:szCs w:val="20"/>
                <w:color w:val="auto"/>
              </w:rPr>
            </w:pPr>
            <w:r>
              <w:rPr>
                <w:rFonts w:ascii="Arial" w:cs="Arial" w:eastAsia="Arial" w:hAnsi="Arial"/>
                <w:sz w:val="15"/>
                <w:szCs w:val="15"/>
                <w:color w:val="auto"/>
                <w:w w:val="71"/>
              </w:rPr>
              <w:t>$</w:t>
            </w:r>
          </w:p>
        </w:tc>
        <w:tc>
          <w:tcPr>
            <w:tcW w:w="1780" w:type="dxa"/>
            <w:vAlign w:val="bottom"/>
          </w:tcPr>
          <w:p>
            <w:pPr>
              <w:jc w:val="center"/>
              <w:ind w:right="1062"/>
              <w:spacing w:after="0"/>
              <w:rPr>
                <w:sz w:val="20"/>
                <w:szCs w:val="20"/>
                <w:color w:val="auto"/>
              </w:rPr>
            </w:pPr>
            <w:r>
              <w:rPr>
                <w:rFonts w:ascii="Arial" w:cs="Arial" w:eastAsia="Arial" w:hAnsi="Arial"/>
                <w:sz w:val="16"/>
                <w:szCs w:val="16"/>
                <w:color w:val="auto"/>
                <w:w w:val="96"/>
              </w:rPr>
              <w:t>(11)$</w:t>
            </w: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9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2485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620" w:hanging="614"/>
        <w:spacing w:after="0"/>
        <w:tabs>
          <w:tab w:leader="none" w:pos="62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All amounts are net of income tax, if subject to tax, and exclude noncontrolling interests.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ACCUMULATED OTHER COMPREHENSIVE INCOME (LOSS) BY COMPONENT(1)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SOUTHERN CALIFORNIA GAS COMPANY</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jc w:val="center"/>
        <w:ind w:left="1880"/>
        <w:spacing w:after="0" w:line="237" w:lineRule="auto"/>
        <w:rPr>
          <w:sz w:val="20"/>
          <w:szCs w:val="20"/>
          <w:color w:val="auto"/>
        </w:rPr>
      </w:pPr>
      <w:r>
        <w:rPr>
          <w:rFonts w:ascii="Arial" w:cs="Arial" w:eastAsia="Arial" w:hAnsi="Arial"/>
          <w:sz w:val="14"/>
          <w:szCs w:val="14"/>
          <w:color w:val="auto"/>
        </w:rPr>
        <w:t>Pension and Other</w:t>
      </w:r>
    </w:p>
    <w:p>
      <w:pPr>
        <w:jc w:val="center"/>
        <w:ind w:left="1880"/>
        <w:spacing w:after="0"/>
        <w:rPr>
          <w:sz w:val="20"/>
          <w:szCs w:val="20"/>
          <w:color w:val="auto"/>
        </w:rPr>
      </w:pPr>
      <w:r>
        <w:rPr>
          <w:rFonts w:ascii="Arial" w:cs="Arial" w:eastAsia="Arial" w:hAnsi="Arial"/>
          <w:sz w:val="14"/>
          <w:szCs w:val="14"/>
          <w:color w:val="auto"/>
        </w:rPr>
        <w:t>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-3175</wp:posOffset>
            </wp:positionV>
            <wp:extent cx="19411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41195" cy="8255"/>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jc w:val="center"/>
              <w:ind w:right="223"/>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99"/>
        </w:trPr>
        <w:tc>
          <w:tcPr>
            <w:tcW w:w="4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jc w:val="center"/>
              <w:ind w:left="206"/>
              <w:spacing w:after="0"/>
              <w:rPr>
                <w:sz w:val="20"/>
                <w:szCs w:val="20"/>
                <w:color w:val="auto"/>
              </w:rPr>
            </w:pPr>
            <w:r>
              <w:rPr>
                <w:rFonts w:ascii="Arial" w:cs="Arial" w:eastAsia="Arial" w:hAnsi="Arial"/>
                <w:sz w:val="14"/>
                <w:szCs w:val="14"/>
                <w:color w:val="auto"/>
              </w:rPr>
              <w:t>Unamortized</w:t>
            </w:r>
          </w:p>
        </w:tc>
        <w:tc>
          <w:tcPr>
            <w:tcW w:w="1500" w:type="dxa"/>
            <w:vAlign w:val="bottom"/>
          </w:tcPr>
          <w:p>
            <w:pPr>
              <w:jc w:val="center"/>
              <w:ind w:left="483"/>
              <w:spacing w:after="0"/>
              <w:rPr>
                <w:sz w:val="20"/>
                <w:szCs w:val="20"/>
                <w:color w:val="auto"/>
              </w:rPr>
            </w:pPr>
            <w:r>
              <w:rPr>
                <w:rFonts w:ascii="Arial" w:cs="Arial" w:eastAsia="Arial" w:hAnsi="Arial"/>
                <w:sz w:val="14"/>
                <w:szCs w:val="14"/>
                <w:color w:val="auto"/>
              </w:rPr>
              <w:t>Unamortized</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40" w:type="dxa"/>
            <w:vAlign w:val="bottom"/>
          </w:tcPr>
          <w:p>
            <w:pPr>
              <w:jc w:val="center"/>
              <w:ind w:right="223"/>
              <w:spacing w:after="0"/>
              <w:rPr>
                <w:sz w:val="20"/>
                <w:szCs w:val="20"/>
                <w:color w:val="auto"/>
              </w:rPr>
            </w:pPr>
            <w:r>
              <w:rPr>
                <w:rFonts w:ascii="Arial" w:cs="Arial" w:eastAsia="Arial" w:hAnsi="Arial"/>
                <w:sz w:val="14"/>
                <w:szCs w:val="14"/>
                <w:color w:val="auto"/>
              </w:rPr>
              <w:t>Accumulated Other</w:t>
            </w:r>
          </w:p>
        </w:tc>
        <w:tc>
          <w:tcPr>
            <w:tcW w:w="0" w:type="dxa"/>
            <w:vAlign w:val="bottom"/>
          </w:tcPr>
          <w:p>
            <w:pPr>
              <w:spacing w:after="0"/>
              <w:rPr>
                <w:sz w:val="1"/>
                <w:szCs w:val="1"/>
                <w:color w:val="auto"/>
              </w:rPr>
            </w:pPr>
          </w:p>
        </w:tc>
      </w:tr>
      <w:tr>
        <w:trPr>
          <w:trHeight w:val="195"/>
        </w:trPr>
        <w:tc>
          <w:tcPr>
            <w:tcW w:w="4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center"/>
              <w:ind w:left="206"/>
              <w:spacing w:after="0"/>
              <w:rPr>
                <w:sz w:val="20"/>
                <w:szCs w:val="20"/>
                <w:color w:val="auto"/>
              </w:rPr>
            </w:pPr>
            <w:r>
              <w:rPr>
                <w:rFonts w:ascii="Arial" w:cs="Arial" w:eastAsia="Arial" w:hAnsi="Arial"/>
                <w:sz w:val="14"/>
                <w:szCs w:val="14"/>
                <w:color w:val="auto"/>
                <w:w w:val="99"/>
              </w:rPr>
              <w:t>Net Actuarial</w:t>
            </w:r>
          </w:p>
        </w:tc>
        <w:tc>
          <w:tcPr>
            <w:tcW w:w="1500" w:type="dxa"/>
            <w:vAlign w:val="bottom"/>
          </w:tcPr>
          <w:p>
            <w:pPr>
              <w:jc w:val="center"/>
              <w:ind w:left="483"/>
              <w:spacing w:after="0"/>
              <w:rPr>
                <w:sz w:val="20"/>
                <w:szCs w:val="20"/>
                <w:color w:val="auto"/>
              </w:rPr>
            </w:pPr>
            <w:r>
              <w:rPr>
                <w:rFonts w:ascii="Arial" w:cs="Arial" w:eastAsia="Arial" w:hAnsi="Arial"/>
                <w:sz w:val="14"/>
                <w:szCs w:val="14"/>
                <w:color w:val="auto"/>
              </w:rPr>
              <w:t>Prior Service</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center"/>
              <w:ind w:right="422"/>
              <w:spacing w:after="0"/>
              <w:rPr>
                <w:sz w:val="20"/>
                <w:szCs w:val="20"/>
                <w:color w:val="auto"/>
              </w:rPr>
            </w:pPr>
            <w:r>
              <w:rPr>
                <w:rFonts w:ascii="Arial" w:cs="Arial" w:eastAsia="Arial" w:hAnsi="Arial"/>
                <w:sz w:val="14"/>
                <w:szCs w:val="14"/>
                <w:color w:val="auto"/>
              </w:rPr>
              <w:t>Financial</w:t>
            </w:r>
          </w:p>
        </w:tc>
        <w:tc>
          <w:tcPr>
            <w:tcW w:w="1640" w:type="dxa"/>
            <w:vAlign w:val="bottom"/>
          </w:tcPr>
          <w:p>
            <w:pPr>
              <w:jc w:val="center"/>
              <w:ind w:right="223"/>
              <w:spacing w:after="0"/>
              <w:rPr>
                <w:sz w:val="20"/>
                <w:szCs w:val="20"/>
                <w:color w:val="auto"/>
              </w:rPr>
            </w:pPr>
            <w:r>
              <w:rPr>
                <w:rFonts w:ascii="Arial" w:cs="Arial" w:eastAsia="Arial" w:hAnsi="Arial"/>
                <w:sz w:val="14"/>
                <w:szCs w:val="14"/>
                <w:color w:val="auto"/>
                <w:w w:val="99"/>
              </w:rPr>
              <w:t>Comprehensive</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Borders>
              <w:bottom w:val="single" w:sz="8" w:color="auto"/>
            </w:tcBorders>
          </w:tcPr>
          <w:p>
            <w:pPr>
              <w:jc w:val="center"/>
              <w:ind w:left="246"/>
              <w:spacing w:after="0"/>
              <w:rPr>
                <w:sz w:val="20"/>
                <w:szCs w:val="20"/>
                <w:color w:val="auto"/>
              </w:rPr>
            </w:pPr>
            <w:r>
              <w:rPr>
                <w:rFonts w:ascii="Arial" w:cs="Arial" w:eastAsia="Arial" w:hAnsi="Arial"/>
                <w:sz w:val="14"/>
                <w:szCs w:val="14"/>
                <w:color w:val="auto"/>
                <w:w w:val="99"/>
              </w:rPr>
              <w:t>Gain (Loss)</w:t>
            </w:r>
          </w:p>
        </w:tc>
        <w:tc>
          <w:tcPr>
            <w:tcW w:w="1500" w:type="dxa"/>
            <w:vAlign w:val="bottom"/>
            <w:tcBorders>
              <w:bottom w:val="single" w:sz="8" w:color="auto"/>
            </w:tcBorders>
          </w:tcPr>
          <w:p>
            <w:pPr>
              <w:jc w:val="center"/>
              <w:ind w:left="523"/>
              <w:spacing w:after="0"/>
              <w:rPr>
                <w:sz w:val="20"/>
                <w:szCs w:val="20"/>
                <w:color w:val="auto"/>
              </w:rPr>
            </w:pPr>
            <w:r>
              <w:rPr>
                <w:rFonts w:ascii="Arial" w:cs="Arial" w:eastAsia="Arial" w:hAnsi="Arial"/>
                <w:sz w:val="14"/>
                <w:szCs w:val="14"/>
                <w:color w:val="auto"/>
              </w:rPr>
              <w:t>Credit</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382"/>
              <w:spacing w:after="0"/>
              <w:rPr>
                <w:sz w:val="20"/>
                <w:szCs w:val="20"/>
                <w:color w:val="auto"/>
              </w:rPr>
            </w:pPr>
            <w:r>
              <w:rPr>
                <w:rFonts w:ascii="Arial" w:cs="Arial" w:eastAsia="Arial" w:hAnsi="Arial"/>
                <w:sz w:val="14"/>
                <w:szCs w:val="14"/>
                <w:color w:val="auto"/>
              </w:rPr>
              <w:t>Instruments</w:t>
            </w:r>
          </w:p>
        </w:tc>
        <w:tc>
          <w:tcPr>
            <w:tcW w:w="164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color w:val="auto"/>
              </w:rPr>
              <w:t>Income (Loss)</w:t>
            </w:r>
          </w:p>
        </w:tc>
        <w:tc>
          <w:tcPr>
            <w:tcW w:w="0" w:type="dxa"/>
            <w:vAlign w:val="bottom"/>
          </w:tcPr>
          <w:p>
            <w:pPr>
              <w:spacing w:after="0"/>
              <w:rPr>
                <w:sz w:val="1"/>
                <w:szCs w:val="1"/>
                <w:color w:val="auto"/>
              </w:rPr>
            </w:pPr>
          </w:p>
        </w:tc>
      </w:tr>
      <w:tr>
        <w:trPr>
          <w:trHeight w:val="153"/>
        </w:trPr>
        <w:tc>
          <w:tcPr>
            <w:tcW w:w="44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gridSpan w:val="4"/>
          </w:tcPr>
          <w:p>
            <w:pPr>
              <w:ind w:left="440"/>
              <w:spacing w:after="0" w:line="153" w:lineRule="exact"/>
              <w:rPr>
                <w:sz w:val="20"/>
                <w:szCs w:val="20"/>
                <w:color w:val="auto"/>
              </w:rPr>
            </w:pPr>
            <w:r>
              <w:rPr>
                <w:rFonts w:ascii="Arial" w:cs="Arial" w:eastAsia="Arial" w:hAnsi="Arial"/>
                <w:sz w:val="14"/>
                <w:szCs w:val="14"/>
                <w:color w:val="auto"/>
              </w:rPr>
              <w:t>Three months ended June 30, 2014 and 2013</w:t>
            </w:r>
          </w:p>
        </w:tc>
        <w:tc>
          <w:tcPr>
            <w:tcW w:w="1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460" w:type="dxa"/>
            <w:vAlign w:val="bottom"/>
          </w:tcPr>
          <w:p>
            <w:pPr>
              <w:spacing w:after="0" w:line="135" w:lineRule="exact"/>
              <w:rPr>
                <w:sz w:val="20"/>
                <w:szCs w:val="20"/>
                <w:color w:val="auto"/>
              </w:rPr>
            </w:pPr>
            <w:r>
              <w:rPr>
                <w:rFonts w:ascii="Arial" w:cs="Arial" w:eastAsia="Arial" w:hAnsi="Arial"/>
                <w:sz w:val="15"/>
                <w:szCs w:val="15"/>
                <w:b w:val="1"/>
                <w:bCs w:val="1"/>
                <w:color w:val="auto"/>
              </w:rPr>
              <w:t>2014:</w:t>
            </w:r>
          </w:p>
        </w:tc>
        <w:tc>
          <w:tcPr>
            <w:tcW w:w="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as of March 31 and June 30, 2014</w:t>
            </w:r>
          </w:p>
        </w:tc>
        <w:tc>
          <w:tcPr>
            <w:tcW w:w="1940" w:type="dxa"/>
            <w:vAlign w:val="bottom"/>
            <w:tcBorders>
              <w:bottom w:val="single" w:sz="8" w:color="auto"/>
            </w:tcBorders>
            <w:gridSpan w:val="2"/>
          </w:tcPr>
          <w:p>
            <w:pPr>
              <w:jc w:val="right"/>
              <w:ind w:right="1106"/>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center"/>
              <w:ind w:left="622"/>
              <w:spacing w:after="0"/>
              <w:rPr>
                <w:sz w:val="20"/>
                <w:szCs w:val="20"/>
                <w:color w:val="auto"/>
              </w:rPr>
            </w:pPr>
            <w:r>
              <w:rPr>
                <w:rFonts w:ascii="Arial" w:cs="Arial" w:eastAsia="Arial" w:hAnsi="Arial"/>
                <w:sz w:val="16"/>
                <w:szCs w:val="16"/>
                <w:color w:val="auto"/>
              </w:rPr>
              <w:t>(14)$</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55"/>
        </w:trPr>
        <w:tc>
          <w:tcPr>
            <w:tcW w:w="4460" w:type="dxa"/>
            <w:vAlign w:val="bottom"/>
          </w:tcPr>
          <w:p>
            <w:pPr>
              <w:spacing w:after="0" w:line="155" w:lineRule="exact"/>
              <w:rPr>
                <w:sz w:val="20"/>
                <w:szCs w:val="20"/>
                <w:color w:val="auto"/>
              </w:rPr>
            </w:pPr>
            <w:r>
              <w:rPr>
                <w:rFonts w:ascii="Arial" w:cs="Arial" w:eastAsia="Arial" w:hAnsi="Arial"/>
                <w:sz w:val="16"/>
                <w:szCs w:val="16"/>
                <w:b w:val="1"/>
                <w:bCs w:val="1"/>
                <w:color w:val="auto"/>
              </w:rPr>
              <w:t>2013:</w:t>
            </w:r>
          </w:p>
        </w:tc>
        <w:tc>
          <w:tcPr>
            <w:tcW w:w="1940" w:type="dxa"/>
            <w:vAlign w:val="bottom"/>
            <w:gridSpan w:val="2"/>
            <w:vMerge w:val="restart"/>
          </w:tcPr>
          <w:p>
            <w:pPr>
              <w:jc w:val="right"/>
              <w:ind w:right="1106"/>
              <w:spacing w:after="0"/>
              <w:rPr>
                <w:sz w:val="20"/>
                <w:szCs w:val="20"/>
                <w:color w:val="auto"/>
              </w:rPr>
            </w:pPr>
            <w:r>
              <w:rPr>
                <w:rFonts w:ascii="Arial" w:cs="Arial" w:eastAsia="Arial" w:hAnsi="Arial"/>
                <w:sz w:val="16"/>
                <w:szCs w:val="16"/>
                <w:color w:val="auto"/>
              </w:rPr>
              <w:t>$</w:t>
            </w:r>
          </w:p>
        </w:tc>
        <w:tc>
          <w:tcPr>
            <w:tcW w:w="1500" w:type="dxa"/>
            <w:vAlign w:val="bottom"/>
            <w:vMerge w:val="restart"/>
          </w:tcPr>
          <w:p>
            <w:pPr>
              <w:ind w:left="120"/>
              <w:spacing w:after="0"/>
              <w:rPr>
                <w:sz w:val="20"/>
                <w:szCs w:val="20"/>
                <w:color w:val="auto"/>
              </w:rPr>
            </w:pPr>
            <w:r>
              <w:rPr>
                <w:rFonts w:ascii="Arial" w:cs="Arial" w:eastAsia="Arial" w:hAnsi="Arial"/>
                <w:sz w:val="16"/>
                <w:szCs w:val="16"/>
                <w:color w:val="auto"/>
              </w:rPr>
              <w:t>(4)$</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20" w:type="dxa"/>
            <w:vAlign w:val="bottom"/>
            <w:vMerge w:val="restart"/>
          </w:tcPr>
          <w:p>
            <w:pPr>
              <w:jc w:val="right"/>
              <w:ind w:right="40"/>
              <w:spacing w:after="0"/>
              <w:rPr>
                <w:sz w:val="20"/>
                <w:szCs w:val="20"/>
                <w:color w:val="auto"/>
              </w:rPr>
            </w:pPr>
            <w:r>
              <w:rPr>
                <w:rFonts w:ascii="Arial" w:cs="Arial" w:eastAsia="Arial" w:hAnsi="Arial"/>
                <w:sz w:val="16"/>
                <w:szCs w:val="16"/>
                <w:color w:val="auto"/>
                <w:w w:val="89"/>
              </w:rPr>
              <w:t>$</w:t>
            </w:r>
          </w:p>
        </w:tc>
        <w:tc>
          <w:tcPr>
            <w:tcW w:w="1400" w:type="dxa"/>
            <w:vAlign w:val="bottom"/>
            <w:vMerge w:val="restart"/>
          </w:tcPr>
          <w:p>
            <w:pPr>
              <w:jc w:val="center"/>
              <w:ind w:left="622"/>
              <w:spacing w:after="0"/>
              <w:rPr>
                <w:sz w:val="20"/>
                <w:szCs w:val="20"/>
                <w:color w:val="auto"/>
              </w:rPr>
            </w:pPr>
            <w:r>
              <w:rPr>
                <w:rFonts w:ascii="Arial" w:cs="Arial" w:eastAsia="Arial" w:hAnsi="Arial"/>
                <w:sz w:val="16"/>
                <w:szCs w:val="16"/>
                <w:color w:val="auto"/>
              </w:rPr>
              <w:t>(15)$</w:t>
            </w: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1"/>
        </w:trPr>
        <w:tc>
          <w:tcPr>
            <w:tcW w:w="4460" w:type="dxa"/>
            <w:vAlign w:val="bottom"/>
          </w:tcPr>
          <w:p>
            <w:pPr>
              <w:spacing w:after="0"/>
              <w:rPr>
                <w:sz w:val="20"/>
                <w:szCs w:val="20"/>
                <w:color w:val="auto"/>
              </w:rPr>
            </w:pPr>
            <w:r>
              <w:rPr>
                <w:rFonts w:ascii="Arial" w:cs="Arial" w:eastAsia="Arial" w:hAnsi="Arial"/>
                <w:sz w:val="16"/>
                <w:szCs w:val="16"/>
                <w:color w:val="auto"/>
              </w:rPr>
              <w:t>Balance as of March 31, 2013</w:t>
            </w:r>
          </w:p>
        </w:tc>
        <w:tc>
          <w:tcPr>
            <w:tcW w:w="194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line="148" w:lineRule="exact"/>
              <w:rPr>
                <w:sz w:val="20"/>
                <w:szCs w:val="20"/>
                <w:color w:val="auto"/>
              </w:rPr>
            </w:pPr>
            <w:r>
              <w:rPr>
                <w:rFonts w:ascii="Arial" w:cs="Arial" w:eastAsia="Arial" w:hAnsi="Arial"/>
                <w:sz w:val="16"/>
                <w:szCs w:val="16"/>
                <w:color w:val="auto"/>
              </w:rPr>
              <w:t>Amounts reclassified from accumulated other</w:t>
            </w:r>
          </w:p>
        </w:tc>
        <w:tc>
          <w:tcPr>
            <w:tcW w:w="6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vMerge w:val="restart"/>
          </w:tcPr>
          <w:p>
            <w:pPr>
              <w:ind w:left="12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vMerge w:val="restart"/>
          </w:tcPr>
          <w:p>
            <w:pPr>
              <w:jc w:val="center"/>
              <w:ind w:left="622"/>
              <w:spacing w:after="0"/>
              <w:rPr>
                <w:sz w:val="20"/>
                <w:szCs w:val="20"/>
                <w:color w:val="auto"/>
              </w:rPr>
            </w:pPr>
            <w:r>
              <w:rPr>
                <w:rFonts w:ascii="Arial" w:cs="Arial" w:eastAsia="Arial" w:hAnsi="Arial"/>
                <w:sz w:val="16"/>
                <w:szCs w:val="16"/>
                <w:color w:val="auto"/>
              </w:rPr>
              <w:t>1</w:t>
            </w:r>
          </w:p>
        </w:tc>
        <w:tc>
          <w:tcPr>
            <w:tcW w:w="1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1"/>
        </w:trPr>
        <w:tc>
          <w:tcPr>
            <w:tcW w:w="446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6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460" w:type="dxa"/>
            <w:vAlign w:val="bottom"/>
          </w:tcPr>
          <w:p>
            <w:pPr>
              <w:spacing w:after="0" w:line="166" w:lineRule="exact"/>
              <w:rPr>
                <w:sz w:val="20"/>
                <w:szCs w:val="20"/>
                <w:color w:val="auto"/>
              </w:rPr>
            </w:pPr>
            <w:r>
              <w:rPr>
                <w:rFonts w:ascii="Arial" w:cs="Arial" w:eastAsia="Arial" w:hAnsi="Arial"/>
                <w:sz w:val="16"/>
                <w:szCs w:val="16"/>
                <w:color w:val="auto"/>
              </w:rPr>
              <w:t>Net other comprehensive income</w:t>
            </w:r>
          </w:p>
        </w:tc>
        <w:tc>
          <w:tcPr>
            <w:tcW w:w="6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ind w:left="120"/>
              <w:spacing w:after="0" w:line="166" w:lineRule="exact"/>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622"/>
              <w:spacing w:after="0" w:line="166" w:lineRule="exact"/>
              <w:rPr>
                <w:sz w:val="20"/>
                <w:szCs w:val="20"/>
                <w:color w:val="auto"/>
              </w:rPr>
            </w:pPr>
            <w:r>
              <w:rPr>
                <w:rFonts w:ascii="Arial" w:cs="Arial" w:eastAsia="Arial" w:hAnsi="Arial"/>
                <w:sz w:val="16"/>
                <w:szCs w:val="16"/>
                <w:color w:val="auto"/>
              </w:rPr>
              <w:t>1</w:t>
            </w:r>
          </w:p>
        </w:tc>
        <w:tc>
          <w:tcPr>
            <w:tcW w:w="16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3"/>
        </w:trPr>
        <w:tc>
          <w:tcPr>
            <w:tcW w:w="446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Balance as of June 30, 2013</w:t>
            </w:r>
          </w:p>
        </w:tc>
        <w:tc>
          <w:tcPr>
            <w:tcW w:w="6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06"/>
              <w:spacing w:after="0" w:line="166" w:lineRule="exact"/>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ind w:left="120"/>
              <w:spacing w:after="0" w:line="166" w:lineRule="exact"/>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center"/>
              <w:ind w:left="622"/>
              <w:spacing w:after="0" w:line="166" w:lineRule="exact"/>
              <w:rPr>
                <w:sz w:val="20"/>
                <w:szCs w:val="20"/>
                <w:color w:val="auto"/>
              </w:rPr>
            </w:pPr>
            <w:r>
              <w:rPr>
                <w:rFonts w:ascii="Arial" w:cs="Arial" w:eastAsia="Arial" w:hAnsi="Arial"/>
                <w:sz w:val="16"/>
                <w:szCs w:val="16"/>
                <w:color w:val="auto"/>
              </w:rPr>
              <w:t>(14)$</w:t>
            </w:r>
          </w:p>
        </w:tc>
        <w:tc>
          <w:tcPr>
            <w:tcW w:w="16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2"/>
        </w:trPr>
        <w:tc>
          <w:tcPr>
            <w:tcW w:w="4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color w:val="auto"/>
              </w:rPr>
              <w:t>Six months ended June 30, 2014 and 2013</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460" w:type="dxa"/>
            <w:vAlign w:val="bottom"/>
          </w:tcPr>
          <w:p>
            <w:pPr>
              <w:spacing w:after="0" w:line="135" w:lineRule="exact"/>
              <w:rPr>
                <w:sz w:val="20"/>
                <w:szCs w:val="20"/>
                <w:color w:val="auto"/>
              </w:rPr>
            </w:pPr>
            <w:r>
              <w:rPr>
                <w:rFonts w:ascii="Arial" w:cs="Arial" w:eastAsia="Arial" w:hAnsi="Arial"/>
                <w:sz w:val="15"/>
                <w:szCs w:val="15"/>
                <w:b w:val="1"/>
                <w:bCs w:val="1"/>
                <w:color w:val="auto"/>
              </w:rPr>
              <w:t>2014:</w:t>
            </w:r>
          </w:p>
        </w:tc>
        <w:tc>
          <w:tcPr>
            <w:tcW w:w="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as of December 31, 2013 and June 30, 2014</w:t>
            </w:r>
          </w:p>
        </w:tc>
        <w:tc>
          <w:tcPr>
            <w:tcW w:w="1940" w:type="dxa"/>
            <w:vAlign w:val="bottom"/>
            <w:tcBorders>
              <w:bottom w:val="single" w:sz="8" w:color="auto"/>
            </w:tcBorders>
            <w:gridSpan w:val="2"/>
          </w:tcPr>
          <w:p>
            <w:pPr>
              <w:jc w:val="right"/>
              <w:ind w:right="1106"/>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center"/>
              <w:ind w:left="622"/>
              <w:spacing w:after="0"/>
              <w:rPr>
                <w:sz w:val="20"/>
                <w:szCs w:val="20"/>
                <w:color w:val="auto"/>
              </w:rPr>
            </w:pPr>
            <w:r>
              <w:rPr>
                <w:rFonts w:ascii="Arial" w:cs="Arial" w:eastAsia="Arial" w:hAnsi="Arial"/>
                <w:sz w:val="16"/>
                <w:szCs w:val="16"/>
                <w:color w:val="auto"/>
              </w:rPr>
              <w:t>(14)$</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55"/>
        </w:trPr>
        <w:tc>
          <w:tcPr>
            <w:tcW w:w="4460" w:type="dxa"/>
            <w:vAlign w:val="bottom"/>
          </w:tcPr>
          <w:p>
            <w:pPr>
              <w:spacing w:after="0" w:line="155" w:lineRule="exact"/>
              <w:rPr>
                <w:sz w:val="20"/>
                <w:szCs w:val="20"/>
                <w:color w:val="auto"/>
              </w:rPr>
            </w:pPr>
            <w:r>
              <w:rPr>
                <w:rFonts w:ascii="Arial" w:cs="Arial" w:eastAsia="Arial" w:hAnsi="Arial"/>
                <w:sz w:val="16"/>
                <w:szCs w:val="16"/>
                <w:b w:val="1"/>
                <w:bCs w:val="1"/>
                <w:color w:val="auto"/>
              </w:rPr>
              <w:t>2013:</w:t>
            </w:r>
          </w:p>
        </w:tc>
        <w:tc>
          <w:tcPr>
            <w:tcW w:w="1940" w:type="dxa"/>
            <w:vAlign w:val="bottom"/>
            <w:gridSpan w:val="2"/>
            <w:vMerge w:val="restart"/>
          </w:tcPr>
          <w:p>
            <w:pPr>
              <w:jc w:val="right"/>
              <w:ind w:right="1106"/>
              <w:spacing w:after="0"/>
              <w:rPr>
                <w:sz w:val="20"/>
                <w:szCs w:val="20"/>
                <w:color w:val="auto"/>
              </w:rPr>
            </w:pPr>
            <w:r>
              <w:rPr>
                <w:rFonts w:ascii="Arial" w:cs="Arial" w:eastAsia="Arial" w:hAnsi="Arial"/>
                <w:sz w:val="16"/>
                <w:szCs w:val="16"/>
                <w:color w:val="auto"/>
              </w:rPr>
              <w:t>$</w:t>
            </w:r>
          </w:p>
        </w:tc>
        <w:tc>
          <w:tcPr>
            <w:tcW w:w="1500" w:type="dxa"/>
            <w:vAlign w:val="bottom"/>
            <w:vMerge w:val="restart"/>
          </w:tcPr>
          <w:p>
            <w:pPr>
              <w:ind w:left="120"/>
              <w:spacing w:after="0"/>
              <w:rPr>
                <w:sz w:val="20"/>
                <w:szCs w:val="20"/>
                <w:color w:val="auto"/>
              </w:rPr>
            </w:pPr>
            <w:r>
              <w:rPr>
                <w:rFonts w:ascii="Arial" w:cs="Arial" w:eastAsia="Arial" w:hAnsi="Arial"/>
                <w:sz w:val="16"/>
                <w:szCs w:val="16"/>
                <w:color w:val="auto"/>
              </w:rPr>
              <w:t>(4)$</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20" w:type="dxa"/>
            <w:vAlign w:val="bottom"/>
            <w:vMerge w:val="restart"/>
          </w:tcPr>
          <w:p>
            <w:pPr>
              <w:jc w:val="right"/>
              <w:ind w:right="40"/>
              <w:spacing w:after="0"/>
              <w:rPr>
                <w:sz w:val="20"/>
                <w:szCs w:val="20"/>
                <w:color w:val="auto"/>
              </w:rPr>
            </w:pPr>
            <w:r>
              <w:rPr>
                <w:rFonts w:ascii="Arial" w:cs="Arial" w:eastAsia="Arial" w:hAnsi="Arial"/>
                <w:sz w:val="16"/>
                <w:szCs w:val="16"/>
                <w:color w:val="auto"/>
                <w:w w:val="89"/>
              </w:rPr>
              <w:t>$</w:t>
            </w:r>
          </w:p>
        </w:tc>
        <w:tc>
          <w:tcPr>
            <w:tcW w:w="1400" w:type="dxa"/>
            <w:vAlign w:val="bottom"/>
            <w:vMerge w:val="restart"/>
          </w:tcPr>
          <w:p>
            <w:pPr>
              <w:jc w:val="center"/>
              <w:ind w:left="622"/>
              <w:spacing w:after="0"/>
              <w:rPr>
                <w:sz w:val="20"/>
                <w:szCs w:val="20"/>
                <w:color w:val="auto"/>
              </w:rPr>
            </w:pPr>
            <w:r>
              <w:rPr>
                <w:rFonts w:ascii="Arial" w:cs="Arial" w:eastAsia="Arial" w:hAnsi="Arial"/>
                <w:sz w:val="16"/>
                <w:szCs w:val="16"/>
                <w:color w:val="auto"/>
              </w:rPr>
              <w:t>(15)$</w:t>
            </w: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1"/>
        </w:trPr>
        <w:tc>
          <w:tcPr>
            <w:tcW w:w="4460" w:type="dxa"/>
            <w:vAlign w:val="bottom"/>
          </w:tcPr>
          <w:p>
            <w:pPr>
              <w:spacing w:after="0"/>
              <w:rPr>
                <w:sz w:val="20"/>
                <w:szCs w:val="20"/>
                <w:color w:val="auto"/>
              </w:rPr>
            </w:pPr>
            <w:r>
              <w:rPr>
                <w:rFonts w:ascii="Arial" w:cs="Arial" w:eastAsia="Arial" w:hAnsi="Arial"/>
                <w:sz w:val="16"/>
                <w:szCs w:val="16"/>
                <w:color w:val="auto"/>
              </w:rPr>
              <w:t>Balance as of December 31, 2012</w:t>
            </w:r>
          </w:p>
        </w:tc>
        <w:tc>
          <w:tcPr>
            <w:tcW w:w="194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line="148" w:lineRule="exact"/>
              <w:rPr>
                <w:sz w:val="20"/>
                <w:szCs w:val="20"/>
                <w:color w:val="auto"/>
              </w:rPr>
            </w:pPr>
            <w:r>
              <w:rPr>
                <w:rFonts w:ascii="Arial" w:cs="Arial" w:eastAsia="Arial" w:hAnsi="Arial"/>
                <w:sz w:val="16"/>
                <w:szCs w:val="16"/>
                <w:color w:val="auto"/>
              </w:rPr>
              <w:t>Amounts reclassified from accumulated other</w:t>
            </w:r>
          </w:p>
        </w:tc>
        <w:tc>
          <w:tcPr>
            <w:tcW w:w="6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vMerge w:val="restart"/>
          </w:tcPr>
          <w:p>
            <w:pPr>
              <w:ind w:left="12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vMerge w:val="restart"/>
          </w:tcPr>
          <w:p>
            <w:pPr>
              <w:jc w:val="center"/>
              <w:ind w:left="622"/>
              <w:spacing w:after="0"/>
              <w:rPr>
                <w:sz w:val="20"/>
                <w:szCs w:val="20"/>
                <w:color w:val="auto"/>
              </w:rPr>
            </w:pPr>
            <w:r>
              <w:rPr>
                <w:rFonts w:ascii="Arial" w:cs="Arial" w:eastAsia="Arial" w:hAnsi="Arial"/>
                <w:sz w:val="16"/>
                <w:szCs w:val="16"/>
                <w:color w:val="auto"/>
              </w:rPr>
              <w:t>1</w:t>
            </w:r>
          </w:p>
        </w:tc>
        <w:tc>
          <w:tcPr>
            <w:tcW w:w="1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1"/>
        </w:trPr>
        <w:tc>
          <w:tcPr>
            <w:tcW w:w="446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6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460" w:type="dxa"/>
            <w:vAlign w:val="bottom"/>
          </w:tcPr>
          <w:p>
            <w:pPr>
              <w:spacing w:after="0" w:line="166" w:lineRule="exact"/>
              <w:rPr>
                <w:sz w:val="20"/>
                <w:szCs w:val="20"/>
                <w:color w:val="auto"/>
              </w:rPr>
            </w:pPr>
            <w:r>
              <w:rPr>
                <w:rFonts w:ascii="Arial" w:cs="Arial" w:eastAsia="Arial" w:hAnsi="Arial"/>
                <w:sz w:val="16"/>
                <w:szCs w:val="16"/>
                <w:color w:val="auto"/>
              </w:rPr>
              <w:t>Net other comprehensive income</w:t>
            </w:r>
          </w:p>
        </w:tc>
        <w:tc>
          <w:tcPr>
            <w:tcW w:w="6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ind w:left="120"/>
              <w:spacing w:after="0" w:line="166" w:lineRule="exact"/>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622"/>
              <w:spacing w:after="0" w:line="166" w:lineRule="exact"/>
              <w:rPr>
                <w:sz w:val="20"/>
                <w:szCs w:val="20"/>
                <w:color w:val="auto"/>
              </w:rPr>
            </w:pPr>
            <w:r>
              <w:rPr>
                <w:rFonts w:ascii="Arial" w:cs="Arial" w:eastAsia="Arial" w:hAnsi="Arial"/>
                <w:sz w:val="16"/>
                <w:szCs w:val="16"/>
                <w:color w:val="auto"/>
              </w:rPr>
              <w:t>1</w:t>
            </w:r>
          </w:p>
        </w:tc>
        <w:tc>
          <w:tcPr>
            <w:tcW w:w="16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7"/>
        </w:trPr>
        <w:tc>
          <w:tcPr>
            <w:tcW w:w="4460" w:type="dxa"/>
            <w:vAlign w:val="bottom"/>
          </w:tcPr>
          <w:p>
            <w:pPr>
              <w:spacing w:after="0"/>
              <w:rPr>
                <w:sz w:val="20"/>
                <w:szCs w:val="20"/>
                <w:color w:val="auto"/>
              </w:rPr>
            </w:pPr>
            <w:r>
              <w:rPr>
                <w:rFonts w:ascii="Arial" w:cs="Arial" w:eastAsia="Arial" w:hAnsi="Arial"/>
                <w:sz w:val="16"/>
                <w:szCs w:val="16"/>
                <w:color w:val="auto"/>
              </w:rPr>
              <w:t>Balance as of June 30, 2013</w:t>
            </w:r>
          </w:p>
        </w:tc>
        <w:tc>
          <w:tcPr>
            <w:tcW w:w="660" w:type="dxa"/>
            <w:vAlign w:val="bottom"/>
          </w:tcPr>
          <w:p>
            <w:pPr>
              <w:spacing w:after="0"/>
              <w:rPr>
                <w:sz w:val="17"/>
                <w:szCs w:val="17"/>
                <w:color w:val="auto"/>
              </w:rPr>
            </w:pPr>
          </w:p>
        </w:tc>
        <w:tc>
          <w:tcPr>
            <w:tcW w:w="1280" w:type="dxa"/>
            <w:vAlign w:val="bottom"/>
          </w:tcPr>
          <w:p>
            <w:pPr>
              <w:jc w:val="right"/>
              <w:ind w:right="1106"/>
              <w:spacing w:after="0"/>
              <w:rPr>
                <w:sz w:val="20"/>
                <w:szCs w:val="20"/>
                <w:color w:val="auto"/>
              </w:rPr>
            </w:pPr>
            <w:r>
              <w:rPr>
                <w:rFonts w:ascii="Arial" w:cs="Arial" w:eastAsia="Arial" w:hAnsi="Arial"/>
                <w:sz w:val="16"/>
                <w:szCs w:val="16"/>
                <w:color w:val="auto"/>
                <w:w w:val="89"/>
              </w:rPr>
              <w:t>$</w:t>
            </w:r>
          </w:p>
        </w:tc>
        <w:tc>
          <w:tcPr>
            <w:tcW w:w="1500" w:type="dxa"/>
            <w:vAlign w:val="bottom"/>
          </w:tcPr>
          <w:p>
            <w:pPr>
              <w:ind w:left="120"/>
              <w:spacing w:after="0"/>
              <w:rPr>
                <w:sz w:val="20"/>
                <w:szCs w:val="20"/>
                <w:color w:val="auto"/>
              </w:rPr>
            </w:pPr>
            <w:r>
              <w:rPr>
                <w:rFonts w:ascii="Arial" w:cs="Arial" w:eastAsia="Arial" w:hAnsi="Arial"/>
                <w:sz w:val="16"/>
                <w:szCs w:val="16"/>
                <w:color w:val="auto"/>
              </w:rPr>
              <w:t>(4)$</w:t>
            </w: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400" w:type="dxa"/>
            <w:vAlign w:val="bottom"/>
          </w:tcPr>
          <w:p>
            <w:pPr>
              <w:jc w:val="center"/>
              <w:ind w:left="622"/>
              <w:spacing w:after="0"/>
              <w:rPr>
                <w:sz w:val="20"/>
                <w:szCs w:val="20"/>
                <w:color w:val="auto"/>
              </w:rPr>
            </w:pPr>
            <w:r>
              <w:rPr>
                <w:rFonts w:ascii="Arial" w:cs="Arial" w:eastAsia="Arial" w:hAnsi="Arial"/>
                <w:sz w:val="16"/>
                <w:szCs w:val="16"/>
                <w:color w:val="auto"/>
              </w:rPr>
              <w:t>(14)$</w:t>
            </w:r>
          </w:p>
        </w:tc>
        <w:tc>
          <w:tcPr>
            <w:tcW w:w="16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2485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540" w:hanging="534"/>
        <w:spacing w:after="0"/>
        <w:tabs>
          <w:tab w:leader="none" w:pos="54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All amounts are net of income tax, if subject to tax, and exclude noncontrolling interests.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RECLASSIFICATIONS OUT OF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279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8525" cy="22796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39"/>
        </w:trPr>
        <w:tc>
          <w:tcPr>
            <w:tcW w:w="3520" w:type="dxa"/>
            <w:vAlign w:val="bottom"/>
            <w:tcBorders>
              <w:top w:val="single" w:sz="8" w:color="auto"/>
            </w:tcBorders>
          </w:tcPr>
          <w:p>
            <w:pPr>
              <w:spacing w:after="0" w:line="139" w:lineRule="exact"/>
              <w:rPr>
                <w:sz w:val="20"/>
                <w:szCs w:val="20"/>
                <w:color w:val="auto"/>
              </w:rPr>
            </w:pPr>
            <w:r>
              <w:rPr>
                <w:rFonts w:ascii="Arial" w:cs="Arial" w:eastAsia="Arial" w:hAnsi="Arial"/>
                <w:sz w:val="14"/>
                <w:szCs w:val="14"/>
                <w:color w:val="auto"/>
              </w:rPr>
              <w:t>Details about accumulated</w:t>
            </w:r>
          </w:p>
        </w:tc>
        <w:tc>
          <w:tcPr>
            <w:tcW w:w="3780" w:type="dxa"/>
            <w:vAlign w:val="bottom"/>
            <w:tcBorders>
              <w:top w:val="single" w:sz="8" w:color="auto"/>
            </w:tcBorders>
          </w:tcPr>
          <w:p>
            <w:pPr>
              <w:jc w:val="center"/>
              <w:ind w:left="249"/>
              <w:spacing w:after="0" w:line="139" w:lineRule="exact"/>
              <w:rPr>
                <w:sz w:val="20"/>
                <w:szCs w:val="20"/>
                <w:color w:val="auto"/>
              </w:rPr>
            </w:pPr>
            <w:r>
              <w:rPr>
                <w:rFonts w:ascii="Arial" w:cs="Arial" w:eastAsia="Arial" w:hAnsi="Arial"/>
                <w:sz w:val="14"/>
                <w:szCs w:val="14"/>
                <w:color w:val="auto"/>
              </w:rPr>
              <w:t>Amounts reclassified</w:t>
            </w:r>
          </w:p>
        </w:tc>
        <w:tc>
          <w:tcPr>
            <w:tcW w:w="4120" w:type="dxa"/>
            <w:vAlign w:val="bottom"/>
            <w:tcBorders>
              <w:top w:val="single" w:sz="8" w:color="auto"/>
            </w:tcBorders>
          </w:tcPr>
          <w:p>
            <w:pPr>
              <w:spacing w:after="0"/>
              <w:rPr>
                <w:sz w:val="12"/>
                <w:szCs w:val="12"/>
                <w:color w:val="auto"/>
              </w:rPr>
            </w:pPr>
          </w:p>
        </w:tc>
      </w:tr>
      <w:tr>
        <w:trPr>
          <w:trHeight w:val="190"/>
        </w:trPr>
        <w:tc>
          <w:tcPr>
            <w:tcW w:w="352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3780" w:type="dxa"/>
            <w:vAlign w:val="bottom"/>
          </w:tcPr>
          <w:p>
            <w:pPr>
              <w:jc w:val="center"/>
              <w:ind w:left="269"/>
              <w:spacing w:after="0"/>
              <w:rPr>
                <w:sz w:val="20"/>
                <w:szCs w:val="20"/>
                <w:color w:val="auto"/>
              </w:rPr>
            </w:pPr>
            <w:r>
              <w:rPr>
                <w:rFonts w:ascii="Arial" w:cs="Arial" w:eastAsia="Arial" w:hAnsi="Arial"/>
                <w:sz w:val="14"/>
                <w:szCs w:val="14"/>
                <w:color w:val="auto"/>
              </w:rPr>
              <w:t>from accumulated other</w:t>
            </w:r>
          </w:p>
        </w:tc>
        <w:tc>
          <w:tcPr>
            <w:tcW w:w="4120" w:type="dxa"/>
            <w:vAlign w:val="bottom"/>
          </w:tcPr>
          <w:p>
            <w:pPr>
              <w:ind w:left="960"/>
              <w:spacing w:after="0"/>
              <w:rPr>
                <w:sz w:val="20"/>
                <w:szCs w:val="20"/>
                <w:color w:val="auto"/>
              </w:rPr>
            </w:pPr>
            <w:r>
              <w:rPr>
                <w:rFonts w:ascii="Arial" w:cs="Arial" w:eastAsia="Arial" w:hAnsi="Arial"/>
                <w:sz w:val="14"/>
                <w:szCs w:val="14"/>
                <w:color w:val="auto"/>
              </w:rPr>
              <w:t>Affected line item on Condensed</w:t>
            </w:r>
          </w:p>
        </w:tc>
      </w:tr>
    </w:tbl>
    <w:p>
      <w:pPr>
        <w:sectPr>
          <w:pgSz w:w="11900" w:h="16838" w:orient="portrait"/>
          <w:cols w:equalWidth="0" w:num="1">
            <w:col w:w="11420"/>
          </w:cols>
          <w:pgMar w:left="240" w:top="97" w:right="239" w:bottom="0" w:gutter="0" w:footer="0" w:header="0"/>
        </w:sectPr>
      </w:pPr>
    </w:p>
    <w:bookmarkStart w:id="20" w:name="page21"/>
    <w:bookmarkEnd w:id="20"/>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components</w:t>
            </w:r>
          </w:p>
        </w:tc>
        <w:tc>
          <w:tcPr>
            <w:tcW w:w="2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4"/>
                <w:szCs w:val="14"/>
                <w:color w:val="auto"/>
              </w:rPr>
              <w:t>comprehensive income (loss)</w:t>
            </w:r>
          </w:p>
        </w:tc>
        <w:tc>
          <w:tcPr>
            <w:tcW w:w="4620" w:type="dxa"/>
            <w:vAlign w:val="bottom"/>
            <w:tcBorders>
              <w:bottom w:val="single" w:sz="8" w:color="auto"/>
            </w:tcBorders>
          </w:tcPr>
          <w:p>
            <w:pPr>
              <w:ind w:left="1260"/>
              <w:spacing w:after="0"/>
              <w:rPr>
                <w:sz w:val="20"/>
                <w:szCs w:val="20"/>
                <w:color w:val="auto"/>
              </w:rPr>
            </w:pPr>
            <w:r>
              <w:rPr>
                <w:rFonts w:ascii="Arial" w:cs="Arial" w:eastAsia="Arial" w:hAnsi="Arial"/>
                <w:sz w:val="14"/>
                <w:szCs w:val="14"/>
                <w:color w:val="auto"/>
              </w:rPr>
              <w:t>Consolidated Statements of Operations</w:t>
            </w:r>
          </w:p>
        </w:tc>
        <w:tc>
          <w:tcPr>
            <w:tcW w:w="0" w:type="dxa"/>
            <w:vAlign w:val="bottom"/>
          </w:tcPr>
          <w:p>
            <w:pPr>
              <w:spacing w:after="0"/>
              <w:rPr>
                <w:sz w:val="1"/>
                <w:szCs w:val="1"/>
                <w:color w:val="auto"/>
              </w:rPr>
            </w:pPr>
          </w:p>
        </w:tc>
      </w:tr>
      <w:tr>
        <w:trPr>
          <w:trHeight w:val="153"/>
        </w:trPr>
        <w:tc>
          <w:tcPr>
            <w:tcW w:w="43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jc w:val="right"/>
              <w:ind w:right="201"/>
              <w:spacing w:after="0" w:line="153" w:lineRule="exact"/>
              <w:rPr>
                <w:sz w:val="20"/>
                <w:szCs w:val="20"/>
                <w:color w:val="auto"/>
              </w:rPr>
            </w:pPr>
            <w:r>
              <w:rPr>
                <w:rFonts w:ascii="Arial" w:cs="Arial" w:eastAsia="Arial" w:hAnsi="Arial"/>
                <w:sz w:val="14"/>
                <w:szCs w:val="14"/>
                <w:color w:val="auto"/>
              </w:rPr>
              <w:t>Three months ended June 30,</w:t>
            </w:r>
          </w:p>
        </w:tc>
        <w:tc>
          <w:tcPr>
            <w:tcW w:w="4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2"/>
              <w:spacing w:after="0" w:line="153" w:lineRule="exact"/>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41"/>
              <w:spacing w:after="0" w:line="153" w:lineRule="exact"/>
              <w:rPr>
                <w:sz w:val="20"/>
                <w:szCs w:val="20"/>
                <w:color w:val="auto"/>
              </w:rPr>
            </w:pPr>
            <w:r>
              <w:rPr>
                <w:rFonts w:ascii="Arial" w:cs="Arial" w:eastAsia="Arial" w:hAnsi="Arial"/>
                <w:sz w:val="14"/>
                <w:szCs w:val="14"/>
                <w:color w:val="auto"/>
              </w:rPr>
              <w:t>2013</w:t>
            </w:r>
          </w:p>
        </w:tc>
        <w:tc>
          <w:tcPr>
            <w:tcW w:w="4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line="161" w:lineRule="exact"/>
              <w:rPr>
                <w:sz w:val="20"/>
                <w:szCs w:val="20"/>
                <w:color w:val="auto"/>
              </w:rPr>
            </w:pPr>
            <w:r>
              <w:rPr>
                <w:rFonts w:ascii="Arial" w:cs="Arial" w:eastAsia="Arial" w:hAnsi="Arial"/>
                <w:sz w:val="16"/>
                <w:szCs w:val="16"/>
                <w:b w:val="1"/>
                <w:bCs w:val="1"/>
                <w:color w:val="auto"/>
              </w:rPr>
              <w:t>Sempra Energy Consolidated:</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142"/>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270</w:t>
            </w:r>
          </w:p>
        </w:tc>
        <w:tc>
          <w:tcPr>
            <w:tcW w:w="4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line="178" w:lineRule="exact"/>
              <w:rPr>
                <w:sz w:val="20"/>
                <w:szCs w:val="20"/>
                <w:color w:val="auto"/>
              </w:rPr>
            </w:pPr>
            <w:r>
              <w:rPr>
                <w:rFonts w:ascii="Arial" w:cs="Arial" w:eastAsia="Arial" w:hAnsi="Arial"/>
                <w:sz w:val="16"/>
                <w:szCs w:val="16"/>
                <w:color w:val="auto"/>
              </w:rPr>
              <w:t>Foreign currency translation adjustments</w:t>
            </w:r>
          </w:p>
        </w:tc>
        <w:tc>
          <w:tcPr>
            <w:tcW w:w="2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620" w:type="dxa"/>
            <w:vAlign w:val="bottom"/>
          </w:tcPr>
          <w:p>
            <w:pPr>
              <w:ind w:left="360"/>
              <w:spacing w:after="0" w:line="178" w:lineRule="exact"/>
              <w:rPr>
                <w:sz w:val="20"/>
                <w:szCs w:val="20"/>
                <w:color w:val="auto"/>
              </w:rPr>
            </w:pPr>
            <w:r>
              <w:rPr>
                <w:rFonts w:ascii="Arial" w:cs="Arial" w:eastAsia="Arial" w:hAnsi="Arial"/>
                <w:sz w:val="16"/>
                <w:szCs w:val="16"/>
                <w:color w:val="auto"/>
              </w:rPr>
              <w:t>Equity Earnings, Net of Income Tax(1)</w:t>
            </w:r>
          </w:p>
        </w:tc>
        <w:tc>
          <w:tcPr>
            <w:tcW w:w="0" w:type="dxa"/>
            <w:vAlign w:val="bottom"/>
          </w:tcPr>
          <w:p>
            <w:pPr>
              <w:spacing w:after="0"/>
              <w:rPr>
                <w:sz w:val="1"/>
                <w:szCs w:val="1"/>
                <w:color w:val="auto"/>
              </w:rPr>
            </w:pPr>
          </w:p>
        </w:tc>
      </w:tr>
      <w:tr>
        <w:trPr>
          <w:trHeight w:val="314"/>
        </w:trPr>
        <w:tc>
          <w:tcPr>
            <w:tcW w:w="4360" w:type="dxa"/>
            <w:vAlign w:val="bottom"/>
          </w:tcPr>
          <w:p>
            <w:pPr>
              <w:spacing w:after="0"/>
              <w:rPr>
                <w:sz w:val="20"/>
                <w:szCs w:val="20"/>
                <w:color w:val="auto"/>
              </w:rPr>
            </w:pPr>
            <w:r>
              <w:rPr>
                <w:rFonts w:ascii="Arial" w:cs="Arial" w:eastAsia="Arial" w:hAnsi="Arial"/>
                <w:sz w:val="16"/>
                <w:szCs w:val="16"/>
                <w:color w:val="auto"/>
              </w:rPr>
              <w:t>Financial instruments: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360" w:type="dxa"/>
            <w:vAlign w:val="bottom"/>
          </w:tcPr>
          <w:p>
            <w:pPr>
              <w:ind w:left="180"/>
              <w:spacing w:after="0" w:line="173" w:lineRule="exact"/>
              <w:rPr>
                <w:sz w:val="20"/>
                <w:szCs w:val="20"/>
                <w:color w:val="auto"/>
              </w:rPr>
            </w:pPr>
            <w:r>
              <w:rPr>
                <w:rFonts w:ascii="Arial" w:cs="Arial" w:eastAsia="Arial" w:hAnsi="Arial"/>
                <w:sz w:val="16"/>
                <w:szCs w:val="16"/>
                <w:color w:val="auto"/>
              </w:rPr>
              <w:t>Interest rate and foreign exchange instruments</w:t>
            </w:r>
          </w:p>
        </w:tc>
        <w:tc>
          <w:tcPr>
            <w:tcW w:w="2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142"/>
              <w:spacing w:after="0" w:line="173" w:lineRule="exact"/>
              <w:rPr>
                <w:sz w:val="20"/>
                <w:szCs w:val="20"/>
                <w:color w:val="auto"/>
              </w:rPr>
            </w:pPr>
            <w:r>
              <w:rPr>
                <w:rFonts w:ascii="Arial" w:cs="Arial" w:eastAsia="Arial" w:hAnsi="Arial"/>
                <w:sz w:val="16"/>
                <w:szCs w:val="16"/>
                <w:color w:val="auto"/>
              </w:rPr>
              <w:t>6</w:t>
            </w:r>
          </w:p>
        </w:tc>
        <w:tc>
          <w:tcPr>
            <w:tcW w:w="3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3</w:t>
            </w:r>
          </w:p>
        </w:tc>
        <w:tc>
          <w:tcPr>
            <w:tcW w:w="4620" w:type="dxa"/>
            <w:vAlign w:val="bottom"/>
          </w:tcPr>
          <w:p>
            <w:pPr>
              <w:ind w:left="360"/>
              <w:spacing w:after="0" w:line="173" w:lineRule="exact"/>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173"/>
        </w:trPr>
        <w:tc>
          <w:tcPr>
            <w:tcW w:w="4360" w:type="dxa"/>
            <w:vAlign w:val="bottom"/>
          </w:tcPr>
          <w:p>
            <w:pPr>
              <w:ind w:left="180"/>
              <w:spacing w:after="0" w:line="173" w:lineRule="exact"/>
              <w:rPr>
                <w:sz w:val="20"/>
                <w:szCs w:val="20"/>
                <w:color w:val="auto"/>
              </w:rPr>
            </w:pPr>
            <w:r>
              <w:rPr>
                <w:rFonts w:ascii="Arial" w:cs="Arial" w:eastAsia="Arial" w:hAnsi="Arial"/>
                <w:sz w:val="16"/>
                <w:szCs w:val="16"/>
                <w:color w:val="auto"/>
              </w:rPr>
              <w:t>Interest rate instruments</w:t>
            </w:r>
          </w:p>
        </w:tc>
        <w:tc>
          <w:tcPr>
            <w:tcW w:w="240" w:type="dxa"/>
            <w:vAlign w:val="bottom"/>
          </w:tcPr>
          <w:p>
            <w:pPr>
              <w:spacing w:after="0"/>
              <w:rPr>
                <w:sz w:val="15"/>
                <w:szCs w:val="15"/>
                <w:color w:val="auto"/>
              </w:rPr>
            </w:pPr>
          </w:p>
        </w:tc>
        <w:tc>
          <w:tcPr>
            <w:tcW w:w="1040" w:type="dxa"/>
            <w:vAlign w:val="bottom"/>
          </w:tcPr>
          <w:p>
            <w:pPr>
              <w:jc w:val="right"/>
              <w:ind w:right="142"/>
              <w:spacing w:after="0" w:line="173" w:lineRule="exact"/>
              <w:rPr>
                <w:sz w:val="20"/>
                <w:szCs w:val="20"/>
                <w:color w:val="auto"/>
              </w:rPr>
            </w:pPr>
            <w:r>
              <w:rPr>
                <w:rFonts w:ascii="Arial" w:cs="Arial" w:eastAsia="Arial" w:hAnsi="Arial"/>
                <w:sz w:val="16"/>
                <w:szCs w:val="16"/>
                <w:color w:val="auto"/>
              </w:rPr>
              <w:t>2</w:t>
            </w:r>
          </w:p>
        </w:tc>
        <w:tc>
          <w:tcPr>
            <w:tcW w:w="360" w:type="dxa"/>
            <w:vAlign w:val="bottom"/>
          </w:tcPr>
          <w:p>
            <w:pPr>
              <w:spacing w:after="0"/>
              <w:rPr>
                <w:sz w:val="15"/>
                <w:szCs w:val="15"/>
                <w:color w:val="auto"/>
              </w:rPr>
            </w:pP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4620" w:type="dxa"/>
            <w:vAlign w:val="bottom"/>
          </w:tcPr>
          <w:p>
            <w:pPr>
              <w:ind w:left="360"/>
              <w:spacing w:after="0" w:line="173" w:lineRule="exact"/>
              <w:rPr>
                <w:sz w:val="20"/>
                <w:szCs w:val="20"/>
                <w:color w:val="auto"/>
              </w:rPr>
            </w:pPr>
            <w:r>
              <w:rPr>
                <w:rFonts w:ascii="Arial" w:cs="Arial" w:eastAsia="Arial" w:hAnsi="Arial"/>
                <w:sz w:val="16"/>
                <w:szCs w:val="16"/>
                <w:color w:val="auto"/>
              </w:rPr>
              <w:t>Equity Earnings (Losses), Before Income Tax</w:t>
            </w:r>
          </w:p>
        </w:tc>
        <w:tc>
          <w:tcPr>
            <w:tcW w:w="0" w:type="dxa"/>
            <w:vAlign w:val="bottom"/>
          </w:tcPr>
          <w:p>
            <w:pPr>
              <w:spacing w:after="0"/>
              <w:rPr>
                <w:sz w:val="1"/>
                <w:szCs w:val="1"/>
                <w:color w:val="auto"/>
              </w:rPr>
            </w:pPr>
          </w:p>
        </w:tc>
      </w:tr>
      <w:tr>
        <w:trPr>
          <w:trHeight w:val="186"/>
        </w:trPr>
        <w:tc>
          <w:tcPr>
            <w:tcW w:w="4360" w:type="dxa"/>
            <w:vAlign w:val="bottom"/>
          </w:tcPr>
          <w:p>
            <w:pPr>
              <w:ind w:left="180"/>
              <w:spacing w:after="0"/>
              <w:rPr>
                <w:sz w:val="20"/>
                <w:szCs w:val="20"/>
                <w:color w:val="auto"/>
              </w:rPr>
            </w:pPr>
            <w:r>
              <w:rPr>
                <w:rFonts w:ascii="Arial" w:cs="Arial" w:eastAsia="Arial" w:hAnsi="Arial"/>
                <w:sz w:val="16"/>
                <w:szCs w:val="16"/>
                <w:color w:val="auto"/>
              </w:rPr>
              <w:t>Commodity contracts not subject</w:t>
            </w:r>
          </w:p>
        </w:tc>
        <w:tc>
          <w:tcPr>
            <w:tcW w:w="240" w:type="dxa"/>
            <w:vAlign w:val="bottom"/>
          </w:tcPr>
          <w:p>
            <w:pPr>
              <w:spacing w:after="0"/>
              <w:rPr>
                <w:sz w:val="16"/>
                <w:szCs w:val="16"/>
                <w:color w:val="auto"/>
              </w:rPr>
            </w:pPr>
          </w:p>
        </w:tc>
        <w:tc>
          <w:tcPr>
            <w:tcW w:w="1040" w:type="dxa"/>
            <w:vAlign w:val="bottom"/>
            <w:vMerge w:val="restart"/>
          </w:tcPr>
          <w:p>
            <w:pPr>
              <w:jc w:val="right"/>
              <w:ind w:right="14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4620" w:type="dxa"/>
            <w:vAlign w:val="bottom"/>
          </w:tcPr>
          <w:p>
            <w:pPr>
              <w:ind w:left="360"/>
              <w:spacing w:after="0"/>
              <w:rPr>
                <w:sz w:val="20"/>
                <w:szCs w:val="20"/>
                <w:color w:val="auto"/>
              </w:rPr>
            </w:pPr>
            <w:r>
              <w:rPr>
                <w:rFonts w:ascii="Arial" w:cs="Arial" w:eastAsia="Arial" w:hAnsi="Arial"/>
                <w:sz w:val="16"/>
                <w:szCs w:val="16"/>
                <w:color w:val="auto"/>
              </w:rPr>
              <w:t>Revenues: Energy-Related</w:t>
            </w:r>
          </w:p>
        </w:tc>
        <w:tc>
          <w:tcPr>
            <w:tcW w:w="0" w:type="dxa"/>
            <w:vAlign w:val="bottom"/>
          </w:tcPr>
          <w:p>
            <w:pPr>
              <w:spacing w:after="0"/>
              <w:rPr>
                <w:sz w:val="1"/>
                <w:szCs w:val="1"/>
                <w:color w:val="auto"/>
              </w:rPr>
            </w:pPr>
          </w:p>
        </w:tc>
      </w:tr>
      <w:tr>
        <w:trPr>
          <w:trHeight w:val="191"/>
        </w:trPr>
        <w:tc>
          <w:tcPr>
            <w:tcW w:w="4360" w:type="dxa"/>
            <w:vAlign w:val="bottom"/>
          </w:tcPr>
          <w:p>
            <w:pPr>
              <w:ind w:left="500"/>
              <w:spacing w:after="0"/>
              <w:rPr>
                <w:sz w:val="20"/>
                <w:szCs w:val="20"/>
                <w:color w:val="auto"/>
              </w:rPr>
            </w:pPr>
            <w:r>
              <w:rPr>
                <w:rFonts w:ascii="Arial" w:cs="Arial" w:eastAsia="Arial" w:hAnsi="Arial"/>
                <w:sz w:val="16"/>
                <w:szCs w:val="16"/>
                <w:color w:val="auto"/>
              </w:rPr>
              <w:t>to rate recovery</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620" w:type="dxa"/>
            <w:vAlign w:val="bottom"/>
          </w:tcPr>
          <w:p>
            <w:pPr>
              <w:ind w:left="480"/>
              <w:spacing w:after="0"/>
              <w:rPr>
                <w:sz w:val="20"/>
                <w:szCs w:val="20"/>
                <w:color w:val="auto"/>
              </w:rPr>
            </w:pPr>
            <w:r>
              <w:rPr>
                <w:rFonts w:ascii="Arial" w:cs="Arial" w:eastAsia="Arial" w:hAnsi="Arial"/>
                <w:sz w:val="16"/>
                <w:szCs w:val="16"/>
                <w:color w:val="auto"/>
              </w:rPr>
              <w:t>Businesses</w:t>
            </w:r>
          </w:p>
        </w:tc>
        <w:tc>
          <w:tcPr>
            <w:tcW w:w="0" w:type="dxa"/>
            <w:vAlign w:val="bottom"/>
          </w:tcPr>
          <w:p>
            <w:pPr>
              <w:spacing w:after="0"/>
              <w:rPr>
                <w:sz w:val="1"/>
                <w:szCs w:val="1"/>
                <w:color w:val="auto"/>
              </w:rPr>
            </w:pPr>
          </w:p>
        </w:tc>
      </w:tr>
      <w:tr>
        <w:trPr>
          <w:trHeight w:val="135"/>
        </w:trPr>
        <w:tc>
          <w:tcPr>
            <w:tcW w:w="4360" w:type="dxa"/>
            <w:vAlign w:val="bottom"/>
          </w:tcPr>
          <w:p>
            <w:pPr>
              <w:spacing w:after="0" w:line="135" w:lineRule="exact"/>
              <w:rPr>
                <w:sz w:val="20"/>
                <w:szCs w:val="20"/>
                <w:color w:val="auto"/>
              </w:rPr>
            </w:pPr>
            <w:r>
              <w:rPr>
                <w:rFonts w:ascii="Arial" w:cs="Arial" w:eastAsia="Arial" w:hAnsi="Arial"/>
                <w:sz w:val="15"/>
                <w:szCs w:val="15"/>
                <w:color w:val="auto"/>
              </w:rPr>
              <w:t>Total before income tax</w:t>
            </w:r>
          </w:p>
        </w:tc>
        <w:tc>
          <w:tcPr>
            <w:tcW w:w="240" w:type="dxa"/>
            <w:vAlign w:val="bottom"/>
          </w:tcPr>
          <w:p>
            <w:pPr>
              <w:spacing w:after="0"/>
              <w:rPr>
                <w:sz w:val="11"/>
                <w:szCs w:val="11"/>
                <w:color w:val="auto"/>
              </w:rPr>
            </w:pPr>
          </w:p>
        </w:tc>
        <w:tc>
          <w:tcPr>
            <w:tcW w:w="1040" w:type="dxa"/>
            <w:vAlign w:val="bottom"/>
          </w:tcPr>
          <w:p>
            <w:pPr>
              <w:jc w:val="right"/>
              <w:ind w:right="142"/>
              <w:spacing w:after="0" w:line="135" w:lineRule="exact"/>
              <w:rPr>
                <w:sz w:val="20"/>
                <w:szCs w:val="20"/>
                <w:color w:val="auto"/>
              </w:rPr>
            </w:pPr>
            <w:r>
              <w:rPr>
                <w:rFonts w:ascii="Arial" w:cs="Arial" w:eastAsia="Arial" w:hAnsi="Arial"/>
                <w:sz w:val="15"/>
                <w:szCs w:val="15"/>
                <w:color w:val="auto"/>
              </w:rPr>
              <w:t>8</w:t>
            </w:r>
          </w:p>
        </w:tc>
        <w:tc>
          <w:tcPr>
            <w:tcW w:w="3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c>
          <w:tcPr>
            <w:tcW w:w="4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360" w:type="dxa"/>
            <w:vAlign w:val="bottom"/>
            <w:vMerge w:val="restart"/>
          </w:tcPr>
          <w:p>
            <w:pPr>
              <w:spacing w:after="0"/>
              <w:rPr>
                <w:sz w:val="20"/>
                <w:szCs w:val="20"/>
                <w:color w:val="auto"/>
              </w:rPr>
            </w:pPr>
            <w:r>
              <w:rPr>
                <w:rFonts w:ascii="Arial" w:cs="Arial" w:eastAsia="Arial" w:hAnsi="Arial"/>
                <w:sz w:val="16"/>
                <w:szCs w:val="16"/>
                <w:color w:val="auto"/>
              </w:rPr>
              <w:t>Net of income tax</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620" w:type="dxa"/>
            <w:vAlign w:val="bottom"/>
          </w:tcPr>
          <w:p>
            <w:pPr>
              <w:ind w:left="36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35"/>
        </w:trPr>
        <w:tc>
          <w:tcPr>
            <w:tcW w:w="43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right"/>
              <w:ind w:right="142"/>
              <w:spacing w:after="0" w:line="135" w:lineRule="exact"/>
              <w:rPr>
                <w:sz w:val="20"/>
                <w:szCs w:val="20"/>
                <w:color w:val="auto"/>
              </w:rPr>
            </w:pPr>
            <w:r>
              <w:rPr>
                <w:rFonts w:ascii="Arial" w:cs="Arial" w:eastAsia="Arial" w:hAnsi="Arial"/>
                <w:sz w:val="15"/>
                <w:szCs w:val="15"/>
                <w:color w:val="auto"/>
              </w:rPr>
              <w:t>7</w:t>
            </w:r>
          </w:p>
        </w:tc>
        <w:tc>
          <w:tcPr>
            <w:tcW w:w="3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5"/>
                <w:szCs w:val="15"/>
                <w:color w:val="auto"/>
              </w:rPr>
              <w:t>2</w:t>
            </w:r>
          </w:p>
        </w:tc>
        <w:tc>
          <w:tcPr>
            <w:tcW w:w="4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620" w:type="dxa"/>
            <w:vAlign w:val="bottom"/>
          </w:tcPr>
          <w:p>
            <w:pPr>
              <w:ind w:left="360"/>
              <w:spacing w:after="0"/>
              <w:rPr>
                <w:sz w:val="20"/>
                <w:szCs w:val="20"/>
                <w:color w:val="auto"/>
              </w:rPr>
            </w:pPr>
            <w:r>
              <w:rPr>
                <w:rFonts w:ascii="Arial" w:cs="Arial" w:eastAsia="Arial" w:hAnsi="Arial"/>
                <w:sz w:val="16"/>
                <w:szCs w:val="16"/>
                <w:color w:val="auto"/>
              </w:rPr>
              <w:t>Earnings Attributable to Noncontrolling Interests</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2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42"/>
              <w:spacing w:after="0" w:line="166" w:lineRule="exact"/>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4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4360" w:type="dxa"/>
            <w:vAlign w:val="bottom"/>
          </w:tcPr>
          <w:p>
            <w:pPr>
              <w:spacing w:after="0"/>
              <w:rPr>
                <w:sz w:val="20"/>
                <w:szCs w:val="20"/>
                <w:color w:val="auto"/>
              </w:rPr>
            </w:pPr>
            <w:r>
              <w:rPr>
                <w:rFonts w:ascii="Arial" w:cs="Arial" w:eastAsia="Arial" w:hAnsi="Arial"/>
                <w:sz w:val="16"/>
                <w:szCs w:val="16"/>
                <w:color w:val="auto"/>
              </w:rPr>
              <w:t>Pension and other postretirement benefits: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360" w:type="dxa"/>
            <w:vAlign w:val="bottom"/>
          </w:tcPr>
          <w:p>
            <w:pPr>
              <w:ind w:left="180"/>
              <w:spacing w:after="0" w:line="173" w:lineRule="exact"/>
              <w:rPr>
                <w:sz w:val="20"/>
                <w:szCs w:val="20"/>
                <w:color w:val="auto"/>
              </w:rPr>
            </w:pPr>
            <w:r>
              <w:rPr>
                <w:rFonts w:ascii="Arial" w:cs="Arial" w:eastAsia="Arial" w:hAnsi="Arial"/>
                <w:sz w:val="16"/>
                <w:szCs w:val="16"/>
                <w:color w:val="auto"/>
              </w:rPr>
              <w:t>Amortization of actuarial loss</w:t>
            </w:r>
          </w:p>
        </w:tc>
        <w:tc>
          <w:tcPr>
            <w:tcW w:w="2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142"/>
              <w:spacing w:after="0" w:line="173" w:lineRule="exact"/>
              <w:rPr>
                <w:sz w:val="20"/>
                <w:szCs w:val="20"/>
                <w:color w:val="auto"/>
              </w:rPr>
            </w:pPr>
            <w:r>
              <w:rPr>
                <w:rFonts w:ascii="Arial" w:cs="Arial" w:eastAsia="Arial" w:hAnsi="Arial"/>
                <w:sz w:val="16"/>
                <w:szCs w:val="16"/>
                <w:color w:val="auto"/>
              </w:rPr>
              <w:t>8</w:t>
            </w:r>
          </w:p>
        </w:tc>
        <w:tc>
          <w:tcPr>
            <w:tcW w:w="3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4620" w:type="dxa"/>
            <w:vAlign w:val="bottom"/>
          </w:tcPr>
          <w:p>
            <w:pPr>
              <w:ind w:left="360"/>
              <w:spacing w:after="0" w:line="17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4360" w:type="dxa"/>
            <w:vAlign w:val="bottom"/>
            <w:vMerge w:val="restart"/>
          </w:tcPr>
          <w:p>
            <w:pPr>
              <w:spacing w:after="0"/>
              <w:rPr>
                <w:sz w:val="20"/>
                <w:szCs w:val="20"/>
                <w:color w:val="auto"/>
              </w:rPr>
            </w:pPr>
            <w:r>
              <w:rPr>
                <w:rFonts w:ascii="Arial" w:cs="Arial" w:eastAsia="Arial" w:hAnsi="Arial"/>
                <w:sz w:val="16"/>
                <w:szCs w:val="16"/>
                <w:color w:val="auto"/>
              </w:rPr>
              <w:t>Net of income tax</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620" w:type="dxa"/>
            <w:vAlign w:val="bottom"/>
          </w:tcPr>
          <w:p>
            <w:pPr>
              <w:ind w:left="36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73"/>
        </w:trPr>
        <w:tc>
          <w:tcPr>
            <w:tcW w:w="4360" w:type="dxa"/>
            <w:vAlign w:val="bottom"/>
            <w:vMerge w:val="continue"/>
          </w:tcPr>
          <w:p>
            <w:pPr>
              <w:spacing w:after="0"/>
              <w:rPr>
                <w:sz w:val="15"/>
                <w:szCs w:val="15"/>
                <w:color w:val="auto"/>
              </w:rPr>
            </w:pPr>
          </w:p>
        </w:tc>
        <w:tc>
          <w:tcPr>
            <w:tcW w:w="2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42"/>
              <w:spacing w:after="0" w:line="166" w:lineRule="exact"/>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4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4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reclassifications for the period, net of tax</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4360" w:type="dxa"/>
            <w:vAlign w:val="bottom"/>
          </w:tcPr>
          <w:p>
            <w:pPr>
              <w:spacing w:after="0" w:line="142" w:lineRule="exact"/>
              <w:rPr>
                <w:sz w:val="20"/>
                <w:szCs w:val="20"/>
                <w:color w:val="auto"/>
              </w:rPr>
            </w:pPr>
            <w:r>
              <w:rPr>
                <w:rFonts w:ascii="Arial" w:cs="Arial" w:eastAsia="Arial" w:hAnsi="Arial"/>
                <w:sz w:val="16"/>
                <w:szCs w:val="16"/>
                <w:b w:val="1"/>
                <w:bCs w:val="1"/>
                <w:color w:val="auto"/>
              </w:rPr>
              <w:t>SDG&amp;E:</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line="173" w:lineRule="exact"/>
              <w:rPr>
                <w:sz w:val="20"/>
                <w:szCs w:val="20"/>
                <w:color w:val="auto"/>
              </w:rPr>
            </w:pPr>
            <w:r>
              <w:rPr>
                <w:rFonts w:ascii="Arial" w:cs="Arial" w:eastAsia="Arial" w:hAnsi="Arial"/>
                <w:sz w:val="16"/>
                <w:szCs w:val="16"/>
                <w:color w:val="auto"/>
              </w:rPr>
              <w:t>Financial instruments: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360" w:type="dxa"/>
            <w:vAlign w:val="bottom"/>
          </w:tcPr>
          <w:p>
            <w:pPr>
              <w:ind w:left="180"/>
              <w:spacing w:after="0" w:line="173" w:lineRule="exact"/>
              <w:rPr>
                <w:sz w:val="20"/>
                <w:szCs w:val="20"/>
                <w:color w:val="auto"/>
              </w:rPr>
            </w:pPr>
            <w:r>
              <w:rPr>
                <w:rFonts w:ascii="Arial" w:cs="Arial" w:eastAsia="Arial" w:hAnsi="Arial"/>
                <w:sz w:val="16"/>
                <w:szCs w:val="16"/>
                <w:color w:val="auto"/>
              </w:rPr>
              <w:t>Interest rate instruments</w:t>
            </w:r>
          </w:p>
        </w:tc>
        <w:tc>
          <w:tcPr>
            <w:tcW w:w="2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142"/>
              <w:spacing w:after="0" w:line="173" w:lineRule="exact"/>
              <w:rPr>
                <w:sz w:val="20"/>
                <w:szCs w:val="20"/>
                <w:color w:val="auto"/>
              </w:rPr>
            </w:pPr>
            <w:r>
              <w:rPr>
                <w:rFonts w:ascii="Arial" w:cs="Arial" w:eastAsia="Arial" w:hAnsi="Arial"/>
                <w:sz w:val="16"/>
                <w:szCs w:val="16"/>
                <w:color w:val="auto"/>
              </w:rPr>
              <w:t>2</w:t>
            </w:r>
          </w:p>
        </w:tc>
        <w:tc>
          <w:tcPr>
            <w:tcW w:w="3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4620" w:type="dxa"/>
            <w:vAlign w:val="bottom"/>
          </w:tcPr>
          <w:p>
            <w:pPr>
              <w:ind w:left="360"/>
              <w:spacing w:after="0" w:line="173" w:lineRule="exact"/>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04"/>
        </w:trPr>
        <w:tc>
          <w:tcPr>
            <w:tcW w:w="4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620" w:type="dxa"/>
            <w:vAlign w:val="bottom"/>
          </w:tcPr>
          <w:p>
            <w:pPr>
              <w:ind w:left="360"/>
              <w:spacing w:after="0"/>
              <w:rPr>
                <w:sz w:val="20"/>
                <w:szCs w:val="20"/>
                <w:color w:val="auto"/>
              </w:rPr>
            </w:pPr>
            <w:r>
              <w:rPr>
                <w:rFonts w:ascii="Arial" w:cs="Arial" w:eastAsia="Arial" w:hAnsi="Arial"/>
                <w:sz w:val="16"/>
                <w:szCs w:val="16"/>
                <w:color w:val="auto"/>
              </w:rPr>
              <w:t>Earnings Attributable to Noncontrolling Interest</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2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42"/>
              <w:spacing w:after="0" w:line="166"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4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4360" w:type="dxa"/>
            <w:vAlign w:val="bottom"/>
          </w:tcPr>
          <w:p>
            <w:pPr>
              <w:spacing w:after="0"/>
              <w:rPr>
                <w:sz w:val="20"/>
                <w:szCs w:val="20"/>
                <w:color w:val="auto"/>
              </w:rPr>
            </w:pPr>
            <w:r>
              <w:rPr>
                <w:rFonts w:ascii="Arial" w:cs="Arial" w:eastAsia="Arial" w:hAnsi="Arial"/>
                <w:sz w:val="16"/>
                <w:szCs w:val="16"/>
                <w:color w:val="auto"/>
              </w:rPr>
              <w:t>Pension and other postretirement benefits: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360" w:type="dxa"/>
            <w:vAlign w:val="bottom"/>
          </w:tcPr>
          <w:p>
            <w:pPr>
              <w:ind w:left="180"/>
              <w:spacing w:after="0" w:line="173" w:lineRule="exact"/>
              <w:rPr>
                <w:sz w:val="20"/>
                <w:szCs w:val="20"/>
                <w:color w:val="auto"/>
              </w:rPr>
            </w:pPr>
            <w:r>
              <w:rPr>
                <w:rFonts w:ascii="Arial" w:cs="Arial" w:eastAsia="Arial" w:hAnsi="Arial"/>
                <w:sz w:val="16"/>
                <w:szCs w:val="16"/>
                <w:color w:val="auto"/>
              </w:rPr>
              <w:t>Amortization of actuarial loss</w:t>
            </w:r>
          </w:p>
        </w:tc>
        <w:tc>
          <w:tcPr>
            <w:tcW w:w="2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142"/>
              <w:spacing w:after="0" w:line="173" w:lineRule="exact"/>
              <w:rPr>
                <w:sz w:val="20"/>
                <w:szCs w:val="20"/>
                <w:color w:val="auto"/>
              </w:rPr>
            </w:pPr>
            <w:r>
              <w:rPr>
                <w:rFonts w:ascii="Arial" w:cs="Arial" w:eastAsia="Arial" w:hAnsi="Arial"/>
                <w:sz w:val="16"/>
                <w:szCs w:val="16"/>
                <w:color w:val="auto"/>
              </w:rPr>
              <w:t>2</w:t>
            </w:r>
          </w:p>
        </w:tc>
        <w:tc>
          <w:tcPr>
            <w:tcW w:w="3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4620" w:type="dxa"/>
            <w:vAlign w:val="bottom"/>
          </w:tcPr>
          <w:p>
            <w:pPr>
              <w:ind w:left="360"/>
              <w:spacing w:after="0" w:line="17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4360" w:type="dxa"/>
            <w:vAlign w:val="bottom"/>
            <w:vMerge w:val="restart"/>
          </w:tcPr>
          <w:p>
            <w:pPr>
              <w:spacing w:after="0"/>
              <w:rPr>
                <w:sz w:val="20"/>
                <w:szCs w:val="20"/>
                <w:color w:val="auto"/>
              </w:rPr>
            </w:pPr>
            <w:r>
              <w:rPr>
                <w:rFonts w:ascii="Arial" w:cs="Arial" w:eastAsia="Arial" w:hAnsi="Arial"/>
                <w:sz w:val="16"/>
                <w:szCs w:val="16"/>
                <w:color w:val="auto"/>
              </w:rPr>
              <w:t>Net of income tax</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20" w:type="dxa"/>
            <w:vAlign w:val="bottom"/>
          </w:tcPr>
          <w:p>
            <w:pPr>
              <w:ind w:left="36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73"/>
        </w:trPr>
        <w:tc>
          <w:tcPr>
            <w:tcW w:w="4360" w:type="dxa"/>
            <w:vAlign w:val="bottom"/>
            <w:vMerge w:val="continue"/>
          </w:tcPr>
          <w:p>
            <w:pPr>
              <w:spacing w:after="0"/>
              <w:rPr>
                <w:sz w:val="15"/>
                <w:szCs w:val="15"/>
                <w:color w:val="auto"/>
              </w:rPr>
            </w:pPr>
          </w:p>
        </w:tc>
        <w:tc>
          <w:tcPr>
            <w:tcW w:w="2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42"/>
              <w:spacing w:after="0" w:line="166" w:lineRule="exact"/>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4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4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reclassifications for the period, net of tax</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4360" w:type="dxa"/>
            <w:vAlign w:val="bottom"/>
          </w:tcPr>
          <w:p>
            <w:pPr>
              <w:spacing w:after="0" w:line="142" w:lineRule="exact"/>
              <w:rPr>
                <w:sz w:val="20"/>
                <w:szCs w:val="20"/>
                <w:color w:val="auto"/>
              </w:rPr>
            </w:pPr>
            <w:r>
              <w:rPr>
                <w:rFonts w:ascii="Arial" w:cs="Arial" w:eastAsia="Arial" w:hAnsi="Arial"/>
                <w:sz w:val="16"/>
                <w:szCs w:val="16"/>
                <w:b w:val="1"/>
                <w:bCs w:val="1"/>
                <w:color w:val="auto"/>
              </w:rPr>
              <w:t>SoCalGas:</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line="173" w:lineRule="exact"/>
              <w:rPr>
                <w:sz w:val="20"/>
                <w:szCs w:val="20"/>
                <w:color w:val="auto"/>
              </w:rPr>
            </w:pPr>
            <w:r>
              <w:rPr>
                <w:rFonts w:ascii="Arial" w:cs="Arial" w:eastAsia="Arial" w:hAnsi="Arial"/>
                <w:sz w:val="16"/>
                <w:szCs w:val="16"/>
                <w:color w:val="auto"/>
              </w:rPr>
              <w:t>Financial instruments: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360" w:type="dxa"/>
            <w:vAlign w:val="bottom"/>
          </w:tcPr>
          <w:p>
            <w:pPr>
              <w:ind w:left="180"/>
              <w:spacing w:after="0" w:line="173" w:lineRule="exact"/>
              <w:rPr>
                <w:sz w:val="20"/>
                <w:szCs w:val="20"/>
                <w:color w:val="auto"/>
              </w:rPr>
            </w:pPr>
            <w:r>
              <w:rPr>
                <w:rFonts w:ascii="Arial" w:cs="Arial" w:eastAsia="Arial" w:hAnsi="Arial"/>
                <w:sz w:val="16"/>
                <w:szCs w:val="16"/>
                <w:color w:val="auto"/>
              </w:rPr>
              <w:t>Interest rate instruments</w:t>
            </w:r>
          </w:p>
        </w:tc>
        <w:tc>
          <w:tcPr>
            <w:tcW w:w="2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142"/>
              <w:spacing w:after="0" w:line="173" w:lineRule="exact"/>
              <w:rPr>
                <w:sz w:val="20"/>
                <w:szCs w:val="20"/>
                <w:color w:val="auto"/>
              </w:rPr>
            </w:pPr>
            <w:r>
              <w:rPr>
                <w:rFonts w:ascii="Arial" w:cs="Arial" w:eastAsia="Arial" w:hAnsi="Arial"/>
                <w:sz w:val="16"/>
                <w:szCs w:val="16"/>
                <w:color w:val="auto"/>
              </w:rPr>
              <w:t>―</w:t>
            </w:r>
          </w:p>
        </w:tc>
        <w:tc>
          <w:tcPr>
            <w:tcW w:w="3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4620" w:type="dxa"/>
            <w:vAlign w:val="bottom"/>
          </w:tcPr>
          <w:p>
            <w:pPr>
              <w:ind w:left="360"/>
              <w:spacing w:after="0" w:line="173" w:lineRule="exact"/>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04"/>
        </w:trPr>
        <w:tc>
          <w:tcPr>
            <w:tcW w:w="4360" w:type="dxa"/>
            <w:vAlign w:val="bottom"/>
            <w:vMerge w:val="restart"/>
          </w:tcPr>
          <w:p>
            <w:pPr>
              <w:spacing w:after="0"/>
              <w:rPr>
                <w:sz w:val="20"/>
                <w:szCs w:val="20"/>
                <w:color w:val="auto"/>
              </w:rPr>
            </w:pPr>
            <w:r>
              <w:rPr>
                <w:rFonts w:ascii="Arial" w:cs="Arial" w:eastAsia="Arial" w:hAnsi="Arial"/>
                <w:sz w:val="16"/>
                <w:szCs w:val="16"/>
                <w:color w:val="auto"/>
              </w:rPr>
              <w:t>Net of income tax</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20" w:type="dxa"/>
            <w:vAlign w:val="bottom"/>
          </w:tcPr>
          <w:p>
            <w:pPr>
              <w:ind w:left="36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73"/>
        </w:trPr>
        <w:tc>
          <w:tcPr>
            <w:tcW w:w="4360" w:type="dxa"/>
            <w:vAlign w:val="bottom"/>
            <w:vMerge w:val="continue"/>
          </w:tcPr>
          <w:p>
            <w:pPr>
              <w:spacing w:after="0"/>
              <w:rPr>
                <w:sz w:val="15"/>
                <w:szCs w:val="15"/>
                <w:color w:val="auto"/>
              </w:rPr>
            </w:pPr>
          </w:p>
        </w:tc>
        <w:tc>
          <w:tcPr>
            <w:tcW w:w="2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42"/>
              <w:spacing w:after="0" w:line="166"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4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4360" w:type="dxa"/>
            <w:vAlign w:val="bottom"/>
          </w:tcPr>
          <w:p>
            <w:pPr>
              <w:spacing w:after="0"/>
              <w:rPr>
                <w:sz w:val="20"/>
                <w:szCs w:val="20"/>
                <w:color w:val="auto"/>
              </w:rPr>
            </w:pPr>
            <w:r>
              <w:rPr>
                <w:rFonts w:ascii="Arial" w:cs="Arial" w:eastAsia="Arial" w:hAnsi="Arial"/>
                <w:sz w:val="16"/>
                <w:szCs w:val="16"/>
                <w:color w:val="auto"/>
              </w:rPr>
              <w:t>Total reclassifications for the period, net of tax</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2485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500" w:right="340" w:hanging="494"/>
        <w:spacing w:after="0" w:line="249" w:lineRule="auto"/>
        <w:tabs>
          <w:tab w:leader="none" w:pos="50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cumulative foreign currency translation adjustment related to the impairment of our Argentine investments in 2006, which is substantially offset by an accrued liability established at that time. We provide additional information about these investments in Note 4.</w:t>
      </w:r>
    </w:p>
    <w:p>
      <w:pPr>
        <w:ind w:left="500" w:hanging="494"/>
        <w:spacing w:after="0"/>
        <w:tabs>
          <w:tab w:leader="none" w:pos="50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Amounts are included in the computation of net periodic benefit cost (see "Pension and Other Postretirement Benefits" above).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RECLASSIFICATIONS OUT OF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279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8525" cy="22796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39"/>
        </w:trPr>
        <w:tc>
          <w:tcPr>
            <w:tcW w:w="4340" w:type="dxa"/>
            <w:vAlign w:val="bottom"/>
            <w:tcBorders>
              <w:top w:val="single" w:sz="8" w:color="auto"/>
            </w:tcBorders>
          </w:tcPr>
          <w:p>
            <w:pPr>
              <w:spacing w:after="0" w:line="139" w:lineRule="exact"/>
              <w:rPr>
                <w:sz w:val="20"/>
                <w:szCs w:val="20"/>
                <w:color w:val="auto"/>
              </w:rPr>
            </w:pPr>
            <w:r>
              <w:rPr>
                <w:rFonts w:ascii="Arial" w:cs="Arial" w:eastAsia="Arial" w:hAnsi="Arial"/>
                <w:sz w:val="14"/>
                <w:szCs w:val="14"/>
                <w:color w:val="auto"/>
              </w:rPr>
              <w:t>Details about accumulated</w:t>
            </w:r>
          </w:p>
        </w:tc>
        <w:tc>
          <w:tcPr>
            <w:tcW w:w="36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2"/>
          </w:tcPr>
          <w:p>
            <w:pPr>
              <w:jc w:val="center"/>
              <w:spacing w:after="0" w:line="139" w:lineRule="exact"/>
              <w:rPr>
                <w:sz w:val="20"/>
                <w:szCs w:val="20"/>
                <w:color w:val="auto"/>
              </w:rPr>
            </w:pPr>
            <w:r>
              <w:rPr>
                <w:rFonts w:ascii="Arial" w:cs="Arial" w:eastAsia="Arial" w:hAnsi="Arial"/>
                <w:sz w:val="14"/>
                <w:szCs w:val="14"/>
                <w:color w:val="auto"/>
              </w:rPr>
              <w:t>Amount reclassified</w:t>
            </w:r>
          </w:p>
        </w:tc>
        <w:tc>
          <w:tcPr>
            <w:tcW w:w="340" w:type="dxa"/>
            <w:vAlign w:val="bottom"/>
            <w:tcBorders>
              <w:top w:val="single" w:sz="8" w:color="auto"/>
            </w:tcBorders>
          </w:tcPr>
          <w:p>
            <w:pPr>
              <w:spacing w:after="0"/>
              <w:rPr>
                <w:sz w:val="12"/>
                <w:szCs w:val="12"/>
                <w:color w:val="auto"/>
              </w:rPr>
            </w:pPr>
          </w:p>
        </w:tc>
        <w:tc>
          <w:tcPr>
            <w:tcW w:w="44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340" w:type="dxa"/>
            <w:vAlign w:val="bottom"/>
          </w:tcPr>
          <w:p>
            <w:pPr>
              <w:spacing w:after="0" w:line="159" w:lineRule="exact"/>
              <w:rPr>
                <w:sz w:val="20"/>
                <w:szCs w:val="20"/>
                <w:color w:val="auto"/>
              </w:rPr>
            </w:pPr>
            <w:r>
              <w:rPr>
                <w:rFonts w:ascii="Arial" w:cs="Arial" w:eastAsia="Arial" w:hAnsi="Arial"/>
                <w:sz w:val="14"/>
                <w:szCs w:val="14"/>
                <w:color w:val="auto"/>
              </w:rPr>
              <w:t>other comprehensive income (loss)</w:t>
            </w:r>
          </w:p>
        </w:tc>
        <w:tc>
          <w:tcPr>
            <w:tcW w:w="360" w:type="dxa"/>
            <w:vAlign w:val="bottom"/>
          </w:tcPr>
          <w:p>
            <w:pPr>
              <w:spacing w:after="0"/>
              <w:rPr>
                <w:sz w:val="13"/>
                <w:szCs w:val="13"/>
                <w:color w:val="auto"/>
              </w:rPr>
            </w:pPr>
          </w:p>
        </w:tc>
        <w:tc>
          <w:tcPr>
            <w:tcW w:w="1900" w:type="dxa"/>
            <w:vAlign w:val="bottom"/>
            <w:gridSpan w:val="2"/>
          </w:tcPr>
          <w:p>
            <w:pPr>
              <w:jc w:val="center"/>
              <w:spacing w:after="0" w:line="159" w:lineRule="exact"/>
              <w:rPr>
                <w:sz w:val="20"/>
                <w:szCs w:val="20"/>
                <w:color w:val="auto"/>
              </w:rPr>
            </w:pPr>
            <w:r>
              <w:rPr>
                <w:rFonts w:ascii="Arial" w:cs="Arial" w:eastAsia="Arial" w:hAnsi="Arial"/>
                <w:sz w:val="14"/>
                <w:szCs w:val="14"/>
                <w:color w:val="auto"/>
              </w:rPr>
              <w:t>from accumulated other</w:t>
            </w:r>
          </w:p>
        </w:tc>
        <w:tc>
          <w:tcPr>
            <w:tcW w:w="340" w:type="dxa"/>
            <w:vAlign w:val="bottom"/>
          </w:tcPr>
          <w:p>
            <w:pPr>
              <w:spacing w:after="0"/>
              <w:rPr>
                <w:sz w:val="13"/>
                <w:szCs w:val="13"/>
                <w:color w:val="auto"/>
              </w:rPr>
            </w:pPr>
          </w:p>
        </w:tc>
        <w:tc>
          <w:tcPr>
            <w:tcW w:w="4480" w:type="dxa"/>
            <w:vAlign w:val="bottom"/>
          </w:tcPr>
          <w:p>
            <w:pPr>
              <w:ind w:left="1400"/>
              <w:spacing w:after="0" w:line="159" w:lineRule="exact"/>
              <w:rPr>
                <w:sz w:val="20"/>
                <w:szCs w:val="20"/>
                <w:color w:val="auto"/>
              </w:rPr>
            </w:pPr>
            <w:r>
              <w:rPr>
                <w:rFonts w:ascii="Arial" w:cs="Arial" w:eastAsia="Arial" w:hAnsi="Arial"/>
                <w:sz w:val="14"/>
                <w:szCs w:val="14"/>
                <w:color w:val="auto"/>
              </w:rPr>
              <w:t>Affected line item on Condensed</w:t>
            </w:r>
          </w:p>
        </w:tc>
        <w:tc>
          <w:tcPr>
            <w:tcW w:w="0" w:type="dxa"/>
            <w:vAlign w:val="bottom"/>
          </w:tcPr>
          <w:p>
            <w:pPr>
              <w:spacing w:after="0"/>
              <w:rPr>
                <w:sz w:val="1"/>
                <w:szCs w:val="1"/>
                <w:color w:val="auto"/>
              </w:rPr>
            </w:pPr>
          </w:p>
        </w:tc>
      </w:tr>
      <w:tr>
        <w:trPr>
          <w:trHeight w:val="173"/>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components</w:t>
            </w:r>
          </w:p>
        </w:tc>
        <w:tc>
          <w:tcPr>
            <w:tcW w:w="3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comprehensive income (loss)</w:t>
            </w:r>
          </w:p>
        </w:tc>
        <w:tc>
          <w:tcPr>
            <w:tcW w:w="340" w:type="dxa"/>
            <w:vAlign w:val="bottom"/>
            <w:tcBorders>
              <w:bottom w:val="single" w:sz="8" w:color="auto"/>
            </w:tcBorders>
          </w:tcPr>
          <w:p>
            <w:pPr>
              <w:spacing w:after="0"/>
              <w:rPr>
                <w:sz w:val="15"/>
                <w:szCs w:val="15"/>
                <w:color w:val="auto"/>
              </w:rPr>
            </w:pPr>
          </w:p>
        </w:tc>
        <w:tc>
          <w:tcPr>
            <w:tcW w:w="448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Consolidated Statements of Operations</w:t>
            </w:r>
          </w:p>
        </w:tc>
        <w:tc>
          <w:tcPr>
            <w:tcW w:w="0" w:type="dxa"/>
            <w:vAlign w:val="bottom"/>
          </w:tcPr>
          <w:p>
            <w:pPr>
              <w:spacing w:after="0"/>
              <w:rPr>
                <w:sz w:val="1"/>
                <w:szCs w:val="1"/>
                <w:color w:val="auto"/>
              </w:rPr>
            </w:pPr>
          </w:p>
        </w:tc>
      </w:tr>
      <w:tr>
        <w:trPr>
          <w:trHeight w:val="153"/>
        </w:trPr>
        <w:tc>
          <w:tcPr>
            <w:tcW w:w="43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2"/>
          </w:tcPr>
          <w:p>
            <w:pPr>
              <w:jc w:val="center"/>
              <w:spacing w:after="0" w:line="153" w:lineRule="exact"/>
              <w:rPr>
                <w:sz w:val="20"/>
                <w:szCs w:val="20"/>
                <w:color w:val="auto"/>
              </w:rPr>
            </w:pPr>
            <w:r>
              <w:rPr>
                <w:rFonts w:ascii="Arial" w:cs="Arial" w:eastAsia="Arial" w:hAnsi="Arial"/>
                <w:sz w:val="14"/>
                <w:szCs w:val="14"/>
                <w:color w:val="auto"/>
              </w:rPr>
              <w:t>Six months ended June 30,</w:t>
            </w:r>
          </w:p>
        </w:tc>
        <w:tc>
          <w:tcPr>
            <w:tcW w:w="340" w:type="dxa"/>
            <w:vAlign w:val="bottom"/>
            <w:tcBorders>
              <w:bottom w:val="single" w:sz="8" w:color="auto"/>
            </w:tcBorders>
          </w:tcPr>
          <w:p>
            <w:pPr>
              <w:spacing w:after="0"/>
              <w:rPr>
                <w:sz w:val="13"/>
                <w:szCs w:val="13"/>
                <w:color w:val="auto"/>
              </w:rPr>
            </w:pPr>
          </w:p>
        </w:tc>
        <w:tc>
          <w:tcPr>
            <w:tcW w:w="4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62"/>
              <w:spacing w:after="0" w:line="153" w:lineRule="exact"/>
              <w:rPr>
                <w:sz w:val="20"/>
                <w:szCs w:val="20"/>
                <w:color w:val="auto"/>
              </w:rPr>
            </w:pPr>
            <w:r>
              <w:rPr>
                <w:rFonts w:ascii="Arial" w:cs="Arial" w:eastAsia="Arial" w:hAnsi="Arial"/>
                <w:sz w:val="14"/>
                <w:szCs w:val="14"/>
                <w:color w:val="auto"/>
              </w:rPr>
              <w:t>2014</w:t>
            </w:r>
          </w:p>
        </w:tc>
        <w:tc>
          <w:tcPr>
            <w:tcW w:w="840" w:type="dxa"/>
            <w:vAlign w:val="bottom"/>
            <w:tcBorders>
              <w:bottom w:val="single" w:sz="8" w:color="auto"/>
            </w:tcBorders>
          </w:tcPr>
          <w:p>
            <w:pPr>
              <w:jc w:val="right"/>
              <w:ind w:right="81"/>
              <w:spacing w:after="0" w:line="153" w:lineRule="exact"/>
              <w:rPr>
                <w:sz w:val="20"/>
                <w:szCs w:val="20"/>
                <w:color w:val="auto"/>
              </w:rPr>
            </w:pPr>
            <w:r>
              <w:rPr>
                <w:rFonts w:ascii="Arial" w:cs="Arial" w:eastAsia="Arial" w:hAnsi="Arial"/>
                <w:sz w:val="14"/>
                <w:szCs w:val="14"/>
                <w:color w:val="auto"/>
              </w:rPr>
              <w:t>2013</w:t>
            </w:r>
          </w:p>
        </w:tc>
        <w:tc>
          <w:tcPr>
            <w:tcW w:w="340" w:type="dxa"/>
            <w:vAlign w:val="bottom"/>
            <w:tcBorders>
              <w:bottom w:val="single" w:sz="8" w:color="auto"/>
            </w:tcBorders>
          </w:tcPr>
          <w:p>
            <w:pPr>
              <w:spacing w:after="0"/>
              <w:rPr>
                <w:sz w:val="13"/>
                <w:szCs w:val="13"/>
                <w:color w:val="auto"/>
              </w:rPr>
            </w:pPr>
          </w:p>
        </w:tc>
        <w:tc>
          <w:tcPr>
            <w:tcW w:w="4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340" w:type="dxa"/>
            <w:vAlign w:val="bottom"/>
          </w:tcPr>
          <w:p>
            <w:pPr>
              <w:spacing w:after="0" w:line="161" w:lineRule="exact"/>
              <w:rPr>
                <w:sz w:val="20"/>
                <w:szCs w:val="20"/>
                <w:color w:val="auto"/>
              </w:rPr>
            </w:pPr>
            <w:r>
              <w:rPr>
                <w:rFonts w:ascii="Arial" w:cs="Arial" w:eastAsia="Arial" w:hAnsi="Arial"/>
                <w:sz w:val="16"/>
                <w:szCs w:val="16"/>
                <w:b w:val="1"/>
                <w:bCs w:val="1"/>
                <w:color w:val="auto"/>
              </w:rPr>
              <w:t>Sempra Energy Consolidated:</w:t>
            </w: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82"/>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541"/>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270</w:t>
            </w:r>
          </w:p>
        </w:tc>
        <w:tc>
          <w:tcPr>
            <w:tcW w:w="4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40" w:type="dxa"/>
            <w:vAlign w:val="bottom"/>
          </w:tcPr>
          <w:p>
            <w:pPr>
              <w:spacing w:after="0" w:line="178" w:lineRule="exact"/>
              <w:rPr>
                <w:sz w:val="20"/>
                <w:szCs w:val="20"/>
                <w:color w:val="auto"/>
              </w:rPr>
            </w:pPr>
            <w:r>
              <w:rPr>
                <w:rFonts w:ascii="Arial" w:cs="Arial" w:eastAsia="Arial" w:hAnsi="Arial"/>
                <w:sz w:val="16"/>
                <w:szCs w:val="16"/>
                <w:color w:val="auto"/>
              </w:rPr>
              <w:t>Foreign currency translation adjustments</w:t>
            </w:r>
          </w:p>
        </w:tc>
        <w:tc>
          <w:tcPr>
            <w:tcW w:w="36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4480" w:type="dxa"/>
            <w:vAlign w:val="bottom"/>
          </w:tcPr>
          <w:p>
            <w:pPr>
              <w:ind w:left="340"/>
              <w:spacing w:after="0" w:line="178" w:lineRule="exact"/>
              <w:rPr>
                <w:sz w:val="20"/>
                <w:szCs w:val="20"/>
                <w:color w:val="auto"/>
              </w:rPr>
            </w:pPr>
            <w:r>
              <w:rPr>
                <w:rFonts w:ascii="Arial" w:cs="Arial" w:eastAsia="Arial" w:hAnsi="Arial"/>
                <w:sz w:val="16"/>
                <w:szCs w:val="16"/>
                <w:color w:val="auto"/>
              </w:rPr>
              <w:t>Equity Earnings, Net of Income Tax(1)</w:t>
            </w:r>
          </w:p>
        </w:tc>
        <w:tc>
          <w:tcPr>
            <w:tcW w:w="0" w:type="dxa"/>
            <w:vAlign w:val="bottom"/>
          </w:tcPr>
          <w:p>
            <w:pPr>
              <w:spacing w:after="0"/>
              <w:rPr>
                <w:sz w:val="1"/>
                <w:szCs w:val="1"/>
                <w:color w:val="auto"/>
              </w:rPr>
            </w:pPr>
          </w:p>
        </w:tc>
      </w:tr>
      <w:tr>
        <w:trPr>
          <w:trHeight w:val="314"/>
        </w:trPr>
        <w:tc>
          <w:tcPr>
            <w:tcW w:w="4340" w:type="dxa"/>
            <w:vAlign w:val="bottom"/>
          </w:tcPr>
          <w:p>
            <w:pPr>
              <w:spacing w:after="0"/>
              <w:rPr>
                <w:sz w:val="20"/>
                <w:szCs w:val="20"/>
                <w:color w:val="auto"/>
              </w:rPr>
            </w:pPr>
            <w:r>
              <w:rPr>
                <w:rFonts w:ascii="Arial" w:cs="Arial" w:eastAsia="Arial" w:hAnsi="Arial"/>
                <w:sz w:val="16"/>
                <w:szCs w:val="16"/>
                <w:color w:val="auto"/>
              </w:rPr>
              <w:t>Financial instruments: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340" w:type="dxa"/>
            <w:vAlign w:val="bottom"/>
          </w:tcPr>
          <w:p>
            <w:pPr>
              <w:ind w:left="180"/>
              <w:spacing w:after="0" w:line="173" w:lineRule="exact"/>
              <w:rPr>
                <w:sz w:val="20"/>
                <w:szCs w:val="20"/>
                <w:color w:val="auto"/>
              </w:rPr>
            </w:pPr>
            <w:r>
              <w:rPr>
                <w:rFonts w:ascii="Arial" w:cs="Arial" w:eastAsia="Arial" w:hAnsi="Arial"/>
                <w:sz w:val="16"/>
                <w:szCs w:val="16"/>
                <w:color w:val="auto"/>
              </w:rPr>
              <w:t>Interest rate and foreign exchange instruments</w:t>
            </w:r>
          </w:p>
        </w:tc>
        <w:tc>
          <w:tcPr>
            <w:tcW w:w="3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line="173" w:lineRule="exact"/>
              <w:rPr>
                <w:sz w:val="20"/>
                <w:szCs w:val="20"/>
                <w:color w:val="auto"/>
              </w:rPr>
            </w:pPr>
            <w:r>
              <w:rPr>
                <w:rFonts w:ascii="Arial" w:cs="Arial" w:eastAsia="Arial" w:hAnsi="Arial"/>
                <w:sz w:val="16"/>
                <w:szCs w:val="16"/>
                <w:color w:val="auto"/>
              </w:rPr>
              <w:t>9</w:t>
            </w:r>
          </w:p>
        </w:tc>
        <w:tc>
          <w:tcPr>
            <w:tcW w:w="840" w:type="dxa"/>
            <w:vAlign w:val="bottom"/>
          </w:tcPr>
          <w:p>
            <w:pPr>
              <w:jc w:val="right"/>
              <w:ind w:right="541"/>
              <w:spacing w:after="0" w:line="173"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73" w:lineRule="exact"/>
              <w:rPr>
                <w:sz w:val="20"/>
                <w:szCs w:val="20"/>
                <w:color w:val="auto"/>
              </w:rPr>
            </w:pPr>
            <w:r>
              <w:rPr>
                <w:rFonts w:ascii="Arial" w:cs="Arial" w:eastAsia="Arial" w:hAnsi="Arial"/>
                <w:sz w:val="16"/>
                <w:szCs w:val="16"/>
                <w:color w:val="auto"/>
              </w:rPr>
              <w:t>6</w:t>
            </w:r>
          </w:p>
        </w:tc>
        <w:tc>
          <w:tcPr>
            <w:tcW w:w="4480" w:type="dxa"/>
            <w:vAlign w:val="bottom"/>
          </w:tcPr>
          <w:p>
            <w:pPr>
              <w:ind w:left="340"/>
              <w:spacing w:after="0" w:line="173" w:lineRule="exact"/>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173"/>
        </w:trPr>
        <w:tc>
          <w:tcPr>
            <w:tcW w:w="4340" w:type="dxa"/>
            <w:vAlign w:val="bottom"/>
          </w:tcPr>
          <w:p>
            <w:pPr>
              <w:ind w:left="180"/>
              <w:spacing w:after="0" w:line="173" w:lineRule="exact"/>
              <w:rPr>
                <w:sz w:val="20"/>
                <w:szCs w:val="20"/>
                <w:color w:val="auto"/>
              </w:rPr>
            </w:pPr>
            <w:r>
              <w:rPr>
                <w:rFonts w:ascii="Arial" w:cs="Arial" w:eastAsia="Arial" w:hAnsi="Arial"/>
                <w:sz w:val="16"/>
                <w:szCs w:val="16"/>
                <w:color w:val="auto"/>
              </w:rPr>
              <w:t>Interest rate instruments</w:t>
            </w:r>
          </w:p>
        </w:tc>
        <w:tc>
          <w:tcPr>
            <w:tcW w:w="360" w:type="dxa"/>
            <w:vAlign w:val="bottom"/>
          </w:tcPr>
          <w:p>
            <w:pPr>
              <w:spacing w:after="0"/>
              <w:rPr>
                <w:sz w:val="15"/>
                <w:szCs w:val="15"/>
                <w:color w:val="auto"/>
              </w:rPr>
            </w:pPr>
          </w:p>
        </w:tc>
        <w:tc>
          <w:tcPr>
            <w:tcW w:w="1060" w:type="dxa"/>
            <w:vAlign w:val="bottom"/>
          </w:tcPr>
          <w:p>
            <w:pPr>
              <w:jc w:val="right"/>
              <w:ind w:right="82"/>
              <w:spacing w:after="0" w:line="173" w:lineRule="exact"/>
              <w:rPr>
                <w:sz w:val="20"/>
                <w:szCs w:val="20"/>
                <w:color w:val="auto"/>
              </w:rPr>
            </w:pPr>
            <w:r>
              <w:rPr>
                <w:rFonts w:ascii="Arial" w:cs="Arial" w:eastAsia="Arial" w:hAnsi="Arial"/>
                <w:sz w:val="16"/>
                <w:szCs w:val="16"/>
                <w:color w:val="auto"/>
              </w:rPr>
              <w:t>2</w:t>
            </w:r>
          </w:p>
        </w:tc>
        <w:tc>
          <w:tcPr>
            <w:tcW w:w="840" w:type="dxa"/>
            <w:vAlign w:val="bottom"/>
          </w:tcPr>
          <w:p>
            <w:pPr>
              <w:spacing w:after="0"/>
              <w:rPr>
                <w:sz w:val="15"/>
                <w:szCs w:val="15"/>
                <w:color w:val="auto"/>
              </w:rPr>
            </w:pPr>
          </w:p>
        </w:tc>
        <w:tc>
          <w:tcPr>
            <w:tcW w:w="3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4480" w:type="dxa"/>
            <w:vAlign w:val="bottom"/>
          </w:tcPr>
          <w:p>
            <w:pPr>
              <w:ind w:left="340"/>
              <w:spacing w:after="0" w:line="173" w:lineRule="exact"/>
              <w:rPr>
                <w:sz w:val="20"/>
                <w:szCs w:val="20"/>
                <w:color w:val="auto"/>
              </w:rPr>
            </w:pPr>
            <w:r>
              <w:rPr>
                <w:rFonts w:ascii="Arial" w:cs="Arial" w:eastAsia="Arial" w:hAnsi="Arial"/>
                <w:sz w:val="16"/>
                <w:szCs w:val="16"/>
                <w:color w:val="auto"/>
              </w:rPr>
              <w:t>Gain on Sale of Equity Interest and Assets</w:t>
            </w:r>
          </w:p>
        </w:tc>
        <w:tc>
          <w:tcPr>
            <w:tcW w:w="0" w:type="dxa"/>
            <w:vAlign w:val="bottom"/>
          </w:tcPr>
          <w:p>
            <w:pPr>
              <w:spacing w:after="0"/>
              <w:rPr>
                <w:sz w:val="1"/>
                <w:szCs w:val="1"/>
                <w:color w:val="auto"/>
              </w:rPr>
            </w:pPr>
          </w:p>
        </w:tc>
      </w:tr>
      <w:tr>
        <w:trPr>
          <w:trHeight w:val="173"/>
        </w:trPr>
        <w:tc>
          <w:tcPr>
            <w:tcW w:w="4340" w:type="dxa"/>
            <w:vAlign w:val="bottom"/>
          </w:tcPr>
          <w:p>
            <w:pPr>
              <w:ind w:left="180"/>
              <w:spacing w:after="0" w:line="173" w:lineRule="exact"/>
              <w:rPr>
                <w:sz w:val="20"/>
                <w:szCs w:val="20"/>
                <w:color w:val="auto"/>
              </w:rPr>
            </w:pPr>
            <w:r>
              <w:rPr>
                <w:rFonts w:ascii="Arial" w:cs="Arial" w:eastAsia="Arial" w:hAnsi="Arial"/>
                <w:sz w:val="16"/>
                <w:szCs w:val="16"/>
                <w:color w:val="auto"/>
              </w:rPr>
              <w:t>Interest rate instruments</w:t>
            </w:r>
          </w:p>
        </w:tc>
        <w:tc>
          <w:tcPr>
            <w:tcW w:w="360" w:type="dxa"/>
            <w:vAlign w:val="bottom"/>
          </w:tcPr>
          <w:p>
            <w:pPr>
              <w:spacing w:after="0"/>
              <w:rPr>
                <w:sz w:val="15"/>
                <w:szCs w:val="15"/>
                <w:color w:val="auto"/>
              </w:rPr>
            </w:pPr>
          </w:p>
        </w:tc>
        <w:tc>
          <w:tcPr>
            <w:tcW w:w="1060" w:type="dxa"/>
            <w:vAlign w:val="bottom"/>
          </w:tcPr>
          <w:p>
            <w:pPr>
              <w:jc w:val="right"/>
              <w:ind w:right="82"/>
              <w:spacing w:after="0" w:line="173" w:lineRule="exact"/>
              <w:rPr>
                <w:sz w:val="20"/>
                <w:szCs w:val="20"/>
                <w:color w:val="auto"/>
              </w:rPr>
            </w:pPr>
            <w:r>
              <w:rPr>
                <w:rFonts w:ascii="Arial" w:cs="Arial" w:eastAsia="Arial" w:hAnsi="Arial"/>
                <w:sz w:val="16"/>
                <w:szCs w:val="16"/>
                <w:color w:val="auto"/>
              </w:rPr>
              <w:t>5</w:t>
            </w:r>
          </w:p>
        </w:tc>
        <w:tc>
          <w:tcPr>
            <w:tcW w:w="840" w:type="dxa"/>
            <w:vAlign w:val="bottom"/>
          </w:tcPr>
          <w:p>
            <w:pPr>
              <w:spacing w:after="0"/>
              <w:rPr>
                <w:sz w:val="15"/>
                <w:szCs w:val="15"/>
                <w:color w:val="auto"/>
              </w:rPr>
            </w:pPr>
          </w:p>
        </w:tc>
        <w:tc>
          <w:tcPr>
            <w:tcW w:w="34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4480" w:type="dxa"/>
            <w:vAlign w:val="bottom"/>
          </w:tcPr>
          <w:p>
            <w:pPr>
              <w:ind w:left="340"/>
              <w:spacing w:after="0" w:line="173" w:lineRule="exact"/>
              <w:rPr>
                <w:sz w:val="20"/>
                <w:szCs w:val="20"/>
                <w:color w:val="auto"/>
              </w:rPr>
            </w:pPr>
            <w:r>
              <w:rPr>
                <w:rFonts w:ascii="Arial" w:cs="Arial" w:eastAsia="Arial" w:hAnsi="Arial"/>
                <w:sz w:val="16"/>
                <w:szCs w:val="16"/>
                <w:color w:val="auto"/>
              </w:rPr>
              <w:t>Equity Earnings (Losses), Before Income Tax</w:t>
            </w:r>
          </w:p>
        </w:tc>
        <w:tc>
          <w:tcPr>
            <w:tcW w:w="0" w:type="dxa"/>
            <w:vAlign w:val="bottom"/>
          </w:tcPr>
          <w:p>
            <w:pPr>
              <w:spacing w:after="0"/>
              <w:rPr>
                <w:sz w:val="1"/>
                <w:szCs w:val="1"/>
                <w:color w:val="auto"/>
              </w:rPr>
            </w:pPr>
          </w:p>
        </w:tc>
      </w:tr>
      <w:tr>
        <w:trPr>
          <w:trHeight w:val="186"/>
        </w:trPr>
        <w:tc>
          <w:tcPr>
            <w:tcW w:w="4340" w:type="dxa"/>
            <w:vAlign w:val="bottom"/>
          </w:tcPr>
          <w:p>
            <w:pPr>
              <w:ind w:left="180"/>
              <w:spacing w:after="0"/>
              <w:rPr>
                <w:sz w:val="20"/>
                <w:szCs w:val="20"/>
                <w:color w:val="auto"/>
              </w:rPr>
            </w:pPr>
            <w:r>
              <w:rPr>
                <w:rFonts w:ascii="Arial" w:cs="Arial" w:eastAsia="Arial" w:hAnsi="Arial"/>
                <w:sz w:val="16"/>
                <w:szCs w:val="16"/>
                <w:color w:val="auto"/>
              </w:rPr>
              <w:t>Commodity contracts not subject to</w:t>
            </w:r>
          </w:p>
        </w:tc>
        <w:tc>
          <w:tcPr>
            <w:tcW w:w="360" w:type="dxa"/>
            <w:vAlign w:val="bottom"/>
          </w:tcPr>
          <w:p>
            <w:pPr>
              <w:spacing w:after="0"/>
              <w:rPr>
                <w:sz w:val="16"/>
                <w:szCs w:val="16"/>
                <w:color w:val="auto"/>
              </w:rPr>
            </w:pPr>
          </w:p>
        </w:tc>
        <w:tc>
          <w:tcPr>
            <w:tcW w:w="1060" w:type="dxa"/>
            <w:vAlign w:val="bottom"/>
            <w:vMerge w:val="restart"/>
          </w:tcPr>
          <w:p>
            <w:pPr>
              <w:jc w:val="right"/>
              <w:ind w:right="82"/>
              <w:spacing w:after="0"/>
              <w:rPr>
                <w:sz w:val="20"/>
                <w:szCs w:val="20"/>
                <w:color w:val="auto"/>
              </w:rPr>
            </w:pPr>
            <w:r>
              <w:rPr>
                <w:rFonts w:ascii="Arial" w:cs="Arial" w:eastAsia="Arial" w:hAnsi="Arial"/>
                <w:sz w:val="16"/>
                <w:szCs w:val="16"/>
                <w:color w:val="auto"/>
              </w:rPr>
              <w:t>10</w:t>
            </w:r>
          </w:p>
        </w:tc>
        <w:tc>
          <w:tcPr>
            <w:tcW w:w="840" w:type="dxa"/>
            <w:vAlign w:val="bottom"/>
          </w:tcPr>
          <w:p>
            <w:pPr>
              <w:spacing w:after="0"/>
              <w:rPr>
                <w:sz w:val="16"/>
                <w:szCs w:val="16"/>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4480" w:type="dxa"/>
            <w:vAlign w:val="bottom"/>
          </w:tcPr>
          <w:p>
            <w:pPr>
              <w:ind w:left="340"/>
              <w:spacing w:after="0"/>
              <w:rPr>
                <w:sz w:val="20"/>
                <w:szCs w:val="20"/>
                <w:color w:val="auto"/>
              </w:rPr>
            </w:pPr>
            <w:r>
              <w:rPr>
                <w:rFonts w:ascii="Arial" w:cs="Arial" w:eastAsia="Arial" w:hAnsi="Arial"/>
                <w:sz w:val="16"/>
                <w:szCs w:val="16"/>
                <w:color w:val="auto"/>
              </w:rPr>
              <w:t>Revenues: Energy-Related</w:t>
            </w:r>
          </w:p>
        </w:tc>
        <w:tc>
          <w:tcPr>
            <w:tcW w:w="0" w:type="dxa"/>
            <w:vAlign w:val="bottom"/>
          </w:tcPr>
          <w:p>
            <w:pPr>
              <w:spacing w:after="0"/>
              <w:rPr>
                <w:sz w:val="1"/>
                <w:szCs w:val="1"/>
                <w:color w:val="auto"/>
              </w:rPr>
            </w:pPr>
          </w:p>
        </w:tc>
      </w:tr>
      <w:tr>
        <w:trPr>
          <w:trHeight w:val="191"/>
        </w:trPr>
        <w:tc>
          <w:tcPr>
            <w:tcW w:w="4340" w:type="dxa"/>
            <w:vAlign w:val="bottom"/>
          </w:tcPr>
          <w:p>
            <w:pPr>
              <w:ind w:left="480"/>
              <w:spacing w:after="0"/>
              <w:rPr>
                <w:sz w:val="20"/>
                <w:szCs w:val="20"/>
                <w:color w:val="auto"/>
              </w:rPr>
            </w:pPr>
            <w:r>
              <w:rPr>
                <w:rFonts w:ascii="Arial" w:cs="Arial" w:eastAsia="Arial" w:hAnsi="Arial"/>
                <w:sz w:val="16"/>
                <w:szCs w:val="16"/>
                <w:color w:val="auto"/>
              </w:rPr>
              <w:t>rate recovery</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4480" w:type="dxa"/>
            <w:vAlign w:val="bottom"/>
          </w:tcPr>
          <w:p>
            <w:pPr>
              <w:ind w:left="520"/>
              <w:spacing w:after="0"/>
              <w:rPr>
                <w:sz w:val="20"/>
                <w:szCs w:val="20"/>
                <w:color w:val="auto"/>
              </w:rPr>
            </w:pPr>
            <w:r>
              <w:rPr>
                <w:rFonts w:ascii="Arial" w:cs="Arial" w:eastAsia="Arial" w:hAnsi="Arial"/>
                <w:sz w:val="16"/>
                <w:szCs w:val="16"/>
                <w:color w:val="auto"/>
              </w:rPr>
              <w:t>Businesses</w:t>
            </w:r>
          </w:p>
        </w:tc>
        <w:tc>
          <w:tcPr>
            <w:tcW w:w="0" w:type="dxa"/>
            <w:vAlign w:val="bottom"/>
          </w:tcPr>
          <w:p>
            <w:pPr>
              <w:spacing w:after="0"/>
              <w:rPr>
                <w:sz w:val="1"/>
                <w:szCs w:val="1"/>
                <w:color w:val="auto"/>
              </w:rPr>
            </w:pPr>
          </w:p>
        </w:tc>
      </w:tr>
      <w:tr>
        <w:trPr>
          <w:trHeight w:val="135"/>
        </w:trPr>
        <w:tc>
          <w:tcPr>
            <w:tcW w:w="4340" w:type="dxa"/>
            <w:vAlign w:val="bottom"/>
          </w:tcPr>
          <w:p>
            <w:pPr>
              <w:spacing w:after="0" w:line="135" w:lineRule="exact"/>
              <w:rPr>
                <w:sz w:val="20"/>
                <w:szCs w:val="20"/>
                <w:color w:val="auto"/>
              </w:rPr>
            </w:pPr>
            <w:r>
              <w:rPr>
                <w:rFonts w:ascii="Arial" w:cs="Arial" w:eastAsia="Arial" w:hAnsi="Arial"/>
                <w:sz w:val="15"/>
                <w:szCs w:val="15"/>
                <w:color w:val="auto"/>
              </w:rPr>
              <w:t>Total before income tax</w:t>
            </w:r>
          </w:p>
        </w:tc>
        <w:tc>
          <w:tcPr>
            <w:tcW w:w="360" w:type="dxa"/>
            <w:vAlign w:val="bottom"/>
          </w:tcPr>
          <w:p>
            <w:pPr>
              <w:spacing w:after="0"/>
              <w:rPr>
                <w:sz w:val="11"/>
                <w:szCs w:val="11"/>
                <w:color w:val="auto"/>
              </w:rPr>
            </w:pPr>
          </w:p>
        </w:tc>
        <w:tc>
          <w:tcPr>
            <w:tcW w:w="1060" w:type="dxa"/>
            <w:vAlign w:val="bottom"/>
          </w:tcPr>
          <w:p>
            <w:pPr>
              <w:jc w:val="right"/>
              <w:ind w:right="82"/>
              <w:spacing w:after="0" w:line="135" w:lineRule="exact"/>
              <w:rPr>
                <w:sz w:val="20"/>
                <w:szCs w:val="20"/>
                <w:color w:val="auto"/>
              </w:rPr>
            </w:pPr>
            <w:r>
              <w:rPr>
                <w:rFonts w:ascii="Arial" w:cs="Arial" w:eastAsia="Arial" w:hAnsi="Arial"/>
                <w:sz w:val="15"/>
                <w:szCs w:val="15"/>
                <w:color w:val="auto"/>
              </w:rPr>
              <w:t>26</w:t>
            </w:r>
          </w:p>
        </w:tc>
        <w:tc>
          <w:tcPr>
            <w:tcW w:w="8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5"/>
                <w:szCs w:val="15"/>
                <w:color w:val="auto"/>
              </w:rPr>
              <w:t>5</w:t>
            </w:r>
          </w:p>
        </w:tc>
        <w:tc>
          <w:tcPr>
            <w:tcW w:w="4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340" w:type="dxa"/>
            <w:vAlign w:val="bottom"/>
            <w:vMerge w:val="restart"/>
          </w:tcPr>
          <w:p>
            <w:pPr>
              <w:spacing w:after="0"/>
              <w:rPr>
                <w:sz w:val="20"/>
                <w:szCs w:val="20"/>
                <w:color w:val="auto"/>
              </w:rPr>
            </w:pPr>
            <w:r>
              <w:rPr>
                <w:rFonts w:ascii="Arial" w:cs="Arial" w:eastAsia="Arial" w:hAnsi="Arial"/>
                <w:sz w:val="16"/>
                <w:szCs w:val="16"/>
                <w:color w:val="auto"/>
              </w:rPr>
              <w:t>Net of income tax</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w:t>
            </w: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480" w:type="dxa"/>
            <w:vAlign w:val="bottom"/>
          </w:tcPr>
          <w:p>
            <w:pPr>
              <w:ind w:left="34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35"/>
        </w:trPr>
        <w:tc>
          <w:tcPr>
            <w:tcW w:w="43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jc w:val="right"/>
              <w:ind w:right="82"/>
              <w:spacing w:after="0" w:line="135" w:lineRule="exact"/>
              <w:rPr>
                <w:sz w:val="20"/>
                <w:szCs w:val="20"/>
                <w:color w:val="auto"/>
              </w:rPr>
            </w:pPr>
            <w:r>
              <w:rPr>
                <w:rFonts w:ascii="Arial" w:cs="Arial" w:eastAsia="Arial" w:hAnsi="Arial"/>
                <w:sz w:val="15"/>
                <w:szCs w:val="15"/>
                <w:color w:val="auto"/>
              </w:rPr>
              <w:t>19</w:t>
            </w:r>
          </w:p>
        </w:tc>
        <w:tc>
          <w:tcPr>
            <w:tcW w:w="8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5"/>
                <w:szCs w:val="15"/>
                <w:color w:val="auto"/>
              </w:rPr>
              <w:t>6</w:t>
            </w:r>
          </w:p>
        </w:tc>
        <w:tc>
          <w:tcPr>
            <w:tcW w:w="4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w:t>
            </w: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480" w:type="dxa"/>
            <w:vAlign w:val="bottom"/>
          </w:tcPr>
          <w:p>
            <w:pPr>
              <w:ind w:left="340"/>
              <w:spacing w:after="0"/>
              <w:rPr>
                <w:sz w:val="20"/>
                <w:szCs w:val="20"/>
                <w:color w:val="auto"/>
              </w:rPr>
            </w:pPr>
            <w:r>
              <w:rPr>
                <w:rFonts w:ascii="Arial" w:cs="Arial" w:eastAsia="Arial" w:hAnsi="Arial"/>
                <w:sz w:val="16"/>
                <w:szCs w:val="16"/>
                <w:color w:val="auto"/>
              </w:rPr>
              <w:t>Earnings Attributable to Noncontrolling Interests</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3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82"/>
              <w:spacing w:after="0" w:line="166" w:lineRule="exact"/>
              <w:rPr>
                <w:sz w:val="20"/>
                <w:szCs w:val="20"/>
                <w:color w:val="auto"/>
              </w:rPr>
            </w:pPr>
            <w:r>
              <w:rPr>
                <w:rFonts w:ascii="Arial" w:cs="Arial" w:eastAsia="Arial" w:hAnsi="Arial"/>
                <w:sz w:val="16"/>
                <w:szCs w:val="16"/>
                <w:color w:val="auto"/>
              </w:rPr>
              <w:t>14</w:t>
            </w:r>
          </w:p>
        </w:tc>
        <w:tc>
          <w:tcPr>
            <w:tcW w:w="840" w:type="dxa"/>
            <w:vAlign w:val="bottom"/>
            <w:tcBorders>
              <w:bottom w:val="single" w:sz="8" w:color="auto"/>
            </w:tcBorders>
          </w:tcPr>
          <w:p>
            <w:pPr>
              <w:jc w:val="right"/>
              <w:ind w:right="541"/>
              <w:spacing w:after="0" w:line="166"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w:t>
            </w:r>
          </w:p>
        </w:tc>
        <w:tc>
          <w:tcPr>
            <w:tcW w:w="4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4340" w:type="dxa"/>
            <w:vAlign w:val="bottom"/>
          </w:tcPr>
          <w:p>
            <w:pPr>
              <w:spacing w:after="0"/>
              <w:rPr>
                <w:sz w:val="20"/>
                <w:szCs w:val="20"/>
                <w:color w:val="auto"/>
              </w:rPr>
            </w:pPr>
            <w:r>
              <w:rPr>
                <w:rFonts w:ascii="Arial" w:cs="Arial" w:eastAsia="Arial" w:hAnsi="Arial"/>
                <w:sz w:val="16"/>
                <w:szCs w:val="16"/>
                <w:color w:val="auto"/>
              </w:rPr>
              <w:t>Pension and other postretirement benefits: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340" w:type="dxa"/>
            <w:vAlign w:val="bottom"/>
          </w:tcPr>
          <w:p>
            <w:pPr>
              <w:ind w:left="180"/>
              <w:spacing w:after="0" w:line="173" w:lineRule="exact"/>
              <w:rPr>
                <w:sz w:val="20"/>
                <w:szCs w:val="20"/>
                <w:color w:val="auto"/>
              </w:rPr>
            </w:pPr>
            <w:r>
              <w:rPr>
                <w:rFonts w:ascii="Arial" w:cs="Arial" w:eastAsia="Arial" w:hAnsi="Arial"/>
                <w:sz w:val="16"/>
                <w:szCs w:val="16"/>
                <w:color w:val="auto"/>
              </w:rPr>
              <w:t>Amortization of actuarial loss</w:t>
            </w:r>
          </w:p>
        </w:tc>
        <w:tc>
          <w:tcPr>
            <w:tcW w:w="3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line="173" w:lineRule="exact"/>
              <w:rPr>
                <w:sz w:val="20"/>
                <w:szCs w:val="20"/>
                <w:color w:val="auto"/>
              </w:rPr>
            </w:pPr>
            <w:r>
              <w:rPr>
                <w:rFonts w:ascii="Arial" w:cs="Arial" w:eastAsia="Arial" w:hAnsi="Arial"/>
                <w:sz w:val="16"/>
                <w:szCs w:val="16"/>
                <w:color w:val="auto"/>
              </w:rPr>
              <w:t>13</w:t>
            </w:r>
          </w:p>
        </w:tc>
        <w:tc>
          <w:tcPr>
            <w:tcW w:w="840" w:type="dxa"/>
            <w:vAlign w:val="bottom"/>
          </w:tcPr>
          <w:p>
            <w:pPr>
              <w:jc w:val="right"/>
              <w:ind w:right="541"/>
              <w:spacing w:after="0" w:line="173"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73" w:lineRule="exact"/>
              <w:rPr>
                <w:sz w:val="20"/>
                <w:szCs w:val="20"/>
                <w:color w:val="auto"/>
              </w:rPr>
            </w:pPr>
            <w:r>
              <w:rPr>
                <w:rFonts w:ascii="Arial" w:cs="Arial" w:eastAsia="Arial" w:hAnsi="Arial"/>
                <w:sz w:val="16"/>
                <w:szCs w:val="16"/>
                <w:color w:val="auto"/>
              </w:rPr>
              <w:t>7</w:t>
            </w:r>
          </w:p>
        </w:tc>
        <w:tc>
          <w:tcPr>
            <w:tcW w:w="4480" w:type="dxa"/>
            <w:vAlign w:val="bottom"/>
          </w:tcPr>
          <w:p>
            <w:pPr>
              <w:ind w:left="340"/>
              <w:spacing w:after="0" w:line="17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4340" w:type="dxa"/>
            <w:vAlign w:val="bottom"/>
            <w:vMerge w:val="restart"/>
          </w:tcPr>
          <w:p>
            <w:pPr>
              <w:spacing w:after="0"/>
              <w:rPr>
                <w:sz w:val="20"/>
                <w:szCs w:val="20"/>
                <w:color w:val="auto"/>
              </w:rPr>
            </w:pPr>
            <w:r>
              <w:rPr>
                <w:rFonts w:ascii="Arial" w:cs="Arial" w:eastAsia="Arial" w:hAnsi="Arial"/>
                <w:sz w:val="16"/>
                <w:szCs w:val="16"/>
                <w:color w:val="auto"/>
              </w:rPr>
              <w:t>Net of income tax</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w:t>
            </w: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480" w:type="dxa"/>
            <w:vAlign w:val="bottom"/>
          </w:tcPr>
          <w:p>
            <w:pPr>
              <w:ind w:left="34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73"/>
        </w:trPr>
        <w:tc>
          <w:tcPr>
            <w:tcW w:w="4340" w:type="dxa"/>
            <w:vAlign w:val="bottom"/>
            <w:vMerge w:val="continue"/>
          </w:tcPr>
          <w:p>
            <w:pPr>
              <w:spacing w:after="0"/>
              <w:rPr>
                <w:sz w:val="15"/>
                <w:szCs w:val="15"/>
                <w:color w:val="auto"/>
              </w:rPr>
            </w:pPr>
          </w:p>
        </w:tc>
        <w:tc>
          <w:tcPr>
            <w:tcW w:w="3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82"/>
              <w:spacing w:after="0" w:line="166" w:lineRule="exact"/>
              <w:rPr>
                <w:sz w:val="20"/>
                <w:szCs w:val="20"/>
                <w:color w:val="auto"/>
              </w:rPr>
            </w:pPr>
            <w:r>
              <w:rPr>
                <w:rFonts w:ascii="Arial" w:cs="Arial" w:eastAsia="Arial" w:hAnsi="Arial"/>
                <w:sz w:val="16"/>
                <w:szCs w:val="16"/>
                <w:color w:val="auto"/>
              </w:rPr>
              <w:t>8</w:t>
            </w:r>
          </w:p>
        </w:tc>
        <w:tc>
          <w:tcPr>
            <w:tcW w:w="840" w:type="dxa"/>
            <w:vAlign w:val="bottom"/>
            <w:tcBorders>
              <w:bottom w:val="single" w:sz="8" w:color="auto"/>
            </w:tcBorders>
          </w:tcPr>
          <w:p>
            <w:pPr>
              <w:jc w:val="right"/>
              <w:ind w:right="541"/>
              <w:spacing w:after="0" w:line="166"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w:t>
            </w:r>
          </w:p>
        </w:tc>
        <w:tc>
          <w:tcPr>
            <w:tcW w:w="4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reclassifications for the period, net of tax</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22</w:t>
            </w:r>
          </w:p>
        </w:tc>
        <w:tc>
          <w:tcPr>
            <w:tcW w:w="84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4340" w:type="dxa"/>
            <w:vAlign w:val="bottom"/>
          </w:tcPr>
          <w:p>
            <w:pPr>
              <w:spacing w:after="0" w:line="142" w:lineRule="exact"/>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40" w:type="dxa"/>
            <w:vAlign w:val="bottom"/>
          </w:tcPr>
          <w:p>
            <w:pPr>
              <w:spacing w:after="0" w:line="173" w:lineRule="exact"/>
              <w:rPr>
                <w:sz w:val="20"/>
                <w:szCs w:val="20"/>
                <w:color w:val="auto"/>
              </w:rPr>
            </w:pPr>
            <w:r>
              <w:rPr>
                <w:rFonts w:ascii="Arial" w:cs="Arial" w:eastAsia="Arial" w:hAnsi="Arial"/>
                <w:sz w:val="16"/>
                <w:szCs w:val="16"/>
                <w:color w:val="auto"/>
              </w:rPr>
              <w:t>Financial instruments:</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340" w:type="dxa"/>
            <w:vAlign w:val="bottom"/>
          </w:tcPr>
          <w:p>
            <w:pPr>
              <w:ind w:left="180"/>
              <w:spacing w:after="0" w:line="173" w:lineRule="exact"/>
              <w:rPr>
                <w:sz w:val="20"/>
                <w:szCs w:val="20"/>
                <w:color w:val="auto"/>
              </w:rPr>
            </w:pPr>
            <w:r>
              <w:rPr>
                <w:rFonts w:ascii="Arial" w:cs="Arial" w:eastAsia="Arial" w:hAnsi="Arial"/>
                <w:sz w:val="16"/>
                <w:szCs w:val="16"/>
                <w:color w:val="auto"/>
              </w:rPr>
              <w:t>Interest rate instruments</w:t>
            </w:r>
          </w:p>
        </w:tc>
        <w:tc>
          <w:tcPr>
            <w:tcW w:w="3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line="173" w:lineRule="exact"/>
              <w:rPr>
                <w:sz w:val="20"/>
                <w:szCs w:val="20"/>
                <w:color w:val="auto"/>
              </w:rPr>
            </w:pPr>
            <w:r>
              <w:rPr>
                <w:rFonts w:ascii="Arial" w:cs="Arial" w:eastAsia="Arial" w:hAnsi="Arial"/>
                <w:sz w:val="16"/>
                <w:szCs w:val="16"/>
                <w:color w:val="auto"/>
              </w:rPr>
              <w:t>5</w:t>
            </w:r>
          </w:p>
        </w:tc>
        <w:tc>
          <w:tcPr>
            <w:tcW w:w="840" w:type="dxa"/>
            <w:vAlign w:val="bottom"/>
          </w:tcPr>
          <w:p>
            <w:pPr>
              <w:jc w:val="right"/>
              <w:ind w:right="541"/>
              <w:spacing w:after="0" w:line="173"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4480" w:type="dxa"/>
            <w:vAlign w:val="bottom"/>
          </w:tcPr>
          <w:p>
            <w:pPr>
              <w:ind w:left="340"/>
              <w:spacing w:after="0" w:line="173" w:lineRule="exact"/>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04"/>
        </w:trPr>
        <w:tc>
          <w:tcPr>
            <w:tcW w:w="4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w:t>
            </w: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480" w:type="dxa"/>
            <w:vAlign w:val="bottom"/>
          </w:tcPr>
          <w:p>
            <w:pPr>
              <w:ind w:left="340"/>
              <w:spacing w:after="0"/>
              <w:rPr>
                <w:sz w:val="20"/>
                <w:szCs w:val="20"/>
                <w:color w:val="auto"/>
              </w:rPr>
            </w:pPr>
            <w:r>
              <w:rPr>
                <w:rFonts w:ascii="Arial" w:cs="Arial" w:eastAsia="Arial" w:hAnsi="Arial"/>
                <w:sz w:val="16"/>
                <w:szCs w:val="16"/>
                <w:color w:val="auto"/>
              </w:rPr>
              <w:t>Earnings Attributable to Noncontrolling Interest</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3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82"/>
              <w:spacing w:after="0" w:line="16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41"/>
              <w:spacing w:after="0" w:line="166"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4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4340" w:type="dxa"/>
            <w:vAlign w:val="bottom"/>
          </w:tcPr>
          <w:p>
            <w:pPr>
              <w:spacing w:after="0"/>
              <w:rPr>
                <w:sz w:val="20"/>
                <w:szCs w:val="20"/>
                <w:color w:val="auto"/>
              </w:rPr>
            </w:pPr>
            <w:r>
              <w:rPr>
                <w:rFonts w:ascii="Arial" w:cs="Arial" w:eastAsia="Arial" w:hAnsi="Arial"/>
                <w:sz w:val="16"/>
                <w:szCs w:val="16"/>
                <w:color w:val="auto"/>
              </w:rPr>
              <w:t>Pension and other postretirement benefits: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340" w:type="dxa"/>
            <w:vAlign w:val="bottom"/>
          </w:tcPr>
          <w:p>
            <w:pPr>
              <w:ind w:left="180"/>
              <w:spacing w:after="0" w:line="173" w:lineRule="exact"/>
              <w:rPr>
                <w:sz w:val="20"/>
                <w:szCs w:val="20"/>
                <w:color w:val="auto"/>
              </w:rPr>
            </w:pPr>
            <w:r>
              <w:rPr>
                <w:rFonts w:ascii="Arial" w:cs="Arial" w:eastAsia="Arial" w:hAnsi="Arial"/>
                <w:sz w:val="16"/>
                <w:szCs w:val="16"/>
                <w:color w:val="auto"/>
              </w:rPr>
              <w:t>Amortization of actuarial loss</w:t>
            </w:r>
          </w:p>
        </w:tc>
        <w:tc>
          <w:tcPr>
            <w:tcW w:w="3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line="173" w:lineRule="exact"/>
              <w:rPr>
                <w:sz w:val="20"/>
                <w:szCs w:val="20"/>
                <w:color w:val="auto"/>
              </w:rPr>
            </w:pPr>
            <w:r>
              <w:rPr>
                <w:rFonts w:ascii="Arial" w:cs="Arial" w:eastAsia="Arial" w:hAnsi="Arial"/>
                <w:sz w:val="16"/>
                <w:szCs w:val="16"/>
                <w:color w:val="auto"/>
              </w:rPr>
              <w:t>2</w:t>
            </w:r>
          </w:p>
        </w:tc>
        <w:tc>
          <w:tcPr>
            <w:tcW w:w="840" w:type="dxa"/>
            <w:vAlign w:val="bottom"/>
          </w:tcPr>
          <w:p>
            <w:pPr>
              <w:jc w:val="right"/>
              <w:ind w:right="541"/>
              <w:spacing w:after="0" w:line="173"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4480" w:type="dxa"/>
            <w:vAlign w:val="bottom"/>
          </w:tcPr>
          <w:p>
            <w:pPr>
              <w:ind w:left="340"/>
              <w:spacing w:after="0" w:line="17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4340" w:type="dxa"/>
            <w:vAlign w:val="bottom"/>
            <w:vMerge w:val="restart"/>
          </w:tcPr>
          <w:p>
            <w:pPr>
              <w:spacing w:after="0"/>
              <w:rPr>
                <w:sz w:val="20"/>
                <w:szCs w:val="20"/>
                <w:color w:val="auto"/>
              </w:rPr>
            </w:pPr>
            <w:r>
              <w:rPr>
                <w:rFonts w:ascii="Arial" w:cs="Arial" w:eastAsia="Arial" w:hAnsi="Arial"/>
                <w:sz w:val="16"/>
                <w:szCs w:val="16"/>
                <w:color w:val="auto"/>
              </w:rPr>
              <w:t>Net of income tax</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w:t>
            </w: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80" w:type="dxa"/>
            <w:vAlign w:val="bottom"/>
          </w:tcPr>
          <w:p>
            <w:pPr>
              <w:ind w:left="34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73"/>
        </w:trPr>
        <w:tc>
          <w:tcPr>
            <w:tcW w:w="4340" w:type="dxa"/>
            <w:vAlign w:val="bottom"/>
            <w:vMerge w:val="continue"/>
          </w:tcPr>
          <w:p>
            <w:pPr>
              <w:spacing w:after="0"/>
              <w:rPr>
                <w:sz w:val="15"/>
                <w:szCs w:val="15"/>
                <w:color w:val="auto"/>
              </w:rPr>
            </w:pPr>
          </w:p>
        </w:tc>
        <w:tc>
          <w:tcPr>
            <w:tcW w:w="3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82"/>
              <w:spacing w:after="0" w:line="166" w:lineRule="exact"/>
              <w:rPr>
                <w:sz w:val="20"/>
                <w:szCs w:val="20"/>
                <w:color w:val="auto"/>
              </w:rPr>
            </w:pPr>
            <w:r>
              <w:rPr>
                <w:rFonts w:ascii="Arial" w:cs="Arial" w:eastAsia="Arial" w:hAnsi="Arial"/>
                <w:sz w:val="16"/>
                <w:szCs w:val="16"/>
                <w:color w:val="auto"/>
              </w:rPr>
              <w:t>1</w:t>
            </w:r>
          </w:p>
        </w:tc>
        <w:tc>
          <w:tcPr>
            <w:tcW w:w="840" w:type="dxa"/>
            <w:vAlign w:val="bottom"/>
            <w:tcBorders>
              <w:bottom w:val="single" w:sz="8" w:color="auto"/>
            </w:tcBorders>
          </w:tcPr>
          <w:p>
            <w:pPr>
              <w:jc w:val="right"/>
              <w:ind w:right="541"/>
              <w:spacing w:after="0" w:line="166"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4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reclassifications for the period, net of tax</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w:t>
            </w:r>
          </w:p>
        </w:tc>
        <w:tc>
          <w:tcPr>
            <w:tcW w:w="84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4340" w:type="dxa"/>
            <w:vAlign w:val="bottom"/>
          </w:tcPr>
          <w:p>
            <w:pPr>
              <w:spacing w:after="0" w:line="142" w:lineRule="exact"/>
              <w:rPr>
                <w:sz w:val="20"/>
                <w:szCs w:val="20"/>
                <w:color w:val="auto"/>
              </w:rPr>
            </w:pPr>
            <w:r>
              <w:rPr>
                <w:rFonts w:ascii="Arial" w:cs="Arial" w:eastAsia="Arial" w:hAnsi="Arial"/>
                <w:sz w:val="16"/>
                <w:szCs w:val="16"/>
                <w:b w:val="1"/>
                <w:bCs w:val="1"/>
                <w:color w:val="auto"/>
              </w:rPr>
              <w:t>SoCalGas:</w:t>
            </w: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40" w:type="dxa"/>
            <w:vAlign w:val="bottom"/>
          </w:tcPr>
          <w:p>
            <w:pPr>
              <w:spacing w:after="0" w:line="173" w:lineRule="exact"/>
              <w:rPr>
                <w:sz w:val="20"/>
                <w:szCs w:val="20"/>
                <w:color w:val="auto"/>
              </w:rPr>
            </w:pPr>
            <w:r>
              <w:rPr>
                <w:rFonts w:ascii="Arial" w:cs="Arial" w:eastAsia="Arial" w:hAnsi="Arial"/>
                <w:sz w:val="16"/>
                <w:szCs w:val="16"/>
                <w:color w:val="auto"/>
              </w:rPr>
              <w:t>Financial instruments:</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34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448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bl>
    <w:p>
      <w:pPr>
        <w:sectPr>
          <w:pgSz w:w="11900" w:h="16895" w:orient="portrait"/>
          <w:cols w:equalWidth="0" w:num="1">
            <w:col w:w="11420"/>
          </w:cols>
          <w:pgMar w:left="240" w:top="126"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40" w:type="dxa"/>
            <w:vAlign w:val="bottom"/>
            <w:vMerge w:val="restart"/>
          </w:tcPr>
          <w:p>
            <w:pPr>
              <w:spacing w:after="0"/>
              <w:rPr>
                <w:sz w:val="20"/>
                <w:szCs w:val="20"/>
                <w:color w:val="auto"/>
              </w:rPr>
            </w:pPr>
            <w:r>
              <w:rPr>
                <w:rFonts w:ascii="Arial" w:cs="Arial" w:eastAsia="Arial" w:hAnsi="Arial"/>
                <w:sz w:val="16"/>
                <w:szCs w:val="16"/>
                <w:color w:val="auto"/>
              </w:rPr>
              <w:t>Net of income tax</w:t>
            </w:r>
          </w:p>
        </w:tc>
        <w:tc>
          <w:tcPr>
            <w:tcW w:w="7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ind w:left="340"/>
              <w:spacing w:after="0"/>
              <w:rPr>
                <w:sz w:val="20"/>
                <w:szCs w:val="20"/>
                <w:color w:val="auto"/>
              </w:rPr>
            </w:pPr>
            <w:r>
              <w:rPr>
                <w:rFonts w:ascii="Arial" w:cs="Arial" w:eastAsia="Arial" w:hAnsi="Arial"/>
                <w:sz w:val="16"/>
                <w:szCs w:val="16"/>
                <w:color w:val="auto"/>
                <w:w w:val="97"/>
              </w:rPr>
              <w:t>Income Tax Expense</w:t>
            </w:r>
          </w:p>
        </w:tc>
        <w:tc>
          <w:tcPr>
            <w:tcW w:w="0" w:type="dxa"/>
            <w:vAlign w:val="bottom"/>
          </w:tcPr>
          <w:p>
            <w:pPr>
              <w:spacing w:after="0"/>
              <w:rPr>
                <w:sz w:val="1"/>
                <w:szCs w:val="1"/>
                <w:color w:val="auto"/>
              </w:rPr>
            </w:pPr>
          </w:p>
        </w:tc>
      </w:tr>
      <w:tr>
        <w:trPr>
          <w:trHeight w:val="173"/>
        </w:trPr>
        <w:tc>
          <w:tcPr>
            <w:tcW w:w="4340" w:type="dxa"/>
            <w:vAlign w:val="bottom"/>
            <w:vMerge w:val="continue"/>
          </w:tcPr>
          <w:p>
            <w:pPr>
              <w:spacing w:after="0"/>
              <w:rPr>
                <w:sz w:val="15"/>
                <w:szCs w:val="15"/>
                <w:color w:val="auto"/>
              </w:rPr>
            </w:pPr>
          </w:p>
        </w:tc>
        <w:tc>
          <w:tcPr>
            <w:tcW w:w="720" w:type="dxa"/>
            <w:vAlign w:val="bottom"/>
            <w:tcBorders>
              <w:bottom w:val="single" w:sz="8" w:color="auto"/>
            </w:tcBorders>
          </w:tcPr>
          <w:p>
            <w:pPr>
              <w:jc w:val="right"/>
              <w:ind w:right="300"/>
              <w:spacing w:after="0" w:line="166"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ind w:left="380"/>
              <w:spacing w:after="0" w:line="166"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300"/>
              <w:spacing w:after="0" w:line="166"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4340" w:type="dxa"/>
            <w:vAlign w:val="bottom"/>
          </w:tcPr>
          <w:p>
            <w:pPr>
              <w:spacing w:after="0"/>
              <w:rPr>
                <w:sz w:val="20"/>
                <w:szCs w:val="20"/>
                <w:color w:val="auto"/>
              </w:rPr>
            </w:pPr>
            <w:r>
              <w:rPr>
                <w:rFonts w:ascii="Arial" w:cs="Arial" w:eastAsia="Arial" w:hAnsi="Arial"/>
                <w:sz w:val="16"/>
                <w:szCs w:val="16"/>
                <w:color w:val="auto"/>
              </w:rPr>
              <w:t>Total reclassifications for the period, net of tax</w:t>
            </w:r>
          </w:p>
        </w:tc>
        <w:tc>
          <w:tcPr>
            <w:tcW w:w="72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680" w:type="dxa"/>
            <w:vAlign w:val="bottom"/>
          </w:tcPr>
          <w:p>
            <w:pPr>
              <w:ind w:left="3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2485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480" w:right="340" w:hanging="474"/>
        <w:spacing w:after="0" w:line="249" w:lineRule="auto"/>
        <w:tabs>
          <w:tab w:leader="none" w:pos="48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cumulative foreign currency translation adjustment related to the impairment of our Argentine investments in 2006, which is substantially offset by an accrued liability established at that time. We provide additional information about these investments in Note 4.</w:t>
      </w:r>
    </w:p>
    <w:p>
      <w:pPr>
        <w:ind w:left="480" w:hanging="474"/>
        <w:spacing w:after="0"/>
        <w:tabs>
          <w:tab w:leader="none" w:pos="48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Amounts are included in the computation of net periodic benefit cost (see "Pension and Other Postretirement Benefits" above).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 AND NONCONTROLLING INTERESTS</w:t>
      </w:r>
    </w:p>
    <w:p>
      <w:pPr>
        <w:spacing w:after="0" w:line="22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The following three tables provide a reconciliation of changes in Sempra Energy’s, SDG&amp;E’s and SoCalGas’ shareholders’ equity and noncontrolling interests for the six months ended June 30, 2014 and 2013.</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 EQUITY AND NONCONTROLLING INTERESTS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rPr>
              <w:t>Sempra Energy</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vMerge w:val="restart"/>
          </w:tcPr>
          <w:p>
            <w:pPr>
              <w:jc w:val="center"/>
              <w:ind w:left="124"/>
              <w:spacing w:after="0"/>
              <w:rPr>
                <w:sz w:val="20"/>
                <w:szCs w:val="20"/>
                <w:color w:val="auto"/>
              </w:rPr>
            </w:pPr>
            <w:r>
              <w:rPr>
                <w:rFonts w:ascii="Arial" w:cs="Arial" w:eastAsia="Arial" w:hAnsi="Arial"/>
                <w:sz w:val="14"/>
                <w:szCs w:val="14"/>
                <w:color w:val="auto"/>
                <w:w w:val="98"/>
              </w:rPr>
              <w:t>Non-</w:t>
            </w: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Shareholders’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jc w:val="center"/>
              <w:ind w:left="124"/>
              <w:spacing w:after="0"/>
              <w:rPr>
                <w:sz w:val="20"/>
                <w:szCs w:val="20"/>
                <w:color w:val="auto"/>
              </w:rPr>
            </w:pPr>
            <w:r>
              <w:rPr>
                <w:rFonts w:ascii="Arial" w:cs="Arial" w:eastAsia="Arial" w:hAnsi="Arial"/>
                <w:sz w:val="14"/>
                <w:szCs w:val="14"/>
                <w:color w:val="auto"/>
              </w:rPr>
              <w:t>controlling</w:t>
            </w:r>
          </w:p>
        </w:tc>
        <w:tc>
          <w:tcPr>
            <w:tcW w:w="860" w:type="dxa"/>
            <w:vAlign w:val="bottom"/>
          </w:tcPr>
          <w:p>
            <w:pPr>
              <w:spacing w:after="0"/>
              <w:rPr>
                <w:sz w:val="15"/>
                <w:szCs w:val="15"/>
                <w:color w:val="auto"/>
              </w:rPr>
            </w:pPr>
          </w:p>
        </w:tc>
        <w:tc>
          <w:tcPr>
            <w:tcW w:w="940" w:type="dxa"/>
            <w:vAlign w:val="bottom"/>
          </w:tcPr>
          <w:p>
            <w:pPr>
              <w:jc w:val="center"/>
              <w:ind w:right="401"/>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73"/>
        </w:trPr>
        <w:tc>
          <w:tcPr>
            <w:tcW w:w="5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center"/>
              <w:ind w:left="124"/>
              <w:spacing w:after="0"/>
              <w:rPr>
                <w:sz w:val="20"/>
                <w:szCs w:val="20"/>
                <w:color w:val="auto"/>
              </w:rPr>
            </w:pPr>
            <w:r>
              <w:rPr>
                <w:rFonts w:ascii="Arial" w:cs="Arial" w:eastAsia="Arial" w:hAnsi="Arial"/>
                <w:sz w:val="14"/>
                <w:szCs w:val="14"/>
                <w:color w:val="auto"/>
              </w:rPr>
              <w:t>Interests</w:t>
            </w:r>
          </w:p>
        </w:tc>
        <w:tc>
          <w:tcPr>
            <w:tcW w:w="8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421"/>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35"/>
        </w:trPr>
        <w:tc>
          <w:tcPr>
            <w:tcW w:w="5660" w:type="dxa"/>
            <w:vAlign w:val="bottom"/>
          </w:tcPr>
          <w:p>
            <w:pPr>
              <w:spacing w:after="0" w:line="135" w:lineRule="exact"/>
              <w:rPr>
                <w:sz w:val="20"/>
                <w:szCs w:val="20"/>
                <w:color w:val="auto"/>
              </w:rPr>
            </w:pPr>
            <w:r>
              <w:rPr>
                <w:rFonts w:ascii="Arial" w:cs="Arial" w:eastAsia="Arial" w:hAnsi="Arial"/>
                <w:sz w:val="15"/>
                <w:szCs w:val="15"/>
                <w:color w:val="auto"/>
              </w:rPr>
              <w:t>Balance at December 31, 2013</w:t>
            </w:r>
          </w:p>
        </w:tc>
        <w:tc>
          <w:tcPr>
            <w:tcW w:w="440" w:type="dxa"/>
            <w:vAlign w:val="bottom"/>
            <w:gridSpan w:val="2"/>
          </w:tcPr>
          <w:p>
            <w:pPr>
              <w:jc w:val="right"/>
              <w:ind w:right="286"/>
              <w:spacing w:after="0" w:line="135" w:lineRule="exact"/>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spacing w:after="0" w:line="135" w:lineRule="exact"/>
              <w:rPr>
                <w:sz w:val="20"/>
                <w:szCs w:val="20"/>
                <w:color w:val="auto"/>
              </w:rPr>
            </w:pPr>
            <w:r>
              <w:rPr>
                <w:rFonts w:ascii="Arial" w:cs="Arial" w:eastAsia="Arial" w:hAnsi="Arial"/>
                <w:sz w:val="15"/>
                <w:szCs w:val="15"/>
                <w:color w:val="auto"/>
              </w:rPr>
              <w:t>11,008</w:t>
            </w:r>
          </w:p>
        </w:tc>
        <w:tc>
          <w:tcPr>
            <w:tcW w:w="120" w:type="dxa"/>
            <w:vAlign w:val="bottom"/>
          </w:tcPr>
          <w:p>
            <w:pPr>
              <w:jc w:val="right"/>
              <w:spacing w:after="0" w:line="135" w:lineRule="exact"/>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spacing w:after="0" w:line="135" w:lineRule="exact"/>
              <w:rPr>
                <w:sz w:val="20"/>
                <w:szCs w:val="20"/>
                <w:color w:val="auto"/>
              </w:rPr>
            </w:pPr>
            <w:r>
              <w:rPr>
                <w:rFonts w:ascii="Arial" w:cs="Arial" w:eastAsia="Arial" w:hAnsi="Arial"/>
                <w:sz w:val="15"/>
                <w:szCs w:val="15"/>
                <w:color w:val="auto"/>
              </w:rPr>
              <w:t>842</w:t>
            </w:r>
          </w:p>
        </w:tc>
        <w:tc>
          <w:tcPr>
            <w:tcW w:w="860" w:type="dxa"/>
            <w:vAlign w:val="bottom"/>
          </w:tcPr>
          <w:p>
            <w:pPr>
              <w:jc w:val="right"/>
              <w:ind w:right="685"/>
              <w:spacing w:after="0" w:line="135" w:lineRule="exact"/>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line="135" w:lineRule="exact"/>
              <w:rPr>
                <w:sz w:val="20"/>
                <w:szCs w:val="20"/>
                <w:color w:val="auto"/>
              </w:rPr>
            </w:pPr>
            <w:r>
              <w:rPr>
                <w:rFonts w:ascii="Arial" w:cs="Arial" w:eastAsia="Arial" w:hAnsi="Arial"/>
                <w:sz w:val="15"/>
                <w:szCs w:val="15"/>
                <w:color w:val="auto"/>
              </w:rPr>
              <w:t>11,850</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Comprehensive income</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472</w:t>
            </w:r>
          </w:p>
        </w:tc>
        <w:tc>
          <w:tcPr>
            <w:tcW w:w="120" w:type="dxa"/>
            <w:vAlign w:val="bottom"/>
          </w:tcPr>
          <w:p>
            <w:pPr>
              <w:spacing w:after="0"/>
              <w:rPr>
                <w:sz w:val="15"/>
                <w:szCs w:val="15"/>
                <w:color w:val="auto"/>
              </w:rPr>
            </w:pPr>
          </w:p>
        </w:tc>
        <w:tc>
          <w:tcPr>
            <w:tcW w:w="178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39</w:t>
            </w: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Preferred dividends of subsidiary</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(1)</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Share-based compensation expense</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21</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Common stock dividends declared</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(324)</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Issuance of common stock</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42</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Repurchase of common stock</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(37)</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Tax benefit related to share-based compensation</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13</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Equity contributed by noncontrolling interest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78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1</w:t>
            </w: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4"/>
        </w:trPr>
        <w:tc>
          <w:tcPr>
            <w:tcW w:w="5660" w:type="dxa"/>
            <w:vAlign w:val="bottom"/>
          </w:tcPr>
          <w:p>
            <w:pPr>
              <w:spacing w:after="0"/>
              <w:rPr>
                <w:sz w:val="20"/>
                <w:szCs w:val="20"/>
                <w:color w:val="auto"/>
              </w:rPr>
            </w:pPr>
            <w:r>
              <w:rPr>
                <w:rFonts w:ascii="Arial" w:cs="Arial" w:eastAsia="Arial" w:hAnsi="Arial"/>
                <w:sz w:val="16"/>
                <w:szCs w:val="16"/>
                <w:color w:val="auto"/>
              </w:rPr>
              <w:t>Distributions to noncontrolling interests</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785"/>
              <w:spacing w:after="0"/>
              <w:rPr>
                <w:sz w:val="20"/>
                <w:szCs w:val="20"/>
                <w:color w:val="auto"/>
              </w:rPr>
            </w:pPr>
            <w:r>
              <w:rPr>
                <w:rFonts w:ascii="Arial" w:cs="Arial" w:eastAsia="Arial" w:hAnsi="Arial"/>
                <w:sz w:val="16"/>
                <w:szCs w:val="16"/>
                <w:color w:val="auto"/>
              </w:rPr>
              <w:t>(25)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66"/>
        </w:trPr>
        <w:tc>
          <w:tcPr>
            <w:tcW w:w="5660" w:type="dxa"/>
            <w:vAlign w:val="bottom"/>
          </w:tcPr>
          <w:p>
            <w:pPr>
              <w:spacing w:after="0" w:line="166" w:lineRule="exact"/>
              <w:rPr>
                <w:sz w:val="20"/>
                <w:szCs w:val="20"/>
                <w:color w:val="auto"/>
              </w:rPr>
            </w:pPr>
            <w:r>
              <w:rPr>
                <w:rFonts w:ascii="Arial" w:cs="Arial" w:eastAsia="Arial" w:hAnsi="Arial"/>
                <w:sz w:val="16"/>
                <w:szCs w:val="16"/>
                <w:color w:val="auto"/>
              </w:rPr>
              <w:t>Balance at June 30, 2014</w:t>
            </w:r>
          </w:p>
        </w:tc>
        <w:tc>
          <w:tcPr>
            <w:tcW w:w="440" w:type="dxa"/>
            <w:vAlign w:val="bottom"/>
            <w:gridSpan w:val="2"/>
          </w:tcPr>
          <w:p>
            <w:pPr>
              <w:jc w:val="right"/>
              <w:ind w:right="286"/>
              <w:spacing w:after="0" w:line="167" w:lineRule="exact"/>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spacing w:after="0" w:line="166" w:lineRule="exact"/>
              <w:rPr>
                <w:sz w:val="20"/>
                <w:szCs w:val="20"/>
                <w:color w:val="auto"/>
              </w:rPr>
            </w:pPr>
            <w:r>
              <w:rPr>
                <w:rFonts w:ascii="Arial" w:cs="Arial" w:eastAsia="Arial" w:hAnsi="Arial"/>
                <w:sz w:val="16"/>
                <w:szCs w:val="16"/>
                <w:color w:val="auto"/>
              </w:rPr>
              <w:t>11,194</w:t>
            </w:r>
          </w:p>
        </w:tc>
        <w:tc>
          <w:tcPr>
            <w:tcW w:w="12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spacing w:after="0" w:line="166" w:lineRule="exact"/>
              <w:rPr>
                <w:sz w:val="20"/>
                <w:szCs w:val="20"/>
                <w:color w:val="auto"/>
              </w:rPr>
            </w:pPr>
            <w:r>
              <w:rPr>
                <w:rFonts w:ascii="Arial" w:cs="Arial" w:eastAsia="Arial" w:hAnsi="Arial"/>
                <w:sz w:val="16"/>
                <w:szCs w:val="16"/>
                <w:color w:val="auto"/>
              </w:rPr>
              <w:t>857</w:t>
            </w:r>
          </w:p>
        </w:tc>
        <w:tc>
          <w:tcPr>
            <w:tcW w:w="860" w:type="dxa"/>
            <w:vAlign w:val="bottom"/>
          </w:tcPr>
          <w:p>
            <w:pPr>
              <w:jc w:val="right"/>
              <w:ind w:right="685"/>
              <w:spacing w:after="0" w:line="166" w:lineRule="exact"/>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line="166" w:lineRule="exact"/>
              <w:rPr>
                <w:sz w:val="20"/>
                <w:szCs w:val="20"/>
                <w:color w:val="auto"/>
              </w:rPr>
            </w:pPr>
            <w:r>
              <w:rPr>
                <w:rFonts w:ascii="Arial" w:cs="Arial" w:eastAsia="Arial" w:hAnsi="Arial"/>
                <w:sz w:val="16"/>
                <w:szCs w:val="16"/>
                <w:color w:val="auto"/>
              </w:rPr>
              <w:t>12,051</w:t>
            </w:r>
          </w:p>
        </w:tc>
        <w:tc>
          <w:tcPr>
            <w:tcW w:w="0" w:type="dxa"/>
            <w:vAlign w:val="bottom"/>
          </w:tcPr>
          <w:p>
            <w:pPr>
              <w:spacing w:after="0"/>
              <w:rPr>
                <w:sz w:val="1"/>
                <w:szCs w:val="1"/>
                <w:color w:val="auto"/>
              </w:rPr>
            </w:pPr>
          </w:p>
        </w:tc>
      </w:tr>
      <w:tr>
        <w:trPr>
          <w:trHeight w:val="80"/>
        </w:trPr>
        <w:tc>
          <w:tcPr>
            <w:tcW w:w="566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620" w:type="dxa"/>
            <w:vAlign w:val="bottom"/>
            <w:gridSpan w:val="2"/>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174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5660" w:type="dxa"/>
            <w:vAlign w:val="bottom"/>
          </w:tcPr>
          <w:p>
            <w:pPr>
              <w:spacing w:after="0" w:line="142" w:lineRule="exact"/>
              <w:rPr>
                <w:sz w:val="20"/>
                <w:szCs w:val="20"/>
                <w:color w:val="auto"/>
              </w:rPr>
            </w:pPr>
            <w:r>
              <w:rPr>
                <w:rFonts w:ascii="Arial" w:cs="Arial" w:eastAsia="Arial" w:hAnsi="Arial"/>
                <w:sz w:val="16"/>
                <w:szCs w:val="16"/>
                <w:color w:val="auto"/>
              </w:rPr>
              <w:t>Balance at December 31, 2012</w:t>
            </w:r>
          </w:p>
        </w:tc>
        <w:tc>
          <w:tcPr>
            <w:tcW w:w="440" w:type="dxa"/>
            <w:vAlign w:val="bottom"/>
            <w:gridSpan w:val="2"/>
          </w:tcPr>
          <w:p>
            <w:pPr>
              <w:jc w:val="right"/>
              <w:ind w:right="286"/>
              <w:spacing w:after="0" w:line="141" w:lineRule="exact"/>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10,282</w:t>
            </w:r>
          </w:p>
        </w:tc>
        <w:tc>
          <w:tcPr>
            <w:tcW w:w="120" w:type="dxa"/>
            <w:vAlign w:val="bottom"/>
          </w:tcPr>
          <w:p>
            <w:pPr>
              <w:jc w:val="right"/>
              <w:spacing w:after="0" w:line="141" w:lineRule="exact"/>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401</w:t>
            </w:r>
          </w:p>
        </w:tc>
        <w:tc>
          <w:tcPr>
            <w:tcW w:w="860" w:type="dxa"/>
            <w:vAlign w:val="bottom"/>
          </w:tcPr>
          <w:p>
            <w:pPr>
              <w:jc w:val="right"/>
              <w:ind w:right="685"/>
              <w:spacing w:after="0" w:line="142" w:lineRule="exact"/>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line="142" w:lineRule="exact"/>
              <w:rPr>
                <w:sz w:val="20"/>
                <w:szCs w:val="20"/>
                <w:color w:val="auto"/>
              </w:rPr>
            </w:pPr>
            <w:r>
              <w:rPr>
                <w:rFonts w:ascii="Arial" w:cs="Arial" w:eastAsia="Arial" w:hAnsi="Arial"/>
                <w:sz w:val="16"/>
                <w:szCs w:val="16"/>
                <w:color w:val="auto"/>
              </w:rPr>
              <w:t>10,683</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Comprehensive income</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583</w:t>
            </w:r>
          </w:p>
        </w:tc>
        <w:tc>
          <w:tcPr>
            <w:tcW w:w="120" w:type="dxa"/>
            <w:vAlign w:val="bottom"/>
          </w:tcPr>
          <w:p>
            <w:pPr>
              <w:spacing w:after="0"/>
              <w:rPr>
                <w:sz w:val="15"/>
                <w:szCs w:val="15"/>
                <w:color w:val="auto"/>
              </w:rPr>
            </w:pPr>
          </w:p>
        </w:tc>
        <w:tc>
          <w:tcPr>
            <w:tcW w:w="178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13</w:t>
            </w: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Preferred dividends of subsidiaries</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(3)</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Share-based compensation expense</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20</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Common stock dividends declared</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(307)</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Issuance of common stock</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22</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Repurchase of common stock</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(45)</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Tax benefit related to share-based compensation</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17</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Sale of noncontrolling interests, net of offering costs</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135</w:t>
            </w:r>
          </w:p>
        </w:tc>
        <w:tc>
          <w:tcPr>
            <w:tcW w:w="120" w:type="dxa"/>
            <w:vAlign w:val="bottom"/>
          </w:tcPr>
          <w:p>
            <w:pPr>
              <w:spacing w:after="0"/>
              <w:rPr>
                <w:sz w:val="15"/>
                <w:szCs w:val="15"/>
                <w:color w:val="auto"/>
              </w:rPr>
            </w:pPr>
          </w:p>
        </w:tc>
        <w:tc>
          <w:tcPr>
            <w:tcW w:w="178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439</w:t>
            </w: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Equity contributed by noncontrolling interest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78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4</w:t>
            </w: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4"/>
        </w:trPr>
        <w:tc>
          <w:tcPr>
            <w:tcW w:w="5660" w:type="dxa"/>
            <w:vAlign w:val="bottom"/>
          </w:tcPr>
          <w:p>
            <w:pPr>
              <w:spacing w:after="0"/>
              <w:rPr>
                <w:sz w:val="20"/>
                <w:szCs w:val="20"/>
                <w:color w:val="auto"/>
              </w:rPr>
            </w:pPr>
            <w:r>
              <w:rPr>
                <w:rFonts w:ascii="Arial" w:cs="Arial" w:eastAsia="Arial" w:hAnsi="Arial"/>
                <w:sz w:val="16"/>
                <w:szCs w:val="16"/>
                <w:color w:val="auto"/>
              </w:rPr>
              <w:t>Distributions to noncontrolling interests</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785"/>
              <w:spacing w:after="0"/>
              <w:rPr>
                <w:sz w:val="20"/>
                <w:szCs w:val="20"/>
                <w:color w:val="auto"/>
              </w:rPr>
            </w:pPr>
            <w:r>
              <w:rPr>
                <w:rFonts w:ascii="Arial" w:cs="Arial" w:eastAsia="Arial" w:hAnsi="Arial"/>
                <w:sz w:val="16"/>
                <w:szCs w:val="16"/>
                <w:color w:val="auto"/>
              </w:rPr>
              <w:t>(13)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6"/>
        </w:trPr>
        <w:tc>
          <w:tcPr>
            <w:tcW w:w="5660" w:type="dxa"/>
            <w:vAlign w:val="bottom"/>
          </w:tcPr>
          <w:p>
            <w:pPr>
              <w:spacing w:after="0" w:line="166" w:lineRule="exact"/>
              <w:rPr>
                <w:sz w:val="20"/>
                <w:szCs w:val="20"/>
                <w:color w:val="auto"/>
              </w:rPr>
            </w:pPr>
            <w:r>
              <w:rPr>
                <w:rFonts w:ascii="Arial" w:cs="Arial" w:eastAsia="Arial" w:hAnsi="Arial"/>
                <w:sz w:val="16"/>
                <w:szCs w:val="16"/>
                <w:color w:val="auto"/>
              </w:rPr>
              <w:t>Balance at June 30, 2013</w:t>
            </w:r>
          </w:p>
        </w:tc>
        <w:tc>
          <w:tcPr>
            <w:tcW w:w="440" w:type="dxa"/>
            <w:vAlign w:val="bottom"/>
            <w:gridSpan w:val="2"/>
          </w:tcPr>
          <w:p>
            <w:pPr>
              <w:jc w:val="right"/>
              <w:ind w:right="286"/>
              <w:spacing w:after="0" w:line="167" w:lineRule="exact"/>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spacing w:after="0" w:line="166" w:lineRule="exact"/>
              <w:rPr>
                <w:sz w:val="20"/>
                <w:szCs w:val="20"/>
                <w:color w:val="auto"/>
              </w:rPr>
            </w:pPr>
            <w:r>
              <w:rPr>
                <w:rFonts w:ascii="Arial" w:cs="Arial" w:eastAsia="Arial" w:hAnsi="Arial"/>
                <w:sz w:val="16"/>
                <w:szCs w:val="16"/>
                <w:color w:val="auto"/>
              </w:rPr>
              <w:t>10,704</w:t>
            </w:r>
          </w:p>
        </w:tc>
        <w:tc>
          <w:tcPr>
            <w:tcW w:w="12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spacing w:after="0" w:line="166" w:lineRule="exact"/>
              <w:rPr>
                <w:sz w:val="20"/>
                <w:szCs w:val="20"/>
                <w:color w:val="auto"/>
              </w:rPr>
            </w:pPr>
            <w:r>
              <w:rPr>
                <w:rFonts w:ascii="Arial" w:cs="Arial" w:eastAsia="Arial" w:hAnsi="Arial"/>
                <w:sz w:val="16"/>
                <w:szCs w:val="16"/>
                <w:color w:val="auto"/>
              </w:rPr>
              <w:t>844</w:t>
            </w:r>
          </w:p>
        </w:tc>
        <w:tc>
          <w:tcPr>
            <w:tcW w:w="860" w:type="dxa"/>
            <w:vAlign w:val="bottom"/>
          </w:tcPr>
          <w:p>
            <w:pPr>
              <w:jc w:val="right"/>
              <w:ind w:right="685"/>
              <w:spacing w:after="0" w:line="166" w:lineRule="exact"/>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line="166" w:lineRule="exact"/>
              <w:rPr>
                <w:sz w:val="20"/>
                <w:szCs w:val="20"/>
                <w:color w:val="auto"/>
              </w:rPr>
            </w:pPr>
            <w:r>
              <w:rPr>
                <w:rFonts w:ascii="Arial" w:cs="Arial" w:eastAsia="Arial" w:hAnsi="Arial"/>
                <w:sz w:val="16"/>
                <w:szCs w:val="16"/>
                <w:color w:val="auto"/>
              </w:rPr>
              <w:t>11,548</w:t>
            </w:r>
          </w:p>
        </w:tc>
        <w:tc>
          <w:tcPr>
            <w:tcW w:w="0" w:type="dxa"/>
            <w:vAlign w:val="bottom"/>
          </w:tcPr>
          <w:p>
            <w:pPr>
              <w:spacing w:after="0"/>
              <w:rPr>
                <w:sz w:val="1"/>
                <w:szCs w:val="1"/>
                <w:color w:val="auto"/>
              </w:rPr>
            </w:pPr>
          </w:p>
        </w:tc>
      </w:tr>
      <w:tr>
        <w:trPr>
          <w:trHeight w:val="80"/>
        </w:trPr>
        <w:tc>
          <w:tcPr>
            <w:tcW w:w="566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56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174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598"/>
        </w:trPr>
        <w:tc>
          <w:tcPr>
            <w:tcW w:w="5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660" w:type="dxa"/>
            <w:vAlign w:val="bottom"/>
            <w:shd w:val="clear" w:color="auto" w:fill="C0C0C0"/>
          </w:tcPr>
          <w:p>
            <w:pPr>
              <w:spacing w:after="0" w:line="155" w:lineRule="exact"/>
              <w:rPr>
                <w:sz w:val="20"/>
                <w:szCs w:val="20"/>
                <w:color w:val="auto"/>
              </w:rPr>
            </w:pPr>
            <w:r>
              <w:rPr>
                <w:rFonts w:ascii="Arial" w:cs="Arial" w:eastAsia="Arial" w:hAnsi="Arial"/>
                <w:sz w:val="16"/>
                <w:szCs w:val="16"/>
                <w:b w:val="1"/>
                <w:bCs w:val="1"/>
                <w:color w:val="auto"/>
              </w:rPr>
              <w:t>SHAREHOLDER'S EQUITY AND NONCONTROLLING INTEREST ― SDG&amp;E</w:t>
            </w:r>
          </w:p>
        </w:tc>
        <w:tc>
          <w:tcPr>
            <w:tcW w:w="80" w:type="dxa"/>
            <w:vAlign w:val="bottom"/>
            <w:shd w:val="clear" w:color="auto" w:fill="C0C0C0"/>
          </w:tcPr>
          <w:p>
            <w:pPr>
              <w:spacing w:after="0"/>
              <w:rPr>
                <w:sz w:val="13"/>
                <w:szCs w:val="13"/>
                <w:color w:val="auto"/>
              </w:rPr>
            </w:pPr>
          </w:p>
        </w:tc>
        <w:tc>
          <w:tcPr>
            <w:tcW w:w="360" w:type="dxa"/>
            <w:vAlign w:val="bottom"/>
            <w:shd w:val="clear" w:color="auto" w:fill="C0C0C0"/>
          </w:tcPr>
          <w:p>
            <w:pPr>
              <w:spacing w:after="0"/>
              <w:rPr>
                <w:sz w:val="13"/>
                <w:szCs w:val="13"/>
                <w:color w:val="auto"/>
              </w:rPr>
            </w:pPr>
          </w:p>
        </w:tc>
        <w:tc>
          <w:tcPr>
            <w:tcW w:w="1560" w:type="dxa"/>
            <w:vAlign w:val="bottom"/>
            <w:shd w:val="clear" w:color="auto" w:fill="C0C0C0"/>
          </w:tcPr>
          <w:p>
            <w:pPr>
              <w:spacing w:after="0"/>
              <w:rPr>
                <w:sz w:val="13"/>
                <w:szCs w:val="13"/>
                <w:color w:val="auto"/>
              </w:rPr>
            </w:pPr>
          </w:p>
        </w:tc>
        <w:tc>
          <w:tcPr>
            <w:tcW w:w="60" w:type="dxa"/>
            <w:vAlign w:val="bottom"/>
            <w:shd w:val="clear" w:color="auto" w:fill="C0C0C0"/>
          </w:tcPr>
          <w:p>
            <w:pPr>
              <w:spacing w:after="0"/>
              <w:rPr>
                <w:sz w:val="13"/>
                <w:szCs w:val="13"/>
                <w:color w:val="auto"/>
              </w:rPr>
            </w:pPr>
          </w:p>
        </w:tc>
        <w:tc>
          <w:tcPr>
            <w:tcW w:w="120" w:type="dxa"/>
            <w:vAlign w:val="bottom"/>
            <w:shd w:val="clear" w:color="auto" w:fill="C0C0C0"/>
          </w:tcPr>
          <w:p>
            <w:pPr>
              <w:spacing w:after="0"/>
              <w:rPr>
                <w:sz w:val="13"/>
                <w:szCs w:val="13"/>
                <w:color w:val="auto"/>
              </w:rPr>
            </w:pPr>
          </w:p>
        </w:tc>
        <w:tc>
          <w:tcPr>
            <w:tcW w:w="40" w:type="dxa"/>
            <w:vAlign w:val="bottom"/>
            <w:shd w:val="clear" w:color="auto" w:fill="C0C0C0"/>
          </w:tcPr>
          <w:p>
            <w:pPr>
              <w:spacing w:after="0"/>
              <w:rPr>
                <w:sz w:val="13"/>
                <w:szCs w:val="13"/>
                <w:color w:val="auto"/>
              </w:rPr>
            </w:pPr>
          </w:p>
        </w:tc>
        <w:tc>
          <w:tcPr>
            <w:tcW w:w="1740" w:type="dxa"/>
            <w:vAlign w:val="bottom"/>
            <w:shd w:val="clear" w:color="auto" w:fill="C0C0C0"/>
          </w:tcPr>
          <w:p>
            <w:pPr>
              <w:spacing w:after="0"/>
              <w:rPr>
                <w:sz w:val="13"/>
                <w:szCs w:val="13"/>
                <w:color w:val="auto"/>
              </w:rPr>
            </w:pPr>
          </w:p>
        </w:tc>
        <w:tc>
          <w:tcPr>
            <w:tcW w:w="860" w:type="dxa"/>
            <w:vAlign w:val="bottom"/>
            <w:shd w:val="clear" w:color="auto" w:fill="C0C0C0"/>
          </w:tcPr>
          <w:p>
            <w:pPr>
              <w:spacing w:after="0"/>
              <w:rPr>
                <w:sz w:val="13"/>
                <w:szCs w:val="13"/>
                <w:color w:val="auto"/>
              </w:rPr>
            </w:pPr>
          </w:p>
        </w:tc>
        <w:tc>
          <w:tcPr>
            <w:tcW w:w="940" w:type="dxa"/>
            <w:vAlign w:val="bottom"/>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66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8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560" w:type="dxa"/>
            <w:vAlign w:val="bottom"/>
            <w:shd w:val="clear" w:color="auto" w:fill="C0C0C0"/>
          </w:tcPr>
          <w:p>
            <w:pPr>
              <w:spacing w:after="0"/>
              <w:rPr>
                <w:sz w:val="14"/>
                <w:szCs w:val="14"/>
                <w:color w:val="auto"/>
              </w:rPr>
            </w:pPr>
          </w:p>
        </w:tc>
        <w:tc>
          <w:tcPr>
            <w:tcW w:w="6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40" w:type="dxa"/>
            <w:vAlign w:val="bottom"/>
            <w:shd w:val="clear" w:color="auto" w:fill="C0C0C0"/>
          </w:tcPr>
          <w:p>
            <w:pPr>
              <w:spacing w:after="0"/>
              <w:rPr>
                <w:sz w:val="14"/>
                <w:szCs w:val="14"/>
                <w:color w:val="auto"/>
              </w:rPr>
            </w:pPr>
          </w:p>
        </w:tc>
        <w:tc>
          <w:tcPr>
            <w:tcW w:w="1740" w:type="dxa"/>
            <w:vAlign w:val="bottom"/>
            <w:shd w:val="clear" w:color="auto" w:fill="C0C0C0"/>
          </w:tcPr>
          <w:p>
            <w:pPr>
              <w:spacing w:after="0"/>
              <w:rPr>
                <w:sz w:val="14"/>
                <w:szCs w:val="14"/>
                <w:color w:val="auto"/>
              </w:rPr>
            </w:pPr>
          </w:p>
        </w:tc>
        <w:tc>
          <w:tcPr>
            <w:tcW w:w="860" w:type="dxa"/>
            <w:vAlign w:val="bottom"/>
            <w:shd w:val="clear" w:color="auto" w:fill="C0C0C0"/>
          </w:tcPr>
          <w:p>
            <w:pPr>
              <w:spacing w:after="0"/>
              <w:rPr>
                <w:sz w:val="14"/>
                <w:szCs w:val="14"/>
                <w:color w:val="auto"/>
              </w:rPr>
            </w:pPr>
          </w:p>
        </w:tc>
        <w:tc>
          <w:tcPr>
            <w:tcW w:w="94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SDG&amp;E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jc w:val="center"/>
              <w:ind w:left="84"/>
              <w:spacing w:after="0"/>
              <w:rPr>
                <w:sz w:val="20"/>
                <w:szCs w:val="20"/>
                <w:color w:val="auto"/>
              </w:rPr>
            </w:pPr>
            <w:r>
              <w:rPr>
                <w:rFonts w:ascii="Arial" w:cs="Arial" w:eastAsia="Arial" w:hAnsi="Arial"/>
                <w:sz w:val="14"/>
                <w:szCs w:val="14"/>
                <w:color w:val="auto"/>
                <w:w w:val="98"/>
              </w:rPr>
              <w:t>Non-</w:t>
            </w: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Shareholder’s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jc w:val="center"/>
              <w:ind w:left="64"/>
              <w:spacing w:after="0"/>
              <w:rPr>
                <w:sz w:val="20"/>
                <w:szCs w:val="20"/>
                <w:color w:val="auto"/>
              </w:rPr>
            </w:pPr>
            <w:r>
              <w:rPr>
                <w:rFonts w:ascii="Arial" w:cs="Arial" w:eastAsia="Arial" w:hAnsi="Arial"/>
                <w:sz w:val="14"/>
                <w:szCs w:val="14"/>
                <w:color w:val="auto"/>
              </w:rPr>
              <w:t>controlling</w:t>
            </w:r>
          </w:p>
        </w:tc>
        <w:tc>
          <w:tcPr>
            <w:tcW w:w="860" w:type="dxa"/>
            <w:vAlign w:val="bottom"/>
          </w:tcPr>
          <w:p>
            <w:pPr>
              <w:spacing w:after="0"/>
              <w:rPr>
                <w:sz w:val="15"/>
                <w:szCs w:val="15"/>
                <w:color w:val="auto"/>
              </w:rPr>
            </w:pPr>
          </w:p>
        </w:tc>
        <w:tc>
          <w:tcPr>
            <w:tcW w:w="940" w:type="dxa"/>
            <w:vAlign w:val="bottom"/>
          </w:tcPr>
          <w:p>
            <w:pPr>
              <w:jc w:val="center"/>
              <w:ind w:right="401"/>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73"/>
        </w:trPr>
        <w:tc>
          <w:tcPr>
            <w:tcW w:w="5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center"/>
              <w:ind w:left="64"/>
              <w:spacing w:after="0"/>
              <w:rPr>
                <w:sz w:val="20"/>
                <w:szCs w:val="20"/>
                <w:color w:val="auto"/>
              </w:rPr>
            </w:pPr>
            <w:r>
              <w:rPr>
                <w:rFonts w:ascii="Arial" w:cs="Arial" w:eastAsia="Arial" w:hAnsi="Arial"/>
                <w:sz w:val="14"/>
                <w:szCs w:val="14"/>
                <w:color w:val="auto"/>
              </w:rPr>
              <w:t>Interest</w:t>
            </w:r>
          </w:p>
        </w:tc>
        <w:tc>
          <w:tcPr>
            <w:tcW w:w="8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421"/>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35"/>
        </w:trPr>
        <w:tc>
          <w:tcPr>
            <w:tcW w:w="5660" w:type="dxa"/>
            <w:vAlign w:val="bottom"/>
          </w:tcPr>
          <w:p>
            <w:pPr>
              <w:spacing w:after="0" w:line="135" w:lineRule="exact"/>
              <w:rPr>
                <w:sz w:val="20"/>
                <w:szCs w:val="20"/>
                <w:color w:val="auto"/>
              </w:rPr>
            </w:pPr>
            <w:r>
              <w:rPr>
                <w:rFonts w:ascii="Arial" w:cs="Arial" w:eastAsia="Arial" w:hAnsi="Arial"/>
                <w:sz w:val="15"/>
                <w:szCs w:val="15"/>
                <w:color w:val="auto"/>
              </w:rPr>
              <w:t>Balance at December 31, 2013</w:t>
            </w:r>
          </w:p>
        </w:tc>
        <w:tc>
          <w:tcPr>
            <w:tcW w:w="440" w:type="dxa"/>
            <w:vAlign w:val="bottom"/>
            <w:gridSpan w:val="2"/>
          </w:tcPr>
          <w:p>
            <w:pPr>
              <w:jc w:val="right"/>
              <w:ind w:right="206"/>
              <w:spacing w:after="0" w:line="135" w:lineRule="exact"/>
              <w:rPr>
                <w:sz w:val="20"/>
                <w:szCs w:val="20"/>
                <w:color w:val="auto"/>
              </w:rPr>
            </w:pPr>
            <w:r>
              <w:rPr>
                <w:rFonts w:ascii="Arial" w:cs="Arial" w:eastAsia="Arial" w:hAnsi="Arial"/>
                <w:sz w:val="15"/>
                <w:szCs w:val="15"/>
                <w:color w:val="auto"/>
              </w:rPr>
              <w:t>$</w:t>
            </w:r>
          </w:p>
        </w:tc>
        <w:tc>
          <w:tcPr>
            <w:tcW w:w="1560" w:type="dxa"/>
            <w:vAlign w:val="bottom"/>
          </w:tcPr>
          <w:p>
            <w:pPr>
              <w:jc w:val="right"/>
              <w:spacing w:after="0" w:line="135" w:lineRule="exact"/>
              <w:rPr>
                <w:sz w:val="20"/>
                <w:szCs w:val="20"/>
                <w:color w:val="auto"/>
              </w:rPr>
            </w:pPr>
            <w:r>
              <w:rPr>
                <w:rFonts w:ascii="Arial" w:cs="Arial" w:eastAsia="Arial" w:hAnsi="Arial"/>
                <w:sz w:val="15"/>
                <w:szCs w:val="15"/>
                <w:color w:val="auto"/>
              </w:rPr>
              <w:t>4,628</w:t>
            </w:r>
          </w:p>
        </w:tc>
        <w:tc>
          <w:tcPr>
            <w:tcW w:w="180" w:type="dxa"/>
            <w:vAlign w:val="bottom"/>
            <w:gridSpan w:val="2"/>
          </w:tcPr>
          <w:p>
            <w:pPr>
              <w:jc w:val="right"/>
              <w:ind w:right="26"/>
              <w:spacing w:after="0" w:line="135" w:lineRule="exact"/>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spacing w:after="0" w:line="135" w:lineRule="exact"/>
              <w:rPr>
                <w:sz w:val="20"/>
                <w:szCs w:val="20"/>
                <w:color w:val="auto"/>
              </w:rPr>
            </w:pPr>
            <w:r>
              <w:rPr>
                <w:rFonts w:ascii="Arial" w:cs="Arial" w:eastAsia="Arial" w:hAnsi="Arial"/>
                <w:sz w:val="15"/>
                <w:szCs w:val="15"/>
                <w:color w:val="auto"/>
              </w:rPr>
              <w:t>91</w:t>
            </w:r>
          </w:p>
        </w:tc>
        <w:tc>
          <w:tcPr>
            <w:tcW w:w="860" w:type="dxa"/>
            <w:vAlign w:val="bottom"/>
          </w:tcPr>
          <w:p>
            <w:pPr>
              <w:jc w:val="right"/>
              <w:ind w:right="705"/>
              <w:spacing w:after="0" w:line="135" w:lineRule="exact"/>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35" w:lineRule="exact"/>
              <w:rPr>
                <w:sz w:val="20"/>
                <w:szCs w:val="20"/>
                <w:color w:val="auto"/>
              </w:rPr>
            </w:pPr>
            <w:r>
              <w:rPr>
                <w:rFonts w:ascii="Arial" w:cs="Arial" w:eastAsia="Arial" w:hAnsi="Arial"/>
                <w:sz w:val="15"/>
                <w:szCs w:val="15"/>
                <w:color w:val="auto"/>
              </w:rPr>
              <w:t>4,719</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Comprehensive income</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jc w:val="right"/>
              <w:spacing w:after="0" w:line="173" w:lineRule="exact"/>
              <w:rPr>
                <w:sz w:val="20"/>
                <w:szCs w:val="20"/>
                <w:color w:val="auto"/>
              </w:rPr>
            </w:pPr>
            <w:r>
              <w:rPr>
                <w:rFonts w:ascii="Arial" w:cs="Arial" w:eastAsia="Arial" w:hAnsi="Arial"/>
                <w:sz w:val="16"/>
                <w:szCs w:val="16"/>
                <w:color w:val="auto"/>
              </w:rPr>
              <w:t>223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7</w:t>
            </w: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04"/>
        </w:trPr>
        <w:tc>
          <w:tcPr>
            <w:tcW w:w="5660" w:type="dxa"/>
            <w:vAlign w:val="bottom"/>
          </w:tcPr>
          <w:p>
            <w:pPr>
              <w:spacing w:after="0"/>
              <w:rPr>
                <w:sz w:val="20"/>
                <w:szCs w:val="20"/>
                <w:color w:val="auto"/>
              </w:rPr>
            </w:pPr>
            <w:r>
              <w:rPr>
                <w:rFonts w:ascii="Arial" w:cs="Arial" w:eastAsia="Arial" w:hAnsi="Arial"/>
                <w:sz w:val="16"/>
                <w:szCs w:val="16"/>
                <w:color w:val="auto"/>
              </w:rPr>
              <w:t>Distributions to noncontrolling interest</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w:t>
            </w: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6"/>
        </w:trPr>
        <w:tc>
          <w:tcPr>
            <w:tcW w:w="5660" w:type="dxa"/>
            <w:vAlign w:val="bottom"/>
          </w:tcPr>
          <w:p>
            <w:pPr>
              <w:spacing w:after="0" w:line="166" w:lineRule="exact"/>
              <w:rPr>
                <w:sz w:val="20"/>
                <w:szCs w:val="20"/>
                <w:color w:val="auto"/>
              </w:rPr>
            </w:pPr>
            <w:r>
              <w:rPr>
                <w:rFonts w:ascii="Arial" w:cs="Arial" w:eastAsia="Arial" w:hAnsi="Arial"/>
                <w:sz w:val="16"/>
                <w:szCs w:val="16"/>
                <w:color w:val="auto"/>
              </w:rPr>
              <w:t>Balance at June 30, 2014</w:t>
            </w:r>
          </w:p>
        </w:tc>
        <w:tc>
          <w:tcPr>
            <w:tcW w:w="80" w:type="dxa"/>
            <w:vAlign w:val="bottom"/>
          </w:tcPr>
          <w:p>
            <w:pPr>
              <w:spacing w:after="0"/>
              <w:rPr>
                <w:sz w:val="14"/>
                <w:szCs w:val="14"/>
                <w:color w:val="auto"/>
              </w:rPr>
            </w:pPr>
          </w:p>
        </w:tc>
        <w:tc>
          <w:tcPr>
            <w:tcW w:w="360" w:type="dxa"/>
            <w:vAlign w:val="bottom"/>
          </w:tcPr>
          <w:p>
            <w:pPr>
              <w:jc w:val="right"/>
              <w:ind w:right="206"/>
              <w:spacing w:after="0" w:line="167" w:lineRule="exact"/>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line="166" w:lineRule="exact"/>
              <w:rPr>
                <w:sz w:val="20"/>
                <w:szCs w:val="20"/>
                <w:color w:val="auto"/>
              </w:rPr>
            </w:pPr>
            <w:r>
              <w:rPr>
                <w:rFonts w:ascii="Arial" w:cs="Arial" w:eastAsia="Arial" w:hAnsi="Arial"/>
                <w:sz w:val="16"/>
                <w:szCs w:val="16"/>
                <w:color w:val="auto"/>
              </w:rPr>
              <w:t>4,851</w:t>
            </w:r>
          </w:p>
        </w:tc>
        <w:tc>
          <w:tcPr>
            <w:tcW w:w="180" w:type="dxa"/>
            <w:vAlign w:val="bottom"/>
            <w:gridSpan w:val="2"/>
          </w:tcPr>
          <w:p>
            <w:pPr>
              <w:jc w:val="right"/>
              <w:ind w:right="26"/>
              <w:spacing w:after="0" w:line="167" w:lineRule="exact"/>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spacing w:after="0" w:line="166" w:lineRule="exact"/>
              <w:rPr>
                <w:sz w:val="20"/>
                <w:szCs w:val="20"/>
                <w:color w:val="auto"/>
              </w:rPr>
            </w:pPr>
            <w:r>
              <w:rPr>
                <w:rFonts w:ascii="Arial" w:cs="Arial" w:eastAsia="Arial" w:hAnsi="Arial"/>
                <w:sz w:val="16"/>
                <w:szCs w:val="16"/>
                <w:color w:val="auto"/>
              </w:rPr>
              <w:t>85</w:t>
            </w:r>
          </w:p>
        </w:tc>
        <w:tc>
          <w:tcPr>
            <w:tcW w:w="860" w:type="dxa"/>
            <w:vAlign w:val="bottom"/>
          </w:tcPr>
          <w:p>
            <w:pPr>
              <w:jc w:val="right"/>
              <w:ind w:right="705"/>
              <w:spacing w:after="0" w:line="167" w:lineRule="exact"/>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66" w:lineRule="exact"/>
              <w:rPr>
                <w:sz w:val="20"/>
                <w:szCs w:val="20"/>
                <w:color w:val="auto"/>
              </w:rPr>
            </w:pPr>
            <w:r>
              <w:rPr>
                <w:rFonts w:ascii="Arial" w:cs="Arial" w:eastAsia="Arial" w:hAnsi="Arial"/>
                <w:sz w:val="16"/>
                <w:szCs w:val="16"/>
                <w:color w:val="auto"/>
              </w:rPr>
              <w:t>4,936</w:t>
            </w:r>
          </w:p>
        </w:tc>
        <w:tc>
          <w:tcPr>
            <w:tcW w:w="0" w:type="dxa"/>
            <w:vAlign w:val="bottom"/>
          </w:tcPr>
          <w:p>
            <w:pPr>
              <w:spacing w:after="0"/>
              <w:rPr>
                <w:sz w:val="1"/>
                <w:szCs w:val="1"/>
                <w:color w:val="auto"/>
              </w:rPr>
            </w:pPr>
          </w:p>
        </w:tc>
      </w:tr>
      <w:tr>
        <w:trPr>
          <w:trHeight w:val="80"/>
        </w:trPr>
        <w:tc>
          <w:tcPr>
            <w:tcW w:w="5660" w:type="dxa"/>
            <w:vAlign w:val="bottom"/>
            <w:shd w:val="clear" w:color="auto" w:fill="000000"/>
          </w:tcPr>
          <w:p>
            <w:pPr>
              <w:spacing w:after="0"/>
              <w:rPr>
                <w:sz w:val="6"/>
                <w:szCs w:val="6"/>
                <w:color w:val="auto"/>
              </w:rPr>
            </w:pPr>
          </w:p>
        </w:tc>
        <w:tc>
          <w:tcPr>
            <w:tcW w:w="440" w:type="dxa"/>
            <w:vAlign w:val="bottom"/>
            <w:gridSpan w:val="2"/>
            <w:shd w:val="clear" w:color="auto" w:fill="000000"/>
          </w:tcPr>
          <w:p>
            <w:pPr>
              <w:spacing w:after="0"/>
              <w:rPr>
                <w:sz w:val="6"/>
                <w:szCs w:val="6"/>
                <w:color w:val="auto"/>
              </w:rPr>
            </w:pPr>
          </w:p>
        </w:tc>
        <w:tc>
          <w:tcPr>
            <w:tcW w:w="1560" w:type="dxa"/>
            <w:vAlign w:val="bottom"/>
            <w:shd w:val="clear" w:color="auto" w:fill="000000"/>
          </w:tcPr>
          <w:p>
            <w:pPr>
              <w:spacing w:after="0"/>
              <w:rPr>
                <w:sz w:val="6"/>
                <w:szCs w:val="6"/>
                <w:color w:val="auto"/>
              </w:rPr>
            </w:pPr>
          </w:p>
        </w:tc>
        <w:tc>
          <w:tcPr>
            <w:tcW w:w="180" w:type="dxa"/>
            <w:vAlign w:val="bottom"/>
            <w:gridSpan w:val="2"/>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174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5660" w:type="dxa"/>
            <w:vAlign w:val="bottom"/>
          </w:tcPr>
          <w:p>
            <w:pPr>
              <w:spacing w:after="0" w:line="142" w:lineRule="exact"/>
              <w:rPr>
                <w:sz w:val="20"/>
                <w:szCs w:val="20"/>
                <w:color w:val="auto"/>
              </w:rPr>
            </w:pPr>
            <w:r>
              <w:rPr>
                <w:rFonts w:ascii="Arial" w:cs="Arial" w:eastAsia="Arial" w:hAnsi="Arial"/>
                <w:sz w:val="16"/>
                <w:szCs w:val="16"/>
                <w:color w:val="auto"/>
              </w:rPr>
              <w:t>Balance at December 31, 2012</w:t>
            </w:r>
          </w:p>
        </w:tc>
        <w:tc>
          <w:tcPr>
            <w:tcW w:w="440" w:type="dxa"/>
            <w:vAlign w:val="bottom"/>
            <w:gridSpan w:val="2"/>
          </w:tcPr>
          <w:p>
            <w:pPr>
              <w:jc w:val="right"/>
              <w:ind w:right="206"/>
              <w:spacing w:after="0" w:line="142"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42" w:lineRule="exact"/>
              <w:rPr>
                <w:sz w:val="20"/>
                <w:szCs w:val="20"/>
                <w:color w:val="auto"/>
              </w:rPr>
            </w:pPr>
            <w:r>
              <w:rPr>
                <w:rFonts w:ascii="Arial" w:cs="Arial" w:eastAsia="Arial" w:hAnsi="Arial"/>
                <w:sz w:val="16"/>
                <w:szCs w:val="16"/>
                <w:color w:val="auto"/>
              </w:rPr>
              <w:t>4,222</w:t>
            </w:r>
          </w:p>
        </w:tc>
        <w:tc>
          <w:tcPr>
            <w:tcW w:w="180" w:type="dxa"/>
            <w:vAlign w:val="bottom"/>
            <w:gridSpan w:val="2"/>
          </w:tcPr>
          <w:p>
            <w:pPr>
              <w:jc w:val="right"/>
              <w:ind w:right="26"/>
              <w:spacing w:after="0" w:line="141" w:lineRule="exact"/>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76</w:t>
            </w:r>
          </w:p>
        </w:tc>
        <w:tc>
          <w:tcPr>
            <w:tcW w:w="860" w:type="dxa"/>
            <w:vAlign w:val="bottom"/>
          </w:tcPr>
          <w:p>
            <w:pPr>
              <w:jc w:val="right"/>
              <w:ind w:right="705"/>
              <w:spacing w:after="0" w:line="141" w:lineRule="exact"/>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42" w:lineRule="exact"/>
              <w:rPr>
                <w:sz w:val="20"/>
                <w:szCs w:val="20"/>
                <w:color w:val="auto"/>
              </w:rPr>
            </w:pPr>
            <w:r>
              <w:rPr>
                <w:rFonts w:ascii="Arial" w:cs="Arial" w:eastAsia="Arial" w:hAnsi="Arial"/>
                <w:sz w:val="16"/>
                <w:szCs w:val="16"/>
                <w:color w:val="auto"/>
              </w:rPr>
              <w:t>4,298</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Comprehensive income</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jc w:val="right"/>
              <w:spacing w:after="0" w:line="173" w:lineRule="exact"/>
              <w:rPr>
                <w:sz w:val="20"/>
                <w:szCs w:val="20"/>
                <w:color w:val="auto"/>
              </w:rPr>
            </w:pPr>
            <w:r>
              <w:rPr>
                <w:rFonts w:ascii="Arial" w:cs="Arial" w:eastAsia="Arial" w:hAnsi="Arial"/>
                <w:sz w:val="16"/>
                <w:szCs w:val="16"/>
                <w:color w:val="auto"/>
              </w:rPr>
              <w:t>159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11</w:t>
            </w: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Preferred stock dividends declared</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Distributions to noncontrolling interest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(3)</w:t>
            </w: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4"/>
        </w:trPr>
        <w:tc>
          <w:tcPr>
            <w:tcW w:w="5660" w:type="dxa"/>
            <w:vAlign w:val="bottom"/>
          </w:tcPr>
          <w:p>
            <w:pPr>
              <w:spacing w:after="0"/>
              <w:rPr>
                <w:sz w:val="20"/>
                <w:szCs w:val="20"/>
                <w:color w:val="auto"/>
              </w:rPr>
            </w:pPr>
            <w:r>
              <w:rPr>
                <w:rFonts w:ascii="Arial" w:cs="Arial" w:eastAsia="Arial" w:hAnsi="Arial"/>
                <w:sz w:val="16"/>
                <w:szCs w:val="16"/>
                <w:color w:val="auto"/>
              </w:rPr>
              <w:t>Equity contributed by noncontrolling interest</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w:t>
            </w: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6"/>
        </w:trPr>
        <w:tc>
          <w:tcPr>
            <w:tcW w:w="5660" w:type="dxa"/>
            <w:vAlign w:val="bottom"/>
          </w:tcPr>
          <w:p>
            <w:pPr>
              <w:spacing w:after="0" w:line="166" w:lineRule="exact"/>
              <w:rPr>
                <w:sz w:val="20"/>
                <w:szCs w:val="20"/>
                <w:color w:val="auto"/>
              </w:rPr>
            </w:pPr>
            <w:r>
              <w:rPr>
                <w:rFonts w:ascii="Arial" w:cs="Arial" w:eastAsia="Arial" w:hAnsi="Arial"/>
                <w:sz w:val="16"/>
                <w:szCs w:val="16"/>
                <w:color w:val="auto"/>
              </w:rPr>
              <w:t>Balance at June 30, 2013</w:t>
            </w:r>
          </w:p>
        </w:tc>
        <w:tc>
          <w:tcPr>
            <w:tcW w:w="80" w:type="dxa"/>
            <w:vAlign w:val="bottom"/>
          </w:tcPr>
          <w:p>
            <w:pPr>
              <w:spacing w:after="0"/>
              <w:rPr>
                <w:sz w:val="14"/>
                <w:szCs w:val="14"/>
                <w:color w:val="auto"/>
              </w:rPr>
            </w:pPr>
          </w:p>
        </w:tc>
        <w:tc>
          <w:tcPr>
            <w:tcW w:w="360" w:type="dxa"/>
            <w:vAlign w:val="bottom"/>
          </w:tcPr>
          <w:p>
            <w:pPr>
              <w:jc w:val="right"/>
              <w:ind w:right="206"/>
              <w:spacing w:after="0" w:line="167" w:lineRule="exact"/>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line="166" w:lineRule="exact"/>
              <w:rPr>
                <w:sz w:val="20"/>
                <w:szCs w:val="20"/>
                <w:color w:val="auto"/>
              </w:rPr>
            </w:pPr>
            <w:r>
              <w:rPr>
                <w:rFonts w:ascii="Arial" w:cs="Arial" w:eastAsia="Arial" w:hAnsi="Arial"/>
                <w:sz w:val="16"/>
                <w:szCs w:val="16"/>
                <w:color w:val="auto"/>
              </w:rPr>
              <w:t>4,379</w:t>
            </w:r>
          </w:p>
        </w:tc>
        <w:tc>
          <w:tcPr>
            <w:tcW w:w="180" w:type="dxa"/>
            <w:vAlign w:val="bottom"/>
            <w:gridSpan w:val="2"/>
          </w:tcPr>
          <w:p>
            <w:pPr>
              <w:jc w:val="right"/>
              <w:ind w:right="26"/>
              <w:spacing w:after="0" w:line="167" w:lineRule="exact"/>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spacing w:after="0" w:line="166" w:lineRule="exact"/>
              <w:rPr>
                <w:sz w:val="20"/>
                <w:szCs w:val="20"/>
                <w:color w:val="auto"/>
              </w:rPr>
            </w:pPr>
            <w:r>
              <w:rPr>
                <w:rFonts w:ascii="Arial" w:cs="Arial" w:eastAsia="Arial" w:hAnsi="Arial"/>
                <w:sz w:val="16"/>
                <w:szCs w:val="16"/>
                <w:color w:val="auto"/>
              </w:rPr>
              <w:t>88</w:t>
            </w:r>
          </w:p>
        </w:tc>
        <w:tc>
          <w:tcPr>
            <w:tcW w:w="860" w:type="dxa"/>
            <w:vAlign w:val="bottom"/>
          </w:tcPr>
          <w:p>
            <w:pPr>
              <w:jc w:val="right"/>
              <w:ind w:right="705"/>
              <w:spacing w:after="0" w:line="167" w:lineRule="exact"/>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66" w:lineRule="exact"/>
              <w:rPr>
                <w:sz w:val="20"/>
                <w:szCs w:val="20"/>
                <w:color w:val="auto"/>
              </w:rPr>
            </w:pPr>
            <w:r>
              <w:rPr>
                <w:rFonts w:ascii="Arial" w:cs="Arial" w:eastAsia="Arial" w:hAnsi="Arial"/>
                <w:sz w:val="16"/>
                <w:szCs w:val="16"/>
                <w:color w:val="auto"/>
              </w:rPr>
              <w:t>4,467</w:t>
            </w:r>
          </w:p>
        </w:tc>
        <w:tc>
          <w:tcPr>
            <w:tcW w:w="0" w:type="dxa"/>
            <w:vAlign w:val="bottom"/>
          </w:tcPr>
          <w:p>
            <w:pPr>
              <w:spacing w:after="0"/>
              <w:rPr>
                <w:sz w:val="1"/>
                <w:szCs w:val="1"/>
                <w:color w:val="auto"/>
              </w:rPr>
            </w:pPr>
          </w:p>
        </w:tc>
      </w:tr>
      <w:tr>
        <w:trPr>
          <w:trHeight w:val="80"/>
        </w:trPr>
        <w:tc>
          <w:tcPr>
            <w:tcW w:w="566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56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174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797"/>
        </w:trPr>
        <w:tc>
          <w:tcPr>
            <w:tcW w:w="5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660" w:type="dxa"/>
            <w:vAlign w:val="bottom"/>
            <w:shd w:val="clear" w:color="auto" w:fill="C0C0C0"/>
          </w:tcPr>
          <w:p>
            <w:pPr>
              <w:spacing w:after="0" w:line="155" w:lineRule="exact"/>
              <w:rPr>
                <w:sz w:val="20"/>
                <w:szCs w:val="20"/>
                <w:color w:val="auto"/>
              </w:rPr>
            </w:pPr>
            <w:r>
              <w:rPr>
                <w:rFonts w:ascii="Arial" w:cs="Arial" w:eastAsia="Arial" w:hAnsi="Arial"/>
                <w:sz w:val="16"/>
                <w:szCs w:val="16"/>
                <w:b w:val="1"/>
                <w:bCs w:val="1"/>
                <w:color w:val="auto"/>
              </w:rPr>
              <w:t>SHAREHOLDERS' EQUITY ― SOCALGAS</w:t>
            </w:r>
          </w:p>
        </w:tc>
        <w:tc>
          <w:tcPr>
            <w:tcW w:w="80" w:type="dxa"/>
            <w:vAlign w:val="bottom"/>
            <w:shd w:val="clear" w:color="auto" w:fill="C0C0C0"/>
          </w:tcPr>
          <w:p>
            <w:pPr>
              <w:spacing w:after="0"/>
              <w:rPr>
                <w:sz w:val="13"/>
                <w:szCs w:val="13"/>
                <w:color w:val="auto"/>
              </w:rPr>
            </w:pPr>
          </w:p>
        </w:tc>
        <w:tc>
          <w:tcPr>
            <w:tcW w:w="360" w:type="dxa"/>
            <w:vAlign w:val="bottom"/>
            <w:shd w:val="clear" w:color="auto" w:fill="C0C0C0"/>
          </w:tcPr>
          <w:p>
            <w:pPr>
              <w:spacing w:after="0"/>
              <w:rPr>
                <w:sz w:val="13"/>
                <w:szCs w:val="13"/>
                <w:color w:val="auto"/>
              </w:rPr>
            </w:pPr>
          </w:p>
        </w:tc>
        <w:tc>
          <w:tcPr>
            <w:tcW w:w="1560" w:type="dxa"/>
            <w:vAlign w:val="bottom"/>
            <w:shd w:val="clear" w:color="auto" w:fill="C0C0C0"/>
          </w:tcPr>
          <w:p>
            <w:pPr>
              <w:spacing w:after="0"/>
              <w:rPr>
                <w:sz w:val="13"/>
                <w:szCs w:val="13"/>
                <w:color w:val="auto"/>
              </w:rPr>
            </w:pPr>
          </w:p>
        </w:tc>
        <w:tc>
          <w:tcPr>
            <w:tcW w:w="60" w:type="dxa"/>
            <w:vAlign w:val="bottom"/>
            <w:shd w:val="clear" w:color="auto" w:fill="C0C0C0"/>
          </w:tcPr>
          <w:p>
            <w:pPr>
              <w:spacing w:after="0"/>
              <w:rPr>
                <w:sz w:val="13"/>
                <w:szCs w:val="13"/>
                <w:color w:val="auto"/>
              </w:rPr>
            </w:pPr>
          </w:p>
        </w:tc>
        <w:tc>
          <w:tcPr>
            <w:tcW w:w="120" w:type="dxa"/>
            <w:vAlign w:val="bottom"/>
            <w:shd w:val="clear" w:color="auto" w:fill="C0C0C0"/>
          </w:tcPr>
          <w:p>
            <w:pPr>
              <w:spacing w:after="0"/>
              <w:rPr>
                <w:sz w:val="13"/>
                <w:szCs w:val="13"/>
                <w:color w:val="auto"/>
              </w:rPr>
            </w:pPr>
          </w:p>
        </w:tc>
        <w:tc>
          <w:tcPr>
            <w:tcW w:w="40" w:type="dxa"/>
            <w:vAlign w:val="bottom"/>
            <w:shd w:val="clear" w:color="auto" w:fill="C0C0C0"/>
          </w:tcPr>
          <w:p>
            <w:pPr>
              <w:spacing w:after="0"/>
              <w:rPr>
                <w:sz w:val="13"/>
                <w:szCs w:val="13"/>
                <w:color w:val="auto"/>
              </w:rPr>
            </w:pPr>
          </w:p>
        </w:tc>
        <w:tc>
          <w:tcPr>
            <w:tcW w:w="1740" w:type="dxa"/>
            <w:vAlign w:val="bottom"/>
            <w:shd w:val="clear" w:color="auto" w:fill="C0C0C0"/>
          </w:tcPr>
          <w:p>
            <w:pPr>
              <w:spacing w:after="0"/>
              <w:rPr>
                <w:sz w:val="13"/>
                <w:szCs w:val="13"/>
                <w:color w:val="auto"/>
              </w:rPr>
            </w:pPr>
          </w:p>
        </w:tc>
        <w:tc>
          <w:tcPr>
            <w:tcW w:w="860" w:type="dxa"/>
            <w:vAlign w:val="bottom"/>
            <w:shd w:val="clear" w:color="auto" w:fill="C0C0C0"/>
          </w:tcPr>
          <w:p>
            <w:pPr>
              <w:spacing w:after="0"/>
              <w:rPr>
                <w:sz w:val="13"/>
                <w:szCs w:val="13"/>
                <w:color w:val="auto"/>
              </w:rPr>
            </w:pPr>
          </w:p>
        </w:tc>
        <w:tc>
          <w:tcPr>
            <w:tcW w:w="940" w:type="dxa"/>
            <w:vAlign w:val="bottom"/>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66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8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560" w:type="dxa"/>
            <w:vAlign w:val="bottom"/>
            <w:shd w:val="clear" w:color="auto" w:fill="C0C0C0"/>
          </w:tcPr>
          <w:p>
            <w:pPr>
              <w:spacing w:after="0"/>
              <w:rPr>
                <w:sz w:val="14"/>
                <w:szCs w:val="14"/>
                <w:color w:val="auto"/>
              </w:rPr>
            </w:pPr>
          </w:p>
        </w:tc>
        <w:tc>
          <w:tcPr>
            <w:tcW w:w="6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40" w:type="dxa"/>
            <w:vAlign w:val="bottom"/>
            <w:shd w:val="clear" w:color="auto" w:fill="C0C0C0"/>
          </w:tcPr>
          <w:p>
            <w:pPr>
              <w:spacing w:after="0"/>
              <w:rPr>
                <w:sz w:val="14"/>
                <w:szCs w:val="14"/>
                <w:color w:val="auto"/>
              </w:rPr>
            </w:pPr>
          </w:p>
        </w:tc>
        <w:tc>
          <w:tcPr>
            <w:tcW w:w="1740" w:type="dxa"/>
            <w:vAlign w:val="bottom"/>
            <w:shd w:val="clear" w:color="auto" w:fill="C0C0C0"/>
          </w:tcPr>
          <w:p>
            <w:pPr>
              <w:spacing w:after="0"/>
              <w:rPr>
                <w:sz w:val="14"/>
                <w:szCs w:val="14"/>
                <w:color w:val="auto"/>
              </w:rPr>
            </w:pPr>
          </w:p>
        </w:tc>
        <w:tc>
          <w:tcPr>
            <w:tcW w:w="860" w:type="dxa"/>
            <w:vAlign w:val="bottom"/>
            <w:shd w:val="clear" w:color="auto" w:fill="C0C0C0"/>
          </w:tcPr>
          <w:p>
            <w:pPr>
              <w:spacing w:after="0"/>
              <w:rPr>
                <w:sz w:val="14"/>
                <w:szCs w:val="14"/>
                <w:color w:val="auto"/>
              </w:rPr>
            </w:pPr>
          </w:p>
        </w:tc>
        <w:tc>
          <w:tcPr>
            <w:tcW w:w="94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60" w:type="dxa"/>
            <w:vAlign w:val="bottom"/>
          </w:tcPr>
          <w:p>
            <w:pPr>
              <w:jc w:val="center"/>
              <w:ind w:right="25"/>
              <w:spacing w:after="0"/>
              <w:rPr>
                <w:sz w:val="20"/>
                <w:szCs w:val="20"/>
                <w:color w:val="auto"/>
              </w:rPr>
            </w:pPr>
            <w:r>
              <w:rPr>
                <w:rFonts w:ascii="Arial" w:cs="Arial" w:eastAsia="Arial" w:hAnsi="Arial"/>
                <w:sz w:val="14"/>
                <w:szCs w:val="14"/>
                <w:color w:val="auto"/>
              </w:rPr>
              <w:t>SoCalGas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0" w:type="dxa"/>
            <w:vAlign w:val="bottom"/>
            <w:gridSpan w:val="2"/>
          </w:tcPr>
          <w:p>
            <w:pPr>
              <w:jc w:val="center"/>
              <w:ind w:left="1564"/>
              <w:spacing w:after="0"/>
              <w:rPr>
                <w:sz w:val="20"/>
                <w:szCs w:val="20"/>
                <w:color w:val="auto"/>
              </w:rPr>
            </w:pPr>
            <w:r>
              <w:rPr>
                <w:rFonts w:ascii="Arial" w:cs="Arial" w:eastAsia="Arial" w:hAnsi="Arial"/>
                <w:sz w:val="14"/>
                <w:szCs w:val="14"/>
                <w:color w:val="auto"/>
              </w:rPr>
              <w:t>Shareholders'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color w:val="auto"/>
              </w:rPr>
              <w:t>Equity</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660" w:type="dxa"/>
            <w:vAlign w:val="bottom"/>
          </w:tcPr>
          <w:p>
            <w:pPr>
              <w:spacing w:after="0" w:line="135" w:lineRule="exact"/>
              <w:rPr>
                <w:sz w:val="20"/>
                <w:szCs w:val="20"/>
                <w:color w:val="auto"/>
              </w:rPr>
            </w:pPr>
            <w:r>
              <w:rPr>
                <w:rFonts w:ascii="Arial" w:cs="Arial" w:eastAsia="Arial" w:hAnsi="Arial"/>
                <w:sz w:val="15"/>
                <w:szCs w:val="15"/>
                <w:color w:val="auto"/>
              </w:rPr>
              <w:t>Balance at December 31, 2013</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2"/>
          </w:tcPr>
          <w:p>
            <w:pPr>
              <w:jc w:val="right"/>
              <w:ind w:right="1584"/>
              <w:spacing w:after="0" w:line="135" w:lineRule="exact"/>
              <w:rPr>
                <w:sz w:val="20"/>
                <w:szCs w:val="20"/>
                <w:color w:val="auto"/>
              </w:rPr>
            </w:pPr>
            <w:r>
              <w:rPr>
                <w:rFonts w:ascii="Arial" w:cs="Arial" w:eastAsia="Arial" w:hAnsi="Arial"/>
                <w:sz w:val="15"/>
                <w:szCs w:val="15"/>
                <w:color w:val="auto"/>
              </w:rPr>
              <w:t>$</w:t>
            </w:r>
          </w:p>
        </w:tc>
        <w:tc>
          <w:tcPr>
            <w:tcW w:w="8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5"/>
                <w:szCs w:val="15"/>
                <w:color w:val="auto"/>
              </w:rPr>
              <w:t>2,549</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Comprehensive income</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04"/>
        </w:trPr>
        <w:tc>
          <w:tcPr>
            <w:tcW w:w="5660" w:type="dxa"/>
            <w:vAlign w:val="bottom"/>
          </w:tcPr>
          <w:p>
            <w:pPr>
              <w:spacing w:after="0"/>
              <w:rPr>
                <w:sz w:val="20"/>
                <w:szCs w:val="20"/>
                <w:color w:val="auto"/>
              </w:rPr>
            </w:pPr>
            <w:r>
              <w:rPr>
                <w:rFonts w:ascii="Arial" w:cs="Arial" w:eastAsia="Arial" w:hAnsi="Arial"/>
                <w:sz w:val="16"/>
                <w:szCs w:val="16"/>
                <w:color w:val="auto"/>
              </w:rPr>
              <w:t>Preferred stock dividends declared</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6"/>
        </w:trPr>
        <w:tc>
          <w:tcPr>
            <w:tcW w:w="5660" w:type="dxa"/>
            <w:vAlign w:val="bottom"/>
          </w:tcPr>
          <w:p>
            <w:pPr>
              <w:spacing w:after="0" w:line="166" w:lineRule="exact"/>
              <w:rPr>
                <w:sz w:val="20"/>
                <w:szCs w:val="20"/>
                <w:color w:val="auto"/>
              </w:rPr>
            </w:pPr>
            <w:r>
              <w:rPr>
                <w:rFonts w:ascii="Arial" w:cs="Arial" w:eastAsia="Arial" w:hAnsi="Arial"/>
                <w:sz w:val="16"/>
                <w:szCs w:val="16"/>
                <w:color w:val="auto"/>
              </w:rPr>
              <w:t>Balance at June 30, 2014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Pr>
          <w:p>
            <w:pPr>
              <w:jc w:val="right"/>
              <w:ind w:right="1584"/>
              <w:spacing w:after="0" w:line="167" w:lineRule="exact"/>
              <w:rPr>
                <w:sz w:val="20"/>
                <w:szCs w:val="20"/>
                <w:color w:val="auto"/>
              </w:rPr>
            </w:pPr>
            <w:r>
              <w:rPr>
                <w:rFonts w:ascii="Arial" w:cs="Arial" w:eastAsia="Arial" w:hAnsi="Arial"/>
                <w:sz w:val="15"/>
                <w:szCs w:val="15"/>
                <w:color w:val="auto"/>
                <w:w w:val="71"/>
              </w:rPr>
              <w:t>$</w:t>
            </w:r>
          </w:p>
        </w:tc>
        <w:tc>
          <w:tcPr>
            <w:tcW w:w="860" w:type="dxa"/>
            <w:vAlign w:val="bottom"/>
          </w:tcPr>
          <w:p>
            <w:pPr>
              <w:spacing w:after="0"/>
              <w:rPr>
                <w:sz w:val="14"/>
                <w:szCs w:val="14"/>
                <w:color w:val="auto"/>
              </w:rPr>
            </w:pPr>
          </w:p>
        </w:tc>
        <w:tc>
          <w:tcPr>
            <w:tcW w:w="940" w:type="dxa"/>
            <w:vAlign w:val="bottom"/>
          </w:tcPr>
          <w:p>
            <w:pPr>
              <w:jc w:val="right"/>
              <w:spacing w:after="0" w:line="166" w:lineRule="exact"/>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80"/>
        </w:trPr>
        <w:tc>
          <w:tcPr>
            <w:tcW w:w="566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56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1780" w:type="dxa"/>
            <w:vAlign w:val="bottom"/>
            <w:gridSpan w:val="2"/>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5660" w:type="dxa"/>
            <w:vAlign w:val="bottom"/>
          </w:tcPr>
          <w:p>
            <w:pPr>
              <w:spacing w:after="0" w:line="142" w:lineRule="exact"/>
              <w:rPr>
                <w:sz w:val="20"/>
                <w:szCs w:val="20"/>
                <w:color w:val="auto"/>
              </w:rPr>
            </w:pPr>
            <w:r>
              <w:rPr>
                <w:rFonts w:ascii="Arial" w:cs="Arial" w:eastAsia="Arial" w:hAnsi="Arial"/>
                <w:sz w:val="16"/>
                <w:szCs w:val="16"/>
                <w:color w:val="auto"/>
              </w:rPr>
              <w:t>Balance at December 31, 2012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right"/>
              <w:ind w:right="1584"/>
              <w:spacing w:after="0" w:line="142" w:lineRule="exact"/>
              <w:rPr>
                <w:sz w:val="20"/>
                <w:szCs w:val="20"/>
                <w:color w:val="auto"/>
              </w:rPr>
            </w:pPr>
            <w:r>
              <w:rPr>
                <w:rFonts w:ascii="Arial" w:cs="Arial" w:eastAsia="Arial" w:hAnsi="Arial"/>
                <w:sz w:val="16"/>
                <w:szCs w:val="16"/>
                <w:color w:val="auto"/>
              </w:rPr>
              <w:t>$</w:t>
            </w:r>
          </w:p>
        </w:tc>
        <w:tc>
          <w:tcPr>
            <w:tcW w:w="8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6"/>
                <w:szCs w:val="16"/>
                <w:color w:val="auto"/>
              </w:rPr>
              <w:t>2,235</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Comprehensive income</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6"/>
                <w:szCs w:val="16"/>
                <w:color w:val="auto"/>
              </w:rPr>
              <w:t>Preferred stock dividends declared</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4"/>
        </w:trPr>
        <w:tc>
          <w:tcPr>
            <w:tcW w:w="5660" w:type="dxa"/>
            <w:vAlign w:val="bottom"/>
          </w:tcPr>
          <w:p>
            <w:pPr>
              <w:spacing w:after="0"/>
              <w:rPr>
                <w:sz w:val="20"/>
                <w:szCs w:val="20"/>
                <w:color w:val="auto"/>
              </w:rPr>
            </w:pPr>
            <w:r>
              <w:rPr>
                <w:rFonts w:ascii="Arial" w:cs="Arial" w:eastAsia="Arial" w:hAnsi="Arial"/>
                <w:sz w:val="16"/>
                <w:szCs w:val="16"/>
                <w:color w:val="auto"/>
              </w:rPr>
              <w:t>Common stock dividends declared</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66"/>
        </w:trPr>
        <w:tc>
          <w:tcPr>
            <w:tcW w:w="5660" w:type="dxa"/>
            <w:vAlign w:val="bottom"/>
          </w:tcPr>
          <w:p>
            <w:pPr>
              <w:spacing w:after="0" w:line="166" w:lineRule="exact"/>
              <w:rPr>
                <w:sz w:val="20"/>
                <w:szCs w:val="20"/>
                <w:color w:val="auto"/>
              </w:rPr>
            </w:pPr>
            <w:r>
              <w:rPr>
                <w:rFonts w:ascii="Arial" w:cs="Arial" w:eastAsia="Arial" w:hAnsi="Arial"/>
                <w:sz w:val="16"/>
                <w:szCs w:val="16"/>
                <w:color w:val="auto"/>
              </w:rPr>
              <w:t>Balance at June 30, 2013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Pr>
          <w:p>
            <w:pPr>
              <w:jc w:val="right"/>
              <w:ind w:right="1584"/>
              <w:spacing w:after="0" w:line="167" w:lineRule="exact"/>
              <w:rPr>
                <w:sz w:val="20"/>
                <w:szCs w:val="20"/>
                <w:color w:val="auto"/>
              </w:rPr>
            </w:pPr>
            <w:r>
              <w:rPr>
                <w:rFonts w:ascii="Arial" w:cs="Arial" w:eastAsia="Arial" w:hAnsi="Arial"/>
                <w:sz w:val="15"/>
                <w:szCs w:val="15"/>
                <w:color w:val="auto"/>
                <w:w w:val="71"/>
              </w:rPr>
              <w:t>$</w:t>
            </w:r>
          </w:p>
        </w:tc>
        <w:tc>
          <w:tcPr>
            <w:tcW w:w="860" w:type="dxa"/>
            <w:vAlign w:val="bottom"/>
          </w:tcPr>
          <w:p>
            <w:pPr>
              <w:spacing w:after="0"/>
              <w:rPr>
                <w:sz w:val="14"/>
                <w:szCs w:val="14"/>
                <w:color w:val="auto"/>
              </w:rPr>
            </w:pPr>
          </w:p>
        </w:tc>
        <w:tc>
          <w:tcPr>
            <w:tcW w:w="940" w:type="dxa"/>
            <w:vAlign w:val="bottom"/>
          </w:tcPr>
          <w:p>
            <w:pPr>
              <w:jc w:val="right"/>
              <w:spacing w:after="0" w:line="166" w:lineRule="exact"/>
              <w:rPr>
                <w:sz w:val="20"/>
                <w:szCs w:val="20"/>
                <w:color w:val="auto"/>
              </w:rPr>
            </w:pPr>
            <w:r>
              <w:rPr>
                <w:rFonts w:ascii="Arial" w:cs="Arial" w:eastAsia="Arial" w:hAnsi="Arial"/>
                <w:sz w:val="16"/>
                <w:szCs w:val="16"/>
                <w:color w:val="auto"/>
              </w:rPr>
              <w:t>2,350</w:t>
            </w:r>
          </w:p>
        </w:tc>
        <w:tc>
          <w:tcPr>
            <w:tcW w:w="0" w:type="dxa"/>
            <w:vAlign w:val="bottom"/>
          </w:tcPr>
          <w:p>
            <w:pPr>
              <w:spacing w:after="0"/>
              <w:rPr>
                <w:sz w:val="1"/>
                <w:szCs w:val="1"/>
                <w:color w:val="auto"/>
              </w:rPr>
            </w:pPr>
          </w:p>
        </w:tc>
      </w:tr>
      <w:tr>
        <w:trPr>
          <w:trHeight w:val="80"/>
        </w:trPr>
        <w:tc>
          <w:tcPr>
            <w:tcW w:w="566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56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174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Ownership interests that are held by owners other than Sempra Energy and SDG&amp;E in subsidiaries or entities consolidated by them are accounted for and reported as noncontrolling interests. As a result, noncontrolling interests are reported as a separate component of equity on the Condensed Consolidated Balance Sheets. Earnings or losses attributable to noncontrolling interests are separately identified on the Condensed Consolidated Statements of Operations, and comprehensive income or loss attributable to noncontrolling interests is separately identified on the Condensed Consolidated Statements of Comprehensive Income.</w:t>
      </w:r>
    </w:p>
    <w:p>
      <w:pPr>
        <w:sectPr>
          <w:pgSz w:w="11900" w:h="16838" w:orient="portrait"/>
          <w:cols w:equalWidth="0" w:num="1">
            <w:col w:w="11420"/>
          </w:cols>
          <w:pgMar w:left="240" w:top="108" w:right="239" w:bottom="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9"/>
          <w:szCs w:val="19"/>
          <w:b w:val="1"/>
          <w:bCs w:val="1"/>
          <w:i w:val="1"/>
          <w:iCs w:val="1"/>
          <w:color w:val="auto"/>
        </w:rPr>
        <w:t>Sale of Noncontrolling Interests</w:t>
      </w:r>
    </w:p>
    <w:p>
      <w:pPr>
        <w:spacing w:after="0" w:line="21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 the first quarter of 2013, a Sempra Energy subsidiary IEnova, completed a private offering in the U.S. and outside of Mexico and a concurrent public offering in Mexico of common stock. The aggregate shares of common stock sold in the offerings represent approximately 18.9 percent of IEnova’s outstanding ownership interest. IEnova is reported within the Sempra Mexico reportable segment.</w:t>
      </w:r>
    </w:p>
    <w:p>
      <w:pPr>
        <w:spacing w:after="0" w:line="178"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The proceeds from the offerings, net of offering costs, were approximately $574 million in U.S. dollar equivalent. IEnova has used the net proceeds of the offerings primarily for general corporate purposes, and for the funding of its investments and ongoing expansion plans. Consistent with applicable accounting guidance, changes in noncontrolling interests that do not result in a change of control are accounted for as equity transactions. When there are changes in noncontrolling interests of a subsidiary that do not result in a change of control, any difference between carrying value and fair value related to the change in ownership is recorded as an adjustment to shareholders’ equity. As a result of the offerings and overallotment options, we recorded an increase in Sempra Energy’s shareholders’ equity of $135 million in the first quarter of 2013 for the sale of IEnova shares to noncontrolling interests.</w:t>
      </w:r>
    </w:p>
    <w:p>
      <w:pPr>
        <w:spacing w:after="0" w:line="18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IEnova is a separate legal entity comprised primarily of Sempra Energy’s operations in Mexico. IEnova is included within our Sempra Mexico reportable segment, but is not the same in its entirety as the reportable segment. In addition to the IEnova operating companies, the Sempra Mexico segment includes, among other things, certain holding companies and risk management activity. Also, IEnova’s financial results are reported in Mexico under International Financial Reporting Standards (IFRS), as required by the Mexican Stock Exchange (La Bolsa Mexicana de Valores, S.A.B. de C.V., or BMV) where the shares are traded under the symbol IENOVA.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discuss the IEnova offerings in more detail in Note 1 of the Notes to Consolidated Financial Statements in the Annual Report.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Preferred Stock</w:t>
      </w:r>
    </w:p>
    <w:p>
      <w:pPr>
        <w:spacing w:after="0" w:line="21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preferred stock of SoCalGas is presented at Sempra Energy as a noncontrolling interest. In 2013, SDG&amp;E had preferred stock outstanding until it was fully redeemed in October 2013. At Sempra Energy, the preferred stock dividends of both SDG&amp;E and SoCalGas are charges against income related to noncontrolling interests. We provide additional information concerning preferred stock in Note 11 of the Notes to Consolidated Financial Statements in the Annual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2014 and December 31, 2013, we reported the following noncontrolling ownership interests held by others (not including preferred shareholders)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recorded in Other Noncontrolling Interests in Total Equity on Sempra Energy’s Condensed Consolidated Balance Sheets: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900" w:type="dxa"/>
            <w:vAlign w:val="bottom"/>
            <w:vMerge w:val="restart"/>
          </w:tcPr>
          <w:p>
            <w:pPr>
              <w:jc w:val="right"/>
              <w:ind w:right="422"/>
              <w:spacing w:after="0"/>
              <w:rPr>
                <w:sz w:val="20"/>
                <w:szCs w:val="20"/>
                <w:color w:val="auto"/>
              </w:rPr>
            </w:pPr>
            <w:r>
              <w:rPr>
                <w:rFonts w:ascii="Arial" w:cs="Arial" w:eastAsia="Arial" w:hAnsi="Arial"/>
                <w:sz w:val="14"/>
                <w:szCs w:val="14"/>
                <w:color w:val="auto"/>
              </w:rPr>
              <w:t>Percent Ownership Held</w:t>
            </w:r>
          </w:p>
        </w:tc>
        <w:tc>
          <w:tcPr>
            <w:tcW w:w="6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3720" w:type="dxa"/>
            <w:vAlign w:val="bottom"/>
          </w:tcPr>
          <w:p>
            <w:pPr>
              <w:spacing w:after="0"/>
              <w:rPr>
                <w:sz w:val="9"/>
                <w:szCs w:val="9"/>
                <w:color w:val="auto"/>
              </w:rPr>
            </w:pPr>
          </w:p>
        </w:tc>
        <w:tc>
          <w:tcPr>
            <w:tcW w:w="29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7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jc w:val="right"/>
              <w:ind w:right="882"/>
              <w:spacing w:after="0"/>
              <w:rPr>
                <w:sz w:val="20"/>
                <w:szCs w:val="20"/>
                <w:color w:val="auto"/>
              </w:rPr>
            </w:pPr>
            <w:r>
              <w:rPr>
                <w:rFonts w:ascii="Arial" w:cs="Arial" w:eastAsia="Arial" w:hAnsi="Arial"/>
                <w:sz w:val="14"/>
                <w:szCs w:val="14"/>
                <w:color w:val="auto"/>
              </w:rPr>
              <w:t>by Others</w:t>
            </w:r>
          </w:p>
        </w:tc>
        <w:tc>
          <w:tcPr>
            <w:tcW w:w="6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color w:val="auto"/>
              </w:rPr>
              <w:t>June 30, 2014</w:t>
            </w:r>
          </w:p>
        </w:tc>
        <w:tc>
          <w:tcPr>
            <w:tcW w:w="4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December 31, 2013</w:t>
            </w:r>
          </w:p>
        </w:tc>
        <w:tc>
          <w:tcPr>
            <w:tcW w:w="0" w:type="dxa"/>
            <w:vAlign w:val="bottom"/>
          </w:tcPr>
          <w:p>
            <w:pPr>
              <w:spacing w:after="0"/>
              <w:rPr>
                <w:sz w:val="1"/>
                <w:szCs w:val="1"/>
                <w:color w:val="auto"/>
              </w:rPr>
            </w:pPr>
          </w:p>
        </w:tc>
      </w:tr>
      <w:tr>
        <w:trPr>
          <w:trHeight w:val="135"/>
        </w:trPr>
        <w:tc>
          <w:tcPr>
            <w:tcW w:w="3720" w:type="dxa"/>
            <w:vAlign w:val="bottom"/>
          </w:tcPr>
          <w:p>
            <w:pPr>
              <w:spacing w:after="0" w:line="135" w:lineRule="exact"/>
              <w:rPr>
                <w:sz w:val="20"/>
                <w:szCs w:val="20"/>
                <w:color w:val="auto"/>
              </w:rPr>
            </w:pPr>
            <w:r>
              <w:rPr>
                <w:rFonts w:ascii="Arial" w:cs="Arial" w:eastAsia="Arial" w:hAnsi="Arial"/>
                <w:sz w:val="15"/>
                <w:szCs w:val="15"/>
                <w:b w:val="1"/>
                <w:bCs w:val="1"/>
                <w:color w:val="auto"/>
              </w:rPr>
              <w:t>SDG&amp;E:</w:t>
            </w:r>
          </w:p>
        </w:tc>
        <w:tc>
          <w:tcPr>
            <w:tcW w:w="2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20" w:type="dxa"/>
            <w:vAlign w:val="bottom"/>
          </w:tcPr>
          <w:p>
            <w:pPr>
              <w:ind w:left="140"/>
              <w:spacing w:after="0" w:line="171" w:lineRule="exact"/>
              <w:rPr>
                <w:sz w:val="20"/>
                <w:szCs w:val="20"/>
                <w:color w:val="auto"/>
              </w:rPr>
            </w:pPr>
            <w:r>
              <w:rPr>
                <w:rFonts w:ascii="Arial" w:cs="Arial" w:eastAsia="Arial" w:hAnsi="Arial"/>
                <w:sz w:val="16"/>
                <w:szCs w:val="16"/>
                <w:color w:val="auto"/>
              </w:rPr>
              <w:t>Otay Mesa VIE</w:t>
            </w:r>
          </w:p>
        </w:tc>
        <w:tc>
          <w:tcPr>
            <w:tcW w:w="2900" w:type="dxa"/>
            <w:vAlign w:val="bottom"/>
          </w:tcPr>
          <w:p>
            <w:pPr>
              <w:jc w:val="right"/>
              <w:ind w:right="202"/>
              <w:spacing w:after="0" w:line="171" w:lineRule="exact"/>
              <w:rPr>
                <w:sz w:val="20"/>
                <w:szCs w:val="20"/>
                <w:color w:val="auto"/>
              </w:rPr>
            </w:pPr>
            <w:r>
              <w:rPr>
                <w:rFonts w:ascii="Arial" w:cs="Arial" w:eastAsia="Arial" w:hAnsi="Arial"/>
                <w:sz w:val="16"/>
                <w:szCs w:val="16"/>
                <w:color w:val="auto"/>
              </w:rPr>
              <w:t>100 %</w:t>
            </w:r>
          </w:p>
        </w:tc>
        <w:tc>
          <w:tcPr>
            <w:tcW w:w="680" w:type="dxa"/>
            <w:vAlign w:val="bottom"/>
          </w:tcPr>
          <w:p>
            <w:pPr>
              <w:jc w:val="right"/>
              <w:ind w:right="200"/>
              <w:spacing w:after="0" w:line="171" w:lineRule="exact"/>
              <w:rPr>
                <w:sz w:val="20"/>
                <w:szCs w:val="20"/>
                <w:color w:val="auto"/>
              </w:rPr>
            </w:pPr>
            <w:r>
              <w:rPr>
                <w:rFonts w:ascii="Arial" w:cs="Arial" w:eastAsia="Arial" w:hAnsi="Arial"/>
                <w:sz w:val="16"/>
                <w:szCs w:val="16"/>
                <w:color w:val="auto"/>
              </w:rPr>
              <w:t>$</w:t>
            </w:r>
          </w:p>
        </w:tc>
        <w:tc>
          <w:tcPr>
            <w:tcW w:w="1840" w:type="dxa"/>
            <w:vAlign w:val="bottom"/>
          </w:tcPr>
          <w:p>
            <w:pPr>
              <w:jc w:val="right"/>
              <w:ind w:right="101"/>
              <w:spacing w:after="0" w:line="171" w:lineRule="exact"/>
              <w:rPr>
                <w:sz w:val="20"/>
                <w:szCs w:val="20"/>
                <w:color w:val="auto"/>
              </w:rPr>
            </w:pPr>
            <w:r>
              <w:rPr>
                <w:rFonts w:ascii="Arial" w:cs="Arial" w:eastAsia="Arial" w:hAnsi="Arial"/>
                <w:sz w:val="16"/>
                <w:szCs w:val="16"/>
                <w:color w:val="auto"/>
              </w:rPr>
              <w:t>85</w:t>
            </w:r>
          </w:p>
        </w:tc>
        <w:tc>
          <w:tcPr>
            <w:tcW w:w="460" w:type="dxa"/>
            <w:vAlign w:val="bottom"/>
          </w:tcPr>
          <w:p>
            <w:pPr>
              <w:jc w:val="right"/>
              <w:ind w:right="100"/>
              <w:spacing w:after="0" w:line="171" w:lineRule="exact"/>
              <w:rPr>
                <w:sz w:val="20"/>
                <w:szCs w:val="20"/>
                <w:color w:val="auto"/>
              </w:rPr>
            </w:pPr>
            <w:r>
              <w:rPr>
                <w:rFonts w:ascii="Arial" w:cs="Arial" w:eastAsia="Arial" w:hAnsi="Arial"/>
                <w:sz w:val="16"/>
                <w:szCs w:val="16"/>
                <w:color w:val="auto"/>
              </w:rPr>
              <w:t>$</w:t>
            </w:r>
          </w:p>
        </w:tc>
        <w:tc>
          <w:tcPr>
            <w:tcW w:w="1820" w:type="dxa"/>
            <w:vAlign w:val="bottom"/>
          </w:tcPr>
          <w:p>
            <w:pPr>
              <w:jc w:val="right"/>
              <w:spacing w:after="0" w:line="171" w:lineRule="exact"/>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75"/>
        </w:trPr>
        <w:tc>
          <w:tcPr>
            <w:tcW w:w="3720" w:type="dxa"/>
            <w:vAlign w:val="bottom"/>
          </w:tcPr>
          <w:p>
            <w:pPr>
              <w:spacing w:after="0" w:line="175" w:lineRule="exact"/>
              <w:rPr>
                <w:sz w:val="20"/>
                <w:szCs w:val="20"/>
                <w:color w:val="auto"/>
              </w:rPr>
            </w:pPr>
            <w:r>
              <w:rPr>
                <w:rFonts w:ascii="Arial" w:cs="Arial" w:eastAsia="Arial" w:hAnsi="Arial"/>
                <w:sz w:val="16"/>
                <w:szCs w:val="16"/>
                <w:b w:val="1"/>
                <w:bCs w:val="1"/>
                <w:color w:val="auto"/>
              </w:rPr>
              <w:t>Sempra South American Utilities:</w:t>
            </w:r>
          </w:p>
        </w:tc>
        <w:tc>
          <w:tcPr>
            <w:tcW w:w="2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20" w:type="dxa"/>
            <w:vAlign w:val="bottom"/>
          </w:tcPr>
          <w:p>
            <w:pPr>
              <w:ind w:left="140"/>
              <w:spacing w:after="0" w:line="173" w:lineRule="exact"/>
              <w:rPr>
                <w:sz w:val="20"/>
                <w:szCs w:val="20"/>
                <w:color w:val="auto"/>
              </w:rPr>
            </w:pPr>
            <w:r>
              <w:rPr>
                <w:rFonts w:ascii="Arial" w:cs="Arial" w:eastAsia="Arial" w:hAnsi="Arial"/>
                <w:sz w:val="16"/>
                <w:szCs w:val="16"/>
                <w:color w:val="auto"/>
              </w:rPr>
              <w:t>Chilquinta Energía subsidiaries(1)</w:t>
            </w:r>
          </w:p>
        </w:tc>
        <w:tc>
          <w:tcPr>
            <w:tcW w:w="2900" w:type="dxa"/>
            <w:vAlign w:val="bottom"/>
          </w:tcPr>
          <w:p>
            <w:pPr>
              <w:jc w:val="right"/>
              <w:ind w:right="342"/>
              <w:spacing w:after="0" w:line="173" w:lineRule="exact"/>
              <w:rPr>
                <w:sz w:val="20"/>
                <w:szCs w:val="20"/>
                <w:color w:val="auto"/>
              </w:rPr>
            </w:pPr>
            <w:r>
              <w:rPr>
                <w:rFonts w:ascii="Arial" w:cs="Arial" w:eastAsia="Arial" w:hAnsi="Arial"/>
                <w:sz w:val="16"/>
                <w:szCs w:val="16"/>
                <w:color w:val="auto"/>
              </w:rPr>
              <w:t>24.4 – 43.4</w:t>
            </w:r>
          </w:p>
        </w:tc>
        <w:tc>
          <w:tcPr>
            <w:tcW w:w="680" w:type="dxa"/>
            <w:vAlign w:val="bottom"/>
          </w:tcPr>
          <w:p>
            <w:pPr>
              <w:spacing w:after="0"/>
              <w:rPr>
                <w:sz w:val="15"/>
                <w:szCs w:val="15"/>
                <w:color w:val="auto"/>
              </w:rPr>
            </w:pPr>
          </w:p>
        </w:tc>
        <w:tc>
          <w:tcPr>
            <w:tcW w:w="1840" w:type="dxa"/>
            <w:vAlign w:val="bottom"/>
          </w:tcPr>
          <w:p>
            <w:pPr>
              <w:jc w:val="right"/>
              <w:ind w:right="101"/>
              <w:spacing w:after="0" w:line="173" w:lineRule="exact"/>
              <w:rPr>
                <w:sz w:val="20"/>
                <w:szCs w:val="20"/>
                <w:color w:val="auto"/>
              </w:rPr>
            </w:pPr>
            <w:r>
              <w:rPr>
                <w:rFonts w:ascii="Arial" w:cs="Arial" w:eastAsia="Arial" w:hAnsi="Arial"/>
                <w:sz w:val="16"/>
                <w:szCs w:val="16"/>
                <w:color w:val="auto"/>
              </w:rPr>
              <w:t>25</w:t>
            </w:r>
          </w:p>
        </w:tc>
        <w:tc>
          <w:tcPr>
            <w:tcW w:w="460" w:type="dxa"/>
            <w:vAlign w:val="bottom"/>
          </w:tcPr>
          <w:p>
            <w:pPr>
              <w:spacing w:after="0"/>
              <w:rPr>
                <w:sz w:val="15"/>
                <w:szCs w:val="15"/>
                <w:color w:val="auto"/>
              </w:rPr>
            </w:pPr>
          </w:p>
        </w:tc>
        <w:tc>
          <w:tcPr>
            <w:tcW w:w="1820" w:type="dxa"/>
            <w:vAlign w:val="bottom"/>
          </w:tcPr>
          <w:p>
            <w:pPr>
              <w:jc w:val="right"/>
              <w:spacing w:after="0" w:line="173"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73"/>
        </w:trPr>
        <w:tc>
          <w:tcPr>
            <w:tcW w:w="3720" w:type="dxa"/>
            <w:vAlign w:val="bottom"/>
          </w:tcPr>
          <w:p>
            <w:pPr>
              <w:ind w:left="140"/>
              <w:spacing w:after="0" w:line="173" w:lineRule="exact"/>
              <w:rPr>
                <w:sz w:val="20"/>
                <w:szCs w:val="20"/>
                <w:color w:val="auto"/>
              </w:rPr>
            </w:pPr>
            <w:r>
              <w:rPr>
                <w:rFonts w:ascii="Arial" w:cs="Arial" w:eastAsia="Arial" w:hAnsi="Arial"/>
                <w:sz w:val="16"/>
                <w:szCs w:val="16"/>
                <w:color w:val="auto"/>
              </w:rPr>
              <w:t>Luz del Sur</w:t>
            </w:r>
          </w:p>
        </w:tc>
        <w:tc>
          <w:tcPr>
            <w:tcW w:w="2900" w:type="dxa"/>
            <w:vAlign w:val="bottom"/>
          </w:tcPr>
          <w:p>
            <w:pPr>
              <w:jc w:val="right"/>
              <w:ind w:right="382"/>
              <w:spacing w:after="0" w:line="173" w:lineRule="exact"/>
              <w:rPr>
                <w:sz w:val="20"/>
                <w:szCs w:val="20"/>
                <w:color w:val="auto"/>
              </w:rPr>
            </w:pPr>
            <w:r>
              <w:rPr>
                <w:rFonts w:ascii="Arial" w:cs="Arial" w:eastAsia="Arial" w:hAnsi="Arial"/>
                <w:sz w:val="16"/>
                <w:szCs w:val="16"/>
                <w:color w:val="auto"/>
              </w:rPr>
              <w:t>20.2</w:t>
            </w:r>
          </w:p>
        </w:tc>
        <w:tc>
          <w:tcPr>
            <w:tcW w:w="680" w:type="dxa"/>
            <w:vAlign w:val="bottom"/>
          </w:tcPr>
          <w:p>
            <w:pPr>
              <w:spacing w:after="0"/>
              <w:rPr>
                <w:sz w:val="15"/>
                <w:szCs w:val="15"/>
                <w:color w:val="auto"/>
              </w:rPr>
            </w:pPr>
          </w:p>
        </w:tc>
        <w:tc>
          <w:tcPr>
            <w:tcW w:w="1840" w:type="dxa"/>
            <w:vAlign w:val="bottom"/>
          </w:tcPr>
          <w:p>
            <w:pPr>
              <w:jc w:val="right"/>
              <w:ind w:right="101"/>
              <w:spacing w:after="0" w:line="173" w:lineRule="exact"/>
              <w:rPr>
                <w:sz w:val="20"/>
                <w:szCs w:val="20"/>
                <w:color w:val="auto"/>
              </w:rPr>
            </w:pPr>
            <w:r>
              <w:rPr>
                <w:rFonts w:ascii="Arial" w:cs="Arial" w:eastAsia="Arial" w:hAnsi="Arial"/>
                <w:sz w:val="16"/>
                <w:szCs w:val="16"/>
                <w:color w:val="auto"/>
              </w:rPr>
              <w:t>225</w:t>
            </w:r>
          </w:p>
        </w:tc>
        <w:tc>
          <w:tcPr>
            <w:tcW w:w="460" w:type="dxa"/>
            <w:vAlign w:val="bottom"/>
          </w:tcPr>
          <w:p>
            <w:pPr>
              <w:spacing w:after="0"/>
              <w:rPr>
                <w:sz w:val="15"/>
                <w:szCs w:val="15"/>
                <w:color w:val="auto"/>
              </w:rPr>
            </w:pPr>
          </w:p>
        </w:tc>
        <w:tc>
          <w:tcPr>
            <w:tcW w:w="1820" w:type="dxa"/>
            <w:vAlign w:val="bottom"/>
          </w:tcPr>
          <w:p>
            <w:pPr>
              <w:jc w:val="right"/>
              <w:spacing w:after="0" w:line="173" w:lineRule="exact"/>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171"/>
        </w:trPr>
        <w:tc>
          <w:tcPr>
            <w:tcW w:w="3720" w:type="dxa"/>
            <w:vAlign w:val="bottom"/>
          </w:tcPr>
          <w:p>
            <w:pPr>
              <w:ind w:left="140"/>
              <w:spacing w:after="0" w:line="171" w:lineRule="exact"/>
              <w:rPr>
                <w:sz w:val="20"/>
                <w:szCs w:val="20"/>
                <w:color w:val="auto"/>
              </w:rPr>
            </w:pPr>
            <w:r>
              <w:rPr>
                <w:rFonts w:ascii="Arial" w:cs="Arial" w:eastAsia="Arial" w:hAnsi="Arial"/>
                <w:sz w:val="16"/>
                <w:szCs w:val="16"/>
                <w:color w:val="auto"/>
              </w:rPr>
              <w:t>Tecsur</w:t>
            </w:r>
          </w:p>
        </w:tc>
        <w:tc>
          <w:tcPr>
            <w:tcW w:w="2900" w:type="dxa"/>
            <w:vAlign w:val="bottom"/>
          </w:tcPr>
          <w:p>
            <w:pPr>
              <w:jc w:val="right"/>
              <w:ind w:right="382"/>
              <w:spacing w:after="0" w:line="171" w:lineRule="exact"/>
              <w:rPr>
                <w:sz w:val="20"/>
                <w:szCs w:val="20"/>
                <w:color w:val="auto"/>
              </w:rPr>
            </w:pPr>
            <w:r>
              <w:rPr>
                <w:rFonts w:ascii="Arial" w:cs="Arial" w:eastAsia="Arial" w:hAnsi="Arial"/>
                <w:sz w:val="16"/>
                <w:szCs w:val="16"/>
                <w:color w:val="auto"/>
              </w:rPr>
              <w:t>9.8</w:t>
            </w:r>
          </w:p>
        </w:tc>
        <w:tc>
          <w:tcPr>
            <w:tcW w:w="680" w:type="dxa"/>
            <w:vAlign w:val="bottom"/>
          </w:tcPr>
          <w:p>
            <w:pPr>
              <w:spacing w:after="0"/>
              <w:rPr>
                <w:sz w:val="14"/>
                <w:szCs w:val="14"/>
                <w:color w:val="auto"/>
              </w:rPr>
            </w:pPr>
          </w:p>
        </w:tc>
        <w:tc>
          <w:tcPr>
            <w:tcW w:w="1840" w:type="dxa"/>
            <w:vAlign w:val="bottom"/>
          </w:tcPr>
          <w:p>
            <w:pPr>
              <w:jc w:val="right"/>
              <w:ind w:right="101"/>
              <w:spacing w:after="0" w:line="171" w:lineRule="exact"/>
              <w:rPr>
                <w:sz w:val="20"/>
                <w:szCs w:val="20"/>
                <w:color w:val="auto"/>
              </w:rPr>
            </w:pPr>
            <w:r>
              <w:rPr>
                <w:rFonts w:ascii="Arial" w:cs="Arial" w:eastAsia="Arial" w:hAnsi="Arial"/>
                <w:sz w:val="16"/>
                <w:szCs w:val="16"/>
                <w:color w:val="auto"/>
              </w:rPr>
              <w:t>3</w:t>
            </w:r>
          </w:p>
        </w:tc>
        <w:tc>
          <w:tcPr>
            <w:tcW w:w="460" w:type="dxa"/>
            <w:vAlign w:val="bottom"/>
          </w:tcPr>
          <w:p>
            <w:pPr>
              <w:spacing w:after="0"/>
              <w:rPr>
                <w:sz w:val="14"/>
                <w:szCs w:val="14"/>
                <w:color w:val="auto"/>
              </w:rPr>
            </w:pPr>
          </w:p>
        </w:tc>
        <w:tc>
          <w:tcPr>
            <w:tcW w:w="1820" w:type="dxa"/>
            <w:vAlign w:val="bottom"/>
          </w:tcPr>
          <w:p>
            <w:pPr>
              <w:jc w:val="right"/>
              <w:spacing w:after="0" w:line="171"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5"/>
        </w:trPr>
        <w:tc>
          <w:tcPr>
            <w:tcW w:w="3720" w:type="dxa"/>
            <w:vAlign w:val="bottom"/>
          </w:tcPr>
          <w:p>
            <w:pPr>
              <w:spacing w:after="0" w:line="175" w:lineRule="exact"/>
              <w:rPr>
                <w:sz w:val="20"/>
                <w:szCs w:val="20"/>
                <w:color w:val="auto"/>
              </w:rPr>
            </w:pPr>
            <w:r>
              <w:rPr>
                <w:rFonts w:ascii="Arial" w:cs="Arial" w:eastAsia="Arial" w:hAnsi="Arial"/>
                <w:sz w:val="16"/>
                <w:szCs w:val="16"/>
                <w:b w:val="1"/>
                <w:bCs w:val="1"/>
                <w:color w:val="auto"/>
              </w:rPr>
              <w:t>Sempra Mexico:</w:t>
            </w:r>
          </w:p>
        </w:tc>
        <w:tc>
          <w:tcPr>
            <w:tcW w:w="2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20" w:type="dxa"/>
            <w:vAlign w:val="bottom"/>
          </w:tcPr>
          <w:p>
            <w:pPr>
              <w:ind w:left="140"/>
              <w:spacing w:after="0" w:line="171" w:lineRule="exact"/>
              <w:rPr>
                <w:sz w:val="20"/>
                <w:szCs w:val="20"/>
                <w:color w:val="auto"/>
              </w:rPr>
            </w:pPr>
            <w:r>
              <w:rPr>
                <w:rFonts w:ascii="Arial" w:cs="Arial" w:eastAsia="Arial" w:hAnsi="Arial"/>
                <w:sz w:val="16"/>
                <w:szCs w:val="16"/>
                <w:color w:val="auto"/>
              </w:rPr>
              <w:t>IEnova</w:t>
            </w:r>
          </w:p>
        </w:tc>
        <w:tc>
          <w:tcPr>
            <w:tcW w:w="2900" w:type="dxa"/>
            <w:vAlign w:val="bottom"/>
          </w:tcPr>
          <w:p>
            <w:pPr>
              <w:jc w:val="right"/>
              <w:ind w:right="382"/>
              <w:spacing w:after="0" w:line="171" w:lineRule="exact"/>
              <w:rPr>
                <w:sz w:val="20"/>
                <w:szCs w:val="20"/>
                <w:color w:val="auto"/>
              </w:rPr>
            </w:pPr>
            <w:r>
              <w:rPr>
                <w:rFonts w:ascii="Arial" w:cs="Arial" w:eastAsia="Arial" w:hAnsi="Arial"/>
                <w:sz w:val="16"/>
                <w:szCs w:val="16"/>
                <w:color w:val="auto"/>
              </w:rPr>
              <w:t>18.9</w:t>
            </w:r>
          </w:p>
        </w:tc>
        <w:tc>
          <w:tcPr>
            <w:tcW w:w="680" w:type="dxa"/>
            <w:vAlign w:val="bottom"/>
          </w:tcPr>
          <w:p>
            <w:pPr>
              <w:spacing w:after="0"/>
              <w:rPr>
                <w:sz w:val="14"/>
                <w:szCs w:val="14"/>
                <w:color w:val="auto"/>
              </w:rPr>
            </w:pPr>
          </w:p>
        </w:tc>
        <w:tc>
          <w:tcPr>
            <w:tcW w:w="1840" w:type="dxa"/>
            <w:vAlign w:val="bottom"/>
          </w:tcPr>
          <w:p>
            <w:pPr>
              <w:jc w:val="right"/>
              <w:ind w:right="101"/>
              <w:spacing w:after="0" w:line="171" w:lineRule="exact"/>
              <w:rPr>
                <w:sz w:val="20"/>
                <w:szCs w:val="20"/>
                <w:color w:val="auto"/>
              </w:rPr>
            </w:pPr>
            <w:r>
              <w:rPr>
                <w:rFonts w:ascii="Arial" w:cs="Arial" w:eastAsia="Arial" w:hAnsi="Arial"/>
                <w:sz w:val="16"/>
                <w:szCs w:val="16"/>
                <w:color w:val="auto"/>
              </w:rPr>
              <w:t>461</w:t>
            </w:r>
          </w:p>
        </w:tc>
        <w:tc>
          <w:tcPr>
            <w:tcW w:w="460" w:type="dxa"/>
            <w:vAlign w:val="bottom"/>
          </w:tcPr>
          <w:p>
            <w:pPr>
              <w:spacing w:after="0"/>
              <w:rPr>
                <w:sz w:val="14"/>
                <w:szCs w:val="14"/>
                <w:color w:val="auto"/>
              </w:rPr>
            </w:pPr>
          </w:p>
        </w:tc>
        <w:tc>
          <w:tcPr>
            <w:tcW w:w="1820" w:type="dxa"/>
            <w:vAlign w:val="bottom"/>
          </w:tcPr>
          <w:p>
            <w:pPr>
              <w:jc w:val="right"/>
              <w:spacing w:after="0" w:line="171" w:lineRule="exact"/>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175"/>
        </w:trPr>
        <w:tc>
          <w:tcPr>
            <w:tcW w:w="3720" w:type="dxa"/>
            <w:vAlign w:val="bottom"/>
          </w:tcPr>
          <w:p>
            <w:pPr>
              <w:spacing w:after="0" w:line="175" w:lineRule="exact"/>
              <w:rPr>
                <w:sz w:val="20"/>
                <w:szCs w:val="20"/>
                <w:color w:val="auto"/>
              </w:rPr>
            </w:pPr>
            <w:r>
              <w:rPr>
                <w:rFonts w:ascii="Arial" w:cs="Arial" w:eastAsia="Arial" w:hAnsi="Arial"/>
                <w:sz w:val="16"/>
                <w:szCs w:val="16"/>
                <w:b w:val="1"/>
                <w:bCs w:val="1"/>
                <w:color w:val="auto"/>
              </w:rPr>
              <w:t>Sempra Natural Gas:</w:t>
            </w:r>
          </w:p>
        </w:tc>
        <w:tc>
          <w:tcPr>
            <w:tcW w:w="2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20" w:type="dxa"/>
            <w:vAlign w:val="bottom"/>
          </w:tcPr>
          <w:p>
            <w:pPr>
              <w:ind w:left="140"/>
              <w:spacing w:after="0" w:line="173" w:lineRule="exact"/>
              <w:rPr>
                <w:sz w:val="20"/>
                <w:szCs w:val="20"/>
                <w:color w:val="auto"/>
              </w:rPr>
            </w:pPr>
            <w:r>
              <w:rPr>
                <w:rFonts w:ascii="Arial" w:cs="Arial" w:eastAsia="Arial" w:hAnsi="Arial"/>
                <w:sz w:val="16"/>
                <w:szCs w:val="16"/>
                <w:color w:val="auto"/>
              </w:rPr>
              <w:t>Bay Gas Storage, Ltd.</w:t>
            </w:r>
          </w:p>
        </w:tc>
        <w:tc>
          <w:tcPr>
            <w:tcW w:w="2900" w:type="dxa"/>
            <w:vAlign w:val="bottom"/>
          </w:tcPr>
          <w:p>
            <w:pPr>
              <w:jc w:val="right"/>
              <w:ind w:right="382"/>
              <w:spacing w:after="0" w:line="173" w:lineRule="exact"/>
              <w:rPr>
                <w:sz w:val="20"/>
                <w:szCs w:val="20"/>
                <w:color w:val="auto"/>
              </w:rPr>
            </w:pPr>
            <w:r>
              <w:rPr>
                <w:rFonts w:ascii="Arial" w:cs="Arial" w:eastAsia="Arial" w:hAnsi="Arial"/>
                <w:sz w:val="16"/>
                <w:szCs w:val="16"/>
                <w:color w:val="auto"/>
              </w:rPr>
              <w:t>9.1</w:t>
            </w:r>
          </w:p>
        </w:tc>
        <w:tc>
          <w:tcPr>
            <w:tcW w:w="680" w:type="dxa"/>
            <w:vAlign w:val="bottom"/>
          </w:tcPr>
          <w:p>
            <w:pPr>
              <w:spacing w:after="0"/>
              <w:rPr>
                <w:sz w:val="15"/>
                <w:szCs w:val="15"/>
                <w:color w:val="auto"/>
              </w:rPr>
            </w:pPr>
          </w:p>
        </w:tc>
        <w:tc>
          <w:tcPr>
            <w:tcW w:w="1840" w:type="dxa"/>
            <w:vAlign w:val="bottom"/>
          </w:tcPr>
          <w:p>
            <w:pPr>
              <w:jc w:val="right"/>
              <w:ind w:right="101"/>
              <w:spacing w:after="0" w:line="173" w:lineRule="exact"/>
              <w:rPr>
                <w:sz w:val="20"/>
                <w:szCs w:val="20"/>
                <w:color w:val="auto"/>
              </w:rPr>
            </w:pPr>
            <w:r>
              <w:rPr>
                <w:rFonts w:ascii="Arial" w:cs="Arial" w:eastAsia="Arial" w:hAnsi="Arial"/>
                <w:sz w:val="16"/>
                <w:szCs w:val="16"/>
                <w:color w:val="auto"/>
              </w:rPr>
              <w:t>23</w:t>
            </w:r>
          </w:p>
        </w:tc>
        <w:tc>
          <w:tcPr>
            <w:tcW w:w="460" w:type="dxa"/>
            <w:vAlign w:val="bottom"/>
          </w:tcPr>
          <w:p>
            <w:pPr>
              <w:spacing w:after="0"/>
              <w:rPr>
                <w:sz w:val="15"/>
                <w:szCs w:val="15"/>
                <w:color w:val="auto"/>
              </w:rPr>
            </w:pPr>
          </w:p>
        </w:tc>
        <w:tc>
          <w:tcPr>
            <w:tcW w:w="1820" w:type="dxa"/>
            <w:vAlign w:val="bottom"/>
          </w:tcPr>
          <w:p>
            <w:pPr>
              <w:jc w:val="right"/>
              <w:spacing w:after="0" w:line="173"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73"/>
        </w:trPr>
        <w:tc>
          <w:tcPr>
            <w:tcW w:w="3720" w:type="dxa"/>
            <w:vAlign w:val="bottom"/>
          </w:tcPr>
          <w:p>
            <w:pPr>
              <w:ind w:left="140"/>
              <w:spacing w:after="0" w:line="173" w:lineRule="exact"/>
              <w:rPr>
                <w:sz w:val="20"/>
                <w:szCs w:val="20"/>
                <w:color w:val="auto"/>
              </w:rPr>
            </w:pPr>
            <w:r>
              <w:rPr>
                <w:rFonts w:ascii="Arial" w:cs="Arial" w:eastAsia="Arial" w:hAnsi="Arial"/>
                <w:sz w:val="16"/>
                <w:szCs w:val="16"/>
                <w:color w:val="auto"/>
              </w:rPr>
              <w:t>Liberty Gas Storage, LLC</w:t>
            </w:r>
          </w:p>
        </w:tc>
        <w:tc>
          <w:tcPr>
            <w:tcW w:w="2900" w:type="dxa"/>
            <w:vAlign w:val="bottom"/>
          </w:tcPr>
          <w:p>
            <w:pPr>
              <w:jc w:val="right"/>
              <w:ind w:right="382"/>
              <w:spacing w:after="0" w:line="173" w:lineRule="exact"/>
              <w:rPr>
                <w:sz w:val="20"/>
                <w:szCs w:val="20"/>
                <w:color w:val="auto"/>
              </w:rPr>
            </w:pPr>
            <w:r>
              <w:rPr>
                <w:rFonts w:ascii="Arial" w:cs="Arial" w:eastAsia="Arial" w:hAnsi="Arial"/>
                <w:sz w:val="16"/>
                <w:szCs w:val="16"/>
                <w:color w:val="auto"/>
              </w:rPr>
              <w:t>25.0</w:t>
            </w:r>
          </w:p>
        </w:tc>
        <w:tc>
          <w:tcPr>
            <w:tcW w:w="680" w:type="dxa"/>
            <w:vAlign w:val="bottom"/>
          </w:tcPr>
          <w:p>
            <w:pPr>
              <w:spacing w:after="0"/>
              <w:rPr>
                <w:sz w:val="15"/>
                <w:szCs w:val="15"/>
                <w:color w:val="auto"/>
              </w:rPr>
            </w:pPr>
          </w:p>
        </w:tc>
        <w:tc>
          <w:tcPr>
            <w:tcW w:w="1840" w:type="dxa"/>
            <w:vAlign w:val="bottom"/>
          </w:tcPr>
          <w:p>
            <w:pPr>
              <w:jc w:val="right"/>
              <w:ind w:right="101"/>
              <w:spacing w:after="0" w:line="173" w:lineRule="exact"/>
              <w:rPr>
                <w:sz w:val="20"/>
                <w:szCs w:val="20"/>
                <w:color w:val="auto"/>
              </w:rPr>
            </w:pPr>
            <w:r>
              <w:rPr>
                <w:rFonts w:ascii="Arial" w:cs="Arial" w:eastAsia="Arial" w:hAnsi="Arial"/>
                <w:sz w:val="16"/>
                <w:szCs w:val="16"/>
                <w:color w:val="auto"/>
              </w:rPr>
              <w:t>14</w:t>
            </w:r>
          </w:p>
        </w:tc>
        <w:tc>
          <w:tcPr>
            <w:tcW w:w="460" w:type="dxa"/>
            <w:vAlign w:val="bottom"/>
          </w:tcPr>
          <w:p>
            <w:pPr>
              <w:spacing w:after="0"/>
              <w:rPr>
                <w:sz w:val="15"/>
                <w:szCs w:val="15"/>
                <w:color w:val="auto"/>
              </w:rPr>
            </w:pPr>
          </w:p>
        </w:tc>
        <w:tc>
          <w:tcPr>
            <w:tcW w:w="1820" w:type="dxa"/>
            <w:vAlign w:val="bottom"/>
          </w:tcPr>
          <w:p>
            <w:pPr>
              <w:jc w:val="right"/>
              <w:spacing w:after="0" w:line="173"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4"/>
        </w:trPr>
        <w:tc>
          <w:tcPr>
            <w:tcW w:w="3720" w:type="dxa"/>
            <w:vAlign w:val="bottom"/>
          </w:tcPr>
          <w:p>
            <w:pPr>
              <w:ind w:left="140"/>
              <w:spacing w:after="0"/>
              <w:rPr>
                <w:sz w:val="20"/>
                <w:szCs w:val="20"/>
                <w:color w:val="auto"/>
              </w:rPr>
            </w:pPr>
            <w:r>
              <w:rPr>
                <w:rFonts w:ascii="Arial" w:cs="Arial" w:eastAsia="Arial" w:hAnsi="Arial"/>
                <w:sz w:val="16"/>
                <w:szCs w:val="16"/>
                <w:color w:val="auto"/>
              </w:rPr>
              <w:t>Southern Gas Transmission Company</w:t>
            </w:r>
          </w:p>
        </w:tc>
        <w:tc>
          <w:tcPr>
            <w:tcW w:w="2900" w:type="dxa"/>
            <w:vAlign w:val="bottom"/>
          </w:tcPr>
          <w:p>
            <w:pPr>
              <w:jc w:val="right"/>
              <w:ind w:right="382"/>
              <w:spacing w:after="0"/>
              <w:rPr>
                <w:sz w:val="20"/>
                <w:szCs w:val="20"/>
                <w:color w:val="auto"/>
              </w:rPr>
            </w:pPr>
            <w:r>
              <w:rPr>
                <w:rFonts w:ascii="Arial" w:cs="Arial" w:eastAsia="Arial" w:hAnsi="Arial"/>
                <w:sz w:val="16"/>
                <w:szCs w:val="16"/>
                <w:color w:val="auto"/>
              </w:rPr>
              <w:t>49.0</w:t>
            </w:r>
          </w:p>
        </w:tc>
        <w:tc>
          <w:tcPr>
            <w:tcW w:w="6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7"/>
        </w:trPr>
        <w:tc>
          <w:tcPr>
            <w:tcW w:w="3720" w:type="dxa"/>
            <w:vAlign w:val="bottom"/>
          </w:tcPr>
          <w:p>
            <w:pPr>
              <w:ind w:left="260"/>
              <w:spacing w:after="0"/>
              <w:rPr>
                <w:sz w:val="20"/>
                <w:szCs w:val="20"/>
                <w:color w:val="auto"/>
              </w:rPr>
            </w:pPr>
            <w:r>
              <w:rPr>
                <w:rFonts w:ascii="Arial" w:cs="Arial" w:eastAsia="Arial" w:hAnsi="Arial"/>
                <w:sz w:val="16"/>
                <w:szCs w:val="16"/>
                <w:color w:val="auto"/>
              </w:rPr>
              <w:t>Total Sempra Energy</w:t>
            </w:r>
          </w:p>
        </w:tc>
        <w:tc>
          <w:tcPr>
            <w:tcW w:w="2900" w:type="dxa"/>
            <w:vAlign w:val="bottom"/>
          </w:tcPr>
          <w:p>
            <w:pPr>
              <w:spacing w:after="0"/>
              <w:rPr>
                <w:sz w:val="17"/>
                <w:szCs w:val="17"/>
                <w:color w:val="auto"/>
              </w:rPr>
            </w:pPr>
          </w:p>
        </w:tc>
        <w:tc>
          <w:tcPr>
            <w:tcW w:w="6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01"/>
              <w:spacing w:after="0"/>
              <w:rPr>
                <w:sz w:val="20"/>
                <w:szCs w:val="20"/>
                <w:color w:val="auto"/>
              </w:rPr>
            </w:pPr>
            <w:r>
              <w:rPr>
                <w:rFonts w:ascii="Arial" w:cs="Arial" w:eastAsia="Arial" w:hAnsi="Arial"/>
                <w:sz w:val="16"/>
                <w:szCs w:val="16"/>
                <w:color w:val="auto"/>
              </w:rPr>
              <w:t>837</w:t>
            </w:r>
          </w:p>
        </w:tc>
        <w:tc>
          <w:tcPr>
            <w:tcW w:w="4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2485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560" w:right="20" w:hanging="554"/>
        <w:spacing w:after="0" w:line="254" w:lineRule="auto"/>
        <w:tabs>
          <w:tab w:leader="none" w:pos="56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Chilquinta Energía has four subsidiaries with noncontrolling interests held by others. Percentage range reflects the highest and lowest ownership percentages amongst these subsidiaries.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Loans to and Receivables from Unconsolidated Affiliates – Sempra Energy Consolidated</w:t>
      </w:r>
    </w:p>
    <w:p>
      <w:pPr>
        <w:spacing w:after="0" w:line="21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Sempra South American Utilities has a U.S. dollar-denominated loan to Eletrans S.A., an affiliate of Chilquinta Energía that we discuss in Note 4 of the Notes to Consolidated Financial Statements in the Annual Report. At June 30, 2014, the loan has a $37 million principal balance outstanding plus $1 million of accumulated interest at a fixed interest rate of 4 percent.</w:t>
      </w:r>
    </w:p>
    <w:p>
      <w:pPr>
        <w:spacing w:after="0" w:line="178" w:lineRule="exact"/>
        <w:rPr>
          <w:sz w:val="20"/>
          <w:szCs w:val="20"/>
          <w:color w:val="auto"/>
        </w:rPr>
      </w:pPr>
    </w:p>
    <w:p>
      <w:pPr>
        <w:ind w:right="840"/>
        <w:spacing w:after="0" w:line="275" w:lineRule="auto"/>
        <w:rPr>
          <w:sz w:val="20"/>
          <w:szCs w:val="20"/>
          <w:color w:val="auto"/>
        </w:rPr>
      </w:pPr>
      <w:r>
        <w:rPr>
          <w:rFonts w:ascii="Times New Roman" w:cs="Times New Roman" w:eastAsia="Times New Roman" w:hAnsi="Times New Roman"/>
          <w:sz w:val="18"/>
          <w:szCs w:val="18"/>
          <w:color w:val="auto"/>
        </w:rPr>
        <w:t>At both June 30, 2014 and December 31, 2013, Sempra Energy had $4 million in accounts receivable from various Sempra Renewables joint venture investments.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Service Agreements</w:t>
      </w:r>
    </w:p>
    <w:p>
      <w:pPr>
        <w:spacing w:after="0" w:line="215"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Sempra Energy, SDG&amp;E and SoCalGas provide certain services to each other and are charged an allocable share of the cost of such services. Amounts due to/from affiliates are as follows:</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DUE TO AND FROM AFFILIATES AT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920" w:type="dxa"/>
            <w:vAlign w:val="bottom"/>
          </w:tcPr>
          <w:p>
            <w:pPr>
              <w:spacing w:after="0"/>
              <w:rPr>
                <w:sz w:val="16"/>
                <w:szCs w:val="16"/>
                <w:color w:val="auto"/>
              </w:rPr>
            </w:pPr>
          </w:p>
        </w:tc>
        <w:tc>
          <w:tcPr>
            <w:tcW w:w="1280" w:type="dxa"/>
            <w:vAlign w:val="bottom"/>
            <w:vMerge w:val="restart"/>
          </w:tcPr>
          <w:p>
            <w:pPr>
              <w:jc w:val="center"/>
              <w:ind w:left="229"/>
              <w:spacing w:after="0"/>
              <w:rPr>
                <w:sz w:val="20"/>
                <w:szCs w:val="20"/>
                <w:color w:val="auto"/>
              </w:rPr>
            </w:pPr>
            <w:r>
              <w:rPr>
                <w:rFonts w:ascii="Arial" w:cs="Arial" w:eastAsia="Arial" w:hAnsi="Arial"/>
                <w:sz w:val="14"/>
                <w:szCs w:val="14"/>
                <w:color w:val="auto"/>
              </w:rPr>
              <w:t>June 30,</w:t>
            </w: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vMerge w:val="restart"/>
          </w:tcPr>
          <w:p>
            <w:pPr>
              <w:jc w:val="center"/>
              <w:ind w:right="186"/>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39"/>
        </w:trPr>
        <w:tc>
          <w:tcPr>
            <w:tcW w:w="49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2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gridSpan w:val="2"/>
          </w:tcPr>
          <w:p>
            <w:pPr>
              <w:jc w:val="right"/>
              <w:ind w:right="269"/>
              <w:spacing w:after="0"/>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26"/>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35"/>
        </w:trPr>
        <w:tc>
          <w:tcPr>
            <w:tcW w:w="4920" w:type="dxa"/>
            <w:vAlign w:val="bottom"/>
          </w:tcPr>
          <w:p>
            <w:pPr>
              <w:spacing w:after="0" w:line="135" w:lineRule="exact"/>
              <w:rPr>
                <w:sz w:val="20"/>
                <w:szCs w:val="20"/>
                <w:color w:val="auto"/>
              </w:rPr>
            </w:pPr>
            <w:r>
              <w:rPr>
                <w:rFonts w:ascii="Arial" w:cs="Arial" w:eastAsia="Arial" w:hAnsi="Arial"/>
                <w:sz w:val="15"/>
                <w:szCs w:val="15"/>
                <w:b w:val="1"/>
                <w:bCs w:val="1"/>
                <w:color w:val="auto"/>
              </w:rPr>
              <w:t>SDG&amp;E:</w:t>
            </w:r>
          </w:p>
        </w:tc>
        <w:tc>
          <w:tcPr>
            <w:tcW w:w="2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4920" w:type="dxa"/>
            <w:vAlign w:val="bottom"/>
          </w:tcPr>
          <w:p>
            <w:pPr>
              <w:spacing w:after="0"/>
              <w:rPr>
                <w:sz w:val="20"/>
                <w:szCs w:val="20"/>
                <w:color w:val="auto"/>
              </w:rPr>
            </w:pPr>
            <w:r>
              <w:rPr>
                <w:rFonts w:ascii="Arial" w:cs="Arial" w:eastAsia="Arial" w:hAnsi="Arial"/>
                <w:sz w:val="16"/>
                <w:szCs w:val="16"/>
                <w:color w:val="auto"/>
              </w:rPr>
              <w:t>Current:</w:t>
            </w:r>
          </w:p>
        </w:tc>
        <w:tc>
          <w:tcPr>
            <w:tcW w:w="4200" w:type="dxa"/>
            <w:vAlign w:val="bottom"/>
            <w:gridSpan w:val="2"/>
            <w:vMerge w:val="restart"/>
          </w:tcPr>
          <w:p>
            <w:pPr>
              <w:jc w:val="right"/>
              <w:ind w:right="1129"/>
              <w:spacing w:after="0"/>
              <w:rPr>
                <w:sz w:val="20"/>
                <w:szCs w:val="20"/>
                <w:color w:val="auto"/>
              </w:rPr>
            </w:pPr>
            <w:r>
              <w:rPr>
                <w:rFonts w:ascii="Arial" w:cs="Arial" w:eastAsia="Arial" w:hAnsi="Arial"/>
                <w:sz w:val="16"/>
                <w:szCs w:val="16"/>
                <w:color w:val="auto"/>
              </w:rPr>
              <w:t>$</w:t>
            </w:r>
          </w:p>
        </w:tc>
        <w:tc>
          <w:tcPr>
            <w:tcW w:w="480" w:type="dxa"/>
            <w:vAlign w:val="bottom"/>
            <w:vMerge w:val="restart"/>
          </w:tcPr>
          <w:p>
            <w:pPr>
              <w:jc w:val="right"/>
              <w:ind w:right="100"/>
              <w:spacing w:after="0"/>
              <w:rPr>
                <w:sz w:val="20"/>
                <w:szCs w:val="20"/>
                <w:color w:val="auto"/>
              </w:rPr>
            </w:pPr>
            <w:r>
              <w:rPr>
                <w:rFonts w:ascii="Arial" w:cs="Arial" w:eastAsia="Arial" w:hAnsi="Arial"/>
                <w:sz w:val="16"/>
                <w:szCs w:val="16"/>
                <w:color w:val="auto"/>
              </w:rPr>
              <w:t>1</w:t>
            </w:r>
          </w:p>
        </w:tc>
        <w:tc>
          <w:tcPr>
            <w:tcW w:w="38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3"/>
        </w:trPr>
        <w:tc>
          <w:tcPr>
            <w:tcW w:w="4920" w:type="dxa"/>
            <w:vAlign w:val="bottom"/>
            <w:vMerge w:val="restart"/>
          </w:tcPr>
          <w:p>
            <w:pPr>
              <w:ind w:left="180"/>
              <w:spacing w:after="0"/>
              <w:rPr>
                <w:sz w:val="20"/>
                <w:szCs w:val="20"/>
                <w:color w:val="auto"/>
              </w:rPr>
            </w:pPr>
            <w:r>
              <w:rPr>
                <w:rFonts w:ascii="Arial" w:cs="Arial" w:eastAsia="Arial" w:hAnsi="Arial"/>
                <w:sz w:val="16"/>
                <w:szCs w:val="16"/>
                <w:color w:val="auto"/>
              </w:rPr>
              <w:t>Due from various affiliates</w:t>
            </w:r>
          </w:p>
        </w:tc>
        <w:tc>
          <w:tcPr>
            <w:tcW w:w="420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4920" w:type="dxa"/>
            <w:vAlign w:val="bottom"/>
            <w:vMerge w:val="continue"/>
          </w:tcPr>
          <w:p>
            <w:pPr>
              <w:spacing w:after="0"/>
              <w:rPr>
                <w:sz w:val="6"/>
                <w:szCs w:val="6"/>
                <w:color w:val="auto"/>
              </w:rPr>
            </w:pPr>
          </w:p>
        </w:tc>
        <w:tc>
          <w:tcPr>
            <w:tcW w:w="2920" w:type="dxa"/>
            <w:vAlign w:val="bottom"/>
          </w:tcPr>
          <w:p>
            <w:pPr>
              <w:spacing w:after="0"/>
              <w:rPr>
                <w:sz w:val="6"/>
                <w:szCs w:val="6"/>
                <w:color w:val="auto"/>
              </w:rPr>
            </w:pPr>
          </w:p>
        </w:tc>
        <w:tc>
          <w:tcPr>
            <w:tcW w:w="128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4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5"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ind w:left="180"/>
              <w:spacing w:after="0"/>
              <w:rPr>
                <w:sz w:val="20"/>
                <w:szCs w:val="20"/>
                <w:color w:val="auto"/>
              </w:rPr>
            </w:pPr>
            <w:r>
              <w:rPr>
                <w:rFonts w:ascii="Arial" w:cs="Arial" w:eastAsia="Arial" w:hAnsi="Arial"/>
                <w:sz w:val="16"/>
                <w:szCs w:val="16"/>
                <w:color w:val="auto"/>
              </w:rPr>
              <w:t>Due to Sempra Energy</w:t>
            </w:r>
          </w:p>
        </w:tc>
        <w:tc>
          <w:tcPr>
            <w:tcW w:w="740" w:type="dxa"/>
            <w:vAlign w:val="bottom"/>
            <w:gridSpan w:val="2"/>
          </w:tcPr>
          <w:p>
            <w:pPr>
              <w:jc w:val="right"/>
              <w:ind w:right="609"/>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16</w:t>
            </w:r>
          </w:p>
        </w:tc>
        <w:tc>
          <w:tcPr>
            <w:tcW w:w="92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3"/>
        </w:trPr>
        <w:tc>
          <w:tcPr>
            <w:tcW w:w="7840" w:type="dxa"/>
            <w:vAlign w:val="bottom"/>
          </w:tcPr>
          <w:p>
            <w:pPr>
              <w:ind w:left="180"/>
              <w:spacing w:after="0" w:line="173" w:lineRule="exact"/>
              <w:rPr>
                <w:sz w:val="20"/>
                <w:szCs w:val="20"/>
                <w:color w:val="auto"/>
              </w:rPr>
            </w:pPr>
            <w:r>
              <w:rPr>
                <w:rFonts w:ascii="Arial" w:cs="Arial" w:eastAsia="Arial" w:hAnsi="Arial"/>
                <w:sz w:val="16"/>
                <w:szCs w:val="16"/>
                <w:color w:val="auto"/>
              </w:rPr>
              <w:t>Due to SoCalGas</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jc w:val="right"/>
              <w:ind w:right="100"/>
              <w:spacing w:after="0" w:line="173" w:lineRule="exact"/>
              <w:rPr>
                <w:sz w:val="20"/>
                <w:szCs w:val="20"/>
                <w:color w:val="auto"/>
              </w:rPr>
            </w:pPr>
            <w:r>
              <w:rPr>
                <w:rFonts w:ascii="Arial" w:cs="Arial" w:eastAsia="Arial" w:hAnsi="Arial"/>
                <w:sz w:val="16"/>
                <w:szCs w:val="16"/>
                <w:color w:val="auto"/>
              </w:rPr>
              <w:t>13</w:t>
            </w:r>
          </w:p>
        </w:tc>
        <w:tc>
          <w:tcPr>
            <w:tcW w:w="920" w:type="dxa"/>
            <w:vAlign w:val="bottom"/>
          </w:tcPr>
          <w:p>
            <w:pPr>
              <w:spacing w:after="0"/>
              <w:rPr>
                <w:sz w:val="15"/>
                <w:szCs w:val="15"/>
                <w:color w:val="auto"/>
              </w:rPr>
            </w:pPr>
          </w:p>
        </w:tc>
        <w:tc>
          <w:tcPr>
            <w:tcW w:w="9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7840" w:type="dxa"/>
            <w:vAlign w:val="bottom"/>
          </w:tcPr>
          <w:p>
            <w:pPr>
              <w:ind w:left="180"/>
              <w:spacing w:after="0"/>
              <w:rPr>
                <w:sz w:val="20"/>
                <w:szCs w:val="20"/>
                <w:color w:val="auto"/>
              </w:rPr>
            </w:pPr>
            <w:r>
              <w:rPr>
                <w:rFonts w:ascii="Arial" w:cs="Arial" w:eastAsia="Arial" w:hAnsi="Arial"/>
                <w:sz w:val="16"/>
                <w:szCs w:val="16"/>
                <w:color w:val="auto"/>
              </w:rPr>
              <w:t>Due to various affiliates</w:t>
            </w:r>
          </w:p>
        </w:tc>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66"/>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right"/>
              <w:ind w:right="60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00"/>
              <w:spacing w:after="0" w:line="166" w:lineRule="exact"/>
              <w:rPr>
                <w:sz w:val="20"/>
                <w:szCs w:val="20"/>
                <w:color w:val="auto"/>
              </w:rPr>
            </w:pPr>
            <w:r>
              <w:rPr>
                <w:rFonts w:ascii="Arial" w:cs="Arial" w:eastAsia="Arial" w:hAnsi="Arial"/>
                <w:sz w:val="16"/>
                <w:szCs w:val="16"/>
                <w:color w:val="auto"/>
              </w:rPr>
              <w:t>29</w:t>
            </w:r>
          </w:p>
        </w:tc>
        <w:tc>
          <w:tcPr>
            <w:tcW w:w="920" w:type="dxa"/>
            <w:vAlign w:val="bottom"/>
          </w:tcPr>
          <w:p>
            <w:pPr>
              <w:jc w:val="right"/>
              <w:ind w:right="600"/>
              <w:spacing w:after="0" w:line="166"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6"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80"/>
        </w:trPr>
        <w:tc>
          <w:tcPr>
            <w:tcW w:w="7840" w:type="dxa"/>
            <w:vAlign w:val="bottom"/>
          </w:tcPr>
          <w:p>
            <w:pPr>
              <w:spacing w:after="0"/>
              <w:rPr>
                <w:sz w:val="6"/>
                <w:szCs w:val="6"/>
                <w:color w:val="auto"/>
              </w:rPr>
            </w:pPr>
          </w:p>
        </w:tc>
        <w:tc>
          <w:tcPr>
            <w:tcW w:w="740" w:type="dxa"/>
            <w:vAlign w:val="bottom"/>
            <w:gridSpan w:val="2"/>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372"/>
        </w:trPr>
        <w:tc>
          <w:tcPr>
            <w:tcW w:w="7840" w:type="dxa"/>
            <w:vAlign w:val="bottom"/>
          </w:tcPr>
          <w:p>
            <w:pPr>
              <w:spacing w:after="0"/>
              <w:rPr>
                <w:sz w:val="20"/>
                <w:szCs w:val="20"/>
                <w:color w:val="auto"/>
              </w:rPr>
            </w:pPr>
            <w:r>
              <w:rPr>
                <w:rFonts w:ascii="Arial" w:cs="Arial" w:eastAsia="Arial" w:hAnsi="Arial"/>
                <w:sz w:val="16"/>
                <w:szCs w:val="16"/>
                <w:color w:val="auto"/>
              </w:rPr>
              <w:t>Income taxes due from Sempra Energy(1)</w:t>
            </w:r>
          </w:p>
        </w:tc>
        <w:tc>
          <w:tcPr>
            <w:tcW w:w="740" w:type="dxa"/>
            <w:vAlign w:val="bottom"/>
            <w:gridSpan w:val="2"/>
          </w:tcPr>
          <w:p>
            <w:pPr>
              <w:jc w:val="right"/>
              <w:ind w:right="609"/>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48</w:t>
            </w:r>
          </w:p>
        </w:tc>
        <w:tc>
          <w:tcPr>
            <w:tcW w:w="92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80"/>
        </w:trPr>
        <w:tc>
          <w:tcPr>
            <w:tcW w:w="784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7840" w:type="dxa"/>
            <w:vAlign w:val="bottom"/>
          </w:tcPr>
          <w:p>
            <w:pPr>
              <w:spacing w:after="0" w:line="142" w:lineRule="exact"/>
              <w:rPr>
                <w:sz w:val="20"/>
                <w:szCs w:val="20"/>
                <w:color w:val="auto"/>
              </w:rPr>
            </w:pPr>
            <w:r>
              <w:rPr>
                <w:rFonts w:ascii="Arial" w:cs="Arial" w:eastAsia="Arial" w:hAnsi="Arial"/>
                <w:sz w:val="16"/>
                <w:szCs w:val="16"/>
                <w:b w:val="1"/>
                <w:bCs w:val="1"/>
                <w:color w:val="auto"/>
              </w:rPr>
              <w:t>SoCalGas: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840" w:type="dxa"/>
            <w:vAlign w:val="bottom"/>
          </w:tcPr>
          <w:p>
            <w:pPr>
              <w:spacing w:after="0" w:line="173" w:lineRule="exact"/>
              <w:rPr>
                <w:sz w:val="20"/>
                <w:szCs w:val="20"/>
                <w:color w:val="auto"/>
              </w:rPr>
            </w:pPr>
            <w:r>
              <w:rPr>
                <w:rFonts w:ascii="Arial" w:cs="Arial" w:eastAsia="Arial" w:hAnsi="Arial"/>
                <w:sz w:val="16"/>
                <w:szCs w:val="16"/>
                <w:color w:val="auto"/>
              </w:rPr>
              <w:t>Current:</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40" w:type="dxa"/>
            <w:vAlign w:val="bottom"/>
          </w:tcPr>
          <w:p>
            <w:pPr>
              <w:ind w:left="180"/>
              <w:spacing w:after="0" w:line="173" w:lineRule="exact"/>
              <w:rPr>
                <w:sz w:val="20"/>
                <w:szCs w:val="20"/>
                <w:color w:val="auto"/>
              </w:rPr>
            </w:pPr>
            <w:r>
              <w:rPr>
                <w:rFonts w:ascii="Arial" w:cs="Arial" w:eastAsia="Arial" w:hAnsi="Arial"/>
                <w:sz w:val="16"/>
                <w:szCs w:val="16"/>
                <w:color w:val="auto"/>
              </w:rPr>
              <w:t>Due from SDG&amp;E</w:t>
            </w:r>
          </w:p>
        </w:tc>
        <w:tc>
          <w:tcPr>
            <w:tcW w:w="740" w:type="dxa"/>
            <w:vAlign w:val="bottom"/>
            <w:gridSpan w:val="2"/>
          </w:tcPr>
          <w:p>
            <w:pPr>
              <w:jc w:val="right"/>
              <w:ind w:right="609"/>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0"/>
              <w:spacing w:after="0" w:line="173" w:lineRule="exact"/>
              <w:rPr>
                <w:sz w:val="20"/>
                <w:szCs w:val="20"/>
                <w:color w:val="auto"/>
              </w:rPr>
            </w:pPr>
            <w:r>
              <w:rPr>
                <w:rFonts w:ascii="Arial" w:cs="Arial" w:eastAsia="Arial" w:hAnsi="Arial"/>
                <w:sz w:val="16"/>
                <w:szCs w:val="16"/>
                <w:color w:val="auto"/>
              </w:rPr>
              <w:t>13</w:t>
            </w:r>
          </w:p>
        </w:tc>
        <w:tc>
          <w:tcPr>
            <w:tcW w:w="920" w:type="dxa"/>
            <w:vAlign w:val="bottom"/>
          </w:tcPr>
          <w:p>
            <w:pPr>
              <w:jc w:val="right"/>
              <w:ind w:right="600"/>
              <w:spacing w:after="0" w:line="17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7840" w:type="dxa"/>
            <w:vAlign w:val="bottom"/>
          </w:tcPr>
          <w:p>
            <w:pPr>
              <w:ind w:left="180"/>
              <w:spacing w:after="0"/>
              <w:rPr>
                <w:sz w:val="20"/>
                <w:szCs w:val="20"/>
                <w:color w:val="auto"/>
              </w:rPr>
            </w:pPr>
            <w:r>
              <w:rPr>
                <w:rFonts w:ascii="Arial" w:cs="Arial" w:eastAsia="Arial" w:hAnsi="Arial"/>
                <w:sz w:val="16"/>
                <w:szCs w:val="16"/>
                <w:color w:val="auto"/>
              </w:rPr>
              <w:t>Due from various affiliates</w:t>
            </w:r>
          </w:p>
        </w:tc>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66"/>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right"/>
              <w:ind w:right="60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00"/>
              <w:spacing w:after="0" w:line="166" w:lineRule="exact"/>
              <w:rPr>
                <w:sz w:val="20"/>
                <w:szCs w:val="20"/>
                <w:color w:val="auto"/>
              </w:rPr>
            </w:pPr>
            <w:r>
              <w:rPr>
                <w:rFonts w:ascii="Arial" w:cs="Arial" w:eastAsia="Arial" w:hAnsi="Arial"/>
                <w:sz w:val="16"/>
                <w:szCs w:val="16"/>
                <w:color w:val="auto"/>
              </w:rPr>
              <w:t>13</w:t>
            </w:r>
          </w:p>
        </w:tc>
        <w:tc>
          <w:tcPr>
            <w:tcW w:w="920" w:type="dxa"/>
            <w:vAlign w:val="bottom"/>
          </w:tcPr>
          <w:p>
            <w:pPr>
              <w:jc w:val="right"/>
              <w:ind w:right="600"/>
              <w:spacing w:after="0" w:line="166"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6"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80"/>
        </w:trPr>
        <w:tc>
          <w:tcPr>
            <w:tcW w:w="7840" w:type="dxa"/>
            <w:vAlign w:val="bottom"/>
          </w:tcPr>
          <w:p>
            <w:pPr>
              <w:spacing w:after="0"/>
              <w:rPr>
                <w:sz w:val="6"/>
                <w:szCs w:val="6"/>
                <w:color w:val="auto"/>
              </w:rPr>
            </w:pPr>
          </w:p>
        </w:tc>
        <w:tc>
          <w:tcPr>
            <w:tcW w:w="740" w:type="dxa"/>
            <w:vAlign w:val="bottom"/>
            <w:gridSpan w:val="2"/>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518"/>
        </w:trPr>
        <w:tc>
          <w:tcPr>
            <w:tcW w:w="7840" w:type="dxa"/>
            <w:vAlign w:val="bottom"/>
            <w:vMerge w:val="restart"/>
          </w:tcPr>
          <w:p>
            <w:pPr>
              <w:ind w:left="180"/>
              <w:spacing w:after="0"/>
              <w:rPr>
                <w:sz w:val="20"/>
                <w:szCs w:val="20"/>
                <w:color w:val="auto"/>
              </w:rPr>
            </w:pPr>
            <w:r>
              <w:rPr>
                <w:rFonts w:ascii="Arial" w:cs="Arial" w:eastAsia="Arial" w:hAnsi="Arial"/>
                <w:sz w:val="16"/>
                <w:szCs w:val="16"/>
                <w:color w:val="auto"/>
              </w:rPr>
              <w:t>Due to Sempra Energy</w:t>
            </w:r>
          </w:p>
        </w:tc>
        <w:tc>
          <w:tcPr>
            <w:tcW w:w="740" w:type="dxa"/>
            <w:vAlign w:val="bottom"/>
            <w:gridSpan w:val="2"/>
          </w:tcPr>
          <w:p>
            <w:pPr>
              <w:jc w:val="right"/>
              <w:ind w:right="609"/>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13</w:t>
            </w:r>
          </w:p>
        </w:tc>
        <w:tc>
          <w:tcPr>
            <w:tcW w:w="92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80"/>
        </w:trPr>
        <w:tc>
          <w:tcPr>
            <w:tcW w:w="78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545"/>
        </w:trPr>
        <w:tc>
          <w:tcPr>
            <w:tcW w:w="7840" w:type="dxa"/>
            <w:vAlign w:val="bottom"/>
          </w:tcPr>
          <w:p>
            <w:pPr>
              <w:spacing w:after="0"/>
              <w:rPr>
                <w:sz w:val="20"/>
                <w:szCs w:val="20"/>
                <w:color w:val="auto"/>
              </w:rPr>
            </w:pPr>
            <w:r>
              <w:rPr>
                <w:rFonts w:ascii="Arial" w:cs="Arial" w:eastAsia="Arial" w:hAnsi="Arial"/>
                <w:sz w:val="16"/>
                <w:szCs w:val="16"/>
                <w:color w:val="auto"/>
              </w:rPr>
              <w:t>Income taxes due from Sempra Energy(1)</w:t>
            </w:r>
          </w:p>
        </w:tc>
        <w:tc>
          <w:tcPr>
            <w:tcW w:w="740" w:type="dxa"/>
            <w:vAlign w:val="bottom"/>
            <w:gridSpan w:val="2"/>
          </w:tcPr>
          <w:p>
            <w:pPr>
              <w:jc w:val="right"/>
              <w:ind w:right="609"/>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30</w:t>
            </w:r>
          </w:p>
        </w:tc>
        <w:tc>
          <w:tcPr>
            <w:tcW w:w="92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80"/>
        </w:trPr>
        <w:tc>
          <w:tcPr>
            <w:tcW w:w="784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440" w:hanging="434"/>
        <w:spacing w:after="0" w:line="261" w:lineRule="auto"/>
        <w:tabs>
          <w:tab w:leader="none" w:pos="44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SDG&amp;E and SoCalGas are included in the consolidated income tax return of Sempra Energy and are allocated income tax expense from Sempra Energy in an amount equal to that which would result from the companies’ having always filed separate returns.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unconsolidated affiliates at SDG&amp;E and SoCalGas are as follows: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 FROM UNCONSOLIDATED AFFILIATES AT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4460" w:type="dxa"/>
            <w:vAlign w:val="bottom"/>
            <w:gridSpan w:val="3"/>
            <w:vMerge w:val="restart"/>
          </w:tcPr>
          <w:p>
            <w:pPr>
              <w:jc w:val="right"/>
              <w:ind w:right="168"/>
              <w:spacing w:after="0"/>
              <w:rPr>
                <w:sz w:val="20"/>
                <w:szCs w:val="20"/>
                <w:color w:val="auto"/>
              </w:rPr>
            </w:pPr>
            <w:r>
              <w:rPr>
                <w:rFonts w:ascii="Arial" w:cs="Arial" w:eastAsia="Arial" w:hAnsi="Arial"/>
                <w:sz w:val="14"/>
                <w:szCs w:val="14"/>
                <w:color w:val="auto"/>
              </w:rPr>
              <w:t>Three months ended June 30,</w:t>
            </w:r>
          </w:p>
        </w:tc>
        <w:tc>
          <w:tcPr>
            <w:tcW w:w="460" w:type="dxa"/>
            <w:vAlign w:val="bottom"/>
          </w:tcPr>
          <w:p>
            <w:pPr>
              <w:spacing w:after="0"/>
              <w:rPr>
                <w:sz w:val="14"/>
                <w:szCs w:val="14"/>
                <w:color w:val="auto"/>
              </w:rPr>
            </w:pPr>
          </w:p>
        </w:tc>
        <w:tc>
          <w:tcPr>
            <w:tcW w:w="520" w:type="dxa"/>
            <w:vAlign w:val="bottom"/>
            <w:shd w:val="clear" w:color="auto" w:fill="C0C0C0"/>
          </w:tcPr>
          <w:p>
            <w:pPr>
              <w:spacing w:after="0"/>
              <w:rPr>
                <w:sz w:val="14"/>
                <w:szCs w:val="14"/>
                <w:color w:val="auto"/>
              </w:rPr>
            </w:pPr>
          </w:p>
        </w:tc>
        <w:tc>
          <w:tcPr>
            <w:tcW w:w="1260" w:type="dxa"/>
            <w:vAlign w:val="bottom"/>
            <w:shd w:val="clear" w:color="auto" w:fill="C0C0C0"/>
          </w:tcPr>
          <w:p>
            <w:pPr>
              <w:spacing w:after="0"/>
              <w:rPr>
                <w:sz w:val="14"/>
                <w:szCs w:val="14"/>
                <w:color w:val="auto"/>
              </w:rPr>
            </w:pPr>
          </w:p>
        </w:tc>
        <w:tc>
          <w:tcPr>
            <w:tcW w:w="720" w:type="dxa"/>
            <w:vAlign w:val="bottom"/>
            <w:shd w:val="clear" w:color="auto" w:fill="C0C0C0"/>
          </w:tcPr>
          <w:p>
            <w:pPr>
              <w:spacing w:after="0"/>
              <w:rPr>
                <w:sz w:val="14"/>
                <w:szCs w:val="14"/>
                <w:color w:val="auto"/>
              </w:rPr>
            </w:pPr>
          </w:p>
        </w:tc>
        <w:tc>
          <w:tcPr>
            <w:tcW w:w="82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180" w:type="dxa"/>
            <w:vAlign w:val="bottom"/>
          </w:tcPr>
          <w:p>
            <w:pPr>
              <w:spacing w:after="0"/>
              <w:rPr>
                <w:sz w:val="13"/>
                <w:szCs w:val="13"/>
                <w:color w:val="auto"/>
              </w:rPr>
            </w:pPr>
          </w:p>
        </w:tc>
        <w:tc>
          <w:tcPr>
            <w:tcW w:w="446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Six months ended June 30,</w:t>
            </w: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1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2014</w:t>
            </w:r>
          </w:p>
        </w:tc>
        <w:tc>
          <w:tcPr>
            <w:tcW w:w="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2013</w:t>
            </w: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746"/>
              <w:spacing w:after="0"/>
              <w:rPr>
                <w:sz w:val="20"/>
                <w:szCs w:val="20"/>
                <w:color w:val="auto"/>
              </w:rPr>
            </w:pPr>
            <w:r>
              <w:rPr>
                <w:rFonts w:ascii="Arial" w:cs="Arial" w:eastAsia="Arial" w:hAnsi="Arial"/>
                <w:sz w:val="14"/>
                <w:szCs w:val="14"/>
                <w:color w:val="auto"/>
              </w:rPr>
              <w:t>2014</w:t>
            </w:r>
          </w:p>
        </w:tc>
        <w:tc>
          <w:tcPr>
            <w:tcW w:w="7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color w:val="auto"/>
                <w:w w:val="96"/>
              </w:rPr>
              <w:t>2013</w:t>
            </w:r>
          </w:p>
        </w:tc>
        <w:tc>
          <w:tcPr>
            <w:tcW w:w="0" w:type="dxa"/>
            <w:vAlign w:val="bottom"/>
          </w:tcPr>
          <w:p>
            <w:pPr>
              <w:spacing w:after="0"/>
              <w:rPr>
                <w:sz w:val="1"/>
                <w:szCs w:val="1"/>
                <w:color w:val="auto"/>
              </w:rPr>
            </w:pPr>
          </w:p>
        </w:tc>
      </w:tr>
      <w:tr>
        <w:trPr>
          <w:trHeight w:val="135"/>
        </w:trPr>
        <w:tc>
          <w:tcPr>
            <w:tcW w:w="3180" w:type="dxa"/>
            <w:vAlign w:val="bottom"/>
          </w:tcPr>
          <w:p>
            <w:pPr>
              <w:spacing w:after="0" w:line="135" w:lineRule="exact"/>
              <w:rPr>
                <w:sz w:val="20"/>
                <w:szCs w:val="20"/>
                <w:color w:val="auto"/>
              </w:rPr>
            </w:pPr>
            <w:r>
              <w:rPr>
                <w:rFonts w:ascii="Arial" w:cs="Arial" w:eastAsia="Arial" w:hAnsi="Arial"/>
                <w:sz w:val="15"/>
                <w:szCs w:val="15"/>
                <w:color w:val="auto"/>
              </w:rPr>
              <w:t>SDG&amp;E</w:t>
            </w:r>
          </w:p>
        </w:tc>
        <w:tc>
          <w:tcPr>
            <w:tcW w:w="2840" w:type="dxa"/>
            <w:vAlign w:val="bottom"/>
          </w:tcPr>
          <w:p>
            <w:pPr>
              <w:jc w:val="right"/>
              <w:ind w:right="728"/>
              <w:spacing w:after="0" w:line="135" w:lineRule="exact"/>
              <w:rPr>
                <w:sz w:val="20"/>
                <w:szCs w:val="20"/>
                <w:color w:val="auto"/>
              </w:rPr>
            </w:pPr>
            <w:r>
              <w:rPr>
                <w:rFonts w:ascii="Arial" w:cs="Arial" w:eastAsia="Arial" w:hAnsi="Arial"/>
                <w:sz w:val="15"/>
                <w:szCs w:val="15"/>
                <w:color w:val="auto"/>
              </w:rPr>
              <w:t>$</w:t>
            </w:r>
          </w:p>
        </w:tc>
        <w:tc>
          <w:tcPr>
            <w:tcW w:w="500" w:type="dxa"/>
            <w:vAlign w:val="bottom"/>
          </w:tcPr>
          <w:p>
            <w:pPr>
              <w:jc w:val="right"/>
              <w:ind w:right="23"/>
              <w:spacing w:after="0" w:line="135" w:lineRule="exact"/>
              <w:rPr>
                <w:sz w:val="20"/>
                <w:szCs w:val="20"/>
                <w:color w:val="auto"/>
              </w:rPr>
            </w:pPr>
            <w:r>
              <w:rPr>
                <w:rFonts w:ascii="Arial" w:cs="Arial" w:eastAsia="Arial" w:hAnsi="Arial"/>
                <w:sz w:val="15"/>
                <w:szCs w:val="15"/>
                <w:color w:val="auto"/>
              </w:rPr>
              <w:t>3</w:t>
            </w:r>
          </w:p>
        </w:tc>
        <w:tc>
          <w:tcPr>
            <w:tcW w:w="1120" w:type="dxa"/>
            <w:vAlign w:val="bottom"/>
          </w:tcPr>
          <w:p>
            <w:pPr>
              <w:jc w:val="right"/>
              <w:ind w:right="868"/>
              <w:spacing w:after="0" w:line="135"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5"/>
                <w:szCs w:val="15"/>
                <w:color w:val="auto"/>
              </w:rPr>
              <w:t>3</w:t>
            </w:r>
          </w:p>
        </w:tc>
        <w:tc>
          <w:tcPr>
            <w:tcW w:w="520" w:type="dxa"/>
            <w:vAlign w:val="bottom"/>
          </w:tcPr>
          <w:p>
            <w:pPr>
              <w:jc w:val="right"/>
              <w:ind w:right="46"/>
              <w:spacing w:after="0" w:line="135" w:lineRule="exact"/>
              <w:rPr>
                <w:sz w:val="20"/>
                <w:szCs w:val="20"/>
                <w:color w:val="auto"/>
              </w:rPr>
            </w:pPr>
            <w:r>
              <w:rPr>
                <w:rFonts w:ascii="Arial" w:cs="Arial" w:eastAsia="Arial" w:hAnsi="Arial"/>
                <w:sz w:val="15"/>
                <w:szCs w:val="15"/>
                <w:color w:val="auto"/>
              </w:rPr>
              <w:t>$</w:t>
            </w:r>
          </w:p>
        </w:tc>
        <w:tc>
          <w:tcPr>
            <w:tcW w:w="1260" w:type="dxa"/>
            <w:vAlign w:val="bottom"/>
          </w:tcPr>
          <w:p>
            <w:pPr>
              <w:jc w:val="right"/>
              <w:ind w:right="106"/>
              <w:spacing w:after="0" w:line="135" w:lineRule="exact"/>
              <w:rPr>
                <w:sz w:val="20"/>
                <w:szCs w:val="20"/>
                <w:color w:val="auto"/>
              </w:rPr>
            </w:pPr>
            <w:r>
              <w:rPr>
                <w:rFonts w:ascii="Arial" w:cs="Arial" w:eastAsia="Arial" w:hAnsi="Arial"/>
                <w:sz w:val="15"/>
                <w:szCs w:val="15"/>
                <w:color w:val="auto"/>
              </w:rPr>
              <w:t>6</w:t>
            </w:r>
          </w:p>
        </w:tc>
        <w:tc>
          <w:tcPr>
            <w:tcW w:w="720" w:type="dxa"/>
            <w:vAlign w:val="bottom"/>
          </w:tcPr>
          <w:p>
            <w:pPr>
              <w:jc w:val="right"/>
              <w:ind w:right="366"/>
              <w:spacing w:after="0" w:line="135"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4"/>
        </w:trPr>
        <w:tc>
          <w:tcPr>
            <w:tcW w:w="3180" w:type="dxa"/>
            <w:vAlign w:val="bottom"/>
          </w:tcPr>
          <w:p>
            <w:pPr>
              <w:spacing w:after="0"/>
              <w:rPr>
                <w:sz w:val="20"/>
                <w:szCs w:val="20"/>
                <w:color w:val="auto"/>
              </w:rPr>
            </w:pPr>
            <w:r>
              <w:rPr>
                <w:rFonts w:ascii="Arial" w:cs="Arial" w:eastAsia="Arial" w:hAnsi="Arial"/>
                <w:sz w:val="16"/>
                <w:szCs w:val="16"/>
                <w:color w:val="auto"/>
              </w:rPr>
              <w:t>SoCalGas</w:t>
            </w:r>
          </w:p>
        </w:tc>
        <w:tc>
          <w:tcPr>
            <w:tcW w:w="2840" w:type="dxa"/>
            <w:vAlign w:val="bottom"/>
          </w:tcPr>
          <w:p>
            <w:pPr>
              <w:spacing w:after="0"/>
              <w:rPr>
                <w:sz w:val="17"/>
                <w:szCs w:val="17"/>
                <w:color w:val="auto"/>
              </w:rPr>
            </w:pPr>
          </w:p>
        </w:tc>
        <w:tc>
          <w:tcPr>
            <w:tcW w:w="500" w:type="dxa"/>
            <w:vAlign w:val="bottom"/>
          </w:tcPr>
          <w:p>
            <w:pPr>
              <w:jc w:val="right"/>
              <w:ind w:right="23"/>
              <w:spacing w:after="0"/>
              <w:rPr>
                <w:sz w:val="20"/>
                <w:szCs w:val="20"/>
                <w:color w:val="auto"/>
              </w:rPr>
            </w:pPr>
            <w:r>
              <w:rPr>
                <w:rFonts w:ascii="Arial" w:cs="Arial" w:eastAsia="Arial" w:hAnsi="Arial"/>
                <w:sz w:val="16"/>
                <w:szCs w:val="16"/>
                <w:color w:val="auto"/>
              </w:rPr>
              <w:t>16</w:t>
            </w:r>
          </w:p>
        </w:tc>
        <w:tc>
          <w:tcPr>
            <w:tcW w:w="1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w:t>
            </w:r>
          </w:p>
        </w:tc>
        <w:tc>
          <w:tcPr>
            <w:tcW w:w="520" w:type="dxa"/>
            <w:vAlign w:val="bottom"/>
          </w:tcPr>
          <w:p>
            <w:pPr>
              <w:spacing w:after="0"/>
              <w:rPr>
                <w:sz w:val="17"/>
                <w:szCs w:val="17"/>
                <w:color w:val="auto"/>
              </w:rPr>
            </w:pPr>
          </w:p>
        </w:tc>
        <w:tc>
          <w:tcPr>
            <w:tcW w:w="1260" w:type="dxa"/>
            <w:vAlign w:val="bottom"/>
          </w:tcPr>
          <w:p>
            <w:pPr>
              <w:jc w:val="right"/>
              <w:ind w:right="106"/>
              <w:spacing w:after="0"/>
              <w:rPr>
                <w:sz w:val="20"/>
                <w:szCs w:val="20"/>
                <w:color w:val="auto"/>
              </w:rPr>
            </w:pPr>
            <w:r>
              <w:rPr>
                <w:rFonts w:ascii="Arial" w:cs="Arial" w:eastAsia="Arial" w:hAnsi="Arial"/>
                <w:sz w:val="16"/>
                <w:szCs w:val="16"/>
                <w:color w:val="auto"/>
              </w:rPr>
              <w:t>34</w:t>
            </w:r>
          </w:p>
        </w:tc>
        <w:tc>
          <w:tcPr>
            <w:tcW w:w="7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80"/>
        </w:trPr>
        <w:tc>
          <w:tcPr>
            <w:tcW w:w="3180" w:type="dxa"/>
            <w:vAlign w:val="bottom"/>
            <w:shd w:val="clear" w:color="auto" w:fill="C0C0C0"/>
          </w:tcPr>
          <w:p>
            <w:pPr>
              <w:spacing w:after="0"/>
              <w:rPr>
                <w:sz w:val="6"/>
                <w:szCs w:val="6"/>
                <w:color w:val="auto"/>
              </w:rPr>
            </w:pPr>
          </w:p>
        </w:tc>
        <w:tc>
          <w:tcPr>
            <w:tcW w:w="2840" w:type="dxa"/>
            <w:vAlign w:val="bottom"/>
            <w:shd w:val="clear" w:color="auto" w:fill="C0C0C0"/>
          </w:tcPr>
          <w:p>
            <w:pPr>
              <w:spacing w:after="0"/>
              <w:rPr>
                <w:sz w:val="6"/>
                <w:szCs w:val="6"/>
                <w:color w:val="auto"/>
              </w:rPr>
            </w:pPr>
          </w:p>
        </w:tc>
        <w:tc>
          <w:tcPr>
            <w:tcW w:w="500" w:type="dxa"/>
            <w:vAlign w:val="bottom"/>
            <w:shd w:val="clear" w:color="auto" w:fill="C0C0C0"/>
          </w:tcPr>
          <w:p>
            <w:pPr>
              <w:spacing w:after="0"/>
              <w:rPr>
                <w:sz w:val="6"/>
                <w:szCs w:val="6"/>
                <w:color w:val="auto"/>
              </w:rPr>
            </w:pPr>
          </w:p>
        </w:tc>
        <w:tc>
          <w:tcPr>
            <w:tcW w:w="1120" w:type="dxa"/>
            <w:vAlign w:val="bottom"/>
            <w:shd w:val="clear" w:color="auto" w:fill="C0C0C0"/>
          </w:tcPr>
          <w:p>
            <w:pPr>
              <w:spacing w:after="0"/>
              <w:rPr>
                <w:sz w:val="6"/>
                <w:szCs w:val="6"/>
                <w:color w:val="auto"/>
              </w:rPr>
            </w:pPr>
          </w:p>
        </w:tc>
        <w:tc>
          <w:tcPr>
            <w:tcW w:w="460" w:type="dxa"/>
            <w:vAlign w:val="bottom"/>
            <w:shd w:val="clear" w:color="auto" w:fill="C0C0C0"/>
          </w:tcPr>
          <w:p>
            <w:pPr>
              <w:spacing w:after="0"/>
              <w:rPr>
                <w:sz w:val="6"/>
                <w:szCs w:val="6"/>
                <w:color w:val="auto"/>
              </w:rPr>
            </w:pPr>
          </w:p>
        </w:tc>
        <w:tc>
          <w:tcPr>
            <w:tcW w:w="520" w:type="dxa"/>
            <w:vAlign w:val="bottom"/>
            <w:shd w:val="clear" w:color="auto" w:fill="C0C0C0"/>
          </w:tcPr>
          <w:p>
            <w:pPr>
              <w:spacing w:after="0"/>
              <w:rPr>
                <w:sz w:val="6"/>
                <w:szCs w:val="6"/>
                <w:color w:val="auto"/>
              </w:rPr>
            </w:pPr>
          </w:p>
        </w:tc>
        <w:tc>
          <w:tcPr>
            <w:tcW w:w="1260" w:type="dxa"/>
            <w:vAlign w:val="bottom"/>
            <w:shd w:val="clear" w:color="auto" w:fill="C0C0C0"/>
          </w:tcPr>
          <w:p>
            <w:pPr>
              <w:spacing w:after="0"/>
              <w:rPr>
                <w:sz w:val="6"/>
                <w:szCs w:val="6"/>
                <w:color w:val="auto"/>
              </w:rPr>
            </w:pPr>
          </w:p>
        </w:tc>
        <w:tc>
          <w:tcPr>
            <w:tcW w:w="720" w:type="dxa"/>
            <w:vAlign w:val="bottom"/>
            <w:shd w:val="clear" w:color="auto" w:fill="C0C0C0"/>
          </w:tcPr>
          <w:p>
            <w:pPr>
              <w:spacing w:after="0"/>
              <w:rPr>
                <w:sz w:val="6"/>
                <w:szCs w:val="6"/>
                <w:color w:val="auto"/>
              </w:rPr>
            </w:pPr>
          </w:p>
        </w:tc>
        <w:tc>
          <w:tcPr>
            <w:tcW w:w="820" w:type="dxa"/>
            <w:vAlign w:val="bottom"/>
            <w:shd w:val="clear" w:color="auto" w:fill="C0C0C0"/>
          </w:tcPr>
          <w:p>
            <w:pPr>
              <w:spacing w:after="0"/>
              <w:rPr>
                <w:sz w:val="6"/>
                <w:szCs w:val="6"/>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on the Condensed Consolidated Statements of Operations consists of the following:</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color w:val="auto"/>
              </w:rPr>
              <w:t>Three months</w:t>
            </w:r>
          </w:p>
        </w:tc>
        <w:tc>
          <w:tcPr>
            <w:tcW w:w="1140" w:type="dxa"/>
            <w:vAlign w:val="bottom"/>
            <w:shd w:val="clear" w:color="auto" w:fill="C0C0C0"/>
          </w:tcPr>
          <w:p>
            <w:pPr>
              <w:spacing w:after="0"/>
              <w:rPr>
                <w:sz w:val="14"/>
                <w:szCs w:val="14"/>
                <w:color w:val="auto"/>
              </w:rPr>
            </w:pPr>
          </w:p>
        </w:tc>
        <w:tc>
          <w:tcPr>
            <w:tcW w:w="300" w:type="dxa"/>
            <w:vAlign w:val="bottom"/>
            <w:shd w:val="clear" w:color="auto" w:fill="C0C0C0"/>
          </w:tcPr>
          <w:p>
            <w:pPr>
              <w:spacing w:after="0"/>
              <w:rPr>
                <w:sz w:val="14"/>
                <w:szCs w:val="14"/>
                <w:color w:val="auto"/>
              </w:rPr>
            </w:pPr>
          </w:p>
        </w:tc>
        <w:tc>
          <w:tcPr>
            <w:tcW w:w="340" w:type="dxa"/>
            <w:vAlign w:val="bottom"/>
            <w:shd w:val="clear" w:color="auto" w:fill="C0C0C0"/>
          </w:tcPr>
          <w:p>
            <w:pPr>
              <w:spacing w:after="0"/>
              <w:rPr>
                <w:sz w:val="14"/>
                <w:szCs w:val="14"/>
                <w:color w:val="auto"/>
              </w:rPr>
            </w:pPr>
          </w:p>
        </w:tc>
        <w:tc>
          <w:tcPr>
            <w:tcW w:w="1100" w:type="dxa"/>
            <w:vAlign w:val="bottom"/>
            <w:shd w:val="clear" w:color="auto" w:fill="C0C0C0"/>
          </w:tcPr>
          <w:p>
            <w:pPr>
              <w:spacing w:after="0"/>
              <w:rPr>
                <w:sz w:val="14"/>
                <w:szCs w:val="14"/>
                <w:color w:val="auto"/>
              </w:rPr>
            </w:pPr>
          </w:p>
        </w:tc>
        <w:tc>
          <w:tcPr>
            <w:tcW w:w="400" w:type="dxa"/>
            <w:vAlign w:val="bottom"/>
            <w:shd w:val="clear" w:color="auto" w:fill="C0C0C0"/>
          </w:tcPr>
          <w:p>
            <w:pPr>
              <w:spacing w:after="0"/>
              <w:rPr>
                <w:sz w:val="14"/>
                <w:szCs w:val="14"/>
                <w:color w:val="auto"/>
              </w:rPr>
            </w:pPr>
          </w:p>
        </w:tc>
        <w:tc>
          <w:tcPr>
            <w:tcW w:w="104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420" w:type="dxa"/>
            <w:vAlign w:val="bottom"/>
            <w:tcBorders>
              <w:bottom w:val="single" w:sz="8" w:color="auto"/>
            </w:tcBorders>
            <w:gridSpan w:val="2"/>
            <w:vMerge w:val="continue"/>
          </w:tcPr>
          <w:p>
            <w:pPr>
              <w:spacing w:after="0"/>
              <w:rPr>
                <w:sz w:val="13"/>
                <w:szCs w:val="13"/>
                <w:color w:val="auto"/>
              </w:rPr>
            </w:pPr>
          </w:p>
        </w:tc>
        <w:tc>
          <w:tcPr>
            <w:tcW w:w="11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ended June 30,</w:t>
            </w:r>
          </w:p>
        </w:tc>
        <w:tc>
          <w:tcPr>
            <w:tcW w:w="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3"/>
          </w:tcPr>
          <w:p>
            <w:pPr>
              <w:jc w:val="right"/>
              <w:ind w:right="501"/>
              <w:spacing w:after="0" w:line="159" w:lineRule="exact"/>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66"/>
        </w:trPr>
        <w:tc>
          <w:tcPr>
            <w:tcW w:w="56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35"/>
        </w:trPr>
        <w:tc>
          <w:tcPr>
            <w:tcW w:w="5680" w:type="dxa"/>
            <w:vAlign w:val="bottom"/>
          </w:tcPr>
          <w:p>
            <w:pPr>
              <w:spacing w:after="0" w:line="135" w:lineRule="exact"/>
              <w:rPr>
                <w:sz w:val="20"/>
                <w:szCs w:val="20"/>
                <w:color w:val="auto"/>
              </w:rPr>
            </w:pPr>
            <w:r>
              <w:rPr>
                <w:rFonts w:ascii="Arial" w:cs="Arial" w:eastAsia="Arial" w:hAnsi="Arial"/>
                <w:sz w:val="15"/>
                <w:szCs w:val="15"/>
                <w:b w:val="1"/>
                <w:bCs w:val="1"/>
                <w:color w:val="auto"/>
              </w:rPr>
              <w:t>Sempra Energy Consolidated:</w:t>
            </w: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680" w:type="dxa"/>
            <w:vAlign w:val="bottom"/>
          </w:tcPr>
          <w:p>
            <w:pPr>
              <w:spacing w:after="0" w:line="173" w:lineRule="exact"/>
              <w:rPr>
                <w:sz w:val="20"/>
                <w:szCs w:val="20"/>
                <w:color w:val="auto"/>
              </w:rPr>
            </w:pPr>
            <w:r>
              <w:rPr>
                <w:rFonts w:ascii="Arial" w:cs="Arial" w:eastAsia="Arial" w:hAnsi="Arial"/>
                <w:sz w:val="16"/>
                <w:szCs w:val="16"/>
                <w:color w:val="auto"/>
              </w:rPr>
              <w:t>Allowance for equity funds used during construction</w:t>
            </w:r>
          </w:p>
        </w:tc>
        <w:tc>
          <w:tcPr>
            <w:tcW w:w="1020" w:type="dxa"/>
            <w:vAlign w:val="bottom"/>
          </w:tcPr>
          <w:p>
            <w:pPr>
              <w:jc w:val="right"/>
              <w:ind w:right="867"/>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173" w:lineRule="exact"/>
              <w:rPr>
                <w:sz w:val="20"/>
                <w:szCs w:val="20"/>
                <w:color w:val="auto"/>
              </w:rPr>
            </w:pPr>
            <w:r>
              <w:rPr>
                <w:rFonts w:ascii="Arial" w:cs="Arial" w:eastAsia="Arial" w:hAnsi="Arial"/>
                <w:sz w:val="16"/>
                <w:szCs w:val="16"/>
                <w:color w:val="auto"/>
              </w:rPr>
              <w:t>24</w:t>
            </w:r>
          </w:p>
        </w:tc>
        <w:tc>
          <w:tcPr>
            <w:tcW w:w="1140" w:type="dxa"/>
            <w:vAlign w:val="bottom"/>
          </w:tcPr>
          <w:p>
            <w:pPr>
              <w:spacing w:after="0" w:line="173" w:lineRule="exact"/>
              <w:rPr>
                <w:sz w:val="20"/>
                <w:szCs w:val="20"/>
                <w:color w:val="auto"/>
              </w:rPr>
            </w:pPr>
            <w:r>
              <w:rPr>
                <w:rFonts w:ascii="Arial" w:cs="Arial" w:eastAsia="Arial" w:hAnsi="Arial"/>
                <w:sz w:val="16"/>
                <w:szCs w:val="16"/>
                <w:color w:val="auto"/>
              </w:rPr>
              <w:t>$</w:t>
            </w:r>
          </w:p>
        </w:tc>
        <w:tc>
          <w:tcPr>
            <w:tcW w:w="300" w:type="dxa"/>
            <w:vAlign w:val="bottom"/>
          </w:tcPr>
          <w:p>
            <w:pPr>
              <w:jc w:val="right"/>
              <w:spacing w:after="0" w:line="173" w:lineRule="exact"/>
              <w:rPr>
                <w:sz w:val="20"/>
                <w:szCs w:val="20"/>
                <w:color w:val="auto"/>
              </w:rPr>
            </w:pPr>
            <w:r>
              <w:rPr>
                <w:rFonts w:ascii="Arial" w:cs="Arial" w:eastAsia="Arial" w:hAnsi="Arial"/>
                <w:sz w:val="16"/>
                <w:szCs w:val="16"/>
                <w:color w:val="auto"/>
              </w:rPr>
              <w:t>15</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49</w:t>
            </w: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73"/>
        </w:trPr>
        <w:tc>
          <w:tcPr>
            <w:tcW w:w="5680" w:type="dxa"/>
            <w:vAlign w:val="bottom"/>
          </w:tcPr>
          <w:p>
            <w:pPr>
              <w:spacing w:after="0" w:line="173" w:lineRule="exact"/>
              <w:rPr>
                <w:sz w:val="20"/>
                <w:szCs w:val="20"/>
                <w:color w:val="auto"/>
              </w:rPr>
            </w:pPr>
            <w:r>
              <w:rPr>
                <w:rFonts w:ascii="Arial" w:cs="Arial" w:eastAsia="Arial" w:hAnsi="Arial"/>
                <w:sz w:val="16"/>
                <w:szCs w:val="16"/>
                <w:color w:val="auto"/>
              </w:rPr>
              <w:t>Investment gains(1)</w:t>
            </w:r>
          </w:p>
        </w:tc>
        <w:tc>
          <w:tcPr>
            <w:tcW w:w="1020" w:type="dxa"/>
            <w:vAlign w:val="bottom"/>
          </w:tcPr>
          <w:p>
            <w:pPr>
              <w:spacing w:after="0"/>
              <w:rPr>
                <w:sz w:val="15"/>
                <w:szCs w:val="15"/>
                <w:color w:val="auto"/>
              </w:rPr>
            </w:pPr>
          </w:p>
        </w:tc>
        <w:tc>
          <w:tcPr>
            <w:tcW w:w="400" w:type="dxa"/>
            <w:vAlign w:val="bottom"/>
          </w:tcPr>
          <w:p>
            <w:pPr>
              <w:jc w:val="right"/>
              <w:spacing w:after="0" w:line="173" w:lineRule="exact"/>
              <w:rPr>
                <w:sz w:val="20"/>
                <w:szCs w:val="20"/>
                <w:color w:val="auto"/>
              </w:rPr>
            </w:pPr>
            <w:r>
              <w:rPr>
                <w:rFonts w:ascii="Arial" w:cs="Arial" w:eastAsia="Arial" w:hAnsi="Arial"/>
                <w:sz w:val="16"/>
                <w:szCs w:val="16"/>
                <w:color w:val="auto"/>
              </w:rPr>
              <w:t>15</w:t>
            </w:r>
          </w:p>
        </w:tc>
        <w:tc>
          <w:tcPr>
            <w:tcW w:w="1140" w:type="dxa"/>
            <w:vAlign w:val="bottom"/>
          </w:tcPr>
          <w:p>
            <w:pPr>
              <w:spacing w:after="0"/>
              <w:rPr>
                <w:sz w:val="15"/>
                <w:szCs w:val="15"/>
                <w:color w:val="auto"/>
              </w:rPr>
            </w:pPr>
          </w:p>
        </w:tc>
        <w:tc>
          <w:tcPr>
            <w:tcW w:w="300" w:type="dxa"/>
            <w:vAlign w:val="bottom"/>
          </w:tcPr>
          <w:p>
            <w:pPr>
              <w:jc w:val="right"/>
              <w:spacing w:after="0" w:line="173" w:lineRule="exact"/>
              <w:rPr>
                <w:sz w:val="20"/>
                <w:szCs w:val="20"/>
                <w:color w:val="auto"/>
              </w:rPr>
            </w:pPr>
            <w:r>
              <w:rPr>
                <w:rFonts w:ascii="Arial" w:cs="Arial" w:eastAsia="Arial" w:hAnsi="Arial"/>
                <w:sz w:val="16"/>
                <w:szCs w:val="16"/>
                <w:color w:val="auto"/>
              </w:rPr>
              <w:t>12</w:t>
            </w:r>
          </w:p>
        </w:tc>
        <w:tc>
          <w:tcPr>
            <w:tcW w:w="34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23</w:t>
            </w:r>
          </w:p>
        </w:tc>
        <w:tc>
          <w:tcPr>
            <w:tcW w:w="4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73"/>
        </w:trPr>
        <w:tc>
          <w:tcPr>
            <w:tcW w:w="5680" w:type="dxa"/>
            <w:vAlign w:val="bottom"/>
          </w:tcPr>
          <w:p>
            <w:pPr>
              <w:spacing w:after="0" w:line="173" w:lineRule="exact"/>
              <w:rPr>
                <w:sz w:val="20"/>
                <w:szCs w:val="20"/>
                <w:color w:val="auto"/>
              </w:rPr>
            </w:pPr>
            <w:r>
              <w:rPr>
                <w:rFonts w:ascii="Arial" w:cs="Arial" w:eastAsia="Arial" w:hAnsi="Arial"/>
                <w:sz w:val="16"/>
                <w:szCs w:val="16"/>
                <w:color w:val="auto"/>
              </w:rPr>
              <w:t>Gains on interest rate and foreign exchange instruments, net</w:t>
            </w:r>
          </w:p>
        </w:tc>
        <w:tc>
          <w:tcPr>
            <w:tcW w:w="1020" w:type="dxa"/>
            <w:vAlign w:val="bottom"/>
          </w:tcPr>
          <w:p>
            <w:pPr>
              <w:spacing w:after="0"/>
              <w:rPr>
                <w:sz w:val="15"/>
                <w:szCs w:val="15"/>
                <w:color w:val="auto"/>
              </w:rPr>
            </w:pPr>
          </w:p>
        </w:tc>
        <w:tc>
          <w:tcPr>
            <w:tcW w:w="400" w:type="dxa"/>
            <w:vAlign w:val="bottom"/>
          </w:tcPr>
          <w:p>
            <w:pPr>
              <w:jc w:val="right"/>
              <w:spacing w:after="0" w:line="173" w:lineRule="exact"/>
              <w:rPr>
                <w:sz w:val="20"/>
                <w:szCs w:val="20"/>
                <w:color w:val="auto"/>
              </w:rPr>
            </w:pPr>
            <w:r>
              <w:rPr>
                <w:rFonts w:ascii="Arial" w:cs="Arial" w:eastAsia="Arial" w:hAnsi="Arial"/>
                <w:sz w:val="16"/>
                <w:szCs w:val="16"/>
                <w:color w:val="auto"/>
              </w:rPr>
              <w:t>11</w:t>
            </w:r>
          </w:p>
        </w:tc>
        <w:tc>
          <w:tcPr>
            <w:tcW w:w="1140" w:type="dxa"/>
            <w:vAlign w:val="bottom"/>
          </w:tcPr>
          <w:p>
            <w:pPr>
              <w:spacing w:after="0"/>
              <w:rPr>
                <w:sz w:val="15"/>
                <w:szCs w:val="15"/>
                <w:color w:val="auto"/>
              </w:rPr>
            </w:pPr>
          </w:p>
        </w:tc>
        <w:tc>
          <w:tcPr>
            <w:tcW w:w="300" w:type="dxa"/>
            <w:vAlign w:val="bottom"/>
          </w:tcPr>
          <w:p>
            <w:pPr>
              <w:jc w:val="right"/>
              <w:spacing w:after="0" w:line="173" w:lineRule="exact"/>
              <w:rPr>
                <w:sz w:val="20"/>
                <w:szCs w:val="20"/>
                <w:color w:val="auto"/>
              </w:rPr>
            </w:pPr>
            <w:r>
              <w:rPr>
                <w:rFonts w:ascii="Arial" w:cs="Arial" w:eastAsia="Arial" w:hAnsi="Arial"/>
                <w:sz w:val="16"/>
                <w:szCs w:val="16"/>
                <w:color w:val="auto"/>
              </w:rPr>
              <w:t>6</w:t>
            </w:r>
          </w:p>
        </w:tc>
        <w:tc>
          <w:tcPr>
            <w:tcW w:w="34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16</w:t>
            </w:r>
          </w:p>
        </w:tc>
        <w:tc>
          <w:tcPr>
            <w:tcW w:w="4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73"/>
        </w:trPr>
        <w:tc>
          <w:tcPr>
            <w:tcW w:w="5680" w:type="dxa"/>
            <w:vAlign w:val="bottom"/>
          </w:tcPr>
          <w:p>
            <w:pPr>
              <w:spacing w:after="0" w:line="173" w:lineRule="exact"/>
              <w:rPr>
                <w:sz w:val="20"/>
                <w:szCs w:val="20"/>
                <w:color w:val="auto"/>
              </w:rPr>
            </w:pPr>
            <w:r>
              <w:rPr>
                <w:rFonts w:ascii="Arial" w:cs="Arial" w:eastAsia="Arial" w:hAnsi="Arial"/>
                <w:sz w:val="16"/>
                <w:szCs w:val="16"/>
                <w:color w:val="auto"/>
              </w:rPr>
              <w:t>Regulatory interest, net(2)</w:t>
            </w:r>
          </w:p>
        </w:tc>
        <w:tc>
          <w:tcPr>
            <w:tcW w:w="1020" w:type="dxa"/>
            <w:vAlign w:val="bottom"/>
          </w:tcPr>
          <w:p>
            <w:pPr>
              <w:spacing w:after="0"/>
              <w:rPr>
                <w:sz w:val="15"/>
                <w:szCs w:val="15"/>
                <w:color w:val="auto"/>
              </w:rPr>
            </w:pPr>
          </w:p>
        </w:tc>
        <w:tc>
          <w:tcPr>
            <w:tcW w:w="40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1140" w:type="dxa"/>
            <w:vAlign w:val="bottom"/>
          </w:tcPr>
          <w:p>
            <w:pPr>
              <w:spacing w:after="0"/>
              <w:rPr>
                <w:sz w:val="15"/>
                <w:szCs w:val="15"/>
                <w:color w:val="auto"/>
              </w:rPr>
            </w:pPr>
          </w:p>
        </w:tc>
        <w:tc>
          <w:tcPr>
            <w:tcW w:w="30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34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3</w:t>
            </w:r>
          </w:p>
        </w:tc>
        <w:tc>
          <w:tcPr>
            <w:tcW w:w="4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5680" w:type="dxa"/>
            <w:vAlign w:val="bottom"/>
          </w:tcPr>
          <w:p>
            <w:pPr>
              <w:spacing w:after="0"/>
              <w:rPr>
                <w:sz w:val="20"/>
                <w:szCs w:val="20"/>
                <w:color w:val="auto"/>
              </w:rPr>
            </w:pPr>
            <w:r>
              <w:rPr>
                <w:rFonts w:ascii="Arial" w:cs="Arial" w:eastAsia="Arial" w:hAnsi="Arial"/>
                <w:sz w:val="16"/>
                <w:szCs w:val="16"/>
                <w:color w:val="auto"/>
              </w:rPr>
              <w:t>Sundry, net</w:t>
            </w:r>
          </w:p>
        </w:tc>
        <w:tc>
          <w:tcPr>
            <w:tcW w:w="10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6"/>
        </w:trPr>
        <w:tc>
          <w:tcPr>
            <w:tcW w:w="5680" w:type="dxa"/>
            <w:vAlign w:val="bottom"/>
          </w:tcPr>
          <w:p>
            <w:pPr>
              <w:ind w:left="140"/>
              <w:spacing w:after="0" w:line="166" w:lineRule="exact"/>
              <w:rPr>
                <w:sz w:val="20"/>
                <w:szCs w:val="20"/>
                <w:color w:val="auto"/>
              </w:rPr>
            </w:pPr>
            <w:r>
              <w:rPr>
                <w:rFonts w:ascii="Arial" w:cs="Arial" w:eastAsia="Arial" w:hAnsi="Arial"/>
                <w:sz w:val="16"/>
                <w:szCs w:val="16"/>
                <w:color w:val="auto"/>
              </w:rPr>
              <w:t>Total</w:t>
            </w:r>
          </w:p>
        </w:tc>
        <w:tc>
          <w:tcPr>
            <w:tcW w:w="1020" w:type="dxa"/>
            <w:vAlign w:val="bottom"/>
          </w:tcPr>
          <w:p>
            <w:pPr>
              <w:jc w:val="right"/>
              <w:ind w:right="867"/>
              <w:spacing w:after="0" w:line="167" w:lineRule="exact"/>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166" w:lineRule="exact"/>
              <w:rPr>
                <w:sz w:val="20"/>
                <w:szCs w:val="20"/>
                <w:color w:val="auto"/>
              </w:rPr>
            </w:pPr>
            <w:r>
              <w:rPr>
                <w:rFonts w:ascii="Arial" w:cs="Arial" w:eastAsia="Arial" w:hAnsi="Arial"/>
                <w:sz w:val="16"/>
                <w:szCs w:val="16"/>
                <w:color w:val="auto"/>
              </w:rPr>
              <w:t>49</w:t>
            </w:r>
          </w:p>
        </w:tc>
        <w:tc>
          <w:tcPr>
            <w:tcW w:w="1140" w:type="dxa"/>
            <w:vAlign w:val="bottom"/>
          </w:tcPr>
          <w:p>
            <w:pPr>
              <w:spacing w:after="0" w:line="166" w:lineRule="exact"/>
              <w:rPr>
                <w:sz w:val="20"/>
                <w:szCs w:val="20"/>
                <w:color w:val="auto"/>
              </w:rPr>
            </w:pPr>
            <w:r>
              <w:rPr>
                <w:rFonts w:ascii="Arial" w:cs="Arial" w:eastAsia="Arial" w:hAnsi="Arial"/>
                <w:sz w:val="16"/>
                <w:szCs w:val="16"/>
                <w:color w:val="auto"/>
              </w:rPr>
              <w:t>$</w:t>
            </w:r>
          </w:p>
        </w:tc>
        <w:tc>
          <w:tcPr>
            <w:tcW w:w="300" w:type="dxa"/>
            <w:vAlign w:val="bottom"/>
          </w:tcPr>
          <w:p>
            <w:pPr>
              <w:jc w:val="right"/>
              <w:spacing w:after="0" w:line="166" w:lineRule="exact"/>
              <w:rPr>
                <w:sz w:val="20"/>
                <w:szCs w:val="20"/>
                <w:color w:val="auto"/>
              </w:rPr>
            </w:pPr>
            <w:r>
              <w:rPr>
                <w:rFonts w:ascii="Arial" w:cs="Arial" w:eastAsia="Arial" w:hAnsi="Arial"/>
                <w:sz w:val="16"/>
                <w:szCs w:val="16"/>
                <w:color w:val="auto"/>
              </w:rPr>
              <w:t>26</w:t>
            </w:r>
          </w:p>
        </w:tc>
        <w:tc>
          <w:tcPr>
            <w:tcW w:w="340" w:type="dxa"/>
            <w:vAlign w:val="bottom"/>
          </w:tcPr>
          <w:p>
            <w:pPr>
              <w:jc w:val="right"/>
              <w:ind w:right="186"/>
              <w:spacing w:after="0" w:line="167" w:lineRule="exact"/>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66" w:lineRule="exact"/>
              <w:rPr>
                <w:sz w:val="20"/>
                <w:szCs w:val="20"/>
                <w:color w:val="auto"/>
              </w:rPr>
            </w:pPr>
            <w:r>
              <w:rPr>
                <w:rFonts w:ascii="Arial" w:cs="Arial" w:eastAsia="Arial" w:hAnsi="Arial"/>
                <w:sz w:val="16"/>
                <w:szCs w:val="16"/>
                <w:color w:val="auto"/>
              </w:rPr>
              <w:t>89</w:t>
            </w:r>
          </w:p>
        </w:tc>
        <w:tc>
          <w:tcPr>
            <w:tcW w:w="400" w:type="dxa"/>
            <w:vAlign w:val="bottom"/>
          </w:tcPr>
          <w:p>
            <w:pPr>
              <w:jc w:val="right"/>
              <w:ind w:right="246"/>
              <w:spacing w:after="0" w:line="167"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66" w:lineRule="exact"/>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80"/>
        </w:trPr>
        <w:tc>
          <w:tcPr>
            <w:tcW w:w="568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5680" w:type="dxa"/>
            <w:vAlign w:val="bottom"/>
          </w:tcPr>
          <w:p>
            <w:pPr>
              <w:spacing w:after="0" w:line="142" w:lineRule="exact"/>
              <w:rPr>
                <w:sz w:val="20"/>
                <w:szCs w:val="20"/>
                <w:color w:val="auto"/>
              </w:rPr>
            </w:pPr>
            <w:r>
              <w:rPr>
                <w:rFonts w:ascii="Arial" w:cs="Arial" w:eastAsia="Arial" w:hAnsi="Arial"/>
                <w:sz w:val="16"/>
                <w:szCs w:val="16"/>
                <w:b w:val="1"/>
                <w:bCs w:val="1"/>
                <w:color w:val="auto"/>
              </w:rPr>
              <w:t>SDG&amp;E:</w:t>
            </w: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80" w:type="dxa"/>
            <w:vAlign w:val="bottom"/>
          </w:tcPr>
          <w:p>
            <w:pPr>
              <w:spacing w:after="0" w:line="173" w:lineRule="exact"/>
              <w:rPr>
                <w:sz w:val="20"/>
                <w:szCs w:val="20"/>
                <w:color w:val="auto"/>
              </w:rPr>
            </w:pPr>
            <w:r>
              <w:rPr>
                <w:rFonts w:ascii="Arial" w:cs="Arial" w:eastAsia="Arial" w:hAnsi="Arial"/>
                <w:sz w:val="16"/>
                <w:szCs w:val="16"/>
                <w:color w:val="auto"/>
              </w:rPr>
              <w:t>Allowance for equity funds used during construction</w:t>
            </w:r>
          </w:p>
        </w:tc>
        <w:tc>
          <w:tcPr>
            <w:tcW w:w="1020" w:type="dxa"/>
            <w:vAlign w:val="bottom"/>
          </w:tcPr>
          <w:p>
            <w:pPr>
              <w:jc w:val="right"/>
              <w:ind w:right="867"/>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173" w:lineRule="exact"/>
              <w:rPr>
                <w:sz w:val="20"/>
                <w:szCs w:val="20"/>
                <w:color w:val="auto"/>
              </w:rPr>
            </w:pPr>
            <w:r>
              <w:rPr>
                <w:rFonts w:ascii="Arial" w:cs="Arial" w:eastAsia="Arial" w:hAnsi="Arial"/>
                <w:sz w:val="16"/>
                <w:szCs w:val="16"/>
                <w:color w:val="auto"/>
              </w:rPr>
              <w:t>7</w:t>
            </w:r>
          </w:p>
        </w:tc>
        <w:tc>
          <w:tcPr>
            <w:tcW w:w="1140" w:type="dxa"/>
            <w:vAlign w:val="bottom"/>
          </w:tcPr>
          <w:p>
            <w:pPr>
              <w:spacing w:after="0" w:line="173" w:lineRule="exact"/>
              <w:rPr>
                <w:sz w:val="20"/>
                <w:szCs w:val="20"/>
                <w:color w:val="auto"/>
              </w:rPr>
            </w:pPr>
            <w:r>
              <w:rPr>
                <w:rFonts w:ascii="Arial" w:cs="Arial" w:eastAsia="Arial" w:hAnsi="Arial"/>
                <w:sz w:val="16"/>
                <w:szCs w:val="16"/>
                <w:color w:val="auto"/>
              </w:rPr>
              <w:t>$</w:t>
            </w:r>
          </w:p>
        </w:tc>
        <w:tc>
          <w:tcPr>
            <w:tcW w:w="300" w:type="dxa"/>
            <w:vAlign w:val="bottom"/>
          </w:tcPr>
          <w:p>
            <w:pPr>
              <w:jc w:val="right"/>
              <w:spacing w:after="0" w:line="173" w:lineRule="exact"/>
              <w:rPr>
                <w:sz w:val="20"/>
                <w:szCs w:val="20"/>
                <w:color w:val="auto"/>
              </w:rPr>
            </w:pPr>
            <w:r>
              <w:rPr>
                <w:rFonts w:ascii="Arial" w:cs="Arial" w:eastAsia="Arial" w:hAnsi="Arial"/>
                <w:sz w:val="16"/>
                <w:szCs w:val="16"/>
                <w:color w:val="auto"/>
              </w:rPr>
              <w:t>10</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18</w:t>
            </w: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73"/>
        </w:trPr>
        <w:tc>
          <w:tcPr>
            <w:tcW w:w="5680" w:type="dxa"/>
            <w:vAlign w:val="bottom"/>
          </w:tcPr>
          <w:p>
            <w:pPr>
              <w:spacing w:after="0" w:line="173" w:lineRule="exact"/>
              <w:rPr>
                <w:sz w:val="20"/>
                <w:szCs w:val="20"/>
                <w:color w:val="auto"/>
              </w:rPr>
            </w:pPr>
            <w:r>
              <w:rPr>
                <w:rFonts w:ascii="Arial" w:cs="Arial" w:eastAsia="Arial" w:hAnsi="Arial"/>
                <w:sz w:val="16"/>
                <w:szCs w:val="16"/>
                <w:color w:val="auto"/>
              </w:rPr>
              <w:t>Regulatory interest, net(2)</w:t>
            </w:r>
          </w:p>
        </w:tc>
        <w:tc>
          <w:tcPr>
            <w:tcW w:w="1020" w:type="dxa"/>
            <w:vAlign w:val="bottom"/>
          </w:tcPr>
          <w:p>
            <w:pPr>
              <w:spacing w:after="0"/>
              <w:rPr>
                <w:sz w:val="15"/>
                <w:szCs w:val="15"/>
                <w:color w:val="auto"/>
              </w:rPr>
            </w:pPr>
          </w:p>
        </w:tc>
        <w:tc>
          <w:tcPr>
            <w:tcW w:w="40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1140" w:type="dxa"/>
            <w:vAlign w:val="bottom"/>
          </w:tcPr>
          <w:p>
            <w:pPr>
              <w:spacing w:after="0"/>
              <w:rPr>
                <w:sz w:val="15"/>
                <w:szCs w:val="15"/>
                <w:color w:val="auto"/>
              </w:rPr>
            </w:pPr>
          </w:p>
        </w:tc>
        <w:tc>
          <w:tcPr>
            <w:tcW w:w="30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34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3</w:t>
            </w:r>
          </w:p>
        </w:tc>
        <w:tc>
          <w:tcPr>
            <w:tcW w:w="4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5680" w:type="dxa"/>
            <w:vAlign w:val="bottom"/>
          </w:tcPr>
          <w:p>
            <w:pPr>
              <w:spacing w:after="0"/>
              <w:rPr>
                <w:sz w:val="20"/>
                <w:szCs w:val="20"/>
                <w:color w:val="auto"/>
              </w:rPr>
            </w:pPr>
            <w:r>
              <w:rPr>
                <w:rFonts w:ascii="Arial" w:cs="Arial" w:eastAsia="Arial" w:hAnsi="Arial"/>
                <w:sz w:val="16"/>
                <w:szCs w:val="16"/>
                <w:color w:val="auto"/>
              </w:rPr>
              <w:t>Sundry, net</w:t>
            </w:r>
          </w:p>
        </w:tc>
        <w:tc>
          <w:tcPr>
            <w:tcW w:w="10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6"/>
        </w:trPr>
        <w:tc>
          <w:tcPr>
            <w:tcW w:w="5680" w:type="dxa"/>
            <w:vAlign w:val="bottom"/>
          </w:tcPr>
          <w:p>
            <w:pPr>
              <w:ind w:left="140"/>
              <w:spacing w:after="0" w:line="166" w:lineRule="exact"/>
              <w:rPr>
                <w:sz w:val="20"/>
                <w:szCs w:val="20"/>
                <w:color w:val="auto"/>
              </w:rPr>
            </w:pPr>
            <w:r>
              <w:rPr>
                <w:rFonts w:ascii="Arial" w:cs="Arial" w:eastAsia="Arial" w:hAnsi="Arial"/>
                <w:sz w:val="16"/>
                <w:szCs w:val="16"/>
                <w:color w:val="auto"/>
              </w:rPr>
              <w:t>Total</w:t>
            </w:r>
          </w:p>
        </w:tc>
        <w:tc>
          <w:tcPr>
            <w:tcW w:w="1020" w:type="dxa"/>
            <w:vAlign w:val="bottom"/>
          </w:tcPr>
          <w:p>
            <w:pPr>
              <w:jc w:val="right"/>
              <w:ind w:right="867"/>
              <w:spacing w:after="0" w:line="167" w:lineRule="exact"/>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166" w:lineRule="exact"/>
              <w:rPr>
                <w:sz w:val="20"/>
                <w:szCs w:val="20"/>
                <w:color w:val="auto"/>
              </w:rPr>
            </w:pPr>
            <w:r>
              <w:rPr>
                <w:rFonts w:ascii="Arial" w:cs="Arial" w:eastAsia="Arial" w:hAnsi="Arial"/>
                <w:sz w:val="16"/>
                <w:szCs w:val="16"/>
                <w:color w:val="auto"/>
              </w:rPr>
              <w:t>7</w:t>
            </w:r>
          </w:p>
        </w:tc>
        <w:tc>
          <w:tcPr>
            <w:tcW w:w="1140" w:type="dxa"/>
            <w:vAlign w:val="bottom"/>
          </w:tcPr>
          <w:p>
            <w:pPr>
              <w:spacing w:after="0" w:line="166" w:lineRule="exact"/>
              <w:rPr>
                <w:sz w:val="20"/>
                <w:szCs w:val="20"/>
                <w:color w:val="auto"/>
              </w:rPr>
            </w:pPr>
            <w:r>
              <w:rPr>
                <w:rFonts w:ascii="Arial" w:cs="Arial" w:eastAsia="Arial" w:hAnsi="Arial"/>
                <w:sz w:val="16"/>
                <w:szCs w:val="16"/>
                <w:color w:val="auto"/>
              </w:rPr>
              <w:t>$</w:t>
            </w:r>
          </w:p>
        </w:tc>
        <w:tc>
          <w:tcPr>
            <w:tcW w:w="300" w:type="dxa"/>
            <w:vAlign w:val="bottom"/>
          </w:tcPr>
          <w:p>
            <w:pPr>
              <w:jc w:val="right"/>
              <w:spacing w:after="0" w:line="166" w:lineRule="exact"/>
              <w:rPr>
                <w:sz w:val="20"/>
                <w:szCs w:val="20"/>
                <w:color w:val="auto"/>
              </w:rPr>
            </w:pPr>
            <w:r>
              <w:rPr>
                <w:rFonts w:ascii="Arial" w:cs="Arial" w:eastAsia="Arial" w:hAnsi="Arial"/>
                <w:sz w:val="16"/>
                <w:szCs w:val="16"/>
                <w:color w:val="auto"/>
              </w:rPr>
              <w:t>9</w:t>
            </w:r>
          </w:p>
        </w:tc>
        <w:tc>
          <w:tcPr>
            <w:tcW w:w="340" w:type="dxa"/>
            <w:vAlign w:val="bottom"/>
          </w:tcPr>
          <w:p>
            <w:pPr>
              <w:jc w:val="right"/>
              <w:ind w:right="186"/>
              <w:spacing w:after="0" w:line="167" w:lineRule="exact"/>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66" w:lineRule="exact"/>
              <w:rPr>
                <w:sz w:val="20"/>
                <w:szCs w:val="20"/>
                <w:color w:val="auto"/>
              </w:rPr>
            </w:pPr>
            <w:r>
              <w:rPr>
                <w:rFonts w:ascii="Arial" w:cs="Arial" w:eastAsia="Arial" w:hAnsi="Arial"/>
                <w:sz w:val="16"/>
                <w:szCs w:val="16"/>
                <w:color w:val="auto"/>
              </w:rPr>
              <w:t>20</w:t>
            </w:r>
          </w:p>
        </w:tc>
        <w:tc>
          <w:tcPr>
            <w:tcW w:w="400" w:type="dxa"/>
            <w:vAlign w:val="bottom"/>
          </w:tcPr>
          <w:p>
            <w:pPr>
              <w:jc w:val="right"/>
              <w:ind w:right="246"/>
              <w:spacing w:after="0" w:line="167"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66"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80"/>
        </w:trPr>
        <w:tc>
          <w:tcPr>
            <w:tcW w:w="568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5680" w:type="dxa"/>
            <w:vAlign w:val="bottom"/>
          </w:tcPr>
          <w:p>
            <w:pPr>
              <w:spacing w:after="0" w:line="142" w:lineRule="exact"/>
              <w:rPr>
                <w:sz w:val="20"/>
                <w:szCs w:val="20"/>
                <w:color w:val="auto"/>
              </w:rPr>
            </w:pPr>
            <w:r>
              <w:rPr>
                <w:rFonts w:ascii="Arial" w:cs="Arial" w:eastAsia="Arial" w:hAnsi="Arial"/>
                <w:sz w:val="16"/>
                <w:szCs w:val="16"/>
                <w:b w:val="1"/>
                <w:bCs w:val="1"/>
                <w:color w:val="auto"/>
              </w:rPr>
              <w:t>SoCalGas:</w:t>
            </w: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80" w:type="dxa"/>
            <w:vAlign w:val="bottom"/>
          </w:tcPr>
          <w:p>
            <w:pPr>
              <w:spacing w:after="0" w:line="173" w:lineRule="exact"/>
              <w:rPr>
                <w:sz w:val="20"/>
                <w:szCs w:val="20"/>
                <w:color w:val="auto"/>
              </w:rPr>
            </w:pPr>
            <w:r>
              <w:rPr>
                <w:rFonts w:ascii="Arial" w:cs="Arial" w:eastAsia="Arial" w:hAnsi="Arial"/>
                <w:sz w:val="16"/>
                <w:szCs w:val="16"/>
                <w:color w:val="auto"/>
              </w:rPr>
              <w:t>Allowance for equity funds used during construction</w:t>
            </w:r>
          </w:p>
        </w:tc>
        <w:tc>
          <w:tcPr>
            <w:tcW w:w="1020" w:type="dxa"/>
            <w:vAlign w:val="bottom"/>
          </w:tcPr>
          <w:p>
            <w:pPr>
              <w:jc w:val="right"/>
              <w:ind w:right="867"/>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173" w:lineRule="exact"/>
              <w:rPr>
                <w:sz w:val="20"/>
                <w:szCs w:val="20"/>
                <w:color w:val="auto"/>
              </w:rPr>
            </w:pPr>
            <w:r>
              <w:rPr>
                <w:rFonts w:ascii="Arial" w:cs="Arial" w:eastAsia="Arial" w:hAnsi="Arial"/>
                <w:sz w:val="16"/>
                <w:szCs w:val="16"/>
                <w:color w:val="auto"/>
              </w:rPr>
              <w:t>6</w:t>
            </w:r>
          </w:p>
        </w:tc>
        <w:tc>
          <w:tcPr>
            <w:tcW w:w="1140" w:type="dxa"/>
            <w:vAlign w:val="bottom"/>
          </w:tcPr>
          <w:p>
            <w:pPr>
              <w:spacing w:after="0" w:line="173" w:lineRule="exact"/>
              <w:rPr>
                <w:sz w:val="20"/>
                <w:szCs w:val="20"/>
                <w:color w:val="auto"/>
              </w:rPr>
            </w:pPr>
            <w:r>
              <w:rPr>
                <w:rFonts w:ascii="Arial" w:cs="Arial" w:eastAsia="Arial" w:hAnsi="Arial"/>
                <w:sz w:val="16"/>
                <w:szCs w:val="16"/>
                <w:color w:val="auto"/>
              </w:rPr>
              <w:t>$</w:t>
            </w:r>
          </w:p>
        </w:tc>
        <w:tc>
          <w:tcPr>
            <w:tcW w:w="300" w:type="dxa"/>
            <w:vAlign w:val="bottom"/>
          </w:tcPr>
          <w:p>
            <w:pPr>
              <w:jc w:val="right"/>
              <w:spacing w:after="0" w:line="173" w:lineRule="exact"/>
              <w:rPr>
                <w:sz w:val="20"/>
                <w:szCs w:val="20"/>
                <w:color w:val="auto"/>
              </w:rPr>
            </w:pPr>
            <w:r>
              <w:rPr>
                <w:rFonts w:ascii="Arial" w:cs="Arial" w:eastAsia="Arial" w:hAnsi="Arial"/>
                <w:sz w:val="16"/>
                <w:szCs w:val="16"/>
                <w:color w:val="auto"/>
              </w:rPr>
              <w:t>5</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11</w:t>
            </w: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4"/>
        </w:trPr>
        <w:tc>
          <w:tcPr>
            <w:tcW w:w="5680" w:type="dxa"/>
            <w:vAlign w:val="bottom"/>
          </w:tcPr>
          <w:p>
            <w:pPr>
              <w:spacing w:after="0"/>
              <w:rPr>
                <w:sz w:val="20"/>
                <w:szCs w:val="20"/>
                <w:color w:val="auto"/>
              </w:rPr>
            </w:pPr>
            <w:r>
              <w:rPr>
                <w:rFonts w:ascii="Arial" w:cs="Arial" w:eastAsia="Arial" w:hAnsi="Arial"/>
                <w:sz w:val="16"/>
                <w:szCs w:val="16"/>
                <w:color w:val="auto"/>
              </w:rPr>
              <w:t>Sundry, net</w:t>
            </w:r>
          </w:p>
        </w:tc>
        <w:tc>
          <w:tcPr>
            <w:tcW w:w="10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6"/>
        </w:trPr>
        <w:tc>
          <w:tcPr>
            <w:tcW w:w="5680" w:type="dxa"/>
            <w:vAlign w:val="bottom"/>
          </w:tcPr>
          <w:p>
            <w:pPr>
              <w:ind w:left="140"/>
              <w:spacing w:after="0" w:line="166" w:lineRule="exact"/>
              <w:rPr>
                <w:sz w:val="20"/>
                <w:szCs w:val="20"/>
                <w:color w:val="auto"/>
              </w:rPr>
            </w:pPr>
            <w:r>
              <w:rPr>
                <w:rFonts w:ascii="Arial" w:cs="Arial" w:eastAsia="Arial" w:hAnsi="Arial"/>
                <w:sz w:val="16"/>
                <w:szCs w:val="16"/>
                <w:color w:val="auto"/>
              </w:rPr>
              <w:t>Total</w:t>
            </w:r>
          </w:p>
        </w:tc>
        <w:tc>
          <w:tcPr>
            <w:tcW w:w="1020" w:type="dxa"/>
            <w:vAlign w:val="bottom"/>
          </w:tcPr>
          <w:p>
            <w:pPr>
              <w:jc w:val="right"/>
              <w:ind w:right="867"/>
              <w:spacing w:after="0" w:line="167" w:lineRule="exact"/>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166" w:lineRule="exact"/>
              <w:rPr>
                <w:sz w:val="20"/>
                <w:szCs w:val="20"/>
                <w:color w:val="auto"/>
              </w:rPr>
            </w:pPr>
            <w:r>
              <w:rPr>
                <w:rFonts w:ascii="Arial" w:cs="Arial" w:eastAsia="Arial" w:hAnsi="Arial"/>
                <w:sz w:val="16"/>
                <w:szCs w:val="16"/>
                <w:color w:val="auto"/>
              </w:rPr>
              <w:t>3</w:t>
            </w:r>
          </w:p>
        </w:tc>
        <w:tc>
          <w:tcPr>
            <w:tcW w:w="1140" w:type="dxa"/>
            <w:vAlign w:val="bottom"/>
          </w:tcPr>
          <w:p>
            <w:pPr>
              <w:spacing w:after="0" w:line="166" w:lineRule="exact"/>
              <w:rPr>
                <w:sz w:val="20"/>
                <w:szCs w:val="20"/>
                <w:color w:val="auto"/>
              </w:rPr>
            </w:pPr>
            <w:r>
              <w:rPr>
                <w:rFonts w:ascii="Arial" w:cs="Arial" w:eastAsia="Arial" w:hAnsi="Arial"/>
                <w:sz w:val="16"/>
                <w:szCs w:val="16"/>
                <w:color w:val="auto"/>
              </w:rPr>
              <w:t>$</w:t>
            </w:r>
          </w:p>
        </w:tc>
        <w:tc>
          <w:tcPr>
            <w:tcW w:w="300" w:type="dxa"/>
            <w:vAlign w:val="bottom"/>
          </w:tcPr>
          <w:p>
            <w:pPr>
              <w:jc w:val="right"/>
              <w:spacing w:after="0" w:line="166" w:lineRule="exact"/>
              <w:rPr>
                <w:sz w:val="20"/>
                <w:szCs w:val="20"/>
                <w:color w:val="auto"/>
              </w:rPr>
            </w:pPr>
            <w:r>
              <w:rPr>
                <w:rFonts w:ascii="Arial" w:cs="Arial" w:eastAsia="Arial" w:hAnsi="Arial"/>
                <w:sz w:val="16"/>
                <w:szCs w:val="16"/>
                <w:color w:val="auto"/>
              </w:rPr>
              <w:t>3</w:t>
            </w:r>
          </w:p>
        </w:tc>
        <w:tc>
          <w:tcPr>
            <w:tcW w:w="340" w:type="dxa"/>
            <w:vAlign w:val="bottom"/>
          </w:tcPr>
          <w:p>
            <w:pPr>
              <w:jc w:val="right"/>
              <w:ind w:right="186"/>
              <w:spacing w:after="0" w:line="167" w:lineRule="exact"/>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66" w:lineRule="exact"/>
              <w:rPr>
                <w:sz w:val="20"/>
                <w:szCs w:val="20"/>
                <w:color w:val="auto"/>
              </w:rPr>
            </w:pPr>
            <w:r>
              <w:rPr>
                <w:rFonts w:ascii="Arial" w:cs="Arial" w:eastAsia="Arial" w:hAnsi="Arial"/>
                <w:sz w:val="16"/>
                <w:szCs w:val="16"/>
                <w:color w:val="auto"/>
              </w:rPr>
              <w:t>7</w:t>
            </w:r>
          </w:p>
        </w:tc>
        <w:tc>
          <w:tcPr>
            <w:tcW w:w="400" w:type="dxa"/>
            <w:vAlign w:val="bottom"/>
          </w:tcPr>
          <w:p>
            <w:pPr>
              <w:jc w:val="right"/>
              <w:ind w:right="246"/>
              <w:spacing w:after="0" w:line="167"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66"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80"/>
        </w:trPr>
        <w:tc>
          <w:tcPr>
            <w:tcW w:w="568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520" w:right="860" w:hanging="341"/>
        <w:spacing w:after="0" w:line="241" w:lineRule="auto"/>
        <w:tabs>
          <w:tab w:leader="none" w:pos="52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investment gains on dedicated assets in support of our executive retirement and deferred compensation plans. These amounts are partially offset by corresponding changes in compensation expense related to the plans.</w:t>
      </w:r>
    </w:p>
    <w:p>
      <w:pPr>
        <w:ind w:left="520" w:hanging="341"/>
        <w:spacing w:after="0"/>
        <w:tabs>
          <w:tab w:leader="none" w:pos="52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regulatory balancing accounts.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480" w:type="dxa"/>
            <w:vAlign w:val="bottom"/>
          </w:tcPr>
          <w:p>
            <w:pPr>
              <w:spacing w:after="0"/>
              <w:rPr>
                <w:sz w:val="16"/>
                <w:szCs w:val="16"/>
                <w:color w:val="auto"/>
              </w:rPr>
            </w:pPr>
          </w:p>
        </w:tc>
        <w:tc>
          <w:tcPr>
            <w:tcW w:w="1720" w:type="dxa"/>
            <w:vAlign w:val="bottom"/>
            <w:vMerge w:val="restart"/>
          </w:tcPr>
          <w:p>
            <w:pPr>
              <w:jc w:val="center"/>
              <w:ind w:left="1065"/>
              <w:spacing w:after="0"/>
              <w:rPr>
                <w:sz w:val="20"/>
                <w:szCs w:val="20"/>
                <w:color w:val="auto"/>
              </w:rPr>
            </w:pPr>
            <w:r>
              <w:rPr>
                <w:rFonts w:ascii="Arial" w:cs="Arial" w:eastAsia="Arial" w:hAnsi="Arial"/>
                <w:sz w:val="14"/>
                <w:szCs w:val="14"/>
                <w:color w:val="auto"/>
              </w:rPr>
              <w:t>Effective</w:t>
            </w:r>
          </w:p>
        </w:tc>
        <w:tc>
          <w:tcPr>
            <w:tcW w:w="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20" w:type="dxa"/>
            <w:vAlign w:val="bottom"/>
            <w:vMerge w:val="restart"/>
          </w:tcPr>
          <w:p>
            <w:pPr>
              <w:jc w:val="center"/>
              <w:spacing w:after="0"/>
              <w:rPr>
                <w:sz w:val="20"/>
                <w:szCs w:val="20"/>
                <w:color w:val="auto"/>
              </w:rPr>
            </w:pPr>
            <w:r>
              <w:rPr>
                <w:rFonts w:ascii="Arial" w:cs="Arial" w:eastAsia="Arial" w:hAnsi="Arial"/>
                <w:sz w:val="14"/>
                <w:szCs w:val="14"/>
                <w:color w:val="auto"/>
              </w:rPr>
              <w:t>Effective</w:t>
            </w:r>
          </w:p>
        </w:tc>
        <w:tc>
          <w:tcPr>
            <w:tcW w:w="0" w:type="dxa"/>
            <w:vAlign w:val="bottom"/>
          </w:tcPr>
          <w:p>
            <w:pPr>
              <w:spacing w:after="0"/>
              <w:rPr>
                <w:sz w:val="1"/>
                <w:szCs w:val="1"/>
                <w:color w:val="auto"/>
              </w:rPr>
            </w:pPr>
          </w:p>
        </w:tc>
      </w:tr>
      <w:tr>
        <w:trPr>
          <w:trHeight w:val="139"/>
        </w:trPr>
        <w:tc>
          <w:tcPr>
            <w:tcW w:w="3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1480" w:type="dxa"/>
            <w:vAlign w:val="bottom"/>
          </w:tcPr>
          <w:p>
            <w:pPr>
              <w:jc w:val="right"/>
              <w:spacing w:after="0" w:line="159" w:lineRule="exact"/>
              <w:rPr>
                <w:sz w:val="20"/>
                <w:szCs w:val="20"/>
                <w:color w:val="auto"/>
              </w:rPr>
            </w:pPr>
            <w:r>
              <w:rPr>
                <w:rFonts w:ascii="Arial" w:cs="Arial" w:eastAsia="Arial" w:hAnsi="Arial"/>
                <w:sz w:val="14"/>
                <w:szCs w:val="14"/>
                <w:color w:val="auto"/>
              </w:rPr>
              <w:t>Income Tax</w:t>
            </w:r>
          </w:p>
        </w:tc>
        <w:tc>
          <w:tcPr>
            <w:tcW w:w="1720" w:type="dxa"/>
            <w:vAlign w:val="bottom"/>
          </w:tcPr>
          <w:p>
            <w:pPr>
              <w:jc w:val="center"/>
              <w:ind w:left="1085"/>
              <w:spacing w:after="0" w:line="159" w:lineRule="exact"/>
              <w:rPr>
                <w:sz w:val="20"/>
                <w:szCs w:val="20"/>
                <w:color w:val="auto"/>
              </w:rPr>
            </w:pPr>
            <w:r>
              <w:rPr>
                <w:rFonts w:ascii="Arial" w:cs="Arial" w:eastAsia="Arial" w:hAnsi="Arial"/>
                <w:sz w:val="14"/>
                <w:szCs w:val="14"/>
                <w:color w:val="auto"/>
              </w:rPr>
              <w:t>Income</w:t>
            </w:r>
          </w:p>
        </w:tc>
        <w:tc>
          <w:tcPr>
            <w:tcW w:w="820" w:type="dxa"/>
            <w:vAlign w:val="bottom"/>
          </w:tcPr>
          <w:p>
            <w:pPr>
              <w:spacing w:after="0"/>
              <w:rPr>
                <w:sz w:val="13"/>
                <w:szCs w:val="13"/>
                <w:color w:val="auto"/>
              </w:rPr>
            </w:pPr>
          </w:p>
        </w:tc>
        <w:tc>
          <w:tcPr>
            <w:tcW w:w="1460" w:type="dxa"/>
            <w:vAlign w:val="bottom"/>
          </w:tcPr>
          <w:p>
            <w:pPr>
              <w:jc w:val="right"/>
              <w:spacing w:after="0" w:line="159" w:lineRule="exact"/>
              <w:rPr>
                <w:sz w:val="20"/>
                <w:szCs w:val="20"/>
                <w:color w:val="auto"/>
              </w:rPr>
            </w:pPr>
            <w:r>
              <w:rPr>
                <w:rFonts w:ascii="Arial" w:cs="Arial" w:eastAsia="Arial" w:hAnsi="Arial"/>
                <w:sz w:val="14"/>
                <w:szCs w:val="14"/>
                <w:color w:val="auto"/>
              </w:rPr>
              <w:t>Income Tax</w:t>
            </w:r>
          </w:p>
        </w:tc>
        <w:tc>
          <w:tcPr>
            <w:tcW w:w="420" w:type="dxa"/>
            <w:vAlign w:val="bottom"/>
          </w:tcPr>
          <w:p>
            <w:pPr>
              <w:spacing w:after="0"/>
              <w:rPr>
                <w:sz w:val="13"/>
                <w:szCs w:val="13"/>
                <w:color w:val="auto"/>
              </w:rPr>
            </w:pPr>
          </w:p>
        </w:tc>
        <w:tc>
          <w:tcPr>
            <w:tcW w:w="2120" w:type="dxa"/>
            <w:vAlign w:val="bottom"/>
          </w:tcPr>
          <w:p>
            <w:pPr>
              <w:jc w:val="center"/>
              <w:spacing w:after="0" w:line="159"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Expense</w:t>
            </w:r>
          </w:p>
        </w:tc>
        <w:tc>
          <w:tcPr>
            <w:tcW w:w="1720" w:type="dxa"/>
            <w:vAlign w:val="bottom"/>
            <w:tcBorders>
              <w:bottom w:val="single" w:sz="8" w:color="auto"/>
            </w:tcBorders>
          </w:tcPr>
          <w:p>
            <w:pPr>
              <w:jc w:val="center"/>
              <w:ind w:left="1085"/>
              <w:spacing w:after="0"/>
              <w:rPr>
                <w:sz w:val="20"/>
                <w:szCs w:val="20"/>
                <w:color w:val="auto"/>
              </w:rPr>
            </w:pPr>
            <w:r>
              <w:rPr>
                <w:rFonts w:ascii="Arial" w:cs="Arial" w:eastAsia="Arial" w:hAnsi="Arial"/>
                <w:sz w:val="14"/>
                <w:szCs w:val="14"/>
                <w:color w:val="auto"/>
                <w:w w:val="98"/>
              </w:rPr>
              <w:t>Tax Rate</w:t>
            </w:r>
          </w:p>
        </w:tc>
        <w:tc>
          <w:tcPr>
            <w:tcW w:w="8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Expense</w:t>
            </w:r>
          </w:p>
        </w:tc>
        <w:tc>
          <w:tcPr>
            <w:tcW w:w="4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color w:val="auto"/>
                <w:w w:val="98"/>
              </w:rPr>
              <w:t>Tax Rate</w:t>
            </w:r>
          </w:p>
        </w:tc>
        <w:tc>
          <w:tcPr>
            <w:tcW w:w="0" w:type="dxa"/>
            <w:vAlign w:val="bottom"/>
          </w:tcPr>
          <w:p>
            <w:pPr>
              <w:spacing w:after="0"/>
              <w:rPr>
                <w:sz w:val="1"/>
                <w:szCs w:val="1"/>
                <w:color w:val="auto"/>
              </w:rPr>
            </w:pPr>
          </w:p>
        </w:tc>
      </w:tr>
      <w:tr>
        <w:trPr>
          <w:trHeight w:val="153"/>
        </w:trPr>
        <w:tc>
          <w:tcPr>
            <w:tcW w:w="3400" w:type="dxa"/>
            <w:vAlign w:val="bottom"/>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2"/>
          </w:tcPr>
          <w:p>
            <w:pPr>
              <w:ind w:left="20"/>
              <w:spacing w:after="0" w:line="153" w:lineRule="exact"/>
              <w:rPr>
                <w:sz w:val="20"/>
                <w:szCs w:val="20"/>
                <w:color w:val="auto"/>
              </w:rPr>
            </w:pPr>
            <w:r>
              <w:rPr>
                <w:rFonts w:ascii="Arial" w:cs="Arial" w:eastAsia="Arial" w:hAnsi="Arial"/>
                <w:sz w:val="14"/>
                <w:szCs w:val="14"/>
                <w:color w:val="auto"/>
              </w:rPr>
              <w:t>Three months ended June 30,</w:t>
            </w:r>
          </w:p>
        </w:tc>
        <w:tc>
          <w:tcPr>
            <w:tcW w:w="4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4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685"/>
              <w:spacing w:after="0"/>
              <w:rPr>
                <w:sz w:val="20"/>
                <w:szCs w:val="20"/>
                <w:color w:val="auto"/>
              </w:rPr>
            </w:pPr>
            <w:r>
              <w:rPr>
                <w:rFonts w:ascii="Arial" w:cs="Arial" w:eastAsia="Arial" w:hAnsi="Arial"/>
                <w:sz w:val="14"/>
                <w:szCs w:val="14"/>
                <w:color w:val="auto"/>
              </w:rPr>
              <w:t>2014</w:t>
            </w:r>
          </w:p>
        </w:tc>
        <w:tc>
          <w:tcPr>
            <w:tcW w:w="8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1645"/>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35"/>
        </w:trPr>
        <w:tc>
          <w:tcPr>
            <w:tcW w:w="3400" w:type="dxa"/>
            <w:vAlign w:val="bottom"/>
          </w:tcPr>
          <w:p>
            <w:pPr>
              <w:spacing w:after="0" w:line="135" w:lineRule="exact"/>
              <w:rPr>
                <w:sz w:val="20"/>
                <w:szCs w:val="20"/>
                <w:color w:val="auto"/>
              </w:rPr>
            </w:pPr>
            <w:r>
              <w:rPr>
                <w:rFonts w:ascii="Arial" w:cs="Arial" w:eastAsia="Arial" w:hAnsi="Arial"/>
                <w:sz w:val="15"/>
                <w:szCs w:val="15"/>
                <w:color w:val="auto"/>
              </w:rPr>
              <w:t>Sempra Energy Consolidated</w:t>
            </w:r>
          </w:p>
        </w:tc>
        <w:tc>
          <w:tcPr>
            <w:tcW w:w="1480" w:type="dxa"/>
            <w:vAlign w:val="bottom"/>
          </w:tcPr>
          <w:p>
            <w:pPr>
              <w:jc w:val="right"/>
              <w:ind w:right="1108"/>
              <w:spacing w:after="0" w:line="135" w:lineRule="exact"/>
              <w:rPr>
                <w:sz w:val="20"/>
                <w:szCs w:val="20"/>
                <w:color w:val="auto"/>
              </w:rPr>
            </w:pPr>
            <w:r>
              <w:rPr>
                <w:rFonts w:ascii="Arial" w:cs="Arial" w:eastAsia="Arial" w:hAnsi="Arial"/>
                <w:sz w:val="15"/>
                <w:szCs w:val="15"/>
                <w:color w:val="auto"/>
              </w:rPr>
              <w:t>$</w:t>
            </w:r>
          </w:p>
        </w:tc>
        <w:tc>
          <w:tcPr>
            <w:tcW w:w="1720" w:type="dxa"/>
            <w:vAlign w:val="bottom"/>
          </w:tcPr>
          <w:p>
            <w:pPr>
              <w:jc w:val="right"/>
              <w:ind w:right="1325"/>
              <w:spacing w:after="0" w:line="135" w:lineRule="exact"/>
              <w:rPr>
                <w:sz w:val="20"/>
                <w:szCs w:val="20"/>
                <w:color w:val="auto"/>
              </w:rPr>
            </w:pPr>
            <w:r>
              <w:rPr>
                <w:rFonts w:ascii="Arial" w:cs="Arial" w:eastAsia="Arial" w:hAnsi="Arial"/>
                <w:sz w:val="15"/>
                <w:szCs w:val="15"/>
                <w:color w:val="auto"/>
              </w:rPr>
              <w:t>93</w:t>
            </w:r>
          </w:p>
        </w:tc>
        <w:tc>
          <w:tcPr>
            <w:tcW w:w="820" w:type="dxa"/>
            <w:vAlign w:val="bottom"/>
          </w:tcPr>
          <w:p>
            <w:pPr>
              <w:ind w:left="260"/>
              <w:spacing w:after="0" w:line="135" w:lineRule="exact"/>
              <w:rPr>
                <w:sz w:val="20"/>
                <w:szCs w:val="20"/>
                <w:color w:val="auto"/>
              </w:rPr>
            </w:pPr>
            <w:r>
              <w:rPr>
                <w:rFonts w:ascii="Arial" w:cs="Arial" w:eastAsia="Arial" w:hAnsi="Arial"/>
                <w:sz w:val="15"/>
                <w:szCs w:val="15"/>
                <w:color w:val="auto"/>
              </w:rPr>
              <w:t>25 %</w:t>
            </w:r>
          </w:p>
        </w:tc>
        <w:tc>
          <w:tcPr>
            <w:tcW w:w="1460" w:type="dxa"/>
            <w:vAlign w:val="bottom"/>
          </w:tcPr>
          <w:p>
            <w:pPr>
              <w:jc w:val="right"/>
              <w:ind w:right="1108"/>
              <w:spacing w:after="0" w:line="135" w:lineRule="exact"/>
              <w:rPr>
                <w:sz w:val="20"/>
                <w:szCs w:val="20"/>
                <w:color w:val="auto"/>
              </w:rPr>
            </w:pPr>
            <w:r>
              <w:rPr>
                <w:rFonts w:ascii="Arial" w:cs="Arial" w:eastAsia="Arial" w:hAnsi="Arial"/>
                <w:sz w:val="15"/>
                <w:szCs w:val="15"/>
                <w:color w:val="auto"/>
              </w:rPr>
              <w:t>$</w:t>
            </w:r>
          </w:p>
        </w:tc>
        <w:tc>
          <w:tcPr>
            <w:tcW w:w="420" w:type="dxa"/>
            <w:vAlign w:val="bottom"/>
          </w:tcPr>
          <w:p>
            <w:pPr>
              <w:jc w:val="right"/>
              <w:ind w:right="22"/>
              <w:spacing w:after="0" w:line="135" w:lineRule="exact"/>
              <w:rPr>
                <w:sz w:val="20"/>
                <w:szCs w:val="20"/>
                <w:color w:val="auto"/>
              </w:rPr>
            </w:pPr>
            <w:r>
              <w:rPr>
                <w:rFonts w:ascii="Arial" w:cs="Arial" w:eastAsia="Arial" w:hAnsi="Arial"/>
                <w:sz w:val="15"/>
                <w:szCs w:val="15"/>
                <w:color w:val="auto"/>
              </w:rPr>
              <w:t>32</w:t>
            </w:r>
          </w:p>
        </w:tc>
        <w:tc>
          <w:tcPr>
            <w:tcW w:w="2120" w:type="dxa"/>
            <w:vAlign w:val="bottom"/>
          </w:tcPr>
          <w:p>
            <w:pPr>
              <w:jc w:val="right"/>
              <w:ind w:right="105"/>
              <w:spacing w:after="0" w:line="135" w:lineRule="exact"/>
              <w:rPr>
                <w:sz w:val="20"/>
                <w:szCs w:val="20"/>
                <w:color w:val="auto"/>
              </w:rPr>
            </w:pPr>
            <w:r>
              <w:rPr>
                <w:rFonts w:ascii="Arial" w:cs="Arial" w:eastAsia="Arial" w:hAnsi="Arial"/>
                <w:sz w:val="15"/>
                <w:szCs w:val="15"/>
                <w:color w:val="auto"/>
              </w:rPr>
              <w:t>11 %</w:t>
            </w:r>
          </w:p>
        </w:tc>
        <w:tc>
          <w:tcPr>
            <w:tcW w:w="0" w:type="dxa"/>
            <w:vAlign w:val="bottom"/>
          </w:tcPr>
          <w:p>
            <w:pPr>
              <w:spacing w:after="0"/>
              <w:rPr>
                <w:sz w:val="1"/>
                <w:szCs w:val="1"/>
                <w:color w:val="auto"/>
              </w:rPr>
            </w:pPr>
          </w:p>
        </w:tc>
      </w:tr>
      <w:tr>
        <w:trPr>
          <w:trHeight w:val="173"/>
        </w:trPr>
        <w:tc>
          <w:tcPr>
            <w:tcW w:w="3400" w:type="dxa"/>
            <w:vAlign w:val="bottom"/>
          </w:tcPr>
          <w:p>
            <w:pPr>
              <w:spacing w:after="0" w:line="173" w:lineRule="exact"/>
              <w:rPr>
                <w:sz w:val="20"/>
                <w:szCs w:val="20"/>
                <w:color w:val="auto"/>
              </w:rPr>
            </w:pPr>
            <w:r>
              <w:rPr>
                <w:rFonts w:ascii="Arial" w:cs="Arial" w:eastAsia="Arial" w:hAnsi="Arial"/>
                <w:sz w:val="16"/>
                <w:szCs w:val="16"/>
                <w:color w:val="auto"/>
              </w:rPr>
              <w:t>SDG&amp;E</w:t>
            </w:r>
          </w:p>
        </w:tc>
        <w:tc>
          <w:tcPr>
            <w:tcW w:w="1480" w:type="dxa"/>
            <w:vAlign w:val="bottom"/>
          </w:tcPr>
          <w:p>
            <w:pPr>
              <w:spacing w:after="0"/>
              <w:rPr>
                <w:sz w:val="15"/>
                <w:szCs w:val="15"/>
                <w:color w:val="auto"/>
              </w:rPr>
            </w:pPr>
          </w:p>
        </w:tc>
        <w:tc>
          <w:tcPr>
            <w:tcW w:w="1720" w:type="dxa"/>
            <w:vAlign w:val="bottom"/>
          </w:tcPr>
          <w:p>
            <w:pPr>
              <w:jc w:val="right"/>
              <w:ind w:right="1325"/>
              <w:spacing w:after="0" w:line="173" w:lineRule="exact"/>
              <w:rPr>
                <w:sz w:val="20"/>
                <w:szCs w:val="20"/>
                <w:color w:val="auto"/>
              </w:rPr>
            </w:pPr>
            <w:r>
              <w:rPr>
                <w:rFonts w:ascii="Arial" w:cs="Arial" w:eastAsia="Arial" w:hAnsi="Arial"/>
                <w:sz w:val="16"/>
                <w:szCs w:val="16"/>
                <w:color w:val="auto"/>
              </w:rPr>
              <w:t>69</w:t>
            </w:r>
          </w:p>
        </w:tc>
        <w:tc>
          <w:tcPr>
            <w:tcW w:w="820" w:type="dxa"/>
            <w:vAlign w:val="bottom"/>
          </w:tcPr>
          <w:p>
            <w:pPr>
              <w:ind w:left="260"/>
              <w:spacing w:after="0" w:line="173" w:lineRule="exact"/>
              <w:rPr>
                <w:sz w:val="20"/>
                <w:szCs w:val="20"/>
                <w:color w:val="auto"/>
              </w:rPr>
            </w:pPr>
            <w:r>
              <w:rPr>
                <w:rFonts w:ascii="Arial" w:cs="Arial" w:eastAsia="Arial" w:hAnsi="Arial"/>
                <w:sz w:val="16"/>
                <w:szCs w:val="16"/>
                <w:color w:val="auto"/>
              </w:rPr>
              <w:t>35</w:t>
            </w:r>
          </w:p>
        </w:tc>
        <w:tc>
          <w:tcPr>
            <w:tcW w:w="1460" w:type="dxa"/>
            <w:vAlign w:val="bottom"/>
          </w:tcPr>
          <w:p>
            <w:pPr>
              <w:spacing w:after="0"/>
              <w:rPr>
                <w:sz w:val="15"/>
                <w:szCs w:val="15"/>
                <w:color w:val="auto"/>
              </w:rPr>
            </w:pPr>
          </w:p>
        </w:tc>
        <w:tc>
          <w:tcPr>
            <w:tcW w:w="420" w:type="dxa"/>
            <w:vAlign w:val="bottom"/>
          </w:tcPr>
          <w:p>
            <w:pPr>
              <w:jc w:val="right"/>
              <w:ind w:right="22"/>
              <w:spacing w:after="0" w:line="173" w:lineRule="exact"/>
              <w:rPr>
                <w:sz w:val="20"/>
                <w:szCs w:val="20"/>
                <w:color w:val="auto"/>
              </w:rPr>
            </w:pPr>
            <w:r>
              <w:rPr>
                <w:rFonts w:ascii="Arial" w:cs="Arial" w:eastAsia="Arial" w:hAnsi="Arial"/>
                <w:sz w:val="16"/>
                <w:szCs w:val="16"/>
                <w:color w:val="auto"/>
              </w:rPr>
              <w:t>12</w:t>
            </w:r>
          </w:p>
        </w:tc>
        <w:tc>
          <w:tcPr>
            <w:tcW w:w="2120" w:type="dxa"/>
            <w:vAlign w:val="bottom"/>
          </w:tcPr>
          <w:p>
            <w:pPr>
              <w:jc w:val="right"/>
              <w:ind w:right="285"/>
              <w:spacing w:after="0" w:line="173"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4"/>
        </w:trPr>
        <w:tc>
          <w:tcPr>
            <w:tcW w:w="3400" w:type="dxa"/>
            <w:vAlign w:val="bottom"/>
          </w:tcPr>
          <w:p>
            <w:pPr>
              <w:spacing w:after="0"/>
              <w:rPr>
                <w:sz w:val="20"/>
                <w:szCs w:val="20"/>
                <w:color w:val="auto"/>
              </w:rPr>
            </w:pPr>
            <w:r>
              <w:rPr>
                <w:rFonts w:ascii="Arial" w:cs="Arial" w:eastAsia="Arial" w:hAnsi="Arial"/>
                <w:sz w:val="16"/>
                <w:szCs w:val="16"/>
                <w:color w:val="auto"/>
              </w:rPr>
              <w:t>SoCalGas</w:t>
            </w:r>
          </w:p>
        </w:tc>
        <w:tc>
          <w:tcPr>
            <w:tcW w:w="1480" w:type="dxa"/>
            <w:vAlign w:val="bottom"/>
          </w:tcPr>
          <w:p>
            <w:pPr>
              <w:spacing w:after="0"/>
              <w:rPr>
                <w:sz w:val="17"/>
                <w:szCs w:val="17"/>
                <w:color w:val="auto"/>
              </w:rPr>
            </w:pPr>
          </w:p>
        </w:tc>
        <w:tc>
          <w:tcPr>
            <w:tcW w:w="1720" w:type="dxa"/>
            <w:vAlign w:val="bottom"/>
          </w:tcPr>
          <w:p>
            <w:pPr>
              <w:jc w:val="right"/>
              <w:ind w:right="1325"/>
              <w:spacing w:after="0"/>
              <w:rPr>
                <w:sz w:val="20"/>
                <w:szCs w:val="20"/>
                <w:color w:val="auto"/>
              </w:rPr>
            </w:pPr>
            <w:r>
              <w:rPr>
                <w:rFonts w:ascii="Arial" w:cs="Arial" w:eastAsia="Arial" w:hAnsi="Arial"/>
                <w:sz w:val="16"/>
                <w:szCs w:val="16"/>
                <w:color w:val="auto"/>
              </w:rPr>
              <w:t>28</w:t>
            </w:r>
          </w:p>
        </w:tc>
        <w:tc>
          <w:tcPr>
            <w:tcW w:w="820" w:type="dxa"/>
            <w:vAlign w:val="bottom"/>
          </w:tcPr>
          <w:p>
            <w:pPr>
              <w:ind w:left="260"/>
              <w:spacing w:after="0"/>
              <w:rPr>
                <w:sz w:val="20"/>
                <w:szCs w:val="20"/>
                <w:color w:val="auto"/>
              </w:rPr>
            </w:pPr>
            <w:r>
              <w:rPr>
                <w:rFonts w:ascii="Arial" w:cs="Arial" w:eastAsia="Arial" w:hAnsi="Arial"/>
                <w:sz w:val="16"/>
                <w:szCs w:val="16"/>
                <w:color w:val="auto"/>
              </w:rPr>
              <w:t>26</w:t>
            </w:r>
          </w:p>
        </w:tc>
        <w:tc>
          <w:tcPr>
            <w:tcW w:w="1460" w:type="dxa"/>
            <w:vAlign w:val="bottom"/>
          </w:tcPr>
          <w:p>
            <w:pPr>
              <w:spacing w:after="0"/>
              <w:rPr>
                <w:sz w:val="17"/>
                <w:szCs w:val="17"/>
                <w:color w:val="auto"/>
              </w:rPr>
            </w:pPr>
          </w:p>
        </w:tc>
        <w:tc>
          <w:tcPr>
            <w:tcW w:w="420" w:type="dxa"/>
            <w:vAlign w:val="bottom"/>
          </w:tcPr>
          <w:p>
            <w:pPr>
              <w:jc w:val="right"/>
              <w:ind w:right="22"/>
              <w:spacing w:after="0"/>
              <w:rPr>
                <w:sz w:val="20"/>
                <w:szCs w:val="20"/>
                <w:color w:val="auto"/>
              </w:rPr>
            </w:pPr>
            <w:r>
              <w:rPr>
                <w:rFonts w:ascii="Arial" w:cs="Arial" w:eastAsia="Arial" w:hAnsi="Arial"/>
                <w:sz w:val="16"/>
                <w:szCs w:val="16"/>
                <w:color w:val="auto"/>
              </w:rPr>
              <w:t>45</w:t>
            </w:r>
          </w:p>
        </w:tc>
        <w:tc>
          <w:tcPr>
            <w:tcW w:w="2120" w:type="dxa"/>
            <w:vAlign w:val="bottom"/>
          </w:tcPr>
          <w:p>
            <w:pPr>
              <w:jc w:val="right"/>
              <w:ind w:right="285"/>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80"/>
        </w:trPr>
        <w:tc>
          <w:tcPr>
            <w:tcW w:w="3400" w:type="dxa"/>
            <w:vAlign w:val="bottom"/>
            <w:shd w:val="clear" w:color="auto" w:fill="ACACAC"/>
          </w:tcPr>
          <w:p>
            <w:pPr>
              <w:spacing w:after="0"/>
              <w:rPr>
                <w:sz w:val="6"/>
                <w:szCs w:val="6"/>
                <w:color w:val="auto"/>
              </w:rPr>
            </w:pPr>
          </w:p>
        </w:tc>
        <w:tc>
          <w:tcPr>
            <w:tcW w:w="1480" w:type="dxa"/>
            <w:vAlign w:val="bottom"/>
            <w:shd w:val="clear" w:color="auto" w:fill="ACACAC"/>
          </w:tcPr>
          <w:p>
            <w:pPr>
              <w:spacing w:after="0"/>
              <w:rPr>
                <w:sz w:val="6"/>
                <w:szCs w:val="6"/>
                <w:color w:val="auto"/>
              </w:rPr>
            </w:pPr>
          </w:p>
        </w:tc>
        <w:tc>
          <w:tcPr>
            <w:tcW w:w="1720" w:type="dxa"/>
            <w:vAlign w:val="bottom"/>
            <w:shd w:val="clear" w:color="auto" w:fill="ACACAC"/>
          </w:tcPr>
          <w:p>
            <w:pPr>
              <w:spacing w:after="0"/>
              <w:rPr>
                <w:sz w:val="6"/>
                <w:szCs w:val="6"/>
                <w:color w:val="auto"/>
              </w:rPr>
            </w:pPr>
          </w:p>
        </w:tc>
        <w:tc>
          <w:tcPr>
            <w:tcW w:w="2280" w:type="dxa"/>
            <w:vAlign w:val="bottom"/>
            <w:gridSpan w:val="2"/>
            <w:shd w:val="clear" w:color="auto" w:fill="ACACAC"/>
          </w:tcPr>
          <w:p>
            <w:pPr>
              <w:spacing w:after="0"/>
              <w:rPr>
                <w:sz w:val="6"/>
                <w:szCs w:val="6"/>
                <w:color w:val="auto"/>
              </w:rPr>
            </w:pPr>
          </w:p>
        </w:tc>
        <w:tc>
          <w:tcPr>
            <w:tcW w:w="420" w:type="dxa"/>
            <w:vAlign w:val="bottom"/>
            <w:shd w:val="clear" w:color="auto" w:fill="ACACAC"/>
          </w:tcPr>
          <w:p>
            <w:pPr>
              <w:spacing w:after="0"/>
              <w:rPr>
                <w:sz w:val="6"/>
                <w:szCs w:val="6"/>
                <w:color w:val="auto"/>
              </w:rPr>
            </w:pPr>
          </w:p>
        </w:tc>
        <w:tc>
          <w:tcPr>
            <w:tcW w:w="2120" w:type="dxa"/>
            <w:vAlign w:val="bottom"/>
            <w:shd w:val="clear" w:color="auto" w:fill="ACACAC"/>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2"/>
          </w:tcPr>
          <w:p>
            <w:pPr>
              <w:ind w:left="100"/>
              <w:spacing w:after="0" w:line="159" w:lineRule="exact"/>
              <w:rPr>
                <w:sz w:val="20"/>
                <w:szCs w:val="20"/>
                <w:color w:val="auto"/>
              </w:rPr>
            </w:pPr>
            <w:r>
              <w:rPr>
                <w:rFonts w:ascii="Arial" w:cs="Arial" w:eastAsia="Arial" w:hAnsi="Arial"/>
                <w:sz w:val="14"/>
                <w:szCs w:val="14"/>
                <w:color w:val="auto"/>
              </w:rPr>
              <w:t>Six months ended June 30,</w:t>
            </w:r>
          </w:p>
        </w:tc>
        <w:tc>
          <w:tcPr>
            <w:tcW w:w="4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4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685"/>
              <w:spacing w:after="0"/>
              <w:rPr>
                <w:sz w:val="20"/>
                <w:szCs w:val="20"/>
                <w:color w:val="auto"/>
              </w:rPr>
            </w:pPr>
            <w:r>
              <w:rPr>
                <w:rFonts w:ascii="Arial" w:cs="Arial" w:eastAsia="Arial" w:hAnsi="Arial"/>
                <w:sz w:val="14"/>
                <w:szCs w:val="14"/>
                <w:color w:val="auto"/>
              </w:rPr>
              <w:t>2014</w:t>
            </w:r>
          </w:p>
        </w:tc>
        <w:tc>
          <w:tcPr>
            <w:tcW w:w="8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1645"/>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35"/>
        </w:trPr>
        <w:tc>
          <w:tcPr>
            <w:tcW w:w="3400" w:type="dxa"/>
            <w:vAlign w:val="bottom"/>
          </w:tcPr>
          <w:p>
            <w:pPr>
              <w:spacing w:after="0" w:line="135" w:lineRule="exact"/>
              <w:rPr>
                <w:sz w:val="20"/>
                <w:szCs w:val="20"/>
                <w:color w:val="auto"/>
              </w:rPr>
            </w:pPr>
            <w:r>
              <w:rPr>
                <w:rFonts w:ascii="Arial" w:cs="Arial" w:eastAsia="Arial" w:hAnsi="Arial"/>
                <w:sz w:val="15"/>
                <w:szCs w:val="15"/>
                <w:color w:val="auto"/>
              </w:rPr>
              <w:t>Sempra Energy Consolidated</w:t>
            </w:r>
          </w:p>
        </w:tc>
        <w:tc>
          <w:tcPr>
            <w:tcW w:w="1480" w:type="dxa"/>
            <w:vAlign w:val="bottom"/>
          </w:tcPr>
          <w:p>
            <w:pPr>
              <w:jc w:val="right"/>
              <w:ind w:right="1108"/>
              <w:spacing w:after="0" w:line="135" w:lineRule="exact"/>
              <w:rPr>
                <w:sz w:val="20"/>
                <w:szCs w:val="20"/>
                <w:color w:val="auto"/>
              </w:rPr>
            </w:pPr>
            <w:r>
              <w:rPr>
                <w:rFonts w:ascii="Arial" w:cs="Arial" w:eastAsia="Arial" w:hAnsi="Arial"/>
                <w:sz w:val="15"/>
                <w:szCs w:val="15"/>
                <w:color w:val="auto"/>
              </w:rPr>
              <w:t>$</w:t>
            </w:r>
          </w:p>
        </w:tc>
        <w:tc>
          <w:tcPr>
            <w:tcW w:w="1720" w:type="dxa"/>
            <w:vAlign w:val="bottom"/>
          </w:tcPr>
          <w:p>
            <w:pPr>
              <w:jc w:val="right"/>
              <w:ind w:right="1325"/>
              <w:spacing w:after="0" w:line="135" w:lineRule="exact"/>
              <w:rPr>
                <w:sz w:val="20"/>
                <w:szCs w:val="20"/>
                <w:color w:val="auto"/>
              </w:rPr>
            </w:pPr>
            <w:r>
              <w:rPr>
                <w:rFonts w:ascii="Arial" w:cs="Arial" w:eastAsia="Arial" w:hAnsi="Arial"/>
                <w:sz w:val="15"/>
                <w:szCs w:val="15"/>
                <w:color w:val="auto"/>
              </w:rPr>
              <w:t>220</w:t>
            </w:r>
          </w:p>
        </w:tc>
        <w:tc>
          <w:tcPr>
            <w:tcW w:w="820" w:type="dxa"/>
            <w:vAlign w:val="bottom"/>
          </w:tcPr>
          <w:p>
            <w:pPr>
              <w:ind w:left="260"/>
              <w:spacing w:after="0" w:line="135" w:lineRule="exact"/>
              <w:rPr>
                <w:sz w:val="20"/>
                <w:szCs w:val="20"/>
                <w:color w:val="auto"/>
              </w:rPr>
            </w:pPr>
            <w:r>
              <w:rPr>
                <w:rFonts w:ascii="Arial" w:cs="Arial" w:eastAsia="Arial" w:hAnsi="Arial"/>
                <w:sz w:val="15"/>
                <w:szCs w:val="15"/>
                <w:color w:val="auto"/>
              </w:rPr>
              <w:t>29 %</w:t>
            </w:r>
          </w:p>
        </w:tc>
        <w:tc>
          <w:tcPr>
            <w:tcW w:w="1460" w:type="dxa"/>
            <w:vAlign w:val="bottom"/>
          </w:tcPr>
          <w:p>
            <w:pPr>
              <w:jc w:val="right"/>
              <w:ind w:right="1108"/>
              <w:spacing w:after="0" w:line="135" w:lineRule="exact"/>
              <w:rPr>
                <w:sz w:val="20"/>
                <w:szCs w:val="20"/>
                <w:color w:val="auto"/>
              </w:rPr>
            </w:pPr>
            <w:r>
              <w:rPr>
                <w:rFonts w:ascii="Arial" w:cs="Arial" w:eastAsia="Arial" w:hAnsi="Arial"/>
                <w:sz w:val="15"/>
                <w:szCs w:val="15"/>
                <w:color w:val="auto"/>
              </w:rPr>
              <w:t>$</w:t>
            </w:r>
          </w:p>
        </w:tc>
        <w:tc>
          <w:tcPr>
            <w:tcW w:w="420" w:type="dxa"/>
            <w:vAlign w:val="bottom"/>
          </w:tcPr>
          <w:p>
            <w:pPr>
              <w:jc w:val="right"/>
              <w:ind w:right="22"/>
              <w:spacing w:after="0" w:line="135" w:lineRule="exact"/>
              <w:rPr>
                <w:sz w:val="20"/>
                <w:szCs w:val="20"/>
                <w:color w:val="auto"/>
              </w:rPr>
            </w:pPr>
            <w:r>
              <w:rPr>
                <w:rFonts w:ascii="Arial" w:cs="Arial" w:eastAsia="Arial" w:hAnsi="Arial"/>
                <w:sz w:val="15"/>
                <w:szCs w:val="15"/>
                <w:color w:val="auto"/>
              </w:rPr>
              <w:t>210</w:t>
            </w:r>
          </w:p>
        </w:tc>
        <w:tc>
          <w:tcPr>
            <w:tcW w:w="2120" w:type="dxa"/>
            <w:vAlign w:val="bottom"/>
          </w:tcPr>
          <w:p>
            <w:pPr>
              <w:jc w:val="right"/>
              <w:ind w:right="105"/>
              <w:spacing w:after="0" w:line="135" w:lineRule="exact"/>
              <w:rPr>
                <w:sz w:val="20"/>
                <w:szCs w:val="20"/>
                <w:color w:val="auto"/>
              </w:rPr>
            </w:pPr>
            <w:r>
              <w:rPr>
                <w:rFonts w:ascii="Arial" w:cs="Arial" w:eastAsia="Arial" w:hAnsi="Arial"/>
                <w:sz w:val="15"/>
                <w:szCs w:val="15"/>
                <w:color w:val="auto"/>
              </w:rPr>
              <w:t>32 %</w:t>
            </w:r>
          </w:p>
        </w:tc>
        <w:tc>
          <w:tcPr>
            <w:tcW w:w="0" w:type="dxa"/>
            <w:vAlign w:val="bottom"/>
          </w:tcPr>
          <w:p>
            <w:pPr>
              <w:spacing w:after="0"/>
              <w:rPr>
                <w:sz w:val="1"/>
                <w:szCs w:val="1"/>
                <w:color w:val="auto"/>
              </w:rPr>
            </w:pPr>
          </w:p>
        </w:tc>
      </w:tr>
      <w:tr>
        <w:trPr>
          <w:trHeight w:val="173"/>
        </w:trPr>
        <w:tc>
          <w:tcPr>
            <w:tcW w:w="3400" w:type="dxa"/>
            <w:vAlign w:val="bottom"/>
          </w:tcPr>
          <w:p>
            <w:pPr>
              <w:spacing w:after="0" w:line="173" w:lineRule="exact"/>
              <w:rPr>
                <w:sz w:val="20"/>
                <w:szCs w:val="20"/>
                <w:color w:val="auto"/>
              </w:rPr>
            </w:pPr>
            <w:r>
              <w:rPr>
                <w:rFonts w:ascii="Arial" w:cs="Arial" w:eastAsia="Arial" w:hAnsi="Arial"/>
                <w:sz w:val="16"/>
                <w:szCs w:val="16"/>
                <w:color w:val="auto"/>
              </w:rPr>
              <w:t>SDG&amp;E</w:t>
            </w:r>
          </w:p>
        </w:tc>
        <w:tc>
          <w:tcPr>
            <w:tcW w:w="1480" w:type="dxa"/>
            <w:vAlign w:val="bottom"/>
          </w:tcPr>
          <w:p>
            <w:pPr>
              <w:spacing w:after="0"/>
              <w:rPr>
                <w:sz w:val="15"/>
                <w:szCs w:val="15"/>
                <w:color w:val="auto"/>
              </w:rPr>
            </w:pPr>
          </w:p>
        </w:tc>
        <w:tc>
          <w:tcPr>
            <w:tcW w:w="1720" w:type="dxa"/>
            <w:vAlign w:val="bottom"/>
          </w:tcPr>
          <w:p>
            <w:pPr>
              <w:jc w:val="right"/>
              <w:ind w:right="1325"/>
              <w:spacing w:after="0" w:line="173" w:lineRule="exact"/>
              <w:rPr>
                <w:sz w:val="20"/>
                <w:szCs w:val="20"/>
                <w:color w:val="auto"/>
              </w:rPr>
            </w:pPr>
            <w:r>
              <w:rPr>
                <w:rFonts w:ascii="Arial" w:cs="Arial" w:eastAsia="Arial" w:hAnsi="Arial"/>
                <w:sz w:val="16"/>
                <w:szCs w:val="16"/>
                <w:color w:val="auto"/>
              </w:rPr>
              <w:t>152</w:t>
            </w:r>
          </w:p>
        </w:tc>
        <w:tc>
          <w:tcPr>
            <w:tcW w:w="820" w:type="dxa"/>
            <w:vAlign w:val="bottom"/>
          </w:tcPr>
          <w:p>
            <w:pPr>
              <w:ind w:left="260"/>
              <w:spacing w:after="0" w:line="173" w:lineRule="exact"/>
              <w:rPr>
                <w:sz w:val="20"/>
                <w:szCs w:val="20"/>
                <w:color w:val="auto"/>
              </w:rPr>
            </w:pPr>
            <w:r>
              <w:rPr>
                <w:rFonts w:ascii="Arial" w:cs="Arial" w:eastAsia="Arial" w:hAnsi="Arial"/>
                <w:sz w:val="16"/>
                <w:szCs w:val="16"/>
                <w:color w:val="auto"/>
              </w:rPr>
              <w:t>40</w:t>
            </w:r>
          </w:p>
        </w:tc>
        <w:tc>
          <w:tcPr>
            <w:tcW w:w="1460" w:type="dxa"/>
            <w:vAlign w:val="bottom"/>
          </w:tcPr>
          <w:p>
            <w:pPr>
              <w:spacing w:after="0"/>
              <w:rPr>
                <w:sz w:val="15"/>
                <w:szCs w:val="15"/>
                <w:color w:val="auto"/>
              </w:rPr>
            </w:pPr>
          </w:p>
        </w:tc>
        <w:tc>
          <w:tcPr>
            <w:tcW w:w="420" w:type="dxa"/>
            <w:vAlign w:val="bottom"/>
          </w:tcPr>
          <w:p>
            <w:pPr>
              <w:jc w:val="right"/>
              <w:ind w:right="22"/>
              <w:spacing w:after="0" w:line="173" w:lineRule="exact"/>
              <w:rPr>
                <w:sz w:val="20"/>
                <w:szCs w:val="20"/>
                <w:color w:val="auto"/>
              </w:rPr>
            </w:pPr>
            <w:r>
              <w:rPr>
                <w:rFonts w:ascii="Arial" w:cs="Arial" w:eastAsia="Arial" w:hAnsi="Arial"/>
                <w:sz w:val="16"/>
                <w:szCs w:val="16"/>
                <w:color w:val="auto"/>
              </w:rPr>
              <w:t>63</w:t>
            </w:r>
          </w:p>
        </w:tc>
        <w:tc>
          <w:tcPr>
            <w:tcW w:w="2120" w:type="dxa"/>
            <w:vAlign w:val="bottom"/>
          </w:tcPr>
          <w:p>
            <w:pPr>
              <w:jc w:val="right"/>
              <w:ind w:right="285"/>
              <w:spacing w:after="0" w:line="173"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4"/>
        </w:trPr>
        <w:tc>
          <w:tcPr>
            <w:tcW w:w="3400" w:type="dxa"/>
            <w:vAlign w:val="bottom"/>
          </w:tcPr>
          <w:p>
            <w:pPr>
              <w:spacing w:after="0"/>
              <w:rPr>
                <w:sz w:val="20"/>
                <w:szCs w:val="20"/>
                <w:color w:val="auto"/>
              </w:rPr>
            </w:pPr>
            <w:r>
              <w:rPr>
                <w:rFonts w:ascii="Arial" w:cs="Arial" w:eastAsia="Arial" w:hAnsi="Arial"/>
                <w:sz w:val="16"/>
                <w:szCs w:val="16"/>
                <w:color w:val="auto"/>
              </w:rPr>
              <w:t>SoCalGas</w:t>
            </w:r>
          </w:p>
        </w:tc>
        <w:tc>
          <w:tcPr>
            <w:tcW w:w="1480" w:type="dxa"/>
            <w:vAlign w:val="bottom"/>
          </w:tcPr>
          <w:p>
            <w:pPr>
              <w:spacing w:after="0"/>
              <w:rPr>
                <w:sz w:val="17"/>
                <w:szCs w:val="17"/>
                <w:color w:val="auto"/>
              </w:rPr>
            </w:pPr>
          </w:p>
        </w:tc>
        <w:tc>
          <w:tcPr>
            <w:tcW w:w="1720" w:type="dxa"/>
            <w:vAlign w:val="bottom"/>
          </w:tcPr>
          <w:p>
            <w:pPr>
              <w:jc w:val="right"/>
              <w:ind w:right="1325"/>
              <w:spacing w:after="0"/>
              <w:rPr>
                <w:sz w:val="20"/>
                <w:szCs w:val="20"/>
                <w:color w:val="auto"/>
              </w:rPr>
            </w:pPr>
            <w:r>
              <w:rPr>
                <w:rFonts w:ascii="Arial" w:cs="Arial" w:eastAsia="Arial" w:hAnsi="Arial"/>
                <w:sz w:val="16"/>
                <w:szCs w:val="16"/>
                <w:color w:val="auto"/>
              </w:rPr>
              <w:t>66</w:t>
            </w:r>
          </w:p>
        </w:tc>
        <w:tc>
          <w:tcPr>
            <w:tcW w:w="820" w:type="dxa"/>
            <w:vAlign w:val="bottom"/>
          </w:tcPr>
          <w:p>
            <w:pPr>
              <w:ind w:left="260"/>
              <w:spacing w:after="0"/>
              <w:rPr>
                <w:sz w:val="20"/>
                <w:szCs w:val="20"/>
                <w:color w:val="auto"/>
              </w:rPr>
            </w:pPr>
            <w:r>
              <w:rPr>
                <w:rFonts w:ascii="Arial" w:cs="Arial" w:eastAsia="Arial" w:hAnsi="Arial"/>
                <w:sz w:val="16"/>
                <w:szCs w:val="16"/>
                <w:color w:val="auto"/>
              </w:rPr>
              <w:t>29</w:t>
            </w:r>
          </w:p>
        </w:tc>
        <w:tc>
          <w:tcPr>
            <w:tcW w:w="1460" w:type="dxa"/>
            <w:vAlign w:val="bottom"/>
          </w:tcPr>
          <w:p>
            <w:pPr>
              <w:spacing w:after="0"/>
              <w:rPr>
                <w:sz w:val="17"/>
                <w:szCs w:val="17"/>
                <w:color w:val="auto"/>
              </w:rPr>
            </w:pPr>
          </w:p>
        </w:tc>
        <w:tc>
          <w:tcPr>
            <w:tcW w:w="420" w:type="dxa"/>
            <w:vAlign w:val="bottom"/>
          </w:tcPr>
          <w:p>
            <w:pPr>
              <w:jc w:val="right"/>
              <w:ind w:right="22"/>
              <w:spacing w:after="0"/>
              <w:rPr>
                <w:sz w:val="20"/>
                <w:szCs w:val="20"/>
                <w:color w:val="auto"/>
              </w:rPr>
            </w:pPr>
            <w:r>
              <w:rPr>
                <w:rFonts w:ascii="Arial" w:cs="Arial" w:eastAsia="Arial" w:hAnsi="Arial"/>
                <w:sz w:val="16"/>
                <w:szCs w:val="16"/>
                <w:color w:val="auto"/>
              </w:rPr>
              <w:t>69</w:t>
            </w:r>
          </w:p>
        </w:tc>
        <w:tc>
          <w:tcPr>
            <w:tcW w:w="2120" w:type="dxa"/>
            <w:vAlign w:val="bottom"/>
          </w:tcPr>
          <w:p>
            <w:pPr>
              <w:jc w:val="right"/>
              <w:ind w:right="285"/>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80"/>
        </w:trPr>
        <w:tc>
          <w:tcPr>
            <w:tcW w:w="3400" w:type="dxa"/>
            <w:vAlign w:val="bottom"/>
            <w:shd w:val="clear" w:color="auto" w:fill="ACACAC"/>
          </w:tcPr>
          <w:p>
            <w:pPr>
              <w:spacing w:after="0"/>
              <w:rPr>
                <w:sz w:val="6"/>
                <w:szCs w:val="6"/>
                <w:color w:val="auto"/>
              </w:rPr>
            </w:pPr>
          </w:p>
        </w:tc>
        <w:tc>
          <w:tcPr>
            <w:tcW w:w="1480" w:type="dxa"/>
            <w:vAlign w:val="bottom"/>
            <w:shd w:val="clear" w:color="auto" w:fill="ACACAC"/>
          </w:tcPr>
          <w:p>
            <w:pPr>
              <w:spacing w:after="0"/>
              <w:rPr>
                <w:sz w:val="6"/>
                <w:szCs w:val="6"/>
                <w:color w:val="auto"/>
              </w:rPr>
            </w:pPr>
          </w:p>
        </w:tc>
        <w:tc>
          <w:tcPr>
            <w:tcW w:w="1720" w:type="dxa"/>
            <w:vAlign w:val="bottom"/>
            <w:shd w:val="clear" w:color="auto" w:fill="ACACAC"/>
          </w:tcPr>
          <w:p>
            <w:pPr>
              <w:spacing w:after="0"/>
              <w:rPr>
                <w:sz w:val="6"/>
                <w:szCs w:val="6"/>
                <w:color w:val="auto"/>
              </w:rPr>
            </w:pPr>
          </w:p>
        </w:tc>
        <w:tc>
          <w:tcPr>
            <w:tcW w:w="820" w:type="dxa"/>
            <w:vAlign w:val="bottom"/>
            <w:shd w:val="clear" w:color="auto" w:fill="ACACAC"/>
          </w:tcPr>
          <w:p>
            <w:pPr>
              <w:spacing w:after="0"/>
              <w:rPr>
                <w:sz w:val="6"/>
                <w:szCs w:val="6"/>
                <w:color w:val="auto"/>
              </w:rPr>
            </w:pPr>
          </w:p>
        </w:tc>
        <w:tc>
          <w:tcPr>
            <w:tcW w:w="1460" w:type="dxa"/>
            <w:vAlign w:val="bottom"/>
            <w:shd w:val="clear" w:color="auto" w:fill="ACACAC"/>
          </w:tcPr>
          <w:p>
            <w:pPr>
              <w:spacing w:after="0"/>
              <w:rPr>
                <w:sz w:val="6"/>
                <w:szCs w:val="6"/>
                <w:color w:val="auto"/>
              </w:rPr>
            </w:pPr>
          </w:p>
        </w:tc>
        <w:tc>
          <w:tcPr>
            <w:tcW w:w="420" w:type="dxa"/>
            <w:vAlign w:val="bottom"/>
            <w:shd w:val="clear" w:color="auto" w:fill="ACACAC"/>
          </w:tcPr>
          <w:p>
            <w:pPr>
              <w:spacing w:after="0"/>
              <w:rPr>
                <w:sz w:val="6"/>
                <w:szCs w:val="6"/>
                <w:color w:val="auto"/>
              </w:rPr>
            </w:pPr>
          </w:p>
        </w:tc>
        <w:tc>
          <w:tcPr>
            <w:tcW w:w="2120" w:type="dxa"/>
            <w:vAlign w:val="bottom"/>
            <w:shd w:val="clear" w:color="auto" w:fill="ACACAC"/>
          </w:tcPr>
          <w:p>
            <w:pPr>
              <w:spacing w:after="0"/>
              <w:rPr>
                <w:sz w:val="6"/>
                <w:szCs w:val="6"/>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Changes in Income Tax Expense and Effective Income Tax Rates</w:t>
      </w:r>
    </w:p>
    <w:p>
      <w:pPr>
        <w:sectPr>
          <w:pgSz w:w="11900" w:h="16838" w:orient="portrait"/>
          <w:cols w:equalWidth="0" w:num="1">
            <w:col w:w="11420"/>
          </w:cols>
          <w:pgMar w:left="240" w:top="442" w:right="239" w:bottom="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9"/>
          <w:szCs w:val="19"/>
          <w:i w:val="1"/>
          <w:iCs w:val="1"/>
          <w:color w:val="auto"/>
        </w:rPr>
        <w:t>Sempra Energy Consolidated</w:t>
      </w:r>
    </w:p>
    <w:p>
      <w:pPr>
        <w:spacing w:after="0" w:line="214"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color w:val="auto"/>
        </w:rPr>
        <w:t>The increase in income tax expense in the three months ended June 30, 2014 was due to higher pretax income and a higher effective tax rate. Pretax income in 2013 included the loss from the early retirement of SONGS, as we discuss further in Note 9, offset by the favorable impact of the retroactive application of the 2012 GRC in 2013 at SDG&amp;E and SoCalGas, as we discuss in Note 10. The higher effective income tax rate was primarily due to:</w:t>
      </w:r>
    </w:p>
    <w:p>
      <w:pPr>
        <w:spacing w:after="0" w:line="178" w:lineRule="exact"/>
        <w:rPr>
          <w:sz w:val="20"/>
          <w:szCs w:val="20"/>
          <w:color w:val="auto"/>
        </w:rPr>
      </w:pPr>
    </w:p>
    <w:p>
      <w:pPr>
        <w:ind w:left="320" w:hanging="17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deductions for certain repairs expenditures that are capitalized for financial statement purposes;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deductions for self-developed software expenditures; and</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U.S. tax on the repatriation of a portion of current year earnings from certain non-U.S. subsidiaries in Mexico and Peru.</w:t>
      </w:r>
    </w:p>
    <w:p>
      <w:pPr>
        <w:spacing w:after="0" w:line="245"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In the first six months of 2014, the increase in income tax expense was due to higher pretax income, offset by a lower effective tax rate. Pretax income in 2013 included the loss from the early retirement of SONGS, offset by the favorable impact of the retroactive application of the 2012 GRC in 2013. The change in the effective income tax rate was primarily due to:</w:t>
      </w:r>
    </w:p>
    <w:p>
      <w:pPr>
        <w:spacing w:after="0" w:line="178" w:lineRule="exact"/>
        <w:rPr>
          <w:sz w:val="20"/>
          <w:szCs w:val="20"/>
          <w:color w:val="auto"/>
        </w:rPr>
      </w:pPr>
    </w:p>
    <w:p>
      <w:pPr>
        <w:ind w:left="320" w:hanging="172"/>
        <w:spacing w:after="0" w:line="275" w:lineRule="auto"/>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$63 million income tax expense in 2013 resulting from a corporate reorganization in connection with the IEnova stock offerings. We discuss the stock offerings above in “Shareholders’ Equity and Noncontrolling Interests – Sale of Noncontrolling Interests;” </w:t>
      </w:r>
      <w:r>
        <w:rPr>
          <w:rFonts w:ascii="Times New Roman" w:cs="Times New Roman" w:eastAsia="Times New Roman" w:hAnsi="Times New Roman"/>
          <w:sz w:val="18"/>
          <w:szCs w:val="18"/>
          <w:b w:val="1"/>
          <w:bCs w:val="1"/>
          <w:color w:val="auto"/>
        </w:rPr>
        <w:t>offset by</w:t>
      </w:r>
    </w:p>
    <w:p>
      <w:pPr>
        <w:spacing w:after="0" w:line="190"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U.S. tax on the repatriation of a portion of current year earnings from certain non-U.S. subsidiaries in Mexico and Peru; and</w:t>
      </w:r>
    </w:p>
    <w:p>
      <w:pPr>
        <w:spacing w:after="0" w:line="244" w:lineRule="exact"/>
        <w:rPr>
          <w:rFonts w:ascii="Times New Roman" w:cs="Times New Roman" w:eastAsia="Times New Roman" w:hAnsi="Times New Roman"/>
          <w:sz w:val="18"/>
          <w:szCs w:val="18"/>
          <w:color w:val="auto"/>
        </w:rPr>
      </w:pPr>
    </w:p>
    <w:p>
      <w:pPr>
        <w:jc w:val="both"/>
        <w:ind w:left="320" w:hanging="172"/>
        <w:spacing w:after="0" w:line="260" w:lineRule="auto"/>
        <w:tabs>
          <w:tab w:leader="none" w:pos="3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$17 million charge to reduce certain tax regulatory assets attributed to SDG&amp;E’s investment in SONGS that may no longer be recoverable from customers in rates pursuant to the proposed settlement agreement to resolve the California Public Utilities Commission’s (CPUC) Order Instituting Investigation (OII) into the SONGS outage that we discuss in Note 9.</w:t>
      </w:r>
    </w:p>
    <w:p>
      <w:pPr>
        <w:spacing w:after="0" w:line="20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Sempra Energy, SDG&amp;E and SoCalGas record income taxes for interim periods utilizing a forecasted effective tax rate anticipated for the full year, as required by U.S. GAAP. The income tax effect of items that can be reliably forecasted are factored into the forecasted effective tax rate and their impact is recognized proportionately over the year. The forecasted items, anticipated on a full year basis, may include, among others:</w:t>
      </w:r>
    </w:p>
    <w:p>
      <w:pPr>
        <w:spacing w:after="0" w:line="178" w:lineRule="exact"/>
        <w:rPr>
          <w:sz w:val="20"/>
          <w:szCs w:val="20"/>
          <w:color w:val="auto"/>
        </w:rPr>
      </w:pPr>
    </w:p>
    <w:p>
      <w:pPr>
        <w:ind w:left="320" w:hanging="17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self-developed software expenditures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repairs to certain utility plant fixed assets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energy income tax credits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benefits related to renewable energy projects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exclusions from taxable income of the equity portion of AFUDC</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on a certain portion of utility plant assets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tax on repatriation of current year earnings from non-U.S. subsidiaries</w:t>
      </w:r>
    </w:p>
    <w:p>
      <w:pPr>
        <w:spacing w:after="0" w:line="24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Items that cannot be reliably forecasted (e.g., adjustments related to prior years’ income tax items, Mexican currency translation and inflation adjustments, and deferred income tax benefit associated with the impairment of a book investment) are recorded in the interim period in which they actually occur, which can result in variability to income tax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SDG&amp;E</w:t>
      </w:r>
    </w:p>
    <w:p>
      <w:pPr>
        <w:spacing w:after="0" w:line="213" w:lineRule="exact"/>
        <w:rPr>
          <w:sz w:val="20"/>
          <w:szCs w:val="20"/>
          <w:color w:val="auto"/>
        </w:rPr>
      </w:pPr>
    </w:p>
    <w:p>
      <w:pPr>
        <w:jc w:val="both"/>
        <w:ind w:right="180"/>
        <w:spacing w:after="0" w:line="260" w:lineRule="auto"/>
        <w:rPr>
          <w:sz w:val="20"/>
          <w:szCs w:val="20"/>
          <w:color w:val="auto"/>
        </w:rPr>
      </w:pPr>
      <w:r>
        <w:rPr>
          <w:rFonts w:ascii="Times New Roman" w:cs="Times New Roman" w:eastAsia="Times New Roman" w:hAnsi="Times New Roman"/>
          <w:sz w:val="18"/>
          <w:szCs w:val="18"/>
          <w:color w:val="auto"/>
        </w:rPr>
        <w:t>The increase in SDG&amp;E’s income tax expense in the three months ended June 30, 2014 was due to higher pretax income and a higher effective tax rate. Pretax income in 2013 included the loss from the early retirement of SONGS, offset by the favorable impact of the retroactive application of the 2012 GRC in 2013. The higher effective tax rate was primarily due to:</w:t>
      </w:r>
    </w:p>
    <w:p>
      <w:pPr>
        <w:spacing w:after="0" w:line="178" w:lineRule="exact"/>
        <w:rPr>
          <w:sz w:val="20"/>
          <w:szCs w:val="20"/>
          <w:color w:val="auto"/>
        </w:rPr>
      </w:pPr>
    </w:p>
    <w:p>
      <w:pPr>
        <w:ind w:left="320" w:hanging="17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deductions for certain repairs expenditures that are capitalized for financial statement purposes;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lower deductions for self-developed software expenditures; and</w:t>
      </w:r>
    </w:p>
    <w:p>
      <w:pPr>
        <w:spacing w:after="0" w:line="242" w:lineRule="exact"/>
        <w:rPr>
          <w:rFonts w:ascii="Times New Roman" w:cs="Times New Roman" w:eastAsia="Times New Roman" w:hAnsi="Times New Roman"/>
          <w:sz w:val="18"/>
          <w:szCs w:val="18"/>
          <w:b w:val="1"/>
          <w:bCs w:val="1"/>
          <w:color w:val="auto"/>
        </w:rPr>
      </w:pPr>
    </w:p>
    <w:p>
      <w:pPr>
        <w:ind w:left="320" w:hanging="172"/>
        <w:spacing w:after="0"/>
        <w:tabs>
          <w:tab w:leader="none" w:pos="3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lower exclusions from taxable income of the equity portion of AFUDC;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b w:val="1"/>
          <w:bCs w:val="1"/>
          <w:color w:val="auto"/>
        </w:rPr>
      </w:pPr>
    </w:p>
    <w:p>
      <w:pPr>
        <w:ind w:left="320" w:hanging="172"/>
        <w:spacing w:after="0" w:line="275" w:lineRule="auto"/>
        <w:tabs>
          <w:tab w:leader="none" w:pos="3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lower unfavorable impact on our effective tax rate in 2014 from the reversal through book depreciation of previously recognized tax benefits for a certain portion of utility fixed assets.</w:t>
      </w:r>
    </w:p>
    <w:p>
      <w:pPr>
        <w:spacing w:after="0" w:line="190" w:lineRule="exact"/>
        <w:rPr>
          <w:sz w:val="20"/>
          <w:szCs w:val="20"/>
          <w:color w:val="auto"/>
        </w:rPr>
      </w:pPr>
    </w:p>
    <w:p>
      <w:pPr>
        <w:jc w:val="both"/>
        <w:ind w:right="260"/>
        <w:spacing w:after="0" w:line="260" w:lineRule="auto"/>
        <w:rPr>
          <w:sz w:val="20"/>
          <w:szCs w:val="20"/>
          <w:color w:val="auto"/>
        </w:rPr>
      </w:pPr>
      <w:r>
        <w:rPr>
          <w:rFonts w:ascii="Times New Roman" w:cs="Times New Roman" w:eastAsia="Times New Roman" w:hAnsi="Times New Roman"/>
          <w:sz w:val="18"/>
          <w:szCs w:val="18"/>
          <w:color w:val="auto"/>
        </w:rPr>
        <w:t>The increase in SDG&amp;E’s income tax expense in the six months ended June 30, 2014 was due to higher pretax income and a higher effective tax rate. Pretax income in 2013 included the loss from the early retirement of SONGS, offset by the favorable impact of the retroactive application of the 2012 GRC in 2013. The higher effective tax rate was primarily due to:</w:t>
      </w:r>
    </w:p>
    <w:p>
      <w:pPr>
        <w:spacing w:after="0" w:line="178" w:lineRule="exact"/>
        <w:rPr>
          <w:sz w:val="20"/>
          <w:szCs w:val="20"/>
          <w:color w:val="auto"/>
        </w:rPr>
      </w:pPr>
    </w:p>
    <w:p>
      <w:pPr>
        <w:ind w:left="320" w:hanging="17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$17 million charge to reduce certain tax regulatory assets attributed to SDG&amp;E’s investment in SONGS discussed in Note 9;</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deductions for certain repairs expenditures that are capitalized for financial statement purposes; and</w:t>
      </w:r>
    </w:p>
    <w:p>
      <w:pPr>
        <w:spacing w:after="0" w:line="242"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exclusions from taxable income of the equity portion of AFUDC;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unfavorable impact on our effective tax rate in 2014 from the reversal through book depreciation of previously recognized tax benefits for a certain portion of utility fixed assets.</w:t>
      </w:r>
    </w:p>
    <w:p>
      <w:pPr>
        <w:sectPr>
          <w:pgSz w:w="11900" w:h="16838" w:orient="portrait"/>
          <w:cols w:equalWidth="0" w:num="1">
            <w:col w:w="11420"/>
          </w:cols>
          <w:pgMar w:left="240" w:top="114" w:right="239" w:bottom="0" w:gutter="0" w:footer="0" w:header="0"/>
        </w:sectPr>
      </w:pPr>
    </w:p>
    <w:bookmarkStart w:id="25" w:name="page26"/>
    <w:bookmarkEnd w:id="25"/>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The results for Sempra Energy Consolidated and SDG&amp;E include Otay Mesa VIE, which is not included in Sempra Energy’s federal or state income tax returns but is consolidated for financial statement purposes, and therefore, Sempra Energy Consolidated’s and SDG&amp;E’s effective income tax rates are impacted by the VIE’s stand-alone effective income tax rate. We discuss Otay Mesa VIE above in “Variable Interest Entities.”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SoCalGas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decreases in SoCalGas’ income tax expense for both the three months and six months ended June 30, 2014 were primarily due to lower pretax income.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Pretax income in 2013 included the favorable impact of the retroactive application of the 2012 GRC in 2013.</w:t>
      </w:r>
    </w:p>
    <w:p>
      <w:pPr>
        <w:spacing w:after="0" w:line="19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For SDG&amp;E and SoCalGas, the CPUC requires flow-through rate-making treatment for the current income tax benefit or expense arising from certain property-related and other temporary differences between the treatment for financial reporting and income tax, which will reverse over time. Under the regulatory accounting treatment required for these flow-through temporary differences, deferred income tax assets and liabilities are not recorded to deferred income tax expense, but rather to a regulatory asset or liability, which impacts the current effective income tax rate. As a result, changes in the relative size of these items compared to pretax income, from period to period, can cause variations in the effective income tax rate. The following items are subject to flow-through treatment:</w:t>
      </w:r>
    </w:p>
    <w:p>
      <w:pPr>
        <w:spacing w:after="0" w:line="184" w:lineRule="exact"/>
        <w:rPr>
          <w:sz w:val="20"/>
          <w:szCs w:val="20"/>
          <w:color w:val="auto"/>
        </w:rPr>
      </w:pPr>
    </w:p>
    <w:p>
      <w:pPr>
        <w:ind w:left="320" w:hanging="17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repairs expenditures related to a certain portion of utility plant fixed assets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portion of AFUDC</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cost of removal of utility plant assets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self-developed software expenditures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on a certain portion of utility plant fixed assets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AFUDC related to equity recorded for regulated construction projects at Sempra Mexico has similar flow-through treatment.</w:t>
      </w:r>
    </w:p>
    <w:p>
      <w:pPr>
        <w:spacing w:after="0" w:line="218"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We provide additional information about our accounting for income taxes in Notes 1 and 6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318135</wp:posOffset>
            </wp:positionV>
            <wp:extent cx="72656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color w:val="auto"/>
        </w:rPr>
        <w:t>NOTE 6. DEBT AND CREDIT FACILITIES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COMMITTED LINES OF CREDIT</w:t>
      </w:r>
    </w:p>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At June 30, 2014, Sempra Energy Consolidated had an aggregate of $4.1 billion in three primary committed lines of credit for Sempra Energy, Sempra Global and the California Utilities to provide liquidity and to support commercial paper, the major components of which we detail below. Available unused credit on these lines at June 30, 2014 was $2.4 billion. Some of Sempra Energy’s subsidiaries, primarily our foreign operations, have additional general purpose credit facilities, aggregating $781 million at June 30, 2014. Available unused credit on these lines totaled $683 million at June 30, 2014.</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Energy</w:t>
      </w:r>
    </w:p>
    <w:p>
      <w:pPr>
        <w:spacing w:after="0" w:line="21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Sempra Energy has a $1.067 billion, five-year syndicated revolving credit agreement expiring in March 2017. Citibank, N.A. serves as administrative agent for the syndicate of 24 lenders. No single lender has greater than a 7-percent share.</w:t>
      </w:r>
    </w:p>
    <w:p>
      <w:pPr>
        <w:spacing w:after="0" w:line="16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 At June 30, 2014 and December 31, 2013, Sempra Energy was in compliance with this and all other financial covenants under the credit facility. The facility also provides for issuance of up to $635 million of letters of credit on behalf of Sempra Energy with the amount of borrowings otherwise available under the facility reduced by the amount of outstanding letters of credit.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2014, Sempra Energy had $6 million of letters of credit outstanding supported by the facility.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Global</w:t>
      </w:r>
    </w:p>
    <w:p>
      <w:pPr>
        <w:spacing w:after="0" w:line="21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Sempra Global has a $2.189 billion, five-year syndicated revolving credit agreement expiring in March 2017. Citibank, N.A. serves as administrative agent for the syndicate of 25 lenders. No single lender has greater than a 7-percent share.</w:t>
      </w:r>
    </w:p>
    <w:p>
      <w:pPr>
        <w:spacing w:after="0" w:line="16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Sempra Energy guarantees Sempra Global’s obligations under the credit facility. 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 At June 30, 2014 and December 31, 2013, Sempra Energy was in compliance with this and all other financial covenants under the credit facility.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June 30, 2014, Sempra Global had $1.3 billion of commercial paper outstanding supported by the facility. At June 30, 2014, and December 31, 2013, Sempra Global had $300 million and $200 million, respectively, of commercial paper outstanding classified as long-term debt based on management’s intent and ability to maintain this level of borrowing on a long-term basis either supported by this credit facility or by issuing long-term debt. This classification has no impact on cash flows.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California Utilities</w:t>
      </w:r>
    </w:p>
    <w:p>
      <w:pPr>
        <w:sectPr>
          <w:pgSz w:w="11900" w:h="16838" w:orient="portrait"/>
          <w:cols w:equalWidth="0" w:num="1">
            <w:col w:w="11380"/>
          </w:cols>
          <w:pgMar w:left="240" w:top="121" w:right="279" w:bottom="62" w:gutter="0" w:footer="0" w:header="0"/>
        </w:sectPr>
      </w:pPr>
    </w:p>
    <w:bookmarkStart w:id="26" w:name="page27"/>
    <w:bookmarkEnd w:id="26"/>
    <w:p>
      <w:pPr>
        <w:ind w:right="160"/>
        <w:spacing w:after="0" w:line="253" w:lineRule="auto"/>
        <w:rPr>
          <w:sz w:val="20"/>
          <w:szCs w:val="20"/>
          <w:color w:val="auto"/>
        </w:rPr>
      </w:pPr>
      <w:r>
        <w:rPr>
          <w:rFonts w:ascii="Times New Roman" w:cs="Times New Roman" w:eastAsia="Times New Roman" w:hAnsi="Times New Roman"/>
          <w:sz w:val="18"/>
          <w:szCs w:val="18"/>
          <w:color w:val="auto"/>
        </w:rPr>
        <w:t>SDG&amp;E and SoCalGas have a combined $877 million, five-year syndicated revolving credit agreement expiring in March 2017. JPMorgan Chase Bank, N.A. serves as administrative agent for the syndicate of 24 lenders. No single lender has greater than a 7-percent share. The agreement permits each utility to individually borrow up to $658 million, subject to a combined limit of $877 million for both utilities. It also provides for the issuance of letters of credit on behalf of each utility subject to a combined letter of credit commitment of $300 million for both utilities. The amount of borrowings otherwise available under the facility is reduced by the amount of outstanding letters of credit.</w:t>
      </w:r>
    </w:p>
    <w:p>
      <w:pPr>
        <w:spacing w:after="0" w:line="1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Borrowings under the facility bear interest at benchmark rates plus a margin that varies with market index rates and the borrowing utility’s credit ratings. The agreement requires each utility to maintain a ratio of total indebtedness to total capitalization (as defined in the agreement) of no more than 65 percent at the end of each quarter. At June 30, 2014 and December 31, 2013, the California Utilities were in compliance with this and all other financial covenants under the credit facility.</w:t>
      </w:r>
    </w:p>
    <w:p>
      <w:pPr>
        <w:spacing w:after="0" w:line="180"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Each utility’s obligations under the agreement are individual obligations, and a default by one utility would not constitute a default by the other utility or preclude borrowings by, or the issuance of letters of credit on behalf of, the other utility.</w:t>
      </w:r>
    </w:p>
    <w:p>
      <w:pPr>
        <w:spacing w:after="0" w:line="16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At June 30, 2014, SDG&amp;E and SoCalGas had $227 million and $73 million outstanding borrowings supported by the facility. Available unused credit on the line at June 30, 2014 was $431 million at SDG&amp;E and $577 million at SoCalGas, subject to the combined limit on the facility of $877 million.</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Mexico</w:t>
      </w:r>
    </w:p>
    <w:p>
      <w:pPr>
        <w:spacing w:after="0" w:line="21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 June 2014, IEnova entered into an agreement for a $200 million, three-year term, corporate revolving credit facility to finance working capital and for general corporate purposes. The lender is Banco Santander, (México), S.A., Institución de Banca Múltiple, Grupo Financiero Santander Mexico.</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 AVERAGE INTEREST RATES</w:t>
      </w:r>
    </w:p>
    <w:p>
      <w:pPr>
        <w:spacing w:after="0" w:line="225"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weighted average interest rates on the total short-term debt outstanding at Sempra Energy were 0.58 percent and 0.64 percent at June 30, 2014 and December 31, 2013, respectively. The weighted average interest rate on total short-term debt outstanding at both SDG&amp;E and SoCalGas was 0.16 percent at June 30, 2014, and 0.13 percent at both SDG&amp;E and SoCalGas at December 31, 2013. The weighted average interest rate at Sempra Energy at December 31, 2013 includes interest rates for commercial paper borrowings classified as long-term, as we discuss above.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Energy</w:t>
      </w:r>
    </w:p>
    <w:p>
      <w:pPr>
        <w:spacing w:after="0" w:line="21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In June 2014, Sempra Energy publicly offered and sold $500 million of 3.55-percent, fixed-rate notes maturing in 2024. Sempra Energy used the proceeds from this offering for the repayment of commercial paper.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SDG&amp;E</w:t>
      </w:r>
    </w:p>
    <w:p>
      <w:pPr>
        <w:spacing w:after="0" w:line="215"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In the second quarter of 2014, SDG&amp;E issued $100 million of commercial paper maturing in May 2015, which is supported by the California Utilities’ credit facility discussed above and has an interest rate of 0.40 percent at June 30, 2014.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SoCalGas</w:t>
      </w:r>
    </w:p>
    <w:p>
      <w:pPr>
        <w:spacing w:after="0" w:line="21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In March 2014, SoCalGas publicly offered and sold $250 million of 4.45-percent first mortgage bonds maturing in 2044. SoCalGas used the proceeds from this offering for the repayment of its 5.5-percent first mortgage bonds that were due in March 2014.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Mexico</w:t>
      </w:r>
    </w:p>
    <w:p>
      <w:pPr>
        <w:spacing w:after="0" w:line="21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In June 2014, the 155-MW first phase of the Energía Sierra Juárez wind project located in Baja California, Mexico, entered into a $240 million loan to project finance the construction. The variable rate loan is secured by the project and will convert to an 18-year term loan upon completion of the first phase of the project. To partially moderate its exposure to interest rate changes associated with the term loan, Energía Sierra Juárez entered into floating-to-fixed interest rate swaps for 90 percent of the loan amount, which will result in an effective fixed rate of 6.1 percent. The swap is effective on the conversion to a term loan. The remaining 10 percent of principal bears interest at rates varying with market rates (0.15 percent at June 30, 2014). The loan agreement also provides for a $31.7 million letter of credit facility. Energía Sierra Juárez also entered into a separate, Peso-denominated credit facility for up to $35 million U.S. dollar equivalent to fund the value added tax of the project. On June 12, 2014, Energía Sierra Juárez drew down $82 million of the construction loan. On July 16, 2014, this $82 million of long-term debt and the related swaps were deconsolidated upon the sale of a 50-percent interest in Energía Sierra Juárez, as we discuss in Note 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Renewables</w:t>
      </w:r>
    </w:p>
    <w:p>
      <w:pPr>
        <w:spacing w:after="0" w:line="21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On March 6, 2014, Sempra Renewables entered into a $356 million construction loan to finance its Copper Mountain Solar 3 project. The loan is secured by the project and will convert to a 10-year term loan upon completion of the project. To partially moderate its exposure to interest rate changes, Copper Mountain Solar 3 entered into floating-to-fixed interest rate swaps for 75 percent of the loan amount, resulting in an effective fixed rate of 5.35 percent. The remaining 25 percent bears interest at rates varying with market rates (0.15 percent at June 30, 2014). In connection with the loan agreement, Copper Mountain Solar 3 may also utilize up to $72 million under a letter of credit facility, which may be used to meet project collateral requirements and debt service reserve requirements. On March 6, 2014, Copper Mountain Solar 3 drew down $97 million from the loan. On March 13, 2014, this $97 million of long-term debt and the related swaps were deconsolidated upon the sale of a 50-percent interest in Copper Mountain Solar 3, as we discuss in Note 3.</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discuss our fair value interest rate swaps and interest rate swaps to hedge cash flows in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353060</wp:posOffset>
            </wp:positionV>
            <wp:extent cx="72656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ectPr>
          <w:pgSz w:w="11900" w:h="16838" w:orient="portrait"/>
          <w:cols w:equalWidth="0" w:num="1">
            <w:col w:w="11400"/>
          </w:cols>
          <w:pgMar w:left="240" w:top="121" w:right="259" w:bottom="424" w:gutter="0" w:footer="0" w:header="0"/>
        </w:sectPr>
      </w:pPr>
    </w:p>
    <w:bookmarkStart w:id="27" w:name="page28"/>
    <w:bookmarkEnd w:id="27"/>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NOTE 7. DERIVATIVE FINANCIAL INSTRUMENTS</w:t>
      </w:r>
    </w:p>
    <w:p>
      <w:pPr>
        <w:spacing w:after="0" w:line="21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We use derivative instruments primarily to manage exposures arising in the normal course of business. Our principal exposures are commodity market risk and benchmark interest rate risk. We may also manage foreign exchange rate exposures using derivatives. Our use of derivatives for these risks is integrated into the economic management of our anticipated revenues, anticipated expenses, assets and liabilities. Derivatives may be effective in mitigating these risks (1) that could lead to declines in anticipated revenues or increases in anticipated expenses, or (2) that our asset values may fall or our liabilities increase. Accordingly, our derivative activity summarized below generally represents an impact that is intended to offset associated revenues, expenses, assets or liabilities that are not presented below.</w:t>
      </w:r>
    </w:p>
    <w:p>
      <w:pPr>
        <w:spacing w:after="0" w:line="18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record all derivatives at fair value on the Condensed Consolidated Balance Sheets. We designate each derivative as (1) a cash flow hedge, (2) a fair value hedge, or (3) undesignated. Depending on the applicability of hedge accounting and, for the California Utilities and other operations subject to regulatory accounting, the requirement to pass impacts through to customers, the impact of derivative instruments may be offset in other comprehensive income (cash flow hedge), on the balance sheet (fair value hedges and regulatory offsets), or recognized in earnings. We classify cash flows from the settlements of derivative instruments as operating activities on the Condensed Consolidated Statements of Cash Flows.</w:t>
      </w:r>
    </w:p>
    <w:p>
      <w:pPr>
        <w:spacing w:after="0" w:line="185"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In certain cases, we apply the normal purchase or sale exception to derivative accounting and have other commodity contracts that are not derivatives. These contracts are not recorded at fair value and are therefore excluded from the disclosures below.</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 ACCOUNTING</w:t>
      </w:r>
    </w:p>
    <w:p>
      <w:pPr>
        <w:spacing w:after="0" w:line="225"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may designate a derivative as a cash flow hedging instrument if it effectively converts anticipated revenues or expenses to a fixed dollar amount. We may utilize cash flow hedge accounting for derivative commodity instruments, foreign currency instruments and interest rate instruments. Designating cash flow hedges is dependent on the business context in which the instrument is being used, the effectiveness of the instrument in offsetting the risk that a given future revenue or expense item may vary, and other criteria.</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may designate an interest rate derivative as a fair value hedging instrument if it effectively converts our own debt from a fixed interest rate to a variable rate. The combination of the derivative and debt instrument results in fixing that portion of the fair value of the debt that is related to benchmark interest rates. Designating fair value hedges is dependent on the instrument being used, the effectiveness of the instrument in offsetting changes in the fair value of our debt instruments, and other criteria.</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DERIVATIVES</w:t>
      </w:r>
    </w:p>
    <w:p>
      <w:pPr>
        <w:spacing w:after="0" w:line="22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Our market risk is primarily related to natural gas and electricity price volatility and the specific physical locations where we transact. We use energy derivatives to manage these risks. The use of energy derivatives in our various businesses depends on the particular energy market, and the operating and regulatory environments applicable to the business.</w:t>
      </w:r>
    </w:p>
    <w:p>
      <w:pPr>
        <w:spacing w:after="0" w:line="178" w:lineRule="exact"/>
        <w:rPr>
          <w:sz w:val="20"/>
          <w:szCs w:val="20"/>
          <w:color w:val="auto"/>
        </w:rPr>
      </w:pPr>
    </w:p>
    <w:p>
      <w:pPr>
        <w:jc w:val="both"/>
        <w:ind w:left="320" w:hanging="172"/>
        <w:spacing w:after="0" w:line="252" w:lineRule="auto"/>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Utilities use natural gas energy derivatives, on their customers’ behalf, with the objective of managing price risk and basis risks, and lowering natural gas costs. These derivatives include fixed price natural gas positions, options, and basis risk instruments, which are either exchange-traded or over-the-counter financial instruments. This activity is governed by risk management and transacting activity plans that have been filed with and approved by the CPUC. Natural gas derivative activities are recorded as commodity costs that are offset by regulatory account balances and are recovered in rates. Net commodity cost impacts on the Condensed Consolidated Statements of Operations are reflected in Cost of Electric Fuel and Purchased Power or in Cost of Natural Gas.</w:t>
      </w:r>
    </w:p>
    <w:p>
      <w:pPr>
        <w:spacing w:after="0" w:line="210" w:lineRule="exact"/>
        <w:rPr>
          <w:rFonts w:ascii="Times New Roman" w:cs="Times New Roman" w:eastAsia="Times New Roman" w:hAnsi="Times New Roman"/>
          <w:sz w:val="18"/>
          <w:szCs w:val="18"/>
          <w:color w:val="auto"/>
        </w:rPr>
      </w:pPr>
    </w:p>
    <w:p>
      <w:pPr>
        <w:jc w:val="both"/>
        <w:ind w:left="320" w:hanging="172"/>
        <w:spacing w:after="0" w:line="256" w:lineRule="auto"/>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SDG&amp;E is allocated and may purchase congestion revenue rights (CRRs), which serve to reduce the regional electricity price volatility risk that may result from local transmission capacity constraints. Unrealized gains and losses do not impact earnings, as they are offset by regulatory account balances. Realized gains and losses associated with CRRs are recorded in Cost of Electric Fuel and Purchased Power, which is recoverable in rates, on the Condensed Consolidated Statements of Operations.</w:t>
      </w:r>
    </w:p>
    <w:p>
      <w:pPr>
        <w:spacing w:after="0" w:line="206" w:lineRule="exact"/>
        <w:rPr>
          <w:rFonts w:ascii="Times New Roman" w:cs="Times New Roman" w:eastAsia="Times New Roman" w:hAnsi="Times New Roman"/>
          <w:sz w:val="18"/>
          <w:szCs w:val="18"/>
          <w:color w:val="auto"/>
        </w:rPr>
      </w:pPr>
    </w:p>
    <w:p>
      <w:pPr>
        <w:jc w:val="both"/>
        <w:ind w:left="320" w:hanging="172"/>
        <w:spacing w:after="0" w:line="251" w:lineRule="auto"/>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Sempra Mexico and Sempra Natural Gas may use natural gas and electricity derivatives, as appropriate, to optimize the earnings of their assets which support the following businesses: liquefied natural gas (LNG), natural gas transportation, power generation, and Sempra Natural Gas’ storage. Gains and losses associated with undesignated derivatives are recognized in Energy-Related Businesses Revenues or in Cost of Natural Gas, Electric Fuel and Purchased Power on the Condensed Consolidated Statements of Operations. Certain of these derivatives may also be designated as cash flow hedges. Sempra Mexico also uses natural gas energy derivatives with the objective of managing price risk and lowering natural gas prices at its Mexican distribution operations. These derivatives, which are recorded as commodity costs that are offset by regulatory account balances and recovered in rates, are recognized in Cost of Natural Gas on the Condensed Consolidated Statements of Operations.</w:t>
      </w:r>
    </w:p>
    <w:p>
      <w:pPr>
        <w:spacing w:after="0" w:line="212"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our various businesses, including the California Utilities, may use other energy derivatives to hedge exposures such as the price of vehicle fuel.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summarize net energy derivative volumes at June 30, 2014 and December 31, 2013 as follows: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ENERGY DERIVATIVE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279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8525" cy="227965"/>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Segment and Commodity</w:t>
            </w:r>
          </w:p>
        </w:tc>
        <w:tc>
          <w:tcPr>
            <w:tcW w:w="416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color w:val="auto"/>
              </w:rPr>
              <w:t>June 30, 2014</w:t>
            </w:r>
          </w:p>
        </w:tc>
        <w:tc>
          <w:tcPr>
            <w:tcW w:w="2920" w:type="dxa"/>
            <w:vAlign w:val="bottom"/>
            <w:tcBorders>
              <w:bottom w:val="single" w:sz="8" w:color="auto"/>
            </w:tcBorders>
          </w:tcPr>
          <w:p>
            <w:pPr>
              <w:jc w:val="right"/>
              <w:ind w:right="1242"/>
              <w:spacing w:after="0"/>
              <w:rPr>
                <w:sz w:val="20"/>
                <w:szCs w:val="20"/>
                <w:color w:val="auto"/>
              </w:rPr>
            </w:pPr>
            <w:r>
              <w:rPr>
                <w:rFonts w:ascii="Arial" w:cs="Arial" w:eastAsia="Arial" w:hAnsi="Arial"/>
                <w:sz w:val="14"/>
                <w:szCs w:val="14"/>
                <w:color w:val="auto"/>
              </w:rPr>
              <w:t>December 31, 2013</w:t>
            </w:r>
          </w:p>
        </w:tc>
      </w:tr>
      <w:tr>
        <w:trPr>
          <w:trHeight w:val="188"/>
        </w:trPr>
        <w:tc>
          <w:tcPr>
            <w:tcW w:w="4340" w:type="dxa"/>
            <w:vAlign w:val="bottom"/>
          </w:tcPr>
          <w:p>
            <w:pPr>
              <w:spacing w:after="0"/>
              <w:rPr>
                <w:sz w:val="20"/>
                <w:szCs w:val="20"/>
                <w:color w:val="auto"/>
              </w:rPr>
            </w:pPr>
            <w:r>
              <w:rPr>
                <w:rFonts w:ascii="Arial" w:cs="Arial" w:eastAsia="Arial" w:hAnsi="Arial"/>
                <w:sz w:val="16"/>
                <w:szCs w:val="16"/>
                <w:color w:val="auto"/>
              </w:rPr>
              <w:t>California Utilities:</w:t>
            </w:r>
          </w:p>
        </w:tc>
        <w:tc>
          <w:tcPr>
            <w:tcW w:w="416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173"/>
        </w:trPr>
        <w:tc>
          <w:tcPr>
            <w:tcW w:w="4340" w:type="dxa"/>
            <w:vAlign w:val="bottom"/>
          </w:tcPr>
          <w:p>
            <w:pPr>
              <w:ind w:left="180"/>
              <w:spacing w:after="0" w:line="173" w:lineRule="exact"/>
              <w:rPr>
                <w:sz w:val="20"/>
                <w:szCs w:val="20"/>
                <w:color w:val="auto"/>
              </w:rPr>
            </w:pPr>
            <w:r>
              <w:rPr>
                <w:rFonts w:ascii="Arial" w:cs="Arial" w:eastAsia="Arial" w:hAnsi="Arial"/>
                <w:sz w:val="16"/>
                <w:szCs w:val="16"/>
                <w:color w:val="auto"/>
              </w:rPr>
              <w:t>SDG&amp;E:</w:t>
            </w:r>
          </w:p>
        </w:tc>
        <w:tc>
          <w:tcPr>
            <w:tcW w:w="4160" w:type="dxa"/>
            <w:vAlign w:val="bottom"/>
          </w:tcPr>
          <w:p>
            <w:pPr>
              <w:spacing w:after="0"/>
              <w:rPr>
                <w:sz w:val="15"/>
                <w:szCs w:val="15"/>
                <w:color w:val="auto"/>
              </w:rPr>
            </w:pPr>
          </w:p>
        </w:tc>
        <w:tc>
          <w:tcPr>
            <w:tcW w:w="2920" w:type="dxa"/>
            <w:vAlign w:val="bottom"/>
          </w:tcPr>
          <w:p>
            <w:pPr>
              <w:spacing w:after="0"/>
              <w:rPr>
                <w:sz w:val="15"/>
                <w:szCs w:val="15"/>
                <w:color w:val="auto"/>
              </w:rPr>
            </w:pPr>
          </w:p>
        </w:tc>
      </w:tr>
      <w:tr>
        <w:trPr>
          <w:trHeight w:val="178"/>
        </w:trPr>
        <w:tc>
          <w:tcPr>
            <w:tcW w:w="4340" w:type="dxa"/>
            <w:vAlign w:val="bottom"/>
          </w:tcPr>
          <w:p>
            <w:pPr>
              <w:ind w:left="360"/>
              <w:spacing w:after="0" w:line="178" w:lineRule="exact"/>
              <w:rPr>
                <w:sz w:val="20"/>
                <w:szCs w:val="20"/>
                <w:color w:val="auto"/>
              </w:rPr>
            </w:pPr>
            <w:r>
              <w:rPr>
                <w:rFonts w:ascii="Arial" w:cs="Arial" w:eastAsia="Arial" w:hAnsi="Arial"/>
                <w:sz w:val="16"/>
                <w:szCs w:val="16"/>
                <w:color w:val="auto"/>
              </w:rPr>
              <w:t>Natural gas</w:t>
            </w:r>
          </w:p>
        </w:tc>
        <w:tc>
          <w:tcPr>
            <w:tcW w:w="4160" w:type="dxa"/>
            <w:vAlign w:val="bottom"/>
          </w:tcPr>
          <w:p>
            <w:pPr>
              <w:jc w:val="right"/>
              <w:ind w:right="282"/>
              <w:spacing w:after="0" w:line="178" w:lineRule="exact"/>
              <w:rPr>
                <w:sz w:val="20"/>
                <w:szCs w:val="20"/>
                <w:color w:val="auto"/>
              </w:rPr>
            </w:pPr>
            <w:r>
              <w:rPr>
                <w:rFonts w:ascii="Arial" w:cs="Arial" w:eastAsia="Arial" w:hAnsi="Arial"/>
                <w:sz w:val="16"/>
                <w:szCs w:val="16"/>
                <w:color w:val="auto"/>
              </w:rPr>
              <w:t>46 million MMBtu</w:t>
            </w:r>
          </w:p>
        </w:tc>
        <w:tc>
          <w:tcPr>
            <w:tcW w:w="2920" w:type="dxa"/>
            <w:vAlign w:val="bottom"/>
          </w:tcPr>
          <w:p>
            <w:pPr>
              <w:jc w:val="right"/>
              <w:ind w:right="402"/>
              <w:spacing w:after="0" w:line="178" w:lineRule="exact"/>
              <w:rPr>
                <w:sz w:val="20"/>
                <w:szCs w:val="20"/>
                <w:color w:val="auto"/>
              </w:rPr>
            </w:pPr>
            <w:r>
              <w:rPr>
                <w:rFonts w:ascii="Arial" w:cs="Arial" w:eastAsia="Arial" w:hAnsi="Arial"/>
                <w:sz w:val="16"/>
                <w:szCs w:val="16"/>
                <w:color w:val="auto"/>
              </w:rPr>
              <w:t xml:space="preserve">43 million MMBtu </w:t>
            </w:r>
            <w:r>
              <w:rPr>
                <w:rFonts w:ascii="Arial" w:cs="Arial" w:eastAsia="Arial" w:hAnsi="Arial"/>
                <w:sz w:val="14"/>
                <w:szCs w:val="14"/>
                <w:color w:val="auto"/>
              </w:rPr>
              <w:t>(1)</w:t>
            </w:r>
          </w:p>
        </w:tc>
      </w:tr>
      <w:tr>
        <w:trPr>
          <w:trHeight w:val="173"/>
        </w:trPr>
        <w:tc>
          <w:tcPr>
            <w:tcW w:w="4340" w:type="dxa"/>
            <w:vAlign w:val="bottom"/>
          </w:tcPr>
          <w:p>
            <w:pPr>
              <w:ind w:left="360"/>
              <w:spacing w:after="0" w:line="173" w:lineRule="exact"/>
              <w:rPr>
                <w:sz w:val="20"/>
                <w:szCs w:val="20"/>
                <w:color w:val="auto"/>
              </w:rPr>
            </w:pPr>
            <w:r>
              <w:rPr>
                <w:rFonts w:ascii="Arial" w:cs="Arial" w:eastAsia="Arial" w:hAnsi="Arial"/>
                <w:sz w:val="16"/>
                <w:szCs w:val="16"/>
                <w:color w:val="auto"/>
              </w:rPr>
              <w:t>Congestion revenue rights</w:t>
            </w:r>
          </w:p>
        </w:tc>
        <w:tc>
          <w:tcPr>
            <w:tcW w:w="4160" w:type="dxa"/>
            <w:vAlign w:val="bottom"/>
          </w:tcPr>
          <w:p>
            <w:pPr>
              <w:jc w:val="right"/>
              <w:ind w:right="282"/>
              <w:spacing w:after="0" w:line="173" w:lineRule="exact"/>
              <w:rPr>
                <w:sz w:val="20"/>
                <w:szCs w:val="20"/>
                <w:color w:val="auto"/>
              </w:rPr>
            </w:pPr>
            <w:r>
              <w:rPr>
                <w:rFonts w:ascii="Arial" w:cs="Arial" w:eastAsia="Arial" w:hAnsi="Arial"/>
                <w:sz w:val="16"/>
                <w:szCs w:val="16"/>
                <w:color w:val="auto"/>
              </w:rPr>
              <w:t>27 million MWh</w:t>
            </w:r>
          </w:p>
        </w:tc>
        <w:tc>
          <w:tcPr>
            <w:tcW w:w="2920" w:type="dxa"/>
            <w:vAlign w:val="bottom"/>
          </w:tcPr>
          <w:p>
            <w:pPr>
              <w:jc w:val="right"/>
              <w:ind w:right="402"/>
              <w:spacing w:after="0" w:line="173" w:lineRule="exact"/>
              <w:rPr>
                <w:sz w:val="20"/>
                <w:szCs w:val="20"/>
                <w:color w:val="auto"/>
              </w:rPr>
            </w:pPr>
            <w:r>
              <w:rPr>
                <w:rFonts w:ascii="Arial" w:cs="Arial" w:eastAsia="Arial" w:hAnsi="Arial"/>
                <w:sz w:val="16"/>
                <w:szCs w:val="16"/>
                <w:color w:val="auto"/>
              </w:rPr>
              <w:t xml:space="preserve">33 million MWh </w:t>
            </w:r>
            <w:r>
              <w:rPr>
                <w:rFonts w:ascii="Arial" w:cs="Arial" w:eastAsia="Arial" w:hAnsi="Arial"/>
                <w:sz w:val="14"/>
                <w:szCs w:val="14"/>
                <w:color w:val="auto"/>
              </w:rPr>
              <w:t>(2)</w:t>
            </w:r>
          </w:p>
        </w:tc>
      </w:tr>
      <w:tr>
        <w:trPr>
          <w:trHeight w:val="214"/>
        </w:trPr>
        <w:tc>
          <w:tcPr>
            <w:tcW w:w="4340" w:type="dxa"/>
            <w:vAlign w:val="bottom"/>
          </w:tcPr>
          <w:p>
            <w:pPr>
              <w:ind w:left="180"/>
              <w:spacing w:after="0"/>
              <w:rPr>
                <w:sz w:val="20"/>
                <w:szCs w:val="20"/>
                <w:color w:val="auto"/>
              </w:rPr>
            </w:pPr>
            <w:r>
              <w:rPr>
                <w:rFonts w:ascii="Arial" w:cs="Arial" w:eastAsia="Arial" w:hAnsi="Arial"/>
                <w:sz w:val="16"/>
                <w:szCs w:val="16"/>
                <w:color w:val="auto"/>
              </w:rPr>
              <w:t>SoCalGas - natural gas</w:t>
            </w:r>
          </w:p>
        </w:tc>
        <w:tc>
          <w:tcPr>
            <w:tcW w:w="416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2920" w:type="dxa"/>
            <w:vAlign w:val="bottom"/>
          </w:tcPr>
          <w:p>
            <w:pPr>
              <w:jc w:val="right"/>
              <w:ind w:right="622"/>
              <w:spacing w:after="0"/>
              <w:rPr>
                <w:sz w:val="20"/>
                <w:szCs w:val="20"/>
                <w:color w:val="auto"/>
              </w:rPr>
            </w:pPr>
            <w:r>
              <w:rPr>
                <w:rFonts w:ascii="Arial" w:cs="Arial" w:eastAsia="Arial" w:hAnsi="Arial"/>
                <w:sz w:val="16"/>
                <w:szCs w:val="16"/>
                <w:color w:val="auto"/>
              </w:rPr>
              <w:t>2 million MMBtu</w:t>
            </w:r>
          </w:p>
        </w:tc>
      </w:tr>
      <w:tr>
        <w:trPr>
          <w:trHeight w:val="379"/>
        </w:trPr>
        <w:tc>
          <w:tcPr>
            <w:tcW w:w="434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41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99"/>
        </w:trPr>
        <w:tc>
          <w:tcPr>
            <w:tcW w:w="434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416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199"/>
        </w:trPr>
        <w:tc>
          <w:tcPr>
            <w:tcW w:w="4340" w:type="dxa"/>
            <w:vAlign w:val="bottom"/>
          </w:tcPr>
          <w:p>
            <w:pPr>
              <w:ind w:left="360"/>
              <w:spacing w:after="0"/>
              <w:rPr>
                <w:sz w:val="20"/>
                <w:szCs w:val="20"/>
                <w:color w:val="auto"/>
              </w:rPr>
            </w:pPr>
            <w:r>
              <w:rPr>
                <w:rFonts w:ascii="Arial" w:cs="Arial" w:eastAsia="Arial" w:hAnsi="Arial"/>
                <w:sz w:val="16"/>
                <w:szCs w:val="16"/>
                <w:color w:val="auto"/>
              </w:rPr>
              <w:t>Electric power</w:t>
            </w:r>
          </w:p>
        </w:tc>
        <w:tc>
          <w:tcPr>
            <w:tcW w:w="416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2920" w:type="dxa"/>
            <w:vAlign w:val="bottom"/>
          </w:tcPr>
          <w:p>
            <w:pPr>
              <w:jc w:val="right"/>
              <w:ind w:right="622"/>
              <w:spacing w:after="0"/>
              <w:rPr>
                <w:sz w:val="20"/>
                <w:szCs w:val="20"/>
                <w:color w:val="auto"/>
              </w:rPr>
            </w:pPr>
            <w:r>
              <w:rPr>
                <w:rFonts w:ascii="Arial" w:cs="Arial" w:eastAsia="Arial" w:hAnsi="Arial"/>
                <w:sz w:val="16"/>
                <w:szCs w:val="16"/>
                <w:color w:val="auto"/>
              </w:rPr>
              <w:t>1 million MWh</w:t>
            </w:r>
          </w:p>
        </w:tc>
      </w:tr>
      <w:tr>
        <w:trPr>
          <w:trHeight w:val="204"/>
        </w:trPr>
        <w:tc>
          <w:tcPr>
            <w:tcW w:w="4340" w:type="dxa"/>
            <w:vAlign w:val="bottom"/>
          </w:tcPr>
          <w:p>
            <w:pPr>
              <w:ind w:left="360"/>
              <w:spacing w:after="0"/>
              <w:rPr>
                <w:sz w:val="20"/>
                <w:szCs w:val="20"/>
                <w:color w:val="auto"/>
              </w:rPr>
            </w:pPr>
            <w:r>
              <w:rPr>
                <w:rFonts w:ascii="Arial" w:cs="Arial" w:eastAsia="Arial" w:hAnsi="Arial"/>
                <w:sz w:val="16"/>
                <w:szCs w:val="16"/>
                <w:color w:val="auto"/>
              </w:rPr>
              <w:t>Natural gas</w:t>
            </w:r>
          </w:p>
        </w:tc>
        <w:tc>
          <w:tcPr>
            <w:tcW w:w="4160" w:type="dxa"/>
            <w:vAlign w:val="bottom"/>
          </w:tcPr>
          <w:p>
            <w:pPr>
              <w:jc w:val="right"/>
              <w:ind w:right="282"/>
              <w:spacing w:after="0"/>
              <w:rPr>
                <w:sz w:val="20"/>
                <w:szCs w:val="20"/>
                <w:color w:val="auto"/>
              </w:rPr>
            </w:pPr>
            <w:r>
              <w:rPr>
                <w:rFonts w:ascii="Arial" w:cs="Arial" w:eastAsia="Arial" w:hAnsi="Arial"/>
                <w:sz w:val="16"/>
                <w:szCs w:val="16"/>
                <w:color w:val="auto"/>
              </w:rPr>
              <w:t>19 million MMBtu</w:t>
            </w:r>
          </w:p>
        </w:tc>
        <w:tc>
          <w:tcPr>
            <w:tcW w:w="2920" w:type="dxa"/>
            <w:vAlign w:val="bottom"/>
          </w:tcPr>
          <w:p>
            <w:pPr>
              <w:jc w:val="right"/>
              <w:ind w:right="622"/>
              <w:spacing w:after="0"/>
              <w:rPr>
                <w:sz w:val="20"/>
                <w:szCs w:val="20"/>
                <w:color w:val="auto"/>
              </w:rPr>
            </w:pPr>
            <w:r>
              <w:rPr>
                <w:rFonts w:ascii="Arial" w:cs="Arial" w:eastAsia="Arial" w:hAnsi="Arial"/>
                <w:sz w:val="16"/>
                <w:szCs w:val="16"/>
                <w:color w:val="auto"/>
              </w:rPr>
              <w:t>15 million MMBtu</w:t>
            </w:r>
          </w:p>
        </w:tc>
      </w:tr>
      <w:tr>
        <w:trPr>
          <w:trHeight w:val="80"/>
        </w:trPr>
        <w:tc>
          <w:tcPr>
            <w:tcW w:w="4340" w:type="dxa"/>
            <w:vAlign w:val="bottom"/>
            <w:shd w:val="clear" w:color="auto" w:fill="A6A6A6"/>
          </w:tcPr>
          <w:p>
            <w:pPr>
              <w:spacing w:after="0"/>
              <w:rPr>
                <w:sz w:val="6"/>
                <w:szCs w:val="6"/>
                <w:color w:val="auto"/>
              </w:rPr>
            </w:pPr>
          </w:p>
        </w:tc>
        <w:tc>
          <w:tcPr>
            <w:tcW w:w="4160" w:type="dxa"/>
            <w:vAlign w:val="bottom"/>
            <w:shd w:val="clear" w:color="auto" w:fill="A6A6A6"/>
          </w:tcPr>
          <w:p>
            <w:pPr>
              <w:spacing w:after="0"/>
              <w:rPr>
                <w:sz w:val="6"/>
                <w:szCs w:val="6"/>
                <w:color w:val="auto"/>
              </w:rPr>
            </w:pPr>
          </w:p>
        </w:tc>
        <w:tc>
          <w:tcPr>
            <w:tcW w:w="2920" w:type="dxa"/>
            <w:vAlign w:val="bottom"/>
            <w:shd w:val="clear" w:color="auto" w:fill="A6A6A6"/>
          </w:tcPr>
          <w:p>
            <w:pPr>
              <w:spacing w:after="0"/>
              <w:rPr>
                <w:sz w:val="6"/>
                <w:szCs w:val="6"/>
                <w:color w:val="auto"/>
              </w:rPr>
            </w:pPr>
          </w:p>
        </w:tc>
      </w:tr>
    </w:tbl>
    <w:p>
      <w:pPr>
        <w:spacing w:after="0" w:line="1" w:lineRule="exact"/>
        <w:rPr>
          <w:sz w:val="20"/>
          <w:szCs w:val="20"/>
          <w:color w:val="auto"/>
        </w:rPr>
      </w:pPr>
    </w:p>
    <w:p>
      <w:pPr>
        <w:sectPr>
          <w:pgSz w:w="11900" w:h="16891" w:orient="portrait"/>
          <w:cols w:equalWidth="0" w:num="1">
            <w:col w:w="11420"/>
          </w:cols>
          <w:pgMar w:left="240" w:top="112" w:right="239" w:bottom="0" w:gutter="0" w:footer="0" w:header="0"/>
        </w:sectPr>
      </w:pPr>
    </w:p>
    <w:p>
      <w:pPr>
        <w:ind w:left="640" w:hanging="634"/>
        <w:spacing w:after="0"/>
        <w:tabs>
          <w:tab w:leader="none" w:pos="64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Million British thermal units</w:t>
      </w:r>
    </w:p>
    <w:p>
      <w:pPr>
        <w:spacing w:after="0" w:line="3" w:lineRule="exact"/>
        <w:rPr>
          <w:rFonts w:ascii="Arial" w:cs="Arial" w:eastAsia="Arial" w:hAnsi="Arial"/>
          <w:sz w:val="14"/>
          <w:szCs w:val="14"/>
          <w:i w:val="1"/>
          <w:iCs w:val="1"/>
          <w:color w:val="auto"/>
        </w:rPr>
      </w:pPr>
    </w:p>
    <w:p>
      <w:pPr>
        <w:ind w:left="640" w:hanging="634"/>
        <w:spacing w:after="0"/>
        <w:tabs>
          <w:tab w:leader="none" w:pos="64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Megawatt hours</w:t>
      </w:r>
    </w:p>
    <w:p>
      <w:pPr>
        <w:sectPr>
          <w:pgSz w:w="11900" w:h="16891" w:orient="portrait"/>
          <w:cols w:equalWidth="0" w:num="1">
            <w:col w:w="11420"/>
          </w:cols>
          <w:pgMar w:left="240" w:top="112" w:right="239" w:bottom="0" w:gutter="0" w:footer="0" w:header="0"/>
          <w:type w:val="continuous"/>
        </w:sectPr>
      </w:pPr>
    </w:p>
    <w:bookmarkStart w:id="28" w:name="page29"/>
    <w:bookmarkEnd w:id="28"/>
    <w:p>
      <w:pPr>
        <w:spacing w:after="0" w:line="83"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In addition to the amounts noted above, we frequently use commodity derivatives to manage risks associated with the physical locations of our assets and other contractual obligations, such as natural gas purchases and sales.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DERIVATIVES</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exposed to interest rates primarily as a result of our current and expected use of financing. We periodically enter into interest rate derivative agreements intended to moderate our exposure to interest rates and to lower our overall costs of borrowing. We utilize interest rate swaps typically designated as fair value hedges, as a means to achieve our targeted level of variable rate debt as a percent of total debt. In addition, we may utilize interest rate swaps, typically designated as cash flow hedges, to lock in interest rates on outstanding debt or in anticipation of future financings.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first quarter of 2014, we entered into fixed-to-floating interest rate swaps on Sempra Energy debt that were designated as fair value hedges. We swapped $200 million 6.15-percent fixed-rate debt maturing in 2018, $200 million 9.8-percent fixed-rate debt maturing in 2019 and $100 million 2.875-percent fixed-rate debt maturing in 2022 to variable rate debt, resulting in initial effective interest rates of 3.80 percent, 6.01 percent and 2.37 percent, respectively. These swaps were terminated in July 2014.</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Interest rate derivatives are utilized by the California Utilities as well as by other Sempra Energy subsidiaries. Although the California Utilities generally recover borrowing costs in rates over time, the use of interest rate derivatives is subject to certain regulatory constraints, and the impact of interest rate derivatives may not be recovered from customers as timely as described above with regard to natural gas derivatives. Interest rate derivatives are generally accounted for as hedges at the California Utilities, as well as at the rest of Sempra Energy’s subsidiaries. Separately, Otay Mesa VIE has entered into interest rate swap agreements to moderate its exposure to interest rate changes. This activity was designated as a cash flow hedge as of April 1, 2011.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June 30, 2014 and December 31, 2013, the net notional amounts of our interest rate derivatives, excluding the cross-currency swaps discussed below, were: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380" w:type="dxa"/>
            <w:vAlign w:val="bottom"/>
          </w:tcPr>
          <w:p>
            <w:pPr>
              <w:spacing w:after="0"/>
              <w:rPr>
                <w:sz w:val="16"/>
                <w:szCs w:val="16"/>
                <w:color w:val="auto"/>
              </w:rPr>
            </w:pPr>
          </w:p>
        </w:tc>
        <w:tc>
          <w:tcPr>
            <w:tcW w:w="1000" w:type="dxa"/>
            <w:vAlign w:val="bottom"/>
            <w:vMerge w:val="restart"/>
          </w:tcPr>
          <w:p>
            <w:pPr>
              <w:jc w:val="right"/>
              <w:ind w:right="22"/>
              <w:spacing w:after="0"/>
              <w:rPr>
                <w:sz w:val="20"/>
                <w:szCs w:val="20"/>
                <w:color w:val="auto"/>
              </w:rPr>
            </w:pPr>
            <w:r>
              <w:rPr>
                <w:rFonts w:ascii="Arial" w:cs="Arial" w:eastAsia="Arial" w:hAnsi="Arial"/>
                <w:sz w:val="14"/>
                <w:szCs w:val="14"/>
                <w:color w:val="auto"/>
                <w:w w:val="99"/>
              </w:rPr>
              <w:t>June 30, 2014</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vMerge w:val="restart"/>
          </w:tcPr>
          <w:p>
            <w:pPr>
              <w:jc w:val="right"/>
              <w:spacing w:after="0"/>
              <w:rPr>
                <w:sz w:val="20"/>
                <w:szCs w:val="20"/>
                <w:color w:val="auto"/>
              </w:rPr>
            </w:pPr>
            <w:r>
              <w:rPr>
                <w:rFonts w:ascii="Arial" w:cs="Arial" w:eastAsia="Arial" w:hAnsi="Arial"/>
                <w:sz w:val="14"/>
                <w:szCs w:val="14"/>
                <w:color w:val="auto"/>
              </w:rPr>
              <w:t>December 31, 2013</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4020" w:type="dxa"/>
            <w:vAlign w:val="bottom"/>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vMerge w:val="continue"/>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Notional Debt</w:t>
            </w:r>
          </w:p>
        </w:tc>
        <w:tc>
          <w:tcPr>
            <w:tcW w:w="10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62"/>
              <w:spacing w:after="0" w:line="153" w:lineRule="exact"/>
              <w:rPr>
                <w:sz w:val="20"/>
                <w:szCs w:val="20"/>
                <w:color w:val="auto"/>
              </w:rPr>
            </w:pPr>
            <w:r>
              <w:rPr>
                <w:rFonts w:ascii="Arial" w:cs="Arial" w:eastAsia="Arial" w:hAnsi="Arial"/>
                <w:sz w:val="14"/>
                <w:szCs w:val="14"/>
                <w:color w:val="auto"/>
              </w:rPr>
              <w:t>Maturities</w:t>
            </w:r>
          </w:p>
        </w:tc>
        <w:tc>
          <w:tcPr>
            <w:tcW w:w="3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right"/>
              <w:ind w:right="1044"/>
              <w:spacing w:after="0" w:line="153" w:lineRule="exact"/>
              <w:rPr>
                <w:sz w:val="20"/>
                <w:szCs w:val="20"/>
                <w:color w:val="auto"/>
              </w:rPr>
            </w:pPr>
            <w:r>
              <w:rPr>
                <w:rFonts w:ascii="Arial" w:cs="Arial" w:eastAsia="Arial" w:hAnsi="Arial"/>
                <w:sz w:val="14"/>
                <w:szCs w:val="14"/>
                <w:color w:val="auto"/>
              </w:rPr>
              <w:t>Notional Debt</w:t>
            </w:r>
          </w:p>
        </w:tc>
        <w:tc>
          <w:tcPr>
            <w:tcW w:w="1220" w:type="dxa"/>
            <w:vAlign w:val="bottom"/>
            <w:tcBorders>
              <w:bottom w:val="single" w:sz="8" w:color="auto"/>
            </w:tcBorders>
          </w:tcPr>
          <w:p>
            <w:pPr>
              <w:jc w:val="right"/>
              <w:ind w:right="522"/>
              <w:spacing w:after="0" w:line="153" w:lineRule="exact"/>
              <w:rPr>
                <w:sz w:val="20"/>
                <w:szCs w:val="20"/>
                <w:color w:val="auto"/>
              </w:rPr>
            </w:pPr>
            <w:r>
              <w:rPr>
                <w:rFonts w:ascii="Arial" w:cs="Arial" w:eastAsia="Arial" w:hAnsi="Arial"/>
                <w:sz w:val="14"/>
                <w:szCs w:val="14"/>
                <w:color w:val="auto"/>
                <w:w w:val="98"/>
              </w:rPr>
              <w:t>Maturities</w:t>
            </w: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5"/>
                <w:szCs w:val="15"/>
                <w:color w:val="auto"/>
              </w:rPr>
              <w:t>Sempra Energy Consolidated:</w:t>
            </w:r>
          </w:p>
        </w:tc>
        <w:tc>
          <w:tcPr>
            <w:tcW w:w="1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020" w:type="dxa"/>
            <w:vAlign w:val="bottom"/>
          </w:tcPr>
          <w:p>
            <w:pPr>
              <w:ind w:left="180"/>
              <w:spacing w:after="0" w:line="173" w:lineRule="exact"/>
              <w:rPr>
                <w:sz w:val="20"/>
                <w:szCs w:val="20"/>
                <w:color w:val="auto"/>
              </w:rPr>
            </w:pPr>
            <w:r>
              <w:rPr>
                <w:rFonts w:ascii="Arial" w:cs="Arial" w:eastAsia="Arial" w:hAnsi="Arial"/>
                <w:sz w:val="16"/>
                <w:szCs w:val="16"/>
                <w:color w:val="auto"/>
              </w:rPr>
              <w:t>Cash flow hedges(1)</w:t>
            </w:r>
          </w:p>
        </w:tc>
        <w:tc>
          <w:tcPr>
            <w:tcW w:w="1380" w:type="dxa"/>
            <w:vAlign w:val="bottom"/>
          </w:tcPr>
          <w:p>
            <w:pPr>
              <w:jc w:val="right"/>
              <w:ind w:right="885"/>
              <w:spacing w:after="0" w:line="17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442"/>
              <w:spacing w:after="0" w:line="173" w:lineRule="exact"/>
              <w:rPr>
                <w:sz w:val="20"/>
                <w:szCs w:val="20"/>
                <w:color w:val="auto"/>
              </w:rPr>
            </w:pPr>
            <w:r>
              <w:rPr>
                <w:rFonts w:ascii="Arial" w:cs="Arial" w:eastAsia="Arial" w:hAnsi="Arial"/>
                <w:sz w:val="16"/>
                <w:szCs w:val="16"/>
                <w:color w:val="auto"/>
              </w:rPr>
              <w:t>623</w:t>
            </w:r>
          </w:p>
        </w:tc>
        <w:tc>
          <w:tcPr>
            <w:tcW w:w="1440" w:type="dxa"/>
            <w:vAlign w:val="bottom"/>
          </w:tcPr>
          <w:p>
            <w:pPr>
              <w:jc w:val="right"/>
              <w:ind w:right="102"/>
              <w:spacing w:after="0" w:line="173" w:lineRule="exact"/>
              <w:rPr>
                <w:sz w:val="20"/>
                <w:szCs w:val="20"/>
                <w:color w:val="auto"/>
              </w:rPr>
            </w:pPr>
            <w:r>
              <w:rPr>
                <w:rFonts w:ascii="Arial" w:cs="Arial" w:eastAsia="Arial" w:hAnsi="Arial"/>
                <w:sz w:val="16"/>
                <w:szCs w:val="16"/>
                <w:color w:val="auto"/>
              </w:rPr>
              <w:t>2014-2033</w:t>
            </w:r>
          </w:p>
        </w:tc>
        <w:tc>
          <w:tcPr>
            <w:tcW w:w="3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2040" w:type="dxa"/>
            <w:vAlign w:val="bottom"/>
          </w:tcPr>
          <w:p>
            <w:pPr>
              <w:jc w:val="right"/>
              <w:ind w:right="544"/>
              <w:spacing w:after="0" w:line="173" w:lineRule="exact"/>
              <w:rPr>
                <w:sz w:val="20"/>
                <w:szCs w:val="20"/>
                <w:color w:val="auto"/>
              </w:rPr>
            </w:pPr>
            <w:r>
              <w:rPr>
                <w:rFonts w:ascii="Arial" w:cs="Arial" w:eastAsia="Arial" w:hAnsi="Arial"/>
                <w:sz w:val="16"/>
                <w:szCs w:val="16"/>
                <w:color w:val="auto"/>
              </w:rPr>
              <w:t>413</w:t>
            </w:r>
          </w:p>
        </w:tc>
        <w:tc>
          <w:tcPr>
            <w:tcW w:w="1220" w:type="dxa"/>
            <w:vAlign w:val="bottom"/>
          </w:tcPr>
          <w:p>
            <w:pPr>
              <w:jc w:val="right"/>
              <w:spacing w:after="0" w:line="173" w:lineRule="exact"/>
              <w:rPr>
                <w:sz w:val="20"/>
                <w:szCs w:val="20"/>
                <w:color w:val="auto"/>
              </w:rPr>
            </w:pPr>
            <w:r>
              <w:rPr>
                <w:rFonts w:ascii="Arial" w:cs="Arial" w:eastAsia="Arial" w:hAnsi="Arial"/>
                <w:sz w:val="16"/>
                <w:szCs w:val="16"/>
                <w:color w:val="auto"/>
              </w:rPr>
              <w:t>2014-2028</w:t>
            </w:r>
          </w:p>
        </w:tc>
        <w:tc>
          <w:tcPr>
            <w:tcW w:w="0" w:type="dxa"/>
            <w:vAlign w:val="bottom"/>
          </w:tcPr>
          <w:p>
            <w:pPr>
              <w:spacing w:after="0"/>
              <w:rPr>
                <w:sz w:val="1"/>
                <w:szCs w:val="1"/>
                <w:color w:val="auto"/>
              </w:rPr>
            </w:pPr>
          </w:p>
        </w:tc>
      </w:tr>
      <w:tr>
        <w:trPr>
          <w:trHeight w:val="173"/>
        </w:trPr>
        <w:tc>
          <w:tcPr>
            <w:tcW w:w="4020" w:type="dxa"/>
            <w:vAlign w:val="bottom"/>
          </w:tcPr>
          <w:p>
            <w:pPr>
              <w:ind w:left="180"/>
              <w:spacing w:after="0" w:line="173" w:lineRule="exact"/>
              <w:rPr>
                <w:sz w:val="20"/>
                <w:szCs w:val="20"/>
                <w:color w:val="auto"/>
              </w:rPr>
            </w:pPr>
            <w:r>
              <w:rPr>
                <w:rFonts w:ascii="Arial" w:cs="Arial" w:eastAsia="Arial" w:hAnsi="Arial"/>
                <w:sz w:val="16"/>
                <w:szCs w:val="16"/>
                <w:color w:val="auto"/>
              </w:rPr>
              <w:t>Fair value hedges</w:t>
            </w:r>
          </w:p>
        </w:tc>
        <w:tc>
          <w:tcPr>
            <w:tcW w:w="1380" w:type="dxa"/>
            <w:vAlign w:val="bottom"/>
          </w:tcPr>
          <w:p>
            <w:pPr>
              <w:spacing w:after="0"/>
              <w:rPr>
                <w:sz w:val="15"/>
                <w:szCs w:val="15"/>
                <w:color w:val="auto"/>
              </w:rPr>
            </w:pPr>
          </w:p>
        </w:tc>
        <w:tc>
          <w:tcPr>
            <w:tcW w:w="1000" w:type="dxa"/>
            <w:vAlign w:val="bottom"/>
          </w:tcPr>
          <w:p>
            <w:pPr>
              <w:jc w:val="right"/>
              <w:ind w:right="442"/>
              <w:spacing w:after="0" w:line="173" w:lineRule="exact"/>
              <w:rPr>
                <w:sz w:val="20"/>
                <w:szCs w:val="20"/>
                <w:color w:val="auto"/>
              </w:rPr>
            </w:pPr>
            <w:r>
              <w:rPr>
                <w:rFonts w:ascii="Arial" w:cs="Arial" w:eastAsia="Arial" w:hAnsi="Arial"/>
                <w:sz w:val="16"/>
                <w:szCs w:val="16"/>
                <w:color w:val="auto"/>
              </w:rPr>
              <w:t>800</w:t>
            </w:r>
          </w:p>
        </w:tc>
        <w:tc>
          <w:tcPr>
            <w:tcW w:w="1440" w:type="dxa"/>
            <w:vAlign w:val="bottom"/>
          </w:tcPr>
          <w:p>
            <w:pPr>
              <w:jc w:val="right"/>
              <w:ind w:right="102"/>
              <w:spacing w:after="0" w:line="173" w:lineRule="exact"/>
              <w:rPr>
                <w:sz w:val="20"/>
                <w:szCs w:val="20"/>
                <w:color w:val="auto"/>
              </w:rPr>
            </w:pPr>
            <w:r>
              <w:rPr>
                <w:rFonts w:ascii="Arial" w:cs="Arial" w:eastAsia="Arial" w:hAnsi="Arial"/>
                <w:sz w:val="16"/>
                <w:szCs w:val="16"/>
                <w:color w:val="auto"/>
              </w:rPr>
              <w:t>2016-2022</w:t>
            </w:r>
          </w:p>
        </w:tc>
        <w:tc>
          <w:tcPr>
            <w:tcW w:w="320" w:type="dxa"/>
            <w:vAlign w:val="bottom"/>
          </w:tcPr>
          <w:p>
            <w:pPr>
              <w:spacing w:after="0"/>
              <w:rPr>
                <w:sz w:val="15"/>
                <w:szCs w:val="15"/>
                <w:color w:val="auto"/>
              </w:rPr>
            </w:pPr>
          </w:p>
        </w:tc>
        <w:tc>
          <w:tcPr>
            <w:tcW w:w="2040" w:type="dxa"/>
            <w:vAlign w:val="bottom"/>
          </w:tcPr>
          <w:p>
            <w:pPr>
              <w:jc w:val="right"/>
              <w:ind w:right="544"/>
              <w:spacing w:after="0" w:line="173" w:lineRule="exact"/>
              <w:rPr>
                <w:sz w:val="20"/>
                <w:szCs w:val="20"/>
                <w:color w:val="auto"/>
              </w:rPr>
            </w:pPr>
            <w:r>
              <w:rPr>
                <w:rFonts w:ascii="Arial" w:cs="Arial" w:eastAsia="Arial" w:hAnsi="Arial"/>
                <w:sz w:val="16"/>
                <w:szCs w:val="16"/>
                <w:color w:val="auto"/>
              </w:rPr>
              <w:t>300</w:t>
            </w:r>
          </w:p>
        </w:tc>
        <w:tc>
          <w:tcPr>
            <w:tcW w:w="1220" w:type="dxa"/>
            <w:vAlign w:val="bottom"/>
          </w:tcPr>
          <w:p>
            <w:pPr>
              <w:jc w:val="right"/>
              <w:spacing w:after="0" w:line="173" w:lineRule="exact"/>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173"/>
        </w:trPr>
        <w:tc>
          <w:tcPr>
            <w:tcW w:w="4020" w:type="dxa"/>
            <w:vAlign w:val="bottom"/>
          </w:tcPr>
          <w:p>
            <w:pPr>
              <w:spacing w:after="0" w:line="173" w:lineRule="exact"/>
              <w:rPr>
                <w:sz w:val="20"/>
                <w:szCs w:val="20"/>
                <w:color w:val="auto"/>
              </w:rPr>
            </w:pPr>
            <w:r>
              <w:rPr>
                <w:rFonts w:ascii="Arial" w:cs="Arial" w:eastAsia="Arial" w:hAnsi="Arial"/>
                <w:sz w:val="16"/>
                <w:szCs w:val="16"/>
                <w:color w:val="auto"/>
              </w:rPr>
              <w:t>SDG&amp;E:</w:t>
            </w: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020" w:type="dxa"/>
            <w:vAlign w:val="bottom"/>
          </w:tcPr>
          <w:p>
            <w:pPr>
              <w:ind w:left="180"/>
              <w:spacing w:after="0"/>
              <w:rPr>
                <w:sz w:val="20"/>
                <w:szCs w:val="20"/>
                <w:color w:val="auto"/>
              </w:rPr>
            </w:pPr>
            <w:r>
              <w:rPr>
                <w:rFonts w:ascii="Arial" w:cs="Arial" w:eastAsia="Arial" w:hAnsi="Arial"/>
                <w:sz w:val="16"/>
                <w:szCs w:val="16"/>
                <w:color w:val="auto"/>
              </w:rPr>
              <w:t>Cash flow hedge(1)</w:t>
            </w:r>
          </w:p>
        </w:tc>
        <w:tc>
          <w:tcPr>
            <w:tcW w:w="1380" w:type="dxa"/>
            <w:vAlign w:val="bottom"/>
          </w:tcPr>
          <w:p>
            <w:pPr>
              <w:spacing w:after="0"/>
              <w:rPr>
                <w:sz w:val="17"/>
                <w:szCs w:val="17"/>
                <w:color w:val="auto"/>
              </w:rPr>
            </w:pPr>
          </w:p>
        </w:tc>
        <w:tc>
          <w:tcPr>
            <w:tcW w:w="1000" w:type="dxa"/>
            <w:vAlign w:val="bottom"/>
          </w:tcPr>
          <w:p>
            <w:pPr>
              <w:jc w:val="right"/>
              <w:ind w:right="442"/>
              <w:spacing w:after="0"/>
              <w:rPr>
                <w:sz w:val="20"/>
                <w:szCs w:val="20"/>
                <w:color w:val="auto"/>
              </w:rPr>
            </w:pPr>
            <w:r>
              <w:rPr>
                <w:rFonts w:ascii="Arial" w:cs="Arial" w:eastAsia="Arial" w:hAnsi="Arial"/>
                <w:sz w:val="16"/>
                <w:szCs w:val="16"/>
                <w:color w:val="auto"/>
              </w:rPr>
              <w:t>330</w:t>
            </w:r>
          </w:p>
        </w:tc>
        <w:tc>
          <w:tcPr>
            <w:tcW w:w="1440" w:type="dxa"/>
            <w:vAlign w:val="bottom"/>
          </w:tcPr>
          <w:p>
            <w:pPr>
              <w:jc w:val="right"/>
              <w:ind w:right="102"/>
              <w:spacing w:after="0"/>
              <w:rPr>
                <w:sz w:val="20"/>
                <w:szCs w:val="20"/>
                <w:color w:val="auto"/>
              </w:rPr>
            </w:pPr>
            <w:r>
              <w:rPr>
                <w:rFonts w:ascii="Arial" w:cs="Arial" w:eastAsia="Arial" w:hAnsi="Arial"/>
                <w:sz w:val="16"/>
                <w:szCs w:val="16"/>
                <w:color w:val="auto"/>
              </w:rPr>
              <w:t>2019</w:t>
            </w:r>
          </w:p>
        </w:tc>
        <w:tc>
          <w:tcPr>
            <w:tcW w:w="320" w:type="dxa"/>
            <w:vAlign w:val="bottom"/>
          </w:tcPr>
          <w:p>
            <w:pPr>
              <w:spacing w:after="0"/>
              <w:rPr>
                <w:sz w:val="17"/>
                <w:szCs w:val="17"/>
                <w:color w:val="auto"/>
              </w:rPr>
            </w:pPr>
          </w:p>
        </w:tc>
        <w:tc>
          <w:tcPr>
            <w:tcW w:w="2040" w:type="dxa"/>
            <w:vAlign w:val="bottom"/>
          </w:tcPr>
          <w:p>
            <w:pPr>
              <w:jc w:val="right"/>
              <w:ind w:right="544"/>
              <w:spacing w:after="0"/>
              <w:rPr>
                <w:sz w:val="20"/>
                <w:szCs w:val="20"/>
                <w:color w:val="auto"/>
              </w:rPr>
            </w:pPr>
            <w:r>
              <w:rPr>
                <w:rFonts w:ascii="Arial" w:cs="Arial" w:eastAsia="Arial" w:hAnsi="Arial"/>
                <w:sz w:val="16"/>
                <w:szCs w:val="16"/>
                <w:color w:val="auto"/>
              </w:rPr>
              <w:t>335</w:t>
            </w:r>
          </w:p>
        </w:tc>
        <w:tc>
          <w:tcPr>
            <w:tcW w:w="1220" w:type="dxa"/>
            <w:vAlign w:val="bottom"/>
          </w:tcPr>
          <w:p>
            <w:pPr>
              <w:jc w:val="right"/>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80"/>
        </w:trPr>
        <w:tc>
          <w:tcPr>
            <w:tcW w:w="4020" w:type="dxa"/>
            <w:vAlign w:val="bottom"/>
            <w:shd w:val="clear" w:color="auto" w:fill="C0C0C0"/>
          </w:tcPr>
          <w:p>
            <w:pPr>
              <w:spacing w:after="0"/>
              <w:rPr>
                <w:sz w:val="6"/>
                <w:szCs w:val="6"/>
                <w:color w:val="auto"/>
              </w:rPr>
            </w:pPr>
          </w:p>
        </w:tc>
        <w:tc>
          <w:tcPr>
            <w:tcW w:w="1380" w:type="dxa"/>
            <w:vAlign w:val="bottom"/>
            <w:shd w:val="clear" w:color="auto" w:fill="C0C0C0"/>
          </w:tcPr>
          <w:p>
            <w:pPr>
              <w:spacing w:after="0"/>
              <w:rPr>
                <w:sz w:val="6"/>
                <w:szCs w:val="6"/>
                <w:color w:val="auto"/>
              </w:rPr>
            </w:pPr>
          </w:p>
        </w:tc>
        <w:tc>
          <w:tcPr>
            <w:tcW w:w="1000" w:type="dxa"/>
            <w:vAlign w:val="bottom"/>
            <w:shd w:val="clear" w:color="auto" w:fill="C0C0C0"/>
          </w:tcPr>
          <w:p>
            <w:pPr>
              <w:spacing w:after="0"/>
              <w:rPr>
                <w:sz w:val="6"/>
                <w:szCs w:val="6"/>
                <w:color w:val="auto"/>
              </w:rPr>
            </w:pPr>
          </w:p>
        </w:tc>
        <w:tc>
          <w:tcPr>
            <w:tcW w:w="1440" w:type="dxa"/>
            <w:vAlign w:val="bottom"/>
            <w:shd w:val="clear" w:color="auto" w:fill="C0C0C0"/>
          </w:tcPr>
          <w:p>
            <w:pPr>
              <w:spacing w:after="0"/>
              <w:rPr>
                <w:sz w:val="6"/>
                <w:szCs w:val="6"/>
                <w:color w:val="auto"/>
              </w:rPr>
            </w:pPr>
          </w:p>
        </w:tc>
        <w:tc>
          <w:tcPr>
            <w:tcW w:w="320" w:type="dxa"/>
            <w:vAlign w:val="bottom"/>
            <w:shd w:val="clear" w:color="auto" w:fill="C0C0C0"/>
          </w:tcPr>
          <w:p>
            <w:pPr>
              <w:spacing w:after="0"/>
              <w:rPr>
                <w:sz w:val="6"/>
                <w:szCs w:val="6"/>
                <w:color w:val="auto"/>
              </w:rPr>
            </w:pPr>
          </w:p>
        </w:tc>
        <w:tc>
          <w:tcPr>
            <w:tcW w:w="2040" w:type="dxa"/>
            <w:vAlign w:val="bottom"/>
            <w:shd w:val="clear" w:color="auto" w:fill="C0C0C0"/>
          </w:tcPr>
          <w:p>
            <w:pPr>
              <w:spacing w:after="0"/>
              <w:rPr>
                <w:sz w:val="6"/>
                <w:szCs w:val="6"/>
                <w:color w:val="auto"/>
              </w:rPr>
            </w:pPr>
          </w:p>
        </w:tc>
        <w:tc>
          <w:tcPr>
            <w:tcW w:w="1220" w:type="dxa"/>
            <w:vAlign w:val="bottom"/>
            <w:shd w:val="clear" w:color="auto" w:fill="C0C0C0"/>
          </w:tcPr>
          <w:p>
            <w:pPr>
              <w:spacing w:after="0"/>
              <w:rPr>
                <w:sz w:val="6"/>
                <w:szCs w:val="6"/>
                <w:color w:val="auto"/>
              </w:rPr>
            </w:pPr>
          </w:p>
        </w:tc>
        <w:tc>
          <w:tcPr>
            <w:tcW w:w="0" w:type="dxa"/>
            <w:vAlign w:val="bottom"/>
          </w:tcPr>
          <w:p>
            <w:pPr>
              <w:spacing w:after="0"/>
              <w:rPr>
                <w:sz w:val="1"/>
                <w:szCs w:val="1"/>
                <w:color w:val="auto"/>
              </w:rPr>
            </w:pPr>
          </w:p>
        </w:tc>
      </w:tr>
    </w:tbl>
    <w:p>
      <w:pPr>
        <w:ind w:left="640" w:hanging="634"/>
        <w:spacing w:after="0"/>
        <w:tabs>
          <w:tab w:leader="none" w:pos="64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interest rate derivatives relate to Otay Mesa VIE.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DERIVATIVES</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We are exposed to exchange rate movements at our Mexican subsidiaries, which have U.S. dollar denominated cash balances, receivables and payables (monetary assets and liabilities) that give rise to Mexican currency exchange rate movements for Mexican income tax purposes. These subsidiaries also have deferred income tax assets and liabilities that are denominated in the Mexican peso, which must be translated into U.S. dollars for financial reporting purposes. From time to time, we may utilize short-term foreign currency derivatives at our subsidiaries and at the consolidated level as a means to manage the risk of exposure to significant fluctuations in our income tax expense from these impacts. We may also utilize cross-currency swaps to hedge exposure related to Mexican peso-denominated debt at our Mexican subsidiaries. On February 14, 2013, Sempra Mexico entered into cross-currency swap agreements, which were designated as cash flow hedges. We discuss the notional amount of the swaps in Note 5 of the Notes to Consolidated Financial Statements in the Annual Report.</w:t>
      </w:r>
    </w:p>
    <w:p>
      <w:pPr>
        <w:spacing w:after="0" w:line="17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In addition, Sempra South American Utilities may utilize foreign currency derivatives at its subsidiaries and joint ventures as a means to manage foreign currency rate risk. We discuss such swaps at Chilquinta Energía’s Eletrans joint venture investment in Note 4 of the Notes to Consolidated Financial Statements in the Annual Report.</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PRESENTATION</w:t>
      </w:r>
    </w:p>
    <w:p>
      <w:pPr>
        <w:spacing w:after="0" w:line="22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Each Condensed Consolidated Balance Sheet reflects the offsetting of net derivative positions and cash collateral with the same counterparty when a legal right of offset exists. The following tables provide the fair values of derivative instruments on the Condensed Consolidated Balance Sheets at June 30, 2014 and December 31, 2013, including the amount of cash collateral receivables that were not offset, as the cash collateral is in excess of liability positions.</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1181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8525" cy="11811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shd w:val="clear" w:color="auto" w:fill="C0C0C0"/>
          </w:tcPr>
          <w:p>
            <w:pPr>
              <w:spacing w:after="0"/>
              <w:rPr>
                <w:sz w:val="14"/>
                <w:szCs w:val="14"/>
                <w:color w:val="auto"/>
              </w:rPr>
            </w:pPr>
          </w:p>
        </w:tc>
        <w:tc>
          <w:tcPr>
            <w:tcW w:w="1300" w:type="dxa"/>
            <w:vAlign w:val="bottom"/>
            <w:shd w:val="clear" w:color="auto" w:fill="C0C0C0"/>
          </w:tcPr>
          <w:p>
            <w:pPr>
              <w:spacing w:after="0"/>
              <w:rPr>
                <w:sz w:val="14"/>
                <w:szCs w:val="14"/>
                <w:color w:val="auto"/>
              </w:rPr>
            </w:pPr>
          </w:p>
        </w:tc>
        <w:tc>
          <w:tcPr>
            <w:tcW w:w="340" w:type="dxa"/>
            <w:vAlign w:val="bottom"/>
            <w:shd w:val="clear" w:color="auto" w:fill="C0C0C0"/>
          </w:tcPr>
          <w:p>
            <w:pPr>
              <w:spacing w:after="0"/>
              <w:rPr>
                <w:sz w:val="14"/>
                <w:szCs w:val="14"/>
                <w:color w:val="auto"/>
              </w:rPr>
            </w:pPr>
          </w:p>
        </w:tc>
        <w:tc>
          <w:tcPr>
            <w:tcW w:w="1280" w:type="dxa"/>
            <w:vAlign w:val="bottom"/>
            <w:shd w:val="clear" w:color="auto" w:fill="C0C0C0"/>
          </w:tcPr>
          <w:p>
            <w:pPr>
              <w:spacing w:after="0"/>
              <w:rPr>
                <w:sz w:val="14"/>
                <w:szCs w:val="14"/>
                <w:color w:val="auto"/>
              </w:rPr>
            </w:pPr>
          </w:p>
        </w:tc>
        <w:tc>
          <w:tcPr>
            <w:tcW w:w="400" w:type="dxa"/>
            <w:vAlign w:val="bottom"/>
            <w:shd w:val="clear" w:color="auto" w:fill="C0C0C0"/>
          </w:tcPr>
          <w:p>
            <w:pPr>
              <w:spacing w:after="0"/>
              <w:rPr>
                <w:sz w:val="14"/>
                <w:szCs w:val="14"/>
                <w:color w:val="auto"/>
              </w:rPr>
            </w:pPr>
          </w:p>
        </w:tc>
        <w:tc>
          <w:tcPr>
            <w:tcW w:w="1240" w:type="dxa"/>
            <w:vAlign w:val="bottom"/>
            <w:shd w:val="clear" w:color="auto" w:fill="C0C0C0"/>
          </w:tcPr>
          <w:p>
            <w:pPr>
              <w:spacing w:after="0"/>
              <w:rPr>
                <w:sz w:val="14"/>
                <w:szCs w:val="14"/>
                <w:color w:val="auto"/>
              </w:rPr>
            </w:pPr>
          </w:p>
        </w:tc>
        <w:tc>
          <w:tcPr>
            <w:tcW w:w="380" w:type="dxa"/>
            <w:vAlign w:val="bottom"/>
            <w:shd w:val="clear" w:color="auto" w:fill="C0C0C0"/>
          </w:tcPr>
          <w:p>
            <w:pPr>
              <w:spacing w:after="0"/>
              <w:rPr>
                <w:sz w:val="14"/>
                <w:szCs w:val="14"/>
                <w:color w:val="auto"/>
              </w:rPr>
            </w:pPr>
          </w:p>
        </w:tc>
        <w:tc>
          <w:tcPr>
            <w:tcW w:w="116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 2014</w:t>
            </w:r>
          </w:p>
        </w:tc>
        <w:tc>
          <w:tcPr>
            <w:tcW w:w="1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jc w:val="center"/>
              <w:ind w:right="45"/>
              <w:spacing w:after="0" w:line="139" w:lineRule="exact"/>
              <w:rPr>
                <w:sz w:val="20"/>
                <w:szCs w:val="20"/>
                <w:color w:val="auto"/>
              </w:rPr>
            </w:pPr>
            <w:r>
              <w:rPr>
                <w:rFonts w:ascii="Arial" w:cs="Arial" w:eastAsia="Arial" w:hAnsi="Arial"/>
                <w:sz w:val="14"/>
                <w:szCs w:val="14"/>
                <w:color w:val="auto"/>
              </w:rPr>
              <w:t>Deferred</w:t>
            </w:r>
          </w:p>
        </w:tc>
        <w:tc>
          <w:tcPr>
            <w:tcW w:w="0" w:type="dxa"/>
            <w:vAlign w:val="bottom"/>
          </w:tcPr>
          <w:p>
            <w:pPr>
              <w:spacing w:after="0"/>
              <w:rPr>
                <w:sz w:val="1"/>
                <w:szCs w:val="1"/>
                <w:color w:val="auto"/>
              </w:rPr>
            </w:pPr>
          </w:p>
        </w:tc>
      </w:tr>
      <w:tr>
        <w:trPr>
          <w:trHeight w:val="159"/>
        </w:trPr>
        <w:tc>
          <w:tcPr>
            <w:tcW w:w="4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jc w:val="center"/>
              <w:ind w:right="65"/>
              <w:spacing w:after="0" w:line="159" w:lineRule="exact"/>
              <w:rPr>
                <w:sz w:val="20"/>
                <w:szCs w:val="20"/>
                <w:color w:val="auto"/>
              </w:rPr>
            </w:pPr>
            <w:r>
              <w:rPr>
                <w:rFonts w:ascii="Arial" w:cs="Arial" w:eastAsia="Arial" w:hAnsi="Arial"/>
                <w:sz w:val="14"/>
                <w:szCs w:val="14"/>
                <w:color w:val="auto"/>
              </w:rPr>
              <w:t>credits</w:t>
            </w:r>
          </w:p>
        </w:tc>
        <w:tc>
          <w:tcPr>
            <w:tcW w:w="0" w:type="dxa"/>
            <w:vAlign w:val="bottom"/>
          </w:tcPr>
          <w:p>
            <w:pPr>
              <w:spacing w:after="0"/>
              <w:rPr>
                <w:sz w:val="1"/>
                <w:szCs w:val="1"/>
                <w:color w:val="auto"/>
              </w:rPr>
            </w:pPr>
          </w:p>
        </w:tc>
      </w:tr>
      <w:tr>
        <w:trPr>
          <w:trHeight w:val="159"/>
        </w:trPr>
        <w:tc>
          <w:tcPr>
            <w:tcW w:w="4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jc w:val="center"/>
              <w:ind w:right="144"/>
              <w:spacing w:after="0" w:line="159" w:lineRule="exact"/>
              <w:rPr>
                <w:sz w:val="20"/>
                <w:szCs w:val="20"/>
                <w:color w:val="auto"/>
              </w:rPr>
            </w:pPr>
            <w:r>
              <w:rPr>
                <w:rFonts w:ascii="Arial" w:cs="Arial" w:eastAsia="Arial" w:hAnsi="Arial"/>
                <w:sz w:val="14"/>
                <w:szCs w:val="14"/>
                <w:color w:val="auto"/>
              </w:rPr>
              <w:t>Current</w:t>
            </w: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jc w:val="center"/>
              <w:ind w:right="184"/>
              <w:spacing w:after="0" w:line="159" w:lineRule="exact"/>
              <w:rPr>
                <w:sz w:val="20"/>
                <w:szCs w:val="20"/>
                <w:color w:val="auto"/>
              </w:rPr>
            </w:pPr>
            <w:r>
              <w:rPr>
                <w:rFonts w:ascii="Arial" w:cs="Arial" w:eastAsia="Arial" w:hAnsi="Arial"/>
                <w:sz w:val="14"/>
                <w:szCs w:val="14"/>
                <w:color w:val="auto"/>
                <w:w w:val="98"/>
              </w:rPr>
              <w:t>Current</w:t>
            </w:r>
          </w:p>
        </w:tc>
        <w:tc>
          <w:tcPr>
            <w:tcW w:w="380" w:type="dxa"/>
            <w:vAlign w:val="bottom"/>
          </w:tcPr>
          <w:p>
            <w:pPr>
              <w:spacing w:after="0"/>
              <w:rPr>
                <w:sz w:val="13"/>
                <w:szCs w:val="13"/>
                <w:color w:val="auto"/>
              </w:rPr>
            </w:pPr>
          </w:p>
        </w:tc>
        <w:tc>
          <w:tcPr>
            <w:tcW w:w="1160" w:type="dxa"/>
            <w:vAlign w:val="bottom"/>
          </w:tcPr>
          <w:p>
            <w:pPr>
              <w:jc w:val="center"/>
              <w:ind w:right="45"/>
              <w:spacing w:after="0" w:line="15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59"/>
        </w:trPr>
        <w:tc>
          <w:tcPr>
            <w:tcW w:w="4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jc w:val="center"/>
              <w:ind w:right="144"/>
              <w:spacing w:after="0" w:line="159" w:lineRule="exact"/>
              <w:rPr>
                <w:sz w:val="20"/>
                <w:szCs w:val="20"/>
                <w:color w:val="auto"/>
              </w:rPr>
            </w:pPr>
            <w:r>
              <w:rPr>
                <w:rFonts w:ascii="Arial" w:cs="Arial" w:eastAsia="Arial" w:hAnsi="Arial"/>
                <w:sz w:val="14"/>
                <w:szCs w:val="14"/>
                <w:color w:val="auto"/>
                <w:w w:val="99"/>
              </w:rPr>
              <w:t>assets:</w:t>
            </w: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jc w:val="center"/>
              <w:ind w:right="184"/>
              <w:spacing w:after="0" w:line="159" w:lineRule="exact"/>
              <w:rPr>
                <w:sz w:val="20"/>
                <w:szCs w:val="20"/>
                <w:color w:val="auto"/>
              </w:rPr>
            </w:pPr>
            <w:r>
              <w:rPr>
                <w:rFonts w:ascii="Arial" w:cs="Arial" w:eastAsia="Arial" w:hAnsi="Arial"/>
                <w:sz w:val="14"/>
                <w:szCs w:val="14"/>
                <w:color w:val="auto"/>
              </w:rPr>
              <w:t>liabilities:</w:t>
            </w:r>
          </w:p>
        </w:tc>
        <w:tc>
          <w:tcPr>
            <w:tcW w:w="380" w:type="dxa"/>
            <w:vAlign w:val="bottom"/>
          </w:tcPr>
          <w:p>
            <w:pPr>
              <w:spacing w:after="0"/>
              <w:rPr>
                <w:sz w:val="13"/>
                <w:szCs w:val="13"/>
                <w:color w:val="auto"/>
              </w:rPr>
            </w:pPr>
          </w:p>
        </w:tc>
        <w:tc>
          <w:tcPr>
            <w:tcW w:w="1160" w:type="dxa"/>
            <w:vAlign w:val="bottom"/>
          </w:tcPr>
          <w:p>
            <w:pPr>
              <w:jc w:val="center"/>
              <w:ind w:right="45"/>
              <w:spacing w:after="0" w:line="159" w:lineRule="exact"/>
              <w:rPr>
                <w:sz w:val="20"/>
                <w:szCs w:val="20"/>
                <w:color w:val="auto"/>
              </w:rPr>
            </w:pPr>
            <w:r>
              <w:rPr>
                <w:rFonts w:ascii="Arial" w:cs="Arial" w:eastAsia="Arial" w:hAnsi="Arial"/>
                <w:sz w:val="14"/>
                <w:szCs w:val="14"/>
                <w:color w:val="auto"/>
                <w:w w:val="98"/>
              </w:rPr>
              <w:t>liabilities:</w:t>
            </w:r>
          </w:p>
        </w:tc>
        <w:tc>
          <w:tcPr>
            <w:tcW w:w="0" w:type="dxa"/>
            <w:vAlign w:val="bottom"/>
          </w:tcPr>
          <w:p>
            <w:pPr>
              <w:spacing w:after="0"/>
              <w:rPr>
                <w:sz w:val="1"/>
                <w:szCs w:val="1"/>
                <w:color w:val="auto"/>
              </w:rPr>
            </w:pPr>
          </w:p>
        </w:tc>
      </w:tr>
      <w:tr>
        <w:trPr>
          <w:trHeight w:val="159"/>
        </w:trPr>
        <w:tc>
          <w:tcPr>
            <w:tcW w:w="4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jc w:val="center"/>
              <w:ind w:right="144"/>
              <w:spacing w:after="0" w:line="159" w:lineRule="exact"/>
              <w:rPr>
                <w:sz w:val="20"/>
                <w:szCs w:val="20"/>
                <w:color w:val="auto"/>
              </w:rPr>
            </w:pPr>
            <w:r>
              <w:rPr>
                <w:rFonts w:ascii="Arial" w:cs="Arial" w:eastAsia="Arial" w:hAnsi="Arial"/>
                <w:sz w:val="14"/>
                <w:szCs w:val="14"/>
                <w:color w:val="auto"/>
              </w:rPr>
              <w:t>Fixed-price</w:t>
            </w:r>
          </w:p>
        </w:tc>
        <w:tc>
          <w:tcPr>
            <w:tcW w:w="340" w:type="dxa"/>
            <w:vAlign w:val="bottom"/>
          </w:tcPr>
          <w:p>
            <w:pPr>
              <w:spacing w:after="0"/>
              <w:rPr>
                <w:sz w:val="13"/>
                <w:szCs w:val="13"/>
                <w:color w:val="auto"/>
              </w:rPr>
            </w:pPr>
          </w:p>
        </w:tc>
        <w:tc>
          <w:tcPr>
            <w:tcW w:w="1280" w:type="dxa"/>
            <w:vAlign w:val="bottom"/>
          </w:tcPr>
          <w:p>
            <w:pPr>
              <w:jc w:val="center"/>
              <w:ind w:right="164"/>
              <w:spacing w:after="0" w:line="159" w:lineRule="exact"/>
              <w:rPr>
                <w:sz w:val="20"/>
                <w:szCs w:val="20"/>
                <w:color w:val="auto"/>
              </w:rPr>
            </w:pPr>
            <w:r>
              <w:rPr>
                <w:rFonts w:ascii="Arial" w:cs="Arial" w:eastAsia="Arial" w:hAnsi="Arial"/>
                <w:sz w:val="14"/>
                <w:szCs w:val="14"/>
                <w:color w:val="auto"/>
              </w:rPr>
              <w:t>Investments</w:t>
            </w:r>
          </w:p>
        </w:tc>
        <w:tc>
          <w:tcPr>
            <w:tcW w:w="400" w:type="dxa"/>
            <w:vAlign w:val="bottom"/>
          </w:tcPr>
          <w:p>
            <w:pPr>
              <w:spacing w:after="0"/>
              <w:rPr>
                <w:sz w:val="13"/>
                <w:szCs w:val="13"/>
                <w:color w:val="auto"/>
              </w:rPr>
            </w:pPr>
          </w:p>
        </w:tc>
        <w:tc>
          <w:tcPr>
            <w:tcW w:w="1240" w:type="dxa"/>
            <w:vAlign w:val="bottom"/>
          </w:tcPr>
          <w:p>
            <w:pPr>
              <w:jc w:val="center"/>
              <w:ind w:right="184"/>
              <w:spacing w:after="0" w:line="159" w:lineRule="exact"/>
              <w:rPr>
                <w:sz w:val="20"/>
                <w:szCs w:val="20"/>
                <w:color w:val="auto"/>
              </w:rPr>
            </w:pPr>
            <w:r>
              <w:rPr>
                <w:rFonts w:ascii="Arial" w:cs="Arial" w:eastAsia="Arial" w:hAnsi="Arial"/>
                <w:sz w:val="14"/>
                <w:szCs w:val="14"/>
                <w:color w:val="auto"/>
              </w:rPr>
              <w:t>Fixed-price</w:t>
            </w:r>
          </w:p>
        </w:tc>
        <w:tc>
          <w:tcPr>
            <w:tcW w:w="380" w:type="dxa"/>
            <w:vAlign w:val="bottom"/>
          </w:tcPr>
          <w:p>
            <w:pPr>
              <w:spacing w:after="0"/>
              <w:rPr>
                <w:sz w:val="13"/>
                <w:szCs w:val="13"/>
                <w:color w:val="auto"/>
              </w:rPr>
            </w:pPr>
          </w:p>
        </w:tc>
        <w:tc>
          <w:tcPr>
            <w:tcW w:w="1160" w:type="dxa"/>
            <w:vAlign w:val="bottom"/>
          </w:tcPr>
          <w:p>
            <w:pPr>
              <w:jc w:val="center"/>
              <w:ind w:right="65"/>
              <w:spacing w:after="0" w:line="159" w:lineRule="exact"/>
              <w:rPr>
                <w:sz w:val="20"/>
                <w:szCs w:val="20"/>
                <w:color w:val="auto"/>
              </w:rPr>
            </w:pPr>
            <w:r>
              <w:rPr>
                <w:rFonts w:ascii="Arial" w:cs="Arial" w:eastAsia="Arial" w:hAnsi="Arial"/>
                <w:sz w:val="14"/>
                <w:szCs w:val="14"/>
                <w:color w:val="auto"/>
              </w:rPr>
              <w:t>Fixed-price</w:t>
            </w:r>
          </w:p>
        </w:tc>
        <w:tc>
          <w:tcPr>
            <w:tcW w:w="0" w:type="dxa"/>
            <w:vAlign w:val="bottom"/>
          </w:tcPr>
          <w:p>
            <w:pPr>
              <w:spacing w:after="0"/>
              <w:rPr>
                <w:sz w:val="1"/>
                <w:szCs w:val="1"/>
                <w:color w:val="auto"/>
              </w:rPr>
            </w:pPr>
          </w:p>
        </w:tc>
      </w:tr>
      <w:tr>
        <w:trPr>
          <w:trHeight w:val="159"/>
        </w:trPr>
        <w:tc>
          <w:tcPr>
            <w:tcW w:w="4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jc w:val="center"/>
              <w:ind w:right="144"/>
              <w:spacing w:after="0" w:line="159" w:lineRule="exact"/>
              <w:rPr>
                <w:sz w:val="20"/>
                <w:szCs w:val="20"/>
                <w:color w:val="auto"/>
              </w:rPr>
            </w:pPr>
            <w:r>
              <w:rPr>
                <w:rFonts w:ascii="Arial" w:cs="Arial" w:eastAsia="Arial" w:hAnsi="Arial"/>
                <w:sz w:val="14"/>
                <w:szCs w:val="14"/>
                <w:color w:val="auto"/>
                <w:w w:val="98"/>
              </w:rPr>
              <w:t>contracts</w:t>
            </w:r>
          </w:p>
        </w:tc>
        <w:tc>
          <w:tcPr>
            <w:tcW w:w="340" w:type="dxa"/>
            <w:vAlign w:val="bottom"/>
          </w:tcPr>
          <w:p>
            <w:pPr>
              <w:spacing w:after="0"/>
              <w:rPr>
                <w:sz w:val="13"/>
                <w:szCs w:val="13"/>
                <w:color w:val="auto"/>
              </w:rPr>
            </w:pPr>
          </w:p>
        </w:tc>
        <w:tc>
          <w:tcPr>
            <w:tcW w:w="1280" w:type="dxa"/>
            <w:vAlign w:val="bottom"/>
          </w:tcPr>
          <w:p>
            <w:pPr>
              <w:jc w:val="center"/>
              <w:ind w:right="164"/>
              <w:spacing w:after="0" w:line="159" w:lineRule="exact"/>
              <w:rPr>
                <w:sz w:val="20"/>
                <w:szCs w:val="20"/>
                <w:color w:val="auto"/>
              </w:rPr>
            </w:pPr>
            <w:r>
              <w:rPr>
                <w:rFonts w:ascii="Arial" w:cs="Arial" w:eastAsia="Arial" w:hAnsi="Arial"/>
                <w:sz w:val="14"/>
                <w:szCs w:val="14"/>
                <w:color w:val="auto"/>
              </w:rPr>
              <w:t>and other</w:t>
            </w:r>
          </w:p>
        </w:tc>
        <w:tc>
          <w:tcPr>
            <w:tcW w:w="400" w:type="dxa"/>
            <w:vAlign w:val="bottom"/>
          </w:tcPr>
          <w:p>
            <w:pPr>
              <w:spacing w:after="0"/>
              <w:rPr>
                <w:sz w:val="13"/>
                <w:szCs w:val="13"/>
                <w:color w:val="auto"/>
              </w:rPr>
            </w:pPr>
          </w:p>
        </w:tc>
        <w:tc>
          <w:tcPr>
            <w:tcW w:w="1240" w:type="dxa"/>
            <w:vAlign w:val="bottom"/>
          </w:tcPr>
          <w:p>
            <w:pPr>
              <w:jc w:val="center"/>
              <w:ind w:right="184"/>
              <w:spacing w:after="0" w:line="159" w:lineRule="exact"/>
              <w:rPr>
                <w:sz w:val="20"/>
                <w:szCs w:val="20"/>
                <w:color w:val="auto"/>
              </w:rPr>
            </w:pPr>
            <w:r>
              <w:rPr>
                <w:rFonts w:ascii="Arial" w:cs="Arial" w:eastAsia="Arial" w:hAnsi="Arial"/>
                <w:sz w:val="14"/>
                <w:szCs w:val="14"/>
                <w:color w:val="auto"/>
              </w:rPr>
              <w:t>contracts</w:t>
            </w:r>
          </w:p>
        </w:tc>
        <w:tc>
          <w:tcPr>
            <w:tcW w:w="380" w:type="dxa"/>
            <w:vAlign w:val="bottom"/>
          </w:tcPr>
          <w:p>
            <w:pPr>
              <w:spacing w:after="0"/>
              <w:rPr>
                <w:sz w:val="13"/>
                <w:szCs w:val="13"/>
                <w:color w:val="auto"/>
              </w:rPr>
            </w:pPr>
          </w:p>
        </w:tc>
        <w:tc>
          <w:tcPr>
            <w:tcW w:w="1160" w:type="dxa"/>
            <w:vAlign w:val="bottom"/>
          </w:tcPr>
          <w:p>
            <w:pPr>
              <w:jc w:val="center"/>
              <w:ind w:right="45"/>
              <w:spacing w:after="0" w:line="159" w:lineRule="exact"/>
              <w:rPr>
                <w:sz w:val="20"/>
                <w:szCs w:val="20"/>
                <w:color w:val="auto"/>
              </w:rPr>
            </w:pPr>
            <w:r>
              <w:rPr>
                <w:rFonts w:ascii="Arial" w:cs="Arial" w:eastAsia="Arial" w:hAnsi="Arial"/>
                <w:sz w:val="14"/>
                <w:szCs w:val="14"/>
                <w:color w:val="auto"/>
                <w:w w:val="98"/>
              </w:rPr>
              <w:t>contracts</w:t>
            </w:r>
          </w:p>
        </w:tc>
        <w:tc>
          <w:tcPr>
            <w:tcW w:w="0" w:type="dxa"/>
            <w:vAlign w:val="bottom"/>
          </w:tcPr>
          <w:p>
            <w:pPr>
              <w:spacing w:after="0"/>
              <w:rPr>
                <w:sz w:val="1"/>
                <w:szCs w:val="1"/>
                <w:color w:val="auto"/>
              </w:rPr>
            </w:pPr>
          </w:p>
        </w:tc>
      </w:tr>
      <w:tr>
        <w:trPr>
          <w:trHeight w:val="159"/>
        </w:trPr>
        <w:tc>
          <w:tcPr>
            <w:tcW w:w="4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jc w:val="center"/>
              <w:ind w:right="144"/>
              <w:spacing w:after="0" w:line="159" w:lineRule="exact"/>
              <w:rPr>
                <w:sz w:val="20"/>
                <w:szCs w:val="20"/>
                <w:color w:val="auto"/>
              </w:rPr>
            </w:pPr>
            <w:r>
              <w:rPr>
                <w:rFonts w:ascii="Arial" w:cs="Arial" w:eastAsia="Arial" w:hAnsi="Arial"/>
                <w:sz w:val="14"/>
                <w:szCs w:val="14"/>
                <w:color w:val="auto"/>
              </w:rPr>
              <w:t>and other</w:t>
            </w:r>
          </w:p>
        </w:tc>
        <w:tc>
          <w:tcPr>
            <w:tcW w:w="340" w:type="dxa"/>
            <w:vAlign w:val="bottom"/>
          </w:tcPr>
          <w:p>
            <w:pPr>
              <w:spacing w:after="0"/>
              <w:rPr>
                <w:sz w:val="13"/>
                <w:szCs w:val="13"/>
                <w:color w:val="auto"/>
              </w:rPr>
            </w:pPr>
          </w:p>
        </w:tc>
        <w:tc>
          <w:tcPr>
            <w:tcW w:w="1280" w:type="dxa"/>
            <w:vAlign w:val="bottom"/>
          </w:tcPr>
          <w:p>
            <w:pPr>
              <w:jc w:val="center"/>
              <w:ind w:right="124"/>
              <w:spacing w:after="0" w:line="159" w:lineRule="exact"/>
              <w:rPr>
                <w:sz w:val="20"/>
                <w:szCs w:val="20"/>
                <w:color w:val="auto"/>
              </w:rPr>
            </w:pPr>
            <w:r>
              <w:rPr>
                <w:rFonts w:ascii="Arial" w:cs="Arial" w:eastAsia="Arial" w:hAnsi="Arial"/>
                <w:sz w:val="14"/>
                <w:szCs w:val="14"/>
                <w:color w:val="auto"/>
                <w:w w:val="99"/>
              </w:rPr>
              <w:t>assets:</w:t>
            </w:r>
          </w:p>
        </w:tc>
        <w:tc>
          <w:tcPr>
            <w:tcW w:w="400" w:type="dxa"/>
            <w:vAlign w:val="bottom"/>
          </w:tcPr>
          <w:p>
            <w:pPr>
              <w:spacing w:after="0"/>
              <w:rPr>
                <w:sz w:val="13"/>
                <w:szCs w:val="13"/>
                <w:color w:val="auto"/>
              </w:rPr>
            </w:pPr>
          </w:p>
        </w:tc>
        <w:tc>
          <w:tcPr>
            <w:tcW w:w="1240" w:type="dxa"/>
            <w:vAlign w:val="bottom"/>
          </w:tcPr>
          <w:p>
            <w:pPr>
              <w:jc w:val="center"/>
              <w:ind w:right="184"/>
              <w:spacing w:after="0" w:line="159" w:lineRule="exact"/>
              <w:rPr>
                <w:sz w:val="20"/>
                <w:szCs w:val="20"/>
                <w:color w:val="auto"/>
              </w:rPr>
            </w:pPr>
            <w:r>
              <w:rPr>
                <w:rFonts w:ascii="Arial" w:cs="Arial" w:eastAsia="Arial" w:hAnsi="Arial"/>
                <w:sz w:val="14"/>
                <w:szCs w:val="14"/>
                <w:color w:val="auto"/>
                <w:w w:val="97"/>
              </w:rPr>
              <w:t>and other</w:t>
            </w:r>
          </w:p>
        </w:tc>
        <w:tc>
          <w:tcPr>
            <w:tcW w:w="380" w:type="dxa"/>
            <w:vAlign w:val="bottom"/>
          </w:tcPr>
          <w:p>
            <w:pPr>
              <w:spacing w:after="0"/>
              <w:rPr>
                <w:sz w:val="13"/>
                <w:szCs w:val="13"/>
                <w:color w:val="auto"/>
              </w:rPr>
            </w:pPr>
          </w:p>
        </w:tc>
        <w:tc>
          <w:tcPr>
            <w:tcW w:w="1160" w:type="dxa"/>
            <w:vAlign w:val="bottom"/>
          </w:tcPr>
          <w:p>
            <w:pPr>
              <w:jc w:val="center"/>
              <w:ind w:right="45"/>
              <w:spacing w:after="0" w:line="15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73"/>
        </w:trPr>
        <w:tc>
          <w:tcPr>
            <w:tcW w:w="4860" w:type="dxa"/>
            <w:vAlign w:val="bottom"/>
            <w:vMerge w:val="restart"/>
          </w:tcPr>
          <w:p>
            <w:pPr>
              <w:spacing w:after="0"/>
              <w:rPr>
                <w:sz w:val="20"/>
                <w:szCs w:val="20"/>
                <w:color w:val="auto"/>
              </w:rPr>
            </w:pPr>
            <w:r>
              <w:rPr>
                <w:rFonts w:ascii="Arial" w:cs="Arial" w:eastAsia="Arial" w:hAnsi="Arial"/>
                <w:sz w:val="16"/>
                <w:szCs w:val="16"/>
                <w:b w:val="1"/>
                <w:bCs w:val="1"/>
                <w:color w:val="auto"/>
              </w:rPr>
              <w:t>Sempra Energy Consolidated:</w:t>
            </w: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color w:val="auto"/>
                <w:w w:val="99"/>
              </w:rPr>
              <w:t>derivatives(1)</w:t>
            </w: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color w:val="auto"/>
                <w:w w:val="99"/>
              </w:rPr>
              <w:t>Sundry</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color w:val="auto"/>
              </w:rPr>
              <w:t>derivatives(2)</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color w:val="auto"/>
              </w:rPr>
              <w:t>derivatives</w:t>
            </w:r>
          </w:p>
        </w:tc>
        <w:tc>
          <w:tcPr>
            <w:tcW w:w="0" w:type="dxa"/>
            <w:vAlign w:val="bottom"/>
          </w:tcPr>
          <w:p>
            <w:pPr>
              <w:spacing w:after="0"/>
              <w:rPr>
                <w:sz w:val="1"/>
                <w:szCs w:val="1"/>
                <w:color w:val="auto"/>
              </w:rPr>
            </w:pPr>
          </w:p>
        </w:tc>
      </w:tr>
      <w:tr>
        <w:trPr>
          <w:trHeight w:val="135"/>
        </w:trPr>
        <w:tc>
          <w:tcPr>
            <w:tcW w:w="486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860" w:type="dxa"/>
            <w:vAlign w:val="bottom"/>
          </w:tcPr>
          <w:p>
            <w:pPr>
              <w:spacing w:after="0" w:line="173" w:lineRule="exact"/>
              <w:rPr>
                <w:sz w:val="20"/>
                <w:szCs w:val="20"/>
                <w:color w:val="auto"/>
              </w:rPr>
            </w:pPr>
            <w:r>
              <w:rPr>
                <w:rFonts w:ascii="Arial" w:cs="Arial" w:eastAsia="Arial" w:hAnsi="Arial"/>
                <w:sz w:val="16"/>
                <w:szCs w:val="16"/>
                <w:color w:val="auto"/>
              </w:rPr>
              <w:t>Derivatives designated as hedging instruments:</w:t>
            </w: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tcPr>
          <w:p>
            <w:pPr>
              <w:ind w:left="180"/>
              <w:spacing w:after="0" w:line="173" w:lineRule="exact"/>
              <w:rPr>
                <w:sz w:val="20"/>
                <w:szCs w:val="20"/>
                <w:color w:val="auto"/>
              </w:rPr>
            </w:pPr>
            <w:r>
              <w:rPr>
                <w:rFonts w:ascii="Arial" w:cs="Arial" w:eastAsia="Arial" w:hAnsi="Arial"/>
                <w:sz w:val="16"/>
                <w:szCs w:val="16"/>
                <w:color w:val="auto"/>
              </w:rPr>
              <w:t>Interest rate and foreign exchange instruments(3)</w:t>
            </w:r>
          </w:p>
        </w:tc>
        <w:tc>
          <w:tcPr>
            <w:tcW w:w="460" w:type="dxa"/>
            <w:vAlign w:val="bottom"/>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04"/>
              <w:spacing w:after="0" w:line="173" w:lineRule="exact"/>
              <w:rPr>
                <w:sz w:val="20"/>
                <w:szCs w:val="20"/>
                <w:color w:val="auto"/>
              </w:rPr>
            </w:pPr>
            <w:r>
              <w:rPr>
                <w:rFonts w:ascii="Arial" w:cs="Arial" w:eastAsia="Arial" w:hAnsi="Arial"/>
                <w:sz w:val="16"/>
                <w:szCs w:val="16"/>
                <w:color w:val="auto"/>
              </w:rPr>
              <w:t>21</w:t>
            </w:r>
          </w:p>
        </w:tc>
        <w:tc>
          <w:tcPr>
            <w:tcW w:w="340" w:type="dxa"/>
            <w:vAlign w:val="bottom"/>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84"/>
              <w:spacing w:after="0" w:line="173" w:lineRule="exact"/>
              <w:rPr>
                <w:sz w:val="20"/>
                <w:szCs w:val="20"/>
                <w:color w:val="auto"/>
              </w:rPr>
            </w:pPr>
            <w:r>
              <w:rPr>
                <w:rFonts w:ascii="Arial" w:cs="Arial" w:eastAsia="Arial" w:hAnsi="Arial"/>
                <w:sz w:val="16"/>
                <w:szCs w:val="16"/>
                <w:color w:val="auto"/>
              </w:rPr>
              <w:t>8</w:t>
            </w:r>
          </w:p>
        </w:tc>
        <w:tc>
          <w:tcPr>
            <w:tcW w:w="400" w:type="dxa"/>
            <w:vAlign w:val="bottom"/>
          </w:tcPr>
          <w:p>
            <w:pPr>
              <w:jc w:val="right"/>
              <w:ind w:right="100"/>
              <w:spacing w:after="0" w:line="173"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44"/>
              <w:spacing w:after="0" w:line="173" w:lineRule="exact"/>
              <w:rPr>
                <w:sz w:val="20"/>
                <w:szCs w:val="20"/>
                <w:color w:val="auto"/>
              </w:rPr>
            </w:pPr>
            <w:r>
              <w:rPr>
                <w:rFonts w:ascii="Arial" w:cs="Arial" w:eastAsia="Arial" w:hAnsi="Arial"/>
                <w:sz w:val="16"/>
                <w:szCs w:val="16"/>
                <w:color w:val="auto"/>
              </w:rPr>
              <w:t>(17)</w:t>
            </w:r>
          </w:p>
        </w:tc>
        <w:tc>
          <w:tcPr>
            <w:tcW w:w="380" w:type="dxa"/>
            <w:vAlign w:val="bottom"/>
          </w:tcPr>
          <w:p>
            <w:pPr>
              <w:jc w:val="right"/>
              <w:ind w:right="100"/>
              <w:spacing w:after="0" w:line="173"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73"/>
        </w:trPr>
        <w:tc>
          <w:tcPr>
            <w:tcW w:w="4860" w:type="dxa"/>
            <w:vAlign w:val="bottom"/>
          </w:tcPr>
          <w:p>
            <w:pPr>
              <w:spacing w:after="0" w:line="173" w:lineRule="exact"/>
              <w:rPr>
                <w:sz w:val="20"/>
                <w:szCs w:val="20"/>
                <w:color w:val="auto"/>
              </w:rPr>
            </w:pPr>
            <w:r>
              <w:rPr>
                <w:rFonts w:ascii="Arial" w:cs="Arial" w:eastAsia="Arial" w:hAnsi="Arial"/>
                <w:sz w:val="16"/>
                <w:szCs w:val="16"/>
                <w:color w:val="auto"/>
              </w:rPr>
              <w:t>Derivatives not designated as hedging instruments:</w:t>
            </w: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tcPr>
          <w:p>
            <w:pPr>
              <w:ind w:left="180"/>
              <w:spacing w:after="0" w:line="173" w:lineRule="exact"/>
              <w:rPr>
                <w:sz w:val="20"/>
                <w:szCs w:val="20"/>
                <w:color w:val="auto"/>
              </w:rPr>
            </w:pPr>
            <w:r>
              <w:rPr>
                <w:rFonts w:ascii="Arial" w:cs="Arial" w:eastAsia="Arial" w:hAnsi="Arial"/>
                <w:sz w:val="16"/>
                <w:szCs w:val="16"/>
                <w:color w:val="auto"/>
              </w:rPr>
              <w:t>Interest rate and foreign exchange instruments</w:t>
            </w:r>
          </w:p>
        </w:tc>
        <w:tc>
          <w:tcPr>
            <w:tcW w:w="460" w:type="dxa"/>
            <w:vAlign w:val="bottom"/>
          </w:tcPr>
          <w:p>
            <w:pPr>
              <w:spacing w:after="0"/>
              <w:rPr>
                <w:sz w:val="15"/>
                <w:szCs w:val="15"/>
                <w:color w:val="auto"/>
              </w:rPr>
            </w:pPr>
          </w:p>
        </w:tc>
        <w:tc>
          <w:tcPr>
            <w:tcW w:w="1300" w:type="dxa"/>
            <w:vAlign w:val="bottom"/>
          </w:tcPr>
          <w:p>
            <w:pPr>
              <w:jc w:val="right"/>
              <w:ind w:right="104"/>
              <w:spacing w:after="0" w:line="173" w:lineRule="exact"/>
              <w:rPr>
                <w:sz w:val="20"/>
                <w:szCs w:val="20"/>
                <w:color w:val="auto"/>
              </w:rPr>
            </w:pPr>
            <w:r>
              <w:rPr>
                <w:rFonts w:ascii="Arial" w:cs="Arial" w:eastAsia="Arial" w:hAnsi="Arial"/>
                <w:sz w:val="16"/>
                <w:szCs w:val="16"/>
                <w:color w:val="auto"/>
              </w:rPr>
              <w:t>8</w:t>
            </w:r>
          </w:p>
        </w:tc>
        <w:tc>
          <w:tcPr>
            <w:tcW w:w="340" w:type="dxa"/>
            <w:vAlign w:val="bottom"/>
          </w:tcPr>
          <w:p>
            <w:pPr>
              <w:spacing w:after="0"/>
              <w:rPr>
                <w:sz w:val="15"/>
                <w:szCs w:val="15"/>
                <w:color w:val="auto"/>
              </w:rPr>
            </w:pPr>
          </w:p>
        </w:tc>
        <w:tc>
          <w:tcPr>
            <w:tcW w:w="1280" w:type="dxa"/>
            <w:vAlign w:val="bottom"/>
          </w:tcPr>
          <w:p>
            <w:pPr>
              <w:jc w:val="right"/>
              <w:ind w:right="84"/>
              <w:spacing w:after="0" w:line="173" w:lineRule="exact"/>
              <w:rPr>
                <w:sz w:val="20"/>
                <w:szCs w:val="20"/>
                <w:color w:val="auto"/>
              </w:rPr>
            </w:pPr>
            <w:r>
              <w:rPr>
                <w:rFonts w:ascii="Arial" w:cs="Arial" w:eastAsia="Arial" w:hAnsi="Arial"/>
                <w:sz w:val="16"/>
                <w:szCs w:val="16"/>
                <w:color w:val="auto"/>
              </w:rPr>
              <w:t>25</w:t>
            </w:r>
          </w:p>
        </w:tc>
        <w:tc>
          <w:tcPr>
            <w:tcW w:w="400" w:type="dxa"/>
            <w:vAlign w:val="bottom"/>
          </w:tcPr>
          <w:p>
            <w:pPr>
              <w:spacing w:after="0"/>
              <w:rPr>
                <w:sz w:val="15"/>
                <w:szCs w:val="15"/>
                <w:color w:val="auto"/>
              </w:rPr>
            </w:pPr>
          </w:p>
        </w:tc>
        <w:tc>
          <w:tcPr>
            <w:tcW w:w="1240" w:type="dxa"/>
            <w:vAlign w:val="bottom"/>
          </w:tcPr>
          <w:p>
            <w:pPr>
              <w:jc w:val="right"/>
              <w:ind w:right="44"/>
              <w:spacing w:after="0" w:line="173" w:lineRule="exact"/>
              <w:rPr>
                <w:sz w:val="20"/>
                <w:szCs w:val="20"/>
                <w:color w:val="auto"/>
              </w:rPr>
            </w:pPr>
            <w:r>
              <w:rPr>
                <w:rFonts w:ascii="Arial" w:cs="Arial" w:eastAsia="Arial" w:hAnsi="Arial"/>
                <w:sz w:val="16"/>
                <w:szCs w:val="16"/>
                <w:color w:val="auto"/>
              </w:rPr>
              <w:t>(7)</w:t>
            </w:r>
          </w:p>
        </w:tc>
        <w:tc>
          <w:tcPr>
            <w:tcW w:w="38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73"/>
        </w:trPr>
        <w:tc>
          <w:tcPr>
            <w:tcW w:w="4860" w:type="dxa"/>
            <w:vAlign w:val="bottom"/>
          </w:tcPr>
          <w:p>
            <w:pPr>
              <w:ind w:left="180"/>
              <w:spacing w:after="0" w:line="173" w:lineRule="exact"/>
              <w:rPr>
                <w:sz w:val="20"/>
                <w:szCs w:val="20"/>
                <w:color w:val="auto"/>
              </w:rPr>
            </w:pPr>
            <w:r>
              <w:rPr>
                <w:rFonts w:ascii="Arial" w:cs="Arial" w:eastAsia="Arial" w:hAnsi="Arial"/>
                <w:sz w:val="16"/>
                <w:szCs w:val="16"/>
                <w:color w:val="auto"/>
              </w:rPr>
              <w:t>Commodity contracts not subject to rate recovery</w:t>
            </w:r>
          </w:p>
        </w:tc>
        <w:tc>
          <w:tcPr>
            <w:tcW w:w="460" w:type="dxa"/>
            <w:vAlign w:val="bottom"/>
          </w:tcPr>
          <w:p>
            <w:pPr>
              <w:spacing w:after="0"/>
              <w:rPr>
                <w:sz w:val="15"/>
                <w:szCs w:val="15"/>
                <w:color w:val="auto"/>
              </w:rPr>
            </w:pPr>
          </w:p>
        </w:tc>
        <w:tc>
          <w:tcPr>
            <w:tcW w:w="1300" w:type="dxa"/>
            <w:vAlign w:val="bottom"/>
          </w:tcPr>
          <w:p>
            <w:pPr>
              <w:jc w:val="right"/>
              <w:ind w:right="104"/>
              <w:spacing w:after="0" w:line="173" w:lineRule="exact"/>
              <w:rPr>
                <w:sz w:val="20"/>
                <w:szCs w:val="20"/>
                <w:color w:val="auto"/>
              </w:rPr>
            </w:pPr>
            <w:r>
              <w:rPr>
                <w:rFonts w:ascii="Arial" w:cs="Arial" w:eastAsia="Arial" w:hAnsi="Arial"/>
                <w:sz w:val="16"/>
                <w:szCs w:val="16"/>
                <w:color w:val="auto"/>
              </w:rPr>
              <w:t>38</w:t>
            </w:r>
          </w:p>
        </w:tc>
        <w:tc>
          <w:tcPr>
            <w:tcW w:w="340" w:type="dxa"/>
            <w:vAlign w:val="bottom"/>
          </w:tcPr>
          <w:p>
            <w:pPr>
              <w:spacing w:after="0"/>
              <w:rPr>
                <w:sz w:val="15"/>
                <w:szCs w:val="15"/>
                <w:color w:val="auto"/>
              </w:rPr>
            </w:pPr>
          </w:p>
        </w:tc>
        <w:tc>
          <w:tcPr>
            <w:tcW w:w="1280" w:type="dxa"/>
            <w:vAlign w:val="bottom"/>
          </w:tcPr>
          <w:p>
            <w:pPr>
              <w:jc w:val="right"/>
              <w:ind w:right="84"/>
              <w:spacing w:after="0" w:line="173" w:lineRule="exact"/>
              <w:rPr>
                <w:sz w:val="20"/>
                <w:szCs w:val="20"/>
                <w:color w:val="auto"/>
              </w:rPr>
            </w:pPr>
            <w:r>
              <w:rPr>
                <w:rFonts w:ascii="Arial" w:cs="Arial" w:eastAsia="Arial" w:hAnsi="Arial"/>
                <w:sz w:val="16"/>
                <w:szCs w:val="16"/>
                <w:color w:val="auto"/>
              </w:rPr>
              <w:t>6</w:t>
            </w:r>
          </w:p>
        </w:tc>
        <w:tc>
          <w:tcPr>
            <w:tcW w:w="400" w:type="dxa"/>
            <w:vAlign w:val="bottom"/>
          </w:tcPr>
          <w:p>
            <w:pPr>
              <w:spacing w:after="0"/>
              <w:rPr>
                <w:sz w:val="15"/>
                <w:szCs w:val="15"/>
                <w:color w:val="auto"/>
              </w:rPr>
            </w:pPr>
          </w:p>
        </w:tc>
        <w:tc>
          <w:tcPr>
            <w:tcW w:w="1240" w:type="dxa"/>
            <w:vAlign w:val="bottom"/>
          </w:tcPr>
          <w:p>
            <w:pPr>
              <w:jc w:val="right"/>
              <w:ind w:right="44"/>
              <w:spacing w:after="0" w:line="173" w:lineRule="exact"/>
              <w:rPr>
                <w:sz w:val="20"/>
                <w:szCs w:val="20"/>
                <w:color w:val="auto"/>
              </w:rPr>
            </w:pPr>
            <w:r>
              <w:rPr>
                <w:rFonts w:ascii="Arial" w:cs="Arial" w:eastAsia="Arial" w:hAnsi="Arial"/>
                <w:sz w:val="16"/>
                <w:szCs w:val="16"/>
                <w:color w:val="auto"/>
              </w:rPr>
              <w:t>(36)</w:t>
            </w:r>
          </w:p>
        </w:tc>
        <w:tc>
          <w:tcPr>
            <w:tcW w:w="38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3"/>
        </w:trPr>
        <w:tc>
          <w:tcPr>
            <w:tcW w:w="4860" w:type="dxa"/>
            <w:vAlign w:val="bottom"/>
          </w:tcPr>
          <w:p>
            <w:pPr>
              <w:ind w:left="360"/>
              <w:spacing w:after="0" w:line="173" w:lineRule="exact"/>
              <w:rPr>
                <w:sz w:val="20"/>
                <w:szCs w:val="20"/>
                <w:color w:val="auto"/>
              </w:rPr>
            </w:pPr>
            <w:r>
              <w:rPr>
                <w:rFonts w:ascii="Arial" w:cs="Arial" w:eastAsia="Arial" w:hAnsi="Arial"/>
                <w:sz w:val="16"/>
                <w:szCs w:val="16"/>
                <w:color w:val="auto"/>
              </w:rPr>
              <w:t>Associated offsetting commodity contracts</w:t>
            </w:r>
          </w:p>
        </w:tc>
        <w:tc>
          <w:tcPr>
            <w:tcW w:w="460" w:type="dxa"/>
            <w:vAlign w:val="bottom"/>
          </w:tcPr>
          <w:p>
            <w:pPr>
              <w:spacing w:after="0"/>
              <w:rPr>
                <w:sz w:val="15"/>
                <w:szCs w:val="15"/>
                <w:color w:val="auto"/>
              </w:rPr>
            </w:pPr>
          </w:p>
        </w:tc>
        <w:tc>
          <w:tcPr>
            <w:tcW w:w="1300" w:type="dxa"/>
            <w:vAlign w:val="bottom"/>
          </w:tcPr>
          <w:p>
            <w:pPr>
              <w:jc w:val="right"/>
              <w:ind w:right="44"/>
              <w:spacing w:after="0" w:line="173" w:lineRule="exact"/>
              <w:rPr>
                <w:sz w:val="20"/>
                <w:szCs w:val="20"/>
                <w:color w:val="auto"/>
              </w:rPr>
            </w:pPr>
            <w:r>
              <w:rPr>
                <w:rFonts w:ascii="Arial" w:cs="Arial" w:eastAsia="Arial" w:hAnsi="Arial"/>
                <w:sz w:val="16"/>
                <w:szCs w:val="16"/>
                <w:color w:val="auto"/>
              </w:rPr>
              <w:t>(33)</w:t>
            </w:r>
          </w:p>
        </w:tc>
        <w:tc>
          <w:tcPr>
            <w:tcW w:w="340" w:type="dxa"/>
            <w:vAlign w:val="bottom"/>
          </w:tcPr>
          <w:p>
            <w:pPr>
              <w:spacing w:after="0"/>
              <w:rPr>
                <w:sz w:val="15"/>
                <w:szCs w:val="15"/>
                <w:color w:val="auto"/>
              </w:rPr>
            </w:pPr>
          </w:p>
        </w:tc>
        <w:tc>
          <w:tcPr>
            <w:tcW w:w="1280" w:type="dxa"/>
            <w:vAlign w:val="bottom"/>
          </w:tcPr>
          <w:p>
            <w:pPr>
              <w:jc w:val="right"/>
              <w:ind w:right="44"/>
              <w:spacing w:after="0" w:line="173" w:lineRule="exact"/>
              <w:rPr>
                <w:sz w:val="20"/>
                <w:szCs w:val="20"/>
                <w:color w:val="auto"/>
              </w:rPr>
            </w:pPr>
            <w:r>
              <w:rPr>
                <w:rFonts w:ascii="Arial" w:cs="Arial" w:eastAsia="Arial" w:hAnsi="Arial"/>
                <w:sz w:val="16"/>
                <w:szCs w:val="16"/>
                <w:color w:val="auto"/>
              </w:rPr>
              <w:t>(4)</w:t>
            </w:r>
          </w:p>
        </w:tc>
        <w:tc>
          <w:tcPr>
            <w:tcW w:w="400" w:type="dxa"/>
            <w:vAlign w:val="bottom"/>
          </w:tcPr>
          <w:p>
            <w:pPr>
              <w:spacing w:after="0"/>
              <w:rPr>
                <w:sz w:val="15"/>
                <w:szCs w:val="15"/>
                <w:color w:val="auto"/>
              </w:rPr>
            </w:pPr>
          </w:p>
        </w:tc>
        <w:tc>
          <w:tcPr>
            <w:tcW w:w="1240" w:type="dxa"/>
            <w:vAlign w:val="bottom"/>
          </w:tcPr>
          <w:p>
            <w:pPr>
              <w:jc w:val="right"/>
              <w:ind w:right="84"/>
              <w:spacing w:after="0" w:line="173" w:lineRule="exact"/>
              <w:rPr>
                <w:sz w:val="20"/>
                <w:szCs w:val="20"/>
                <w:color w:val="auto"/>
              </w:rPr>
            </w:pPr>
            <w:r>
              <w:rPr>
                <w:rFonts w:ascii="Arial" w:cs="Arial" w:eastAsia="Arial" w:hAnsi="Arial"/>
                <w:sz w:val="16"/>
                <w:szCs w:val="16"/>
                <w:color w:val="auto"/>
              </w:rPr>
              <w:t>33</w:t>
            </w:r>
          </w:p>
        </w:tc>
        <w:tc>
          <w:tcPr>
            <w:tcW w:w="38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3"/>
        </w:trPr>
        <w:tc>
          <w:tcPr>
            <w:tcW w:w="4860" w:type="dxa"/>
            <w:vAlign w:val="bottom"/>
          </w:tcPr>
          <w:p>
            <w:pPr>
              <w:ind w:left="180"/>
              <w:spacing w:after="0" w:line="173" w:lineRule="exact"/>
              <w:rPr>
                <w:sz w:val="20"/>
                <w:szCs w:val="20"/>
                <w:color w:val="auto"/>
              </w:rPr>
            </w:pPr>
            <w:r>
              <w:rPr>
                <w:rFonts w:ascii="Arial" w:cs="Arial" w:eastAsia="Arial" w:hAnsi="Arial"/>
                <w:sz w:val="16"/>
                <w:szCs w:val="16"/>
                <w:color w:val="auto"/>
              </w:rPr>
              <w:t>Commodity contracts subject to rate recovery</w:t>
            </w:r>
          </w:p>
        </w:tc>
        <w:tc>
          <w:tcPr>
            <w:tcW w:w="460" w:type="dxa"/>
            <w:vAlign w:val="bottom"/>
          </w:tcPr>
          <w:p>
            <w:pPr>
              <w:spacing w:after="0"/>
              <w:rPr>
                <w:sz w:val="15"/>
                <w:szCs w:val="15"/>
                <w:color w:val="auto"/>
              </w:rPr>
            </w:pPr>
          </w:p>
        </w:tc>
        <w:tc>
          <w:tcPr>
            <w:tcW w:w="1300" w:type="dxa"/>
            <w:vAlign w:val="bottom"/>
          </w:tcPr>
          <w:p>
            <w:pPr>
              <w:jc w:val="right"/>
              <w:ind w:right="104"/>
              <w:spacing w:after="0" w:line="173" w:lineRule="exact"/>
              <w:rPr>
                <w:sz w:val="20"/>
                <w:szCs w:val="20"/>
                <w:color w:val="auto"/>
              </w:rPr>
            </w:pPr>
            <w:r>
              <w:rPr>
                <w:rFonts w:ascii="Arial" w:cs="Arial" w:eastAsia="Arial" w:hAnsi="Arial"/>
                <w:sz w:val="16"/>
                <w:szCs w:val="16"/>
                <w:color w:val="auto"/>
              </w:rPr>
              <w:t>26</w:t>
            </w:r>
          </w:p>
        </w:tc>
        <w:tc>
          <w:tcPr>
            <w:tcW w:w="340" w:type="dxa"/>
            <w:vAlign w:val="bottom"/>
          </w:tcPr>
          <w:p>
            <w:pPr>
              <w:spacing w:after="0"/>
              <w:rPr>
                <w:sz w:val="15"/>
                <w:szCs w:val="15"/>
                <w:color w:val="auto"/>
              </w:rPr>
            </w:pPr>
          </w:p>
        </w:tc>
        <w:tc>
          <w:tcPr>
            <w:tcW w:w="1280" w:type="dxa"/>
            <w:vAlign w:val="bottom"/>
          </w:tcPr>
          <w:p>
            <w:pPr>
              <w:jc w:val="right"/>
              <w:ind w:right="84"/>
              <w:spacing w:after="0" w:line="173" w:lineRule="exact"/>
              <w:rPr>
                <w:sz w:val="20"/>
                <w:szCs w:val="20"/>
                <w:color w:val="auto"/>
              </w:rPr>
            </w:pPr>
            <w:r>
              <w:rPr>
                <w:rFonts w:ascii="Arial" w:cs="Arial" w:eastAsia="Arial" w:hAnsi="Arial"/>
                <w:sz w:val="16"/>
                <w:szCs w:val="16"/>
                <w:color w:val="auto"/>
              </w:rPr>
              <w:t>74</w:t>
            </w:r>
          </w:p>
        </w:tc>
        <w:tc>
          <w:tcPr>
            <w:tcW w:w="400" w:type="dxa"/>
            <w:vAlign w:val="bottom"/>
          </w:tcPr>
          <w:p>
            <w:pPr>
              <w:spacing w:after="0"/>
              <w:rPr>
                <w:sz w:val="15"/>
                <w:szCs w:val="15"/>
                <w:color w:val="auto"/>
              </w:rPr>
            </w:pPr>
          </w:p>
        </w:tc>
        <w:tc>
          <w:tcPr>
            <w:tcW w:w="1240" w:type="dxa"/>
            <w:vAlign w:val="bottom"/>
          </w:tcPr>
          <w:p>
            <w:pPr>
              <w:jc w:val="right"/>
              <w:ind w:right="44"/>
              <w:spacing w:after="0" w:line="173" w:lineRule="exact"/>
              <w:rPr>
                <w:sz w:val="20"/>
                <w:szCs w:val="20"/>
                <w:color w:val="auto"/>
              </w:rPr>
            </w:pPr>
            <w:r>
              <w:rPr>
                <w:rFonts w:ascii="Arial" w:cs="Arial" w:eastAsia="Arial" w:hAnsi="Arial"/>
                <w:sz w:val="16"/>
                <w:szCs w:val="16"/>
                <w:color w:val="auto"/>
              </w:rPr>
              <w:t>(10)</w:t>
            </w:r>
          </w:p>
        </w:tc>
        <w:tc>
          <w:tcPr>
            <w:tcW w:w="38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1"/>
        </w:trPr>
        <w:tc>
          <w:tcPr>
            <w:tcW w:w="48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3</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8"/>
        </w:trPr>
        <w:tc>
          <w:tcPr>
            <w:tcW w:w="4860" w:type="dxa"/>
            <w:vAlign w:val="bottom"/>
          </w:tcPr>
          <w:p>
            <w:pPr>
              <w:ind w:left="180"/>
              <w:spacing w:after="0" w:line="168" w:lineRule="exact"/>
              <w:rPr>
                <w:sz w:val="20"/>
                <w:szCs w:val="20"/>
                <w:color w:val="auto"/>
              </w:rPr>
            </w:pPr>
            <w:r>
              <w:rPr>
                <w:rFonts w:ascii="Arial" w:cs="Arial" w:eastAsia="Arial" w:hAnsi="Arial"/>
                <w:sz w:val="16"/>
                <w:szCs w:val="16"/>
                <w:color w:val="auto"/>
              </w:rPr>
              <w:t>Net amounts presented on the balance sheet</w:t>
            </w:r>
          </w:p>
        </w:tc>
        <w:tc>
          <w:tcPr>
            <w:tcW w:w="460" w:type="dxa"/>
            <w:vAlign w:val="bottom"/>
          </w:tcPr>
          <w:p>
            <w:pPr>
              <w:spacing w:after="0"/>
              <w:rPr>
                <w:sz w:val="14"/>
                <w:szCs w:val="14"/>
                <w:color w:val="auto"/>
              </w:rPr>
            </w:pPr>
          </w:p>
        </w:tc>
        <w:tc>
          <w:tcPr>
            <w:tcW w:w="1300" w:type="dxa"/>
            <w:vAlign w:val="bottom"/>
          </w:tcPr>
          <w:p>
            <w:pPr>
              <w:jc w:val="right"/>
              <w:ind w:right="104"/>
              <w:spacing w:after="0" w:line="168" w:lineRule="exact"/>
              <w:rPr>
                <w:sz w:val="20"/>
                <w:szCs w:val="20"/>
                <w:color w:val="auto"/>
              </w:rPr>
            </w:pPr>
            <w:r>
              <w:rPr>
                <w:rFonts w:ascii="Arial" w:cs="Arial" w:eastAsia="Arial" w:hAnsi="Arial"/>
                <w:sz w:val="16"/>
                <w:szCs w:val="16"/>
                <w:color w:val="auto"/>
              </w:rPr>
              <w:t>57</w:t>
            </w:r>
          </w:p>
        </w:tc>
        <w:tc>
          <w:tcPr>
            <w:tcW w:w="340" w:type="dxa"/>
            <w:vAlign w:val="bottom"/>
          </w:tcPr>
          <w:p>
            <w:pPr>
              <w:spacing w:after="0"/>
              <w:rPr>
                <w:sz w:val="14"/>
                <w:szCs w:val="14"/>
                <w:color w:val="auto"/>
              </w:rPr>
            </w:pPr>
          </w:p>
        </w:tc>
        <w:tc>
          <w:tcPr>
            <w:tcW w:w="1280" w:type="dxa"/>
            <w:vAlign w:val="bottom"/>
          </w:tcPr>
          <w:p>
            <w:pPr>
              <w:jc w:val="right"/>
              <w:ind w:right="84"/>
              <w:spacing w:after="0" w:line="168" w:lineRule="exact"/>
              <w:rPr>
                <w:sz w:val="20"/>
                <w:szCs w:val="20"/>
                <w:color w:val="auto"/>
              </w:rPr>
            </w:pPr>
            <w:r>
              <w:rPr>
                <w:rFonts w:ascii="Arial" w:cs="Arial" w:eastAsia="Arial" w:hAnsi="Arial"/>
                <w:sz w:val="16"/>
                <w:szCs w:val="16"/>
                <w:color w:val="auto"/>
              </w:rPr>
              <w:t>108</w:t>
            </w:r>
          </w:p>
        </w:tc>
        <w:tc>
          <w:tcPr>
            <w:tcW w:w="400" w:type="dxa"/>
            <w:vAlign w:val="bottom"/>
          </w:tcPr>
          <w:p>
            <w:pPr>
              <w:spacing w:after="0"/>
              <w:rPr>
                <w:sz w:val="14"/>
                <w:szCs w:val="14"/>
                <w:color w:val="auto"/>
              </w:rPr>
            </w:pPr>
          </w:p>
        </w:tc>
        <w:tc>
          <w:tcPr>
            <w:tcW w:w="1240" w:type="dxa"/>
            <w:vAlign w:val="bottom"/>
          </w:tcPr>
          <w:p>
            <w:pPr>
              <w:jc w:val="right"/>
              <w:ind w:right="44"/>
              <w:spacing w:after="0" w:line="168" w:lineRule="exact"/>
              <w:rPr>
                <w:sz w:val="20"/>
                <w:szCs w:val="20"/>
                <w:color w:val="auto"/>
              </w:rPr>
            </w:pPr>
            <w:r>
              <w:rPr>
                <w:rFonts w:ascii="Arial" w:cs="Arial" w:eastAsia="Arial" w:hAnsi="Arial"/>
                <w:sz w:val="16"/>
                <w:szCs w:val="16"/>
                <w:color w:val="auto"/>
              </w:rPr>
              <w:t>(34)</w:t>
            </w:r>
          </w:p>
        </w:tc>
        <w:tc>
          <w:tcPr>
            <w:tcW w:w="38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9"/>
        </w:trPr>
        <w:tc>
          <w:tcPr>
            <w:tcW w:w="486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60" w:type="dxa"/>
            <w:vAlign w:val="bottom"/>
          </w:tcPr>
          <w:p>
            <w:pPr>
              <w:ind w:left="360"/>
              <w:spacing w:after="0"/>
              <w:rPr>
                <w:sz w:val="20"/>
                <w:szCs w:val="20"/>
                <w:color w:val="auto"/>
              </w:rPr>
            </w:pPr>
            <w:r>
              <w:rPr>
                <w:rFonts w:ascii="Arial" w:cs="Arial" w:eastAsia="Arial" w:hAnsi="Arial"/>
                <w:sz w:val="16"/>
                <w:szCs w:val="16"/>
                <w:color w:val="auto"/>
              </w:rPr>
              <w:t>not subject to rate recovery</w:t>
            </w:r>
          </w:p>
        </w:tc>
        <w:tc>
          <w:tcPr>
            <w:tcW w:w="460" w:type="dxa"/>
            <w:vAlign w:val="bottom"/>
          </w:tcPr>
          <w:p>
            <w:pPr>
              <w:spacing w:after="0"/>
              <w:rPr>
                <w:sz w:val="17"/>
                <w:szCs w:val="17"/>
                <w:color w:val="auto"/>
              </w:rPr>
            </w:pPr>
          </w:p>
        </w:tc>
        <w:tc>
          <w:tcPr>
            <w:tcW w:w="1300" w:type="dxa"/>
            <w:vAlign w:val="bottom"/>
          </w:tcPr>
          <w:p>
            <w:pPr>
              <w:jc w:val="right"/>
              <w:ind w:right="104"/>
              <w:spacing w:after="0"/>
              <w:rPr>
                <w:sz w:val="20"/>
                <w:szCs w:val="20"/>
                <w:color w:val="auto"/>
              </w:rPr>
            </w:pPr>
            <w:r>
              <w:rPr>
                <w:rFonts w:ascii="Arial" w:cs="Arial" w:eastAsia="Arial" w:hAnsi="Arial"/>
                <w:sz w:val="16"/>
                <w:szCs w:val="16"/>
                <w:color w:val="auto"/>
              </w:rPr>
              <w:t>12</w:t>
            </w:r>
          </w:p>
        </w:tc>
        <w:tc>
          <w:tcPr>
            <w:tcW w:w="340" w:type="dxa"/>
            <w:vAlign w:val="bottom"/>
          </w:tcPr>
          <w:p>
            <w:pPr>
              <w:spacing w:after="0"/>
              <w:rPr>
                <w:sz w:val="17"/>
                <w:szCs w:val="17"/>
                <w:color w:val="auto"/>
              </w:rPr>
            </w:pPr>
          </w:p>
        </w:tc>
        <w:tc>
          <w:tcPr>
            <w:tcW w:w="128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4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486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922" w:orient="portrait"/>
          <w:cols w:equalWidth="0" w:num="1">
            <w:col w:w="11420"/>
          </w:cols>
          <w:pgMar w:left="240" w:top="560" w:right="23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8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32</w:t>
            </w:r>
          </w:p>
        </w:tc>
        <w:tc>
          <w:tcPr>
            <w:tcW w:w="7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4860" w:type="dxa"/>
            <w:vAlign w:val="bottom"/>
          </w:tcPr>
          <w:p>
            <w:pPr>
              <w:ind w:left="180"/>
              <w:spacing w:after="0" w:line="166" w:lineRule="exact"/>
              <w:rPr>
                <w:sz w:val="20"/>
                <w:szCs w:val="20"/>
                <w:color w:val="auto"/>
              </w:rPr>
            </w:pPr>
            <w:r>
              <w:rPr>
                <w:rFonts w:ascii="Arial" w:cs="Arial" w:eastAsia="Arial" w:hAnsi="Arial"/>
                <w:sz w:val="16"/>
                <w:szCs w:val="16"/>
                <w:color w:val="auto"/>
              </w:rPr>
              <w:t>Total</w:t>
            </w:r>
          </w:p>
        </w:tc>
        <w:tc>
          <w:tcPr>
            <w:tcW w:w="820" w:type="dxa"/>
            <w:vAlign w:val="bottom"/>
          </w:tcPr>
          <w:p>
            <w:pPr>
              <w:jc w:val="right"/>
              <w:ind w:right="420"/>
              <w:spacing w:after="0" w:line="166"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line="166" w:lineRule="exact"/>
              <w:rPr>
                <w:sz w:val="20"/>
                <w:szCs w:val="20"/>
                <w:color w:val="auto"/>
              </w:rPr>
            </w:pPr>
            <w:r>
              <w:rPr>
                <w:rFonts w:ascii="Arial" w:cs="Arial" w:eastAsia="Arial" w:hAnsi="Arial"/>
                <w:sz w:val="16"/>
                <w:szCs w:val="16"/>
                <w:color w:val="auto"/>
              </w:rPr>
              <w:t>101</w:t>
            </w:r>
          </w:p>
        </w:tc>
        <w:tc>
          <w:tcPr>
            <w:tcW w:w="700" w:type="dxa"/>
            <w:vAlign w:val="bottom"/>
          </w:tcPr>
          <w:p>
            <w:pPr>
              <w:jc w:val="right"/>
              <w:ind w:right="420"/>
              <w:spacing w:after="0" w:line="16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line="166" w:lineRule="exact"/>
              <w:rPr>
                <w:sz w:val="20"/>
                <w:szCs w:val="20"/>
                <w:color w:val="auto"/>
              </w:rPr>
            </w:pPr>
            <w:r>
              <w:rPr>
                <w:rFonts w:ascii="Arial" w:cs="Arial" w:eastAsia="Arial" w:hAnsi="Arial"/>
                <w:sz w:val="16"/>
                <w:szCs w:val="16"/>
                <w:color w:val="auto"/>
              </w:rPr>
              <w:t>108</w:t>
            </w:r>
          </w:p>
        </w:tc>
        <w:tc>
          <w:tcPr>
            <w:tcW w:w="720" w:type="dxa"/>
            <w:vAlign w:val="bottom"/>
          </w:tcPr>
          <w:p>
            <w:pPr>
              <w:jc w:val="right"/>
              <w:ind w:right="420"/>
              <w:spacing w:after="0" w:line="16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line="166" w:lineRule="exact"/>
              <w:rPr>
                <w:sz w:val="20"/>
                <w:szCs w:val="20"/>
                <w:color w:val="auto"/>
              </w:rPr>
            </w:pPr>
            <w:r>
              <w:rPr>
                <w:rFonts w:ascii="Arial" w:cs="Arial" w:eastAsia="Arial" w:hAnsi="Arial"/>
                <w:sz w:val="16"/>
                <w:szCs w:val="16"/>
                <w:color w:val="auto"/>
              </w:rPr>
              <w:t>(34)</w:t>
            </w:r>
          </w:p>
        </w:tc>
        <w:tc>
          <w:tcPr>
            <w:tcW w:w="680" w:type="dxa"/>
            <w:vAlign w:val="bottom"/>
          </w:tcPr>
          <w:p>
            <w:pPr>
              <w:jc w:val="right"/>
              <w:ind w:right="400"/>
              <w:spacing w:after="0" w:line="166"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66"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80"/>
        </w:trPr>
        <w:tc>
          <w:tcPr>
            <w:tcW w:w="4860" w:type="dxa"/>
            <w:vAlign w:val="bottom"/>
            <w:shd w:val="clear" w:color="auto" w:fill="000000"/>
          </w:tcPr>
          <w:p>
            <w:pPr>
              <w:spacing w:after="0"/>
              <w:rPr>
                <w:sz w:val="6"/>
                <w:szCs w:val="6"/>
                <w:color w:val="auto"/>
              </w:rPr>
            </w:pPr>
          </w:p>
        </w:tc>
        <w:tc>
          <w:tcPr>
            <w:tcW w:w="82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70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860" w:type="dxa"/>
            <w:vAlign w:val="bottom"/>
          </w:tcPr>
          <w:p>
            <w:pPr>
              <w:spacing w:after="0" w:line="142" w:lineRule="exact"/>
              <w:rPr>
                <w:sz w:val="20"/>
                <w:szCs w:val="20"/>
                <w:color w:val="auto"/>
              </w:rPr>
            </w:pPr>
            <w:r>
              <w:rPr>
                <w:rFonts w:ascii="Arial" w:cs="Arial" w:eastAsia="Arial" w:hAnsi="Arial"/>
                <w:sz w:val="16"/>
                <w:szCs w:val="16"/>
                <w:b w:val="1"/>
                <w:bCs w:val="1"/>
                <w:color w:val="auto"/>
              </w:rPr>
              <w:t>SDG&amp;E:</w:t>
            </w: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60" w:type="dxa"/>
            <w:vAlign w:val="bottom"/>
          </w:tcPr>
          <w:p>
            <w:pPr>
              <w:spacing w:after="0" w:line="173" w:lineRule="exact"/>
              <w:rPr>
                <w:sz w:val="20"/>
                <w:szCs w:val="20"/>
                <w:color w:val="auto"/>
              </w:rPr>
            </w:pPr>
            <w:r>
              <w:rPr>
                <w:rFonts w:ascii="Arial" w:cs="Arial" w:eastAsia="Arial" w:hAnsi="Arial"/>
                <w:sz w:val="16"/>
                <w:szCs w:val="16"/>
                <w:color w:val="auto"/>
              </w:rPr>
              <w:t>Derivatives designated as hedging instruments:</w:t>
            </w: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tcPr>
          <w:p>
            <w:pPr>
              <w:ind w:left="180"/>
              <w:spacing w:after="0" w:line="173" w:lineRule="exact"/>
              <w:rPr>
                <w:sz w:val="20"/>
                <w:szCs w:val="20"/>
                <w:color w:val="auto"/>
              </w:rPr>
            </w:pPr>
            <w:r>
              <w:rPr>
                <w:rFonts w:ascii="Arial" w:cs="Arial" w:eastAsia="Arial" w:hAnsi="Arial"/>
                <w:sz w:val="16"/>
                <w:szCs w:val="16"/>
                <w:color w:val="auto"/>
              </w:rPr>
              <w:t>Interest rate instruments(3)</w:t>
            </w:r>
          </w:p>
        </w:tc>
        <w:tc>
          <w:tcPr>
            <w:tcW w:w="820" w:type="dxa"/>
            <w:vAlign w:val="bottom"/>
          </w:tcPr>
          <w:p>
            <w:pPr>
              <w:jc w:val="right"/>
              <w:ind w:right="420"/>
              <w:spacing w:after="0" w:line="173"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line="173"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420"/>
              <w:spacing w:after="0" w:line="173"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line="173"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420"/>
              <w:spacing w:after="0" w:line="173"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line="173" w:lineRule="exact"/>
              <w:rPr>
                <w:sz w:val="20"/>
                <w:szCs w:val="20"/>
                <w:color w:val="auto"/>
              </w:rPr>
            </w:pPr>
            <w:r>
              <w:rPr>
                <w:rFonts w:ascii="Arial" w:cs="Arial" w:eastAsia="Arial" w:hAnsi="Arial"/>
                <w:sz w:val="16"/>
                <w:szCs w:val="16"/>
                <w:color w:val="auto"/>
              </w:rPr>
              <w:t>(16)</w:t>
            </w:r>
          </w:p>
        </w:tc>
        <w:tc>
          <w:tcPr>
            <w:tcW w:w="680" w:type="dxa"/>
            <w:vAlign w:val="bottom"/>
          </w:tcPr>
          <w:p>
            <w:pPr>
              <w:jc w:val="right"/>
              <w:ind w:right="400"/>
              <w:spacing w:after="0" w:line="173"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73"/>
        </w:trPr>
        <w:tc>
          <w:tcPr>
            <w:tcW w:w="4860" w:type="dxa"/>
            <w:vAlign w:val="bottom"/>
          </w:tcPr>
          <w:p>
            <w:pPr>
              <w:spacing w:after="0" w:line="173" w:lineRule="exact"/>
              <w:rPr>
                <w:sz w:val="20"/>
                <w:szCs w:val="20"/>
                <w:color w:val="auto"/>
              </w:rPr>
            </w:pPr>
            <w:r>
              <w:rPr>
                <w:rFonts w:ascii="Arial" w:cs="Arial" w:eastAsia="Arial" w:hAnsi="Arial"/>
                <w:sz w:val="16"/>
                <w:szCs w:val="16"/>
                <w:color w:val="auto"/>
              </w:rPr>
              <w:t>Derivatives not designated as hedging instruments:</w:t>
            </w: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tcPr>
          <w:p>
            <w:pPr>
              <w:ind w:left="180"/>
              <w:spacing w:after="0" w:line="173" w:lineRule="exact"/>
              <w:rPr>
                <w:sz w:val="20"/>
                <w:szCs w:val="20"/>
                <w:color w:val="auto"/>
              </w:rPr>
            </w:pPr>
            <w:r>
              <w:rPr>
                <w:rFonts w:ascii="Arial" w:cs="Arial" w:eastAsia="Arial" w:hAnsi="Arial"/>
                <w:sz w:val="16"/>
                <w:szCs w:val="16"/>
                <w:color w:val="auto"/>
              </w:rPr>
              <w:t>Commodity contracts subject to rate recovery</w:t>
            </w:r>
          </w:p>
        </w:tc>
        <w:tc>
          <w:tcPr>
            <w:tcW w:w="820" w:type="dxa"/>
            <w:vAlign w:val="bottom"/>
          </w:tcPr>
          <w:p>
            <w:pPr>
              <w:spacing w:after="0"/>
              <w:rPr>
                <w:sz w:val="15"/>
                <w:szCs w:val="15"/>
                <w:color w:val="auto"/>
              </w:rPr>
            </w:pPr>
          </w:p>
        </w:tc>
        <w:tc>
          <w:tcPr>
            <w:tcW w:w="940" w:type="dxa"/>
            <w:vAlign w:val="bottom"/>
          </w:tcPr>
          <w:p>
            <w:pPr>
              <w:jc w:val="right"/>
              <w:ind w:right="100"/>
              <w:spacing w:after="0" w:line="173" w:lineRule="exact"/>
              <w:rPr>
                <w:sz w:val="20"/>
                <w:szCs w:val="20"/>
                <w:color w:val="auto"/>
              </w:rPr>
            </w:pPr>
            <w:r>
              <w:rPr>
                <w:rFonts w:ascii="Arial" w:cs="Arial" w:eastAsia="Arial" w:hAnsi="Arial"/>
                <w:sz w:val="16"/>
                <w:szCs w:val="16"/>
                <w:color w:val="auto"/>
              </w:rPr>
              <w:t>24</w:t>
            </w:r>
          </w:p>
        </w:tc>
        <w:tc>
          <w:tcPr>
            <w:tcW w:w="700" w:type="dxa"/>
            <w:vAlign w:val="bottom"/>
          </w:tcPr>
          <w:p>
            <w:pPr>
              <w:spacing w:after="0"/>
              <w:rPr>
                <w:sz w:val="15"/>
                <w:szCs w:val="15"/>
                <w:color w:val="auto"/>
              </w:rPr>
            </w:pPr>
          </w:p>
        </w:tc>
        <w:tc>
          <w:tcPr>
            <w:tcW w:w="920" w:type="dxa"/>
            <w:vAlign w:val="bottom"/>
          </w:tcPr>
          <w:p>
            <w:pPr>
              <w:jc w:val="right"/>
              <w:ind w:right="80"/>
              <w:spacing w:after="0" w:line="173" w:lineRule="exact"/>
              <w:rPr>
                <w:sz w:val="20"/>
                <w:szCs w:val="20"/>
                <w:color w:val="auto"/>
              </w:rPr>
            </w:pPr>
            <w:r>
              <w:rPr>
                <w:rFonts w:ascii="Arial" w:cs="Arial" w:eastAsia="Arial" w:hAnsi="Arial"/>
                <w:sz w:val="16"/>
                <w:szCs w:val="16"/>
                <w:color w:val="auto"/>
              </w:rPr>
              <w:t>74</w:t>
            </w:r>
          </w:p>
        </w:tc>
        <w:tc>
          <w:tcPr>
            <w:tcW w:w="720" w:type="dxa"/>
            <w:vAlign w:val="bottom"/>
          </w:tcPr>
          <w:p>
            <w:pPr>
              <w:spacing w:after="0"/>
              <w:rPr>
                <w:sz w:val="15"/>
                <w:szCs w:val="15"/>
                <w:color w:val="auto"/>
              </w:rPr>
            </w:pPr>
          </w:p>
        </w:tc>
        <w:tc>
          <w:tcPr>
            <w:tcW w:w="920" w:type="dxa"/>
            <w:vAlign w:val="bottom"/>
          </w:tcPr>
          <w:p>
            <w:pPr>
              <w:jc w:val="right"/>
              <w:ind w:right="40"/>
              <w:spacing w:after="0" w:line="173" w:lineRule="exact"/>
              <w:rPr>
                <w:sz w:val="20"/>
                <w:szCs w:val="20"/>
                <w:color w:val="auto"/>
              </w:rPr>
            </w:pPr>
            <w:r>
              <w:rPr>
                <w:rFonts w:ascii="Arial" w:cs="Arial" w:eastAsia="Arial" w:hAnsi="Arial"/>
                <w:sz w:val="16"/>
                <w:szCs w:val="16"/>
                <w:color w:val="auto"/>
              </w:rPr>
              <w:t>(8)</w:t>
            </w:r>
          </w:p>
        </w:tc>
        <w:tc>
          <w:tcPr>
            <w:tcW w:w="68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1"/>
        </w:trPr>
        <w:tc>
          <w:tcPr>
            <w:tcW w:w="48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8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w:t>
            </w: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w:t>
            </w: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41"/>
        </w:trPr>
        <w:tc>
          <w:tcPr>
            <w:tcW w:w="4860" w:type="dxa"/>
            <w:vAlign w:val="bottom"/>
          </w:tcPr>
          <w:p>
            <w:pPr>
              <w:ind w:left="180"/>
              <w:spacing w:after="0" w:line="142" w:lineRule="exact"/>
              <w:rPr>
                <w:sz w:val="20"/>
                <w:szCs w:val="20"/>
                <w:color w:val="auto"/>
              </w:rPr>
            </w:pPr>
            <w:r>
              <w:rPr>
                <w:rFonts w:ascii="Arial" w:cs="Arial" w:eastAsia="Arial" w:hAnsi="Arial"/>
                <w:sz w:val="16"/>
                <w:szCs w:val="16"/>
                <w:color w:val="auto"/>
              </w:rPr>
              <w:t>Net amounts presented on the balance sheet</w:t>
            </w:r>
          </w:p>
        </w:tc>
        <w:tc>
          <w:tcPr>
            <w:tcW w:w="820" w:type="dxa"/>
            <w:vAlign w:val="bottom"/>
          </w:tcPr>
          <w:p>
            <w:pPr>
              <w:spacing w:after="0"/>
              <w:rPr>
                <w:sz w:val="12"/>
                <w:szCs w:val="12"/>
                <w:color w:val="auto"/>
              </w:rPr>
            </w:pPr>
          </w:p>
        </w:tc>
        <w:tc>
          <w:tcPr>
            <w:tcW w:w="940" w:type="dxa"/>
            <w:vAlign w:val="bottom"/>
          </w:tcPr>
          <w:p>
            <w:pPr>
              <w:jc w:val="right"/>
              <w:ind w:right="100"/>
              <w:spacing w:after="0" w:line="142" w:lineRule="exact"/>
              <w:rPr>
                <w:sz w:val="20"/>
                <w:szCs w:val="20"/>
                <w:color w:val="auto"/>
              </w:rPr>
            </w:pPr>
            <w:r>
              <w:rPr>
                <w:rFonts w:ascii="Arial" w:cs="Arial" w:eastAsia="Arial" w:hAnsi="Arial"/>
                <w:sz w:val="16"/>
                <w:szCs w:val="16"/>
                <w:color w:val="auto"/>
              </w:rPr>
              <w:t>22</w:t>
            </w:r>
          </w:p>
        </w:tc>
        <w:tc>
          <w:tcPr>
            <w:tcW w:w="700" w:type="dxa"/>
            <w:vAlign w:val="bottom"/>
          </w:tcPr>
          <w:p>
            <w:pPr>
              <w:spacing w:after="0"/>
              <w:rPr>
                <w:sz w:val="12"/>
                <w:szCs w:val="12"/>
                <w:color w:val="auto"/>
              </w:rPr>
            </w:pPr>
          </w:p>
        </w:tc>
        <w:tc>
          <w:tcPr>
            <w:tcW w:w="920" w:type="dxa"/>
            <w:vAlign w:val="bottom"/>
          </w:tcPr>
          <w:p>
            <w:pPr>
              <w:jc w:val="right"/>
              <w:ind w:right="80"/>
              <w:spacing w:after="0" w:line="142" w:lineRule="exact"/>
              <w:rPr>
                <w:sz w:val="20"/>
                <w:szCs w:val="20"/>
                <w:color w:val="auto"/>
              </w:rPr>
            </w:pPr>
            <w:r>
              <w:rPr>
                <w:rFonts w:ascii="Arial" w:cs="Arial" w:eastAsia="Arial" w:hAnsi="Arial"/>
                <w:sz w:val="16"/>
                <w:szCs w:val="16"/>
                <w:color w:val="auto"/>
              </w:rPr>
              <w:t>73</w:t>
            </w:r>
          </w:p>
        </w:tc>
        <w:tc>
          <w:tcPr>
            <w:tcW w:w="720" w:type="dxa"/>
            <w:vAlign w:val="bottom"/>
          </w:tcPr>
          <w:p>
            <w:pPr>
              <w:spacing w:after="0"/>
              <w:rPr>
                <w:sz w:val="12"/>
                <w:szCs w:val="12"/>
                <w:color w:val="auto"/>
              </w:rPr>
            </w:pPr>
          </w:p>
        </w:tc>
        <w:tc>
          <w:tcPr>
            <w:tcW w:w="920" w:type="dxa"/>
            <w:vAlign w:val="bottom"/>
          </w:tcPr>
          <w:p>
            <w:pPr>
              <w:jc w:val="right"/>
              <w:ind w:right="40"/>
              <w:spacing w:after="0" w:line="142" w:lineRule="exact"/>
              <w:rPr>
                <w:sz w:val="20"/>
                <w:szCs w:val="20"/>
                <w:color w:val="auto"/>
              </w:rPr>
            </w:pPr>
            <w:r>
              <w:rPr>
                <w:rFonts w:ascii="Arial" w:cs="Arial" w:eastAsia="Arial" w:hAnsi="Arial"/>
                <w:sz w:val="16"/>
                <w:szCs w:val="16"/>
                <w:color w:val="auto"/>
              </w:rPr>
              <w:t>(22)</w:t>
            </w:r>
          </w:p>
        </w:tc>
        <w:tc>
          <w:tcPr>
            <w:tcW w:w="6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73"/>
        </w:trPr>
        <w:tc>
          <w:tcPr>
            <w:tcW w:w="4860" w:type="dxa"/>
            <w:vAlign w:val="bottom"/>
          </w:tcPr>
          <w:p>
            <w:pPr>
              <w:ind w:left="180"/>
              <w:spacing w:after="0" w:line="173" w:lineRule="exact"/>
              <w:rPr>
                <w:sz w:val="20"/>
                <w:szCs w:val="20"/>
                <w:color w:val="auto"/>
              </w:rPr>
            </w:pPr>
            <w:r>
              <w:rPr>
                <w:rFonts w:ascii="Arial" w:cs="Arial" w:eastAsia="Arial" w:hAnsi="Arial"/>
                <w:sz w:val="16"/>
                <w:szCs w:val="16"/>
                <w:color w:val="auto"/>
              </w:rPr>
              <w:t>Additional cash collateral for commodity contracts</w:t>
            </w: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860" w:type="dxa"/>
            <w:vAlign w:val="bottom"/>
          </w:tcPr>
          <w:p>
            <w:pPr>
              <w:ind w:left="360"/>
              <w:spacing w:after="0"/>
              <w:rPr>
                <w:sz w:val="20"/>
                <w:szCs w:val="20"/>
                <w:color w:val="auto"/>
              </w:rPr>
            </w:pPr>
            <w:r>
              <w:rPr>
                <w:rFonts w:ascii="Arial" w:cs="Arial" w:eastAsia="Arial" w:hAnsi="Arial"/>
                <w:sz w:val="16"/>
                <w:szCs w:val="16"/>
                <w:color w:val="auto"/>
              </w:rPr>
              <w:t>not subject to rate recovery</w:t>
            </w:r>
          </w:p>
        </w:tc>
        <w:tc>
          <w:tcPr>
            <w:tcW w:w="820" w:type="dxa"/>
            <w:vAlign w:val="bottom"/>
          </w:tcPr>
          <w:p>
            <w:pPr>
              <w:spacing w:after="0"/>
              <w:rPr>
                <w:sz w:val="17"/>
                <w:szCs w:val="17"/>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700" w:type="dxa"/>
            <w:vAlign w:val="bottom"/>
          </w:tcPr>
          <w:p>
            <w:pPr>
              <w:spacing w:after="0"/>
              <w:rPr>
                <w:sz w:val="17"/>
                <w:szCs w:val="17"/>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86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820" w:type="dxa"/>
            <w:vAlign w:val="bottom"/>
          </w:tcPr>
          <w:p>
            <w:pPr>
              <w:spacing w:after="0"/>
              <w:rPr>
                <w:sz w:val="18"/>
                <w:szCs w:val="18"/>
                <w:color w:val="auto"/>
              </w:rPr>
            </w:pPr>
          </w:p>
        </w:tc>
        <w:tc>
          <w:tcPr>
            <w:tcW w:w="940" w:type="dxa"/>
            <w:vAlign w:val="bottom"/>
            <w:vMerge w:val="restart"/>
          </w:tcPr>
          <w:p>
            <w:pPr>
              <w:jc w:val="right"/>
              <w:ind w:right="100"/>
              <w:spacing w:after="0"/>
              <w:rPr>
                <w:sz w:val="20"/>
                <w:szCs w:val="20"/>
                <w:color w:val="auto"/>
              </w:rPr>
            </w:pPr>
            <w:r>
              <w:rPr>
                <w:rFonts w:ascii="Arial" w:cs="Arial" w:eastAsia="Arial" w:hAnsi="Arial"/>
                <w:sz w:val="16"/>
                <w:szCs w:val="16"/>
                <w:color w:val="auto"/>
              </w:rPr>
              <w:t>30</w:t>
            </w:r>
          </w:p>
        </w:tc>
        <w:tc>
          <w:tcPr>
            <w:tcW w:w="700" w:type="dxa"/>
            <w:vAlign w:val="bottom"/>
          </w:tcPr>
          <w:p>
            <w:pPr>
              <w:spacing w:after="0"/>
              <w:rPr>
                <w:sz w:val="18"/>
                <w:szCs w:val="18"/>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48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8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860" w:type="dxa"/>
            <w:vAlign w:val="bottom"/>
          </w:tcPr>
          <w:p>
            <w:pPr>
              <w:ind w:left="180"/>
              <w:spacing w:after="0" w:line="166" w:lineRule="exact"/>
              <w:rPr>
                <w:sz w:val="20"/>
                <w:szCs w:val="20"/>
                <w:color w:val="auto"/>
              </w:rPr>
            </w:pPr>
            <w:r>
              <w:rPr>
                <w:rFonts w:ascii="Arial" w:cs="Arial" w:eastAsia="Arial" w:hAnsi="Arial"/>
                <w:sz w:val="16"/>
                <w:szCs w:val="16"/>
                <w:color w:val="auto"/>
              </w:rPr>
              <w:t>Total</w:t>
            </w:r>
          </w:p>
        </w:tc>
        <w:tc>
          <w:tcPr>
            <w:tcW w:w="820" w:type="dxa"/>
            <w:vAlign w:val="bottom"/>
          </w:tcPr>
          <w:p>
            <w:pPr>
              <w:jc w:val="right"/>
              <w:ind w:right="420"/>
              <w:spacing w:after="0" w:line="166"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line="166" w:lineRule="exact"/>
              <w:rPr>
                <w:sz w:val="20"/>
                <w:szCs w:val="20"/>
                <w:color w:val="auto"/>
              </w:rPr>
            </w:pPr>
            <w:r>
              <w:rPr>
                <w:rFonts w:ascii="Arial" w:cs="Arial" w:eastAsia="Arial" w:hAnsi="Arial"/>
                <w:sz w:val="16"/>
                <w:szCs w:val="16"/>
                <w:color w:val="auto"/>
              </w:rPr>
              <w:t>53</w:t>
            </w:r>
          </w:p>
        </w:tc>
        <w:tc>
          <w:tcPr>
            <w:tcW w:w="700" w:type="dxa"/>
            <w:vAlign w:val="bottom"/>
          </w:tcPr>
          <w:p>
            <w:pPr>
              <w:jc w:val="right"/>
              <w:ind w:right="420"/>
              <w:spacing w:after="0" w:line="16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line="166" w:lineRule="exact"/>
              <w:rPr>
                <w:sz w:val="20"/>
                <w:szCs w:val="20"/>
                <w:color w:val="auto"/>
              </w:rPr>
            </w:pPr>
            <w:r>
              <w:rPr>
                <w:rFonts w:ascii="Arial" w:cs="Arial" w:eastAsia="Arial" w:hAnsi="Arial"/>
                <w:sz w:val="16"/>
                <w:szCs w:val="16"/>
                <w:color w:val="auto"/>
              </w:rPr>
              <w:t>73</w:t>
            </w:r>
          </w:p>
        </w:tc>
        <w:tc>
          <w:tcPr>
            <w:tcW w:w="720" w:type="dxa"/>
            <w:vAlign w:val="bottom"/>
          </w:tcPr>
          <w:p>
            <w:pPr>
              <w:jc w:val="right"/>
              <w:ind w:right="420"/>
              <w:spacing w:after="0" w:line="16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line="166" w:lineRule="exact"/>
              <w:rPr>
                <w:sz w:val="20"/>
                <w:szCs w:val="20"/>
                <w:color w:val="auto"/>
              </w:rPr>
            </w:pPr>
            <w:r>
              <w:rPr>
                <w:rFonts w:ascii="Arial" w:cs="Arial" w:eastAsia="Arial" w:hAnsi="Arial"/>
                <w:sz w:val="16"/>
                <w:szCs w:val="16"/>
                <w:color w:val="auto"/>
              </w:rPr>
              <w:t>(22)</w:t>
            </w:r>
          </w:p>
        </w:tc>
        <w:tc>
          <w:tcPr>
            <w:tcW w:w="680" w:type="dxa"/>
            <w:vAlign w:val="bottom"/>
          </w:tcPr>
          <w:p>
            <w:pPr>
              <w:jc w:val="right"/>
              <w:ind w:right="400"/>
              <w:spacing w:after="0" w:line="166"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66"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80"/>
        </w:trPr>
        <w:tc>
          <w:tcPr>
            <w:tcW w:w="4860" w:type="dxa"/>
            <w:vAlign w:val="bottom"/>
            <w:shd w:val="clear" w:color="auto" w:fill="000000"/>
          </w:tcPr>
          <w:p>
            <w:pPr>
              <w:spacing w:after="0"/>
              <w:rPr>
                <w:sz w:val="6"/>
                <w:szCs w:val="6"/>
                <w:color w:val="auto"/>
              </w:rPr>
            </w:pPr>
          </w:p>
        </w:tc>
        <w:tc>
          <w:tcPr>
            <w:tcW w:w="82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70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860" w:type="dxa"/>
            <w:vAlign w:val="bottom"/>
          </w:tcPr>
          <w:p>
            <w:pPr>
              <w:spacing w:after="0" w:line="142" w:lineRule="exact"/>
              <w:rPr>
                <w:sz w:val="20"/>
                <w:szCs w:val="20"/>
                <w:color w:val="auto"/>
              </w:rPr>
            </w:pPr>
            <w:r>
              <w:rPr>
                <w:rFonts w:ascii="Arial" w:cs="Arial" w:eastAsia="Arial" w:hAnsi="Arial"/>
                <w:sz w:val="16"/>
                <w:szCs w:val="16"/>
                <w:b w:val="1"/>
                <w:bCs w:val="1"/>
                <w:color w:val="auto"/>
              </w:rPr>
              <w:t>SoCalGas:</w:t>
            </w: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60" w:type="dxa"/>
            <w:vAlign w:val="bottom"/>
          </w:tcPr>
          <w:p>
            <w:pPr>
              <w:spacing w:after="0" w:line="173" w:lineRule="exact"/>
              <w:rPr>
                <w:sz w:val="20"/>
                <w:szCs w:val="20"/>
                <w:color w:val="auto"/>
              </w:rPr>
            </w:pPr>
            <w:r>
              <w:rPr>
                <w:rFonts w:ascii="Arial" w:cs="Arial" w:eastAsia="Arial" w:hAnsi="Arial"/>
                <w:sz w:val="16"/>
                <w:szCs w:val="16"/>
                <w:color w:val="auto"/>
              </w:rPr>
              <w:t>Derivatives not designated as hedging instruments:</w:t>
            </w: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tcPr>
          <w:p>
            <w:pPr>
              <w:ind w:left="180"/>
              <w:spacing w:after="0" w:line="173" w:lineRule="exact"/>
              <w:rPr>
                <w:sz w:val="20"/>
                <w:szCs w:val="20"/>
                <w:color w:val="auto"/>
              </w:rPr>
            </w:pPr>
            <w:r>
              <w:rPr>
                <w:rFonts w:ascii="Arial" w:cs="Arial" w:eastAsia="Arial" w:hAnsi="Arial"/>
                <w:sz w:val="16"/>
                <w:szCs w:val="16"/>
                <w:color w:val="auto"/>
              </w:rPr>
              <w:t>Commodity contracts subject to rate recovery</w:t>
            </w:r>
          </w:p>
        </w:tc>
        <w:tc>
          <w:tcPr>
            <w:tcW w:w="820" w:type="dxa"/>
            <w:vAlign w:val="bottom"/>
          </w:tcPr>
          <w:p>
            <w:pPr>
              <w:jc w:val="right"/>
              <w:ind w:right="420"/>
              <w:spacing w:after="0" w:line="173"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line="173" w:lineRule="exact"/>
              <w:rPr>
                <w:sz w:val="20"/>
                <w:szCs w:val="20"/>
                <w:color w:val="auto"/>
              </w:rPr>
            </w:pPr>
            <w:r>
              <w:rPr>
                <w:rFonts w:ascii="Arial" w:cs="Arial" w:eastAsia="Arial" w:hAnsi="Arial"/>
                <w:sz w:val="16"/>
                <w:szCs w:val="16"/>
                <w:color w:val="auto"/>
              </w:rPr>
              <w:t>2</w:t>
            </w:r>
          </w:p>
        </w:tc>
        <w:tc>
          <w:tcPr>
            <w:tcW w:w="700" w:type="dxa"/>
            <w:vAlign w:val="bottom"/>
          </w:tcPr>
          <w:p>
            <w:pPr>
              <w:jc w:val="right"/>
              <w:ind w:right="420"/>
              <w:spacing w:after="0" w:line="173"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line="173"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420"/>
              <w:spacing w:after="0" w:line="173"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line="173" w:lineRule="exact"/>
              <w:rPr>
                <w:sz w:val="20"/>
                <w:szCs w:val="20"/>
                <w:color w:val="auto"/>
              </w:rPr>
            </w:pPr>
            <w:r>
              <w:rPr>
                <w:rFonts w:ascii="Arial" w:cs="Arial" w:eastAsia="Arial" w:hAnsi="Arial"/>
                <w:sz w:val="16"/>
                <w:szCs w:val="16"/>
                <w:color w:val="auto"/>
              </w:rPr>
              <w:t>(2)</w:t>
            </w:r>
          </w:p>
        </w:tc>
        <w:tc>
          <w:tcPr>
            <w:tcW w:w="680" w:type="dxa"/>
            <w:vAlign w:val="bottom"/>
          </w:tcPr>
          <w:p>
            <w:pPr>
              <w:jc w:val="right"/>
              <w:ind w:right="400"/>
              <w:spacing w:after="0" w:line="173"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8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8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w:t>
            </w: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4860" w:type="dxa"/>
            <w:vAlign w:val="bottom"/>
          </w:tcPr>
          <w:p>
            <w:pPr>
              <w:ind w:left="180"/>
              <w:spacing w:after="0" w:line="168" w:lineRule="exact"/>
              <w:rPr>
                <w:sz w:val="20"/>
                <w:szCs w:val="20"/>
                <w:color w:val="auto"/>
              </w:rPr>
            </w:pPr>
            <w:r>
              <w:rPr>
                <w:rFonts w:ascii="Arial" w:cs="Arial" w:eastAsia="Arial" w:hAnsi="Arial"/>
                <w:sz w:val="16"/>
                <w:szCs w:val="16"/>
                <w:color w:val="auto"/>
              </w:rPr>
              <w:t>Net amounts presented on the balance sheet</w:t>
            </w:r>
          </w:p>
        </w:tc>
        <w:tc>
          <w:tcPr>
            <w:tcW w:w="820" w:type="dxa"/>
            <w:vAlign w:val="bottom"/>
          </w:tcPr>
          <w:p>
            <w:pPr>
              <w:spacing w:after="0"/>
              <w:rPr>
                <w:sz w:val="14"/>
                <w:szCs w:val="14"/>
                <w:color w:val="auto"/>
              </w:rPr>
            </w:pPr>
          </w:p>
        </w:tc>
        <w:tc>
          <w:tcPr>
            <w:tcW w:w="940" w:type="dxa"/>
            <w:vAlign w:val="bottom"/>
          </w:tcPr>
          <w:p>
            <w:pPr>
              <w:jc w:val="right"/>
              <w:ind w:right="100"/>
              <w:spacing w:after="0" w:line="168" w:lineRule="exact"/>
              <w:rPr>
                <w:sz w:val="20"/>
                <w:szCs w:val="20"/>
                <w:color w:val="auto"/>
              </w:rPr>
            </w:pPr>
            <w:r>
              <w:rPr>
                <w:rFonts w:ascii="Arial" w:cs="Arial" w:eastAsia="Arial" w:hAnsi="Arial"/>
                <w:sz w:val="16"/>
                <w:szCs w:val="16"/>
                <w:color w:val="auto"/>
              </w:rPr>
              <w:t>1</w:t>
            </w:r>
          </w:p>
        </w:tc>
        <w:tc>
          <w:tcPr>
            <w:tcW w:w="700" w:type="dxa"/>
            <w:vAlign w:val="bottom"/>
          </w:tcPr>
          <w:p>
            <w:pPr>
              <w:spacing w:after="0"/>
              <w:rPr>
                <w:sz w:val="14"/>
                <w:szCs w:val="14"/>
                <w:color w:val="auto"/>
              </w:rPr>
            </w:pPr>
          </w:p>
        </w:tc>
        <w:tc>
          <w:tcPr>
            <w:tcW w:w="920" w:type="dxa"/>
            <w:vAlign w:val="bottom"/>
          </w:tcPr>
          <w:p>
            <w:pPr>
              <w:jc w:val="right"/>
              <w:ind w:right="80"/>
              <w:spacing w:after="0" w:line="168" w:lineRule="exact"/>
              <w:rPr>
                <w:sz w:val="20"/>
                <w:szCs w:val="20"/>
                <w:color w:val="auto"/>
              </w:rPr>
            </w:pPr>
            <w:r>
              <w:rPr>
                <w:rFonts w:ascii="Arial" w:cs="Arial" w:eastAsia="Arial" w:hAnsi="Arial"/>
                <w:sz w:val="16"/>
                <w:szCs w:val="16"/>
                <w:color w:val="auto"/>
              </w:rPr>
              <w:t>―</w:t>
            </w:r>
          </w:p>
        </w:tc>
        <w:tc>
          <w:tcPr>
            <w:tcW w:w="720" w:type="dxa"/>
            <w:vAlign w:val="bottom"/>
          </w:tcPr>
          <w:p>
            <w:pPr>
              <w:spacing w:after="0"/>
              <w:rPr>
                <w:sz w:val="14"/>
                <w:szCs w:val="14"/>
                <w:color w:val="auto"/>
              </w:rPr>
            </w:pPr>
          </w:p>
        </w:tc>
        <w:tc>
          <w:tcPr>
            <w:tcW w:w="920" w:type="dxa"/>
            <w:vAlign w:val="bottom"/>
          </w:tcPr>
          <w:p>
            <w:pPr>
              <w:jc w:val="right"/>
              <w:ind w:right="40"/>
              <w:spacing w:after="0" w:line="168" w:lineRule="exact"/>
              <w:rPr>
                <w:sz w:val="20"/>
                <w:szCs w:val="20"/>
                <w:color w:val="auto"/>
              </w:rPr>
            </w:pPr>
            <w:r>
              <w:rPr>
                <w:rFonts w:ascii="Arial" w:cs="Arial" w:eastAsia="Arial" w:hAnsi="Arial"/>
                <w:sz w:val="16"/>
                <w:szCs w:val="16"/>
                <w:color w:val="auto"/>
              </w:rPr>
              <w:t>(1)</w:t>
            </w:r>
          </w:p>
        </w:tc>
        <w:tc>
          <w:tcPr>
            <w:tcW w:w="6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4860" w:type="dxa"/>
            <w:vAlign w:val="bottom"/>
          </w:tcPr>
          <w:p>
            <w:pPr>
              <w:ind w:left="180"/>
              <w:spacing w:after="0" w:line="173" w:lineRule="exact"/>
              <w:rPr>
                <w:sz w:val="20"/>
                <w:szCs w:val="20"/>
                <w:color w:val="auto"/>
              </w:rPr>
            </w:pPr>
            <w:r>
              <w:rPr>
                <w:rFonts w:ascii="Arial" w:cs="Arial" w:eastAsia="Arial" w:hAnsi="Arial"/>
                <w:sz w:val="16"/>
                <w:szCs w:val="16"/>
                <w:color w:val="auto"/>
              </w:rPr>
              <w:t>Additional cash collateral for commodity contracts</w:t>
            </w: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tcPr>
          <w:p>
            <w:pPr>
              <w:ind w:left="360"/>
              <w:spacing w:after="0" w:line="173" w:lineRule="exact"/>
              <w:rPr>
                <w:sz w:val="20"/>
                <w:szCs w:val="20"/>
                <w:color w:val="auto"/>
              </w:rPr>
            </w:pPr>
            <w:r>
              <w:rPr>
                <w:rFonts w:ascii="Arial" w:cs="Arial" w:eastAsia="Arial" w:hAnsi="Arial"/>
                <w:sz w:val="16"/>
                <w:szCs w:val="16"/>
                <w:color w:val="auto"/>
              </w:rPr>
              <w:t>not subject to rate recovery</w:t>
            </w:r>
          </w:p>
        </w:tc>
        <w:tc>
          <w:tcPr>
            <w:tcW w:w="820" w:type="dxa"/>
            <w:vAlign w:val="bottom"/>
          </w:tcPr>
          <w:p>
            <w:pPr>
              <w:spacing w:after="0"/>
              <w:rPr>
                <w:sz w:val="15"/>
                <w:szCs w:val="15"/>
                <w:color w:val="auto"/>
              </w:rPr>
            </w:pPr>
          </w:p>
        </w:tc>
        <w:tc>
          <w:tcPr>
            <w:tcW w:w="940" w:type="dxa"/>
            <w:vAlign w:val="bottom"/>
          </w:tcPr>
          <w:p>
            <w:pPr>
              <w:jc w:val="right"/>
              <w:ind w:right="100"/>
              <w:spacing w:after="0" w:line="173" w:lineRule="exact"/>
              <w:rPr>
                <w:sz w:val="20"/>
                <w:szCs w:val="20"/>
                <w:color w:val="auto"/>
              </w:rPr>
            </w:pPr>
            <w:r>
              <w:rPr>
                <w:rFonts w:ascii="Arial" w:cs="Arial" w:eastAsia="Arial" w:hAnsi="Arial"/>
                <w:sz w:val="16"/>
                <w:szCs w:val="16"/>
                <w:color w:val="auto"/>
              </w:rPr>
              <w:t>2</w:t>
            </w:r>
          </w:p>
        </w:tc>
        <w:tc>
          <w:tcPr>
            <w:tcW w:w="700" w:type="dxa"/>
            <w:vAlign w:val="bottom"/>
          </w:tcPr>
          <w:p>
            <w:pPr>
              <w:spacing w:after="0"/>
              <w:rPr>
                <w:sz w:val="15"/>
                <w:szCs w:val="15"/>
                <w:color w:val="auto"/>
              </w:rPr>
            </w:pPr>
          </w:p>
        </w:tc>
        <w:tc>
          <w:tcPr>
            <w:tcW w:w="920" w:type="dxa"/>
            <w:vAlign w:val="bottom"/>
          </w:tcPr>
          <w:p>
            <w:pPr>
              <w:jc w:val="right"/>
              <w:ind w:right="80"/>
              <w:spacing w:after="0" w:line="173" w:lineRule="exact"/>
              <w:rPr>
                <w:sz w:val="20"/>
                <w:szCs w:val="20"/>
                <w:color w:val="auto"/>
              </w:rPr>
            </w:pPr>
            <w:r>
              <w:rPr>
                <w:rFonts w:ascii="Arial" w:cs="Arial" w:eastAsia="Arial" w:hAnsi="Arial"/>
                <w:sz w:val="16"/>
                <w:szCs w:val="16"/>
                <w:color w:val="auto"/>
              </w:rPr>
              <w:t>―</w:t>
            </w:r>
          </w:p>
        </w:tc>
        <w:tc>
          <w:tcPr>
            <w:tcW w:w="720" w:type="dxa"/>
            <w:vAlign w:val="bottom"/>
          </w:tcPr>
          <w:p>
            <w:pPr>
              <w:spacing w:after="0"/>
              <w:rPr>
                <w:sz w:val="15"/>
                <w:szCs w:val="15"/>
                <w:color w:val="auto"/>
              </w:rPr>
            </w:pPr>
          </w:p>
        </w:tc>
        <w:tc>
          <w:tcPr>
            <w:tcW w:w="920" w:type="dxa"/>
            <w:vAlign w:val="bottom"/>
          </w:tcPr>
          <w:p>
            <w:pPr>
              <w:jc w:val="right"/>
              <w:ind w:right="80"/>
              <w:spacing w:after="0" w:line="173" w:lineRule="exact"/>
              <w:rPr>
                <w:sz w:val="20"/>
                <w:szCs w:val="20"/>
                <w:color w:val="auto"/>
              </w:rPr>
            </w:pPr>
            <w:r>
              <w:rPr>
                <w:rFonts w:ascii="Arial" w:cs="Arial" w:eastAsia="Arial" w:hAnsi="Arial"/>
                <w:sz w:val="16"/>
                <w:szCs w:val="16"/>
                <w:color w:val="auto"/>
              </w:rPr>
              <w:t>―</w:t>
            </w:r>
          </w:p>
        </w:tc>
        <w:tc>
          <w:tcPr>
            <w:tcW w:w="68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486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820" w:type="dxa"/>
            <w:vAlign w:val="bottom"/>
          </w:tcPr>
          <w:p>
            <w:pPr>
              <w:spacing w:after="0"/>
              <w:rPr>
                <w:sz w:val="16"/>
                <w:szCs w:val="16"/>
                <w:color w:val="auto"/>
              </w:rPr>
            </w:pPr>
          </w:p>
        </w:tc>
        <w:tc>
          <w:tcPr>
            <w:tcW w:w="940" w:type="dxa"/>
            <w:vAlign w:val="bottom"/>
            <w:vMerge w:val="restart"/>
          </w:tcPr>
          <w:p>
            <w:pPr>
              <w:jc w:val="right"/>
              <w:ind w:right="100"/>
              <w:spacing w:after="0"/>
              <w:rPr>
                <w:sz w:val="20"/>
                <w:szCs w:val="20"/>
                <w:color w:val="auto"/>
              </w:rPr>
            </w:pPr>
            <w:r>
              <w:rPr>
                <w:rFonts w:ascii="Arial" w:cs="Arial" w:eastAsia="Arial" w:hAnsi="Arial"/>
                <w:sz w:val="16"/>
                <w:szCs w:val="16"/>
                <w:color w:val="auto"/>
              </w:rPr>
              <w:t>2</w:t>
            </w:r>
          </w:p>
        </w:tc>
        <w:tc>
          <w:tcPr>
            <w:tcW w:w="700" w:type="dxa"/>
            <w:vAlign w:val="bottom"/>
          </w:tcPr>
          <w:p>
            <w:pPr>
              <w:spacing w:after="0"/>
              <w:rPr>
                <w:sz w:val="16"/>
                <w:szCs w:val="16"/>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6"/>
                <w:szCs w:val="16"/>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48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8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860" w:type="dxa"/>
            <w:vAlign w:val="bottom"/>
          </w:tcPr>
          <w:p>
            <w:pPr>
              <w:ind w:left="180"/>
              <w:spacing w:after="0" w:line="166" w:lineRule="exact"/>
              <w:rPr>
                <w:sz w:val="20"/>
                <w:szCs w:val="20"/>
                <w:color w:val="auto"/>
              </w:rPr>
            </w:pPr>
            <w:r>
              <w:rPr>
                <w:rFonts w:ascii="Arial" w:cs="Arial" w:eastAsia="Arial" w:hAnsi="Arial"/>
                <w:sz w:val="16"/>
                <w:szCs w:val="16"/>
                <w:color w:val="auto"/>
              </w:rPr>
              <w:t>Total</w:t>
            </w:r>
          </w:p>
        </w:tc>
        <w:tc>
          <w:tcPr>
            <w:tcW w:w="820" w:type="dxa"/>
            <w:vAlign w:val="bottom"/>
          </w:tcPr>
          <w:p>
            <w:pPr>
              <w:jc w:val="right"/>
              <w:ind w:right="420"/>
              <w:spacing w:after="0" w:line="166"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line="166" w:lineRule="exact"/>
              <w:rPr>
                <w:sz w:val="20"/>
                <w:szCs w:val="20"/>
                <w:color w:val="auto"/>
              </w:rPr>
            </w:pPr>
            <w:r>
              <w:rPr>
                <w:rFonts w:ascii="Arial" w:cs="Arial" w:eastAsia="Arial" w:hAnsi="Arial"/>
                <w:sz w:val="16"/>
                <w:szCs w:val="16"/>
                <w:color w:val="auto"/>
              </w:rPr>
              <w:t>5</w:t>
            </w:r>
          </w:p>
        </w:tc>
        <w:tc>
          <w:tcPr>
            <w:tcW w:w="700" w:type="dxa"/>
            <w:vAlign w:val="bottom"/>
          </w:tcPr>
          <w:p>
            <w:pPr>
              <w:jc w:val="right"/>
              <w:ind w:right="420"/>
              <w:spacing w:after="0" w:line="16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line="166"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420"/>
              <w:spacing w:after="0" w:line="16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line="166" w:lineRule="exact"/>
              <w:rPr>
                <w:sz w:val="20"/>
                <w:szCs w:val="20"/>
                <w:color w:val="auto"/>
              </w:rPr>
            </w:pPr>
            <w:r>
              <w:rPr>
                <w:rFonts w:ascii="Arial" w:cs="Arial" w:eastAsia="Arial" w:hAnsi="Arial"/>
                <w:sz w:val="16"/>
                <w:szCs w:val="16"/>
                <w:color w:val="auto"/>
              </w:rPr>
              <w:t>(1)</w:t>
            </w:r>
          </w:p>
        </w:tc>
        <w:tc>
          <w:tcPr>
            <w:tcW w:w="680" w:type="dxa"/>
            <w:vAlign w:val="bottom"/>
          </w:tcPr>
          <w:p>
            <w:pPr>
              <w:jc w:val="right"/>
              <w:ind w:right="400"/>
              <w:spacing w:after="0" w:line="166"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0"/>
        </w:trPr>
        <w:tc>
          <w:tcPr>
            <w:tcW w:w="4860" w:type="dxa"/>
            <w:vAlign w:val="bottom"/>
            <w:shd w:val="clear" w:color="auto" w:fill="000000"/>
          </w:tcPr>
          <w:p>
            <w:pPr>
              <w:spacing w:after="0"/>
              <w:rPr>
                <w:sz w:val="6"/>
                <w:szCs w:val="6"/>
                <w:color w:val="auto"/>
              </w:rPr>
            </w:pPr>
          </w:p>
        </w:tc>
        <w:tc>
          <w:tcPr>
            <w:tcW w:w="82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70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520" w:hanging="514"/>
        <w:spacing w:after="0"/>
        <w:tabs>
          <w:tab w:leader="none" w:pos="52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3" w:lineRule="exact"/>
        <w:rPr>
          <w:rFonts w:ascii="Arial" w:cs="Arial" w:eastAsia="Arial" w:hAnsi="Arial"/>
          <w:sz w:val="14"/>
          <w:szCs w:val="14"/>
          <w:i w:val="1"/>
          <w:iCs w:val="1"/>
          <w:color w:val="auto"/>
        </w:rPr>
      </w:pPr>
    </w:p>
    <w:p>
      <w:pPr>
        <w:ind w:left="520" w:hanging="514"/>
        <w:spacing w:after="0" w:line="237" w:lineRule="auto"/>
        <w:tabs>
          <w:tab w:leader="none" w:pos="52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ind w:left="520" w:hanging="514"/>
        <w:spacing w:after="0"/>
        <w:tabs>
          <w:tab w:leader="none" w:pos="52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3"/>
            <w:vMerge w:val="restart"/>
          </w:tcPr>
          <w:p>
            <w:pPr>
              <w:jc w:val="right"/>
              <w:ind w:right="1042"/>
              <w:spacing w:after="0"/>
              <w:rPr>
                <w:sz w:val="20"/>
                <w:szCs w:val="20"/>
                <w:color w:val="auto"/>
              </w:rPr>
            </w:pPr>
            <w:r>
              <w:rPr>
                <w:rFonts w:ascii="Arial" w:cs="Arial" w:eastAsia="Arial" w:hAnsi="Arial"/>
                <w:sz w:val="14"/>
                <w:szCs w:val="14"/>
                <w:color w:val="auto"/>
              </w:rPr>
              <w:t>December 31, 2013</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48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gridSpan w:val="3"/>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jc w:val="center"/>
              <w:ind w:right="43"/>
              <w:spacing w:after="0" w:line="139" w:lineRule="exact"/>
              <w:rPr>
                <w:sz w:val="20"/>
                <w:szCs w:val="20"/>
                <w:color w:val="auto"/>
              </w:rPr>
            </w:pPr>
            <w:r>
              <w:rPr>
                <w:rFonts w:ascii="Arial" w:cs="Arial" w:eastAsia="Arial" w:hAnsi="Arial"/>
                <w:sz w:val="14"/>
                <w:szCs w:val="14"/>
                <w:color w:val="auto"/>
              </w:rPr>
              <w:t>Deferred</w:t>
            </w:r>
          </w:p>
        </w:tc>
        <w:tc>
          <w:tcPr>
            <w:tcW w:w="0" w:type="dxa"/>
            <w:vAlign w:val="bottom"/>
          </w:tcPr>
          <w:p>
            <w:pPr>
              <w:spacing w:after="0"/>
              <w:rPr>
                <w:sz w:val="1"/>
                <w:szCs w:val="1"/>
                <w:color w:val="auto"/>
              </w:rPr>
            </w:pPr>
          </w:p>
        </w:tc>
      </w:tr>
      <w:tr>
        <w:trPr>
          <w:trHeight w:val="159"/>
        </w:trPr>
        <w:tc>
          <w:tcPr>
            <w:tcW w:w="4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jc w:val="center"/>
              <w:ind w:right="63"/>
              <w:spacing w:after="0" w:line="159" w:lineRule="exact"/>
              <w:rPr>
                <w:sz w:val="20"/>
                <w:szCs w:val="20"/>
                <w:color w:val="auto"/>
              </w:rPr>
            </w:pPr>
            <w:r>
              <w:rPr>
                <w:rFonts w:ascii="Arial" w:cs="Arial" w:eastAsia="Arial" w:hAnsi="Arial"/>
                <w:sz w:val="14"/>
                <w:szCs w:val="14"/>
                <w:color w:val="auto"/>
              </w:rPr>
              <w:t>credits</w:t>
            </w:r>
          </w:p>
        </w:tc>
        <w:tc>
          <w:tcPr>
            <w:tcW w:w="0" w:type="dxa"/>
            <w:vAlign w:val="bottom"/>
          </w:tcPr>
          <w:p>
            <w:pPr>
              <w:spacing w:after="0"/>
              <w:rPr>
                <w:sz w:val="1"/>
                <w:szCs w:val="1"/>
                <w:color w:val="auto"/>
              </w:rPr>
            </w:pPr>
          </w:p>
        </w:tc>
      </w:tr>
      <w:tr>
        <w:trPr>
          <w:trHeight w:val="159"/>
        </w:trPr>
        <w:tc>
          <w:tcPr>
            <w:tcW w:w="4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jc w:val="center"/>
              <w:ind w:right="142"/>
              <w:spacing w:after="0" w:line="159" w:lineRule="exact"/>
              <w:rPr>
                <w:sz w:val="20"/>
                <w:szCs w:val="20"/>
                <w:color w:val="auto"/>
              </w:rPr>
            </w:pPr>
            <w:r>
              <w:rPr>
                <w:rFonts w:ascii="Arial" w:cs="Arial" w:eastAsia="Arial" w:hAnsi="Arial"/>
                <w:sz w:val="14"/>
                <w:szCs w:val="14"/>
                <w:color w:val="auto"/>
              </w:rPr>
              <w:t>Current</w:t>
            </w: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jc w:val="center"/>
              <w:ind w:right="122"/>
              <w:spacing w:after="0" w:line="159" w:lineRule="exact"/>
              <w:rPr>
                <w:sz w:val="20"/>
                <w:szCs w:val="20"/>
                <w:color w:val="auto"/>
              </w:rPr>
            </w:pPr>
            <w:r>
              <w:rPr>
                <w:rFonts w:ascii="Arial" w:cs="Arial" w:eastAsia="Arial" w:hAnsi="Arial"/>
                <w:sz w:val="14"/>
                <w:szCs w:val="14"/>
                <w:color w:val="auto"/>
                <w:w w:val="98"/>
              </w:rPr>
              <w:t>Current</w:t>
            </w:r>
          </w:p>
        </w:tc>
        <w:tc>
          <w:tcPr>
            <w:tcW w:w="380" w:type="dxa"/>
            <w:vAlign w:val="bottom"/>
          </w:tcPr>
          <w:p>
            <w:pPr>
              <w:spacing w:after="0"/>
              <w:rPr>
                <w:sz w:val="13"/>
                <w:szCs w:val="13"/>
                <w:color w:val="auto"/>
              </w:rPr>
            </w:pPr>
          </w:p>
        </w:tc>
        <w:tc>
          <w:tcPr>
            <w:tcW w:w="1160" w:type="dxa"/>
            <w:vAlign w:val="bottom"/>
          </w:tcPr>
          <w:p>
            <w:pPr>
              <w:jc w:val="center"/>
              <w:ind w:right="43"/>
              <w:spacing w:after="0" w:line="15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59"/>
        </w:trPr>
        <w:tc>
          <w:tcPr>
            <w:tcW w:w="4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jc w:val="center"/>
              <w:ind w:right="142"/>
              <w:spacing w:after="0" w:line="159" w:lineRule="exact"/>
              <w:rPr>
                <w:sz w:val="20"/>
                <w:szCs w:val="20"/>
                <w:color w:val="auto"/>
              </w:rPr>
            </w:pPr>
            <w:r>
              <w:rPr>
                <w:rFonts w:ascii="Arial" w:cs="Arial" w:eastAsia="Arial" w:hAnsi="Arial"/>
                <w:sz w:val="14"/>
                <w:szCs w:val="14"/>
                <w:color w:val="auto"/>
                <w:w w:val="99"/>
              </w:rPr>
              <w:t>assets:</w:t>
            </w: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jc w:val="center"/>
              <w:ind w:right="122"/>
              <w:spacing w:after="0" w:line="159" w:lineRule="exact"/>
              <w:rPr>
                <w:sz w:val="20"/>
                <w:szCs w:val="20"/>
                <w:color w:val="auto"/>
              </w:rPr>
            </w:pPr>
            <w:r>
              <w:rPr>
                <w:rFonts w:ascii="Arial" w:cs="Arial" w:eastAsia="Arial" w:hAnsi="Arial"/>
                <w:sz w:val="14"/>
                <w:szCs w:val="14"/>
                <w:color w:val="auto"/>
              </w:rPr>
              <w:t>liabilities:</w:t>
            </w:r>
          </w:p>
        </w:tc>
        <w:tc>
          <w:tcPr>
            <w:tcW w:w="380" w:type="dxa"/>
            <w:vAlign w:val="bottom"/>
          </w:tcPr>
          <w:p>
            <w:pPr>
              <w:spacing w:after="0"/>
              <w:rPr>
                <w:sz w:val="13"/>
                <w:szCs w:val="13"/>
                <w:color w:val="auto"/>
              </w:rPr>
            </w:pPr>
          </w:p>
        </w:tc>
        <w:tc>
          <w:tcPr>
            <w:tcW w:w="1160" w:type="dxa"/>
            <w:vAlign w:val="bottom"/>
          </w:tcPr>
          <w:p>
            <w:pPr>
              <w:jc w:val="center"/>
              <w:ind w:right="43"/>
              <w:spacing w:after="0" w:line="159" w:lineRule="exact"/>
              <w:rPr>
                <w:sz w:val="20"/>
                <w:szCs w:val="20"/>
                <w:color w:val="auto"/>
              </w:rPr>
            </w:pPr>
            <w:r>
              <w:rPr>
                <w:rFonts w:ascii="Arial" w:cs="Arial" w:eastAsia="Arial" w:hAnsi="Arial"/>
                <w:sz w:val="14"/>
                <w:szCs w:val="14"/>
                <w:color w:val="auto"/>
                <w:w w:val="98"/>
              </w:rPr>
              <w:t>liabilities:</w:t>
            </w:r>
          </w:p>
        </w:tc>
        <w:tc>
          <w:tcPr>
            <w:tcW w:w="0" w:type="dxa"/>
            <w:vAlign w:val="bottom"/>
          </w:tcPr>
          <w:p>
            <w:pPr>
              <w:spacing w:after="0"/>
              <w:rPr>
                <w:sz w:val="1"/>
                <w:szCs w:val="1"/>
                <w:color w:val="auto"/>
              </w:rPr>
            </w:pPr>
          </w:p>
        </w:tc>
      </w:tr>
      <w:tr>
        <w:trPr>
          <w:trHeight w:val="159"/>
        </w:trPr>
        <w:tc>
          <w:tcPr>
            <w:tcW w:w="4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jc w:val="center"/>
              <w:ind w:right="142"/>
              <w:spacing w:after="0" w:line="159" w:lineRule="exact"/>
              <w:rPr>
                <w:sz w:val="20"/>
                <w:szCs w:val="20"/>
                <w:color w:val="auto"/>
              </w:rPr>
            </w:pPr>
            <w:r>
              <w:rPr>
                <w:rFonts w:ascii="Arial" w:cs="Arial" w:eastAsia="Arial" w:hAnsi="Arial"/>
                <w:sz w:val="14"/>
                <w:szCs w:val="14"/>
                <w:color w:val="auto"/>
              </w:rPr>
              <w:t>Fixed-price</w:t>
            </w:r>
          </w:p>
        </w:tc>
        <w:tc>
          <w:tcPr>
            <w:tcW w:w="340" w:type="dxa"/>
            <w:vAlign w:val="bottom"/>
          </w:tcPr>
          <w:p>
            <w:pPr>
              <w:spacing w:after="0"/>
              <w:rPr>
                <w:sz w:val="13"/>
                <w:szCs w:val="13"/>
                <w:color w:val="auto"/>
              </w:rPr>
            </w:pPr>
          </w:p>
        </w:tc>
        <w:tc>
          <w:tcPr>
            <w:tcW w:w="1280" w:type="dxa"/>
            <w:vAlign w:val="bottom"/>
          </w:tcPr>
          <w:p>
            <w:pPr>
              <w:jc w:val="center"/>
              <w:ind w:right="162"/>
              <w:spacing w:after="0" w:line="159" w:lineRule="exact"/>
              <w:rPr>
                <w:sz w:val="20"/>
                <w:szCs w:val="20"/>
                <w:color w:val="auto"/>
              </w:rPr>
            </w:pPr>
            <w:r>
              <w:rPr>
                <w:rFonts w:ascii="Arial" w:cs="Arial" w:eastAsia="Arial" w:hAnsi="Arial"/>
                <w:sz w:val="14"/>
                <w:szCs w:val="14"/>
                <w:color w:val="auto"/>
              </w:rPr>
              <w:t>Investments</w:t>
            </w:r>
          </w:p>
        </w:tc>
        <w:tc>
          <w:tcPr>
            <w:tcW w:w="340" w:type="dxa"/>
            <w:vAlign w:val="bottom"/>
          </w:tcPr>
          <w:p>
            <w:pPr>
              <w:spacing w:after="0"/>
              <w:rPr>
                <w:sz w:val="13"/>
                <w:szCs w:val="13"/>
                <w:color w:val="auto"/>
              </w:rPr>
            </w:pPr>
          </w:p>
        </w:tc>
        <w:tc>
          <w:tcPr>
            <w:tcW w:w="1300" w:type="dxa"/>
            <w:vAlign w:val="bottom"/>
          </w:tcPr>
          <w:p>
            <w:pPr>
              <w:jc w:val="center"/>
              <w:ind w:right="122"/>
              <w:spacing w:after="0" w:line="159" w:lineRule="exact"/>
              <w:rPr>
                <w:sz w:val="20"/>
                <w:szCs w:val="20"/>
                <w:color w:val="auto"/>
              </w:rPr>
            </w:pPr>
            <w:r>
              <w:rPr>
                <w:rFonts w:ascii="Arial" w:cs="Arial" w:eastAsia="Arial" w:hAnsi="Arial"/>
                <w:sz w:val="14"/>
                <w:szCs w:val="14"/>
                <w:color w:val="auto"/>
              </w:rPr>
              <w:t>Fixed-price</w:t>
            </w:r>
          </w:p>
        </w:tc>
        <w:tc>
          <w:tcPr>
            <w:tcW w:w="380" w:type="dxa"/>
            <w:vAlign w:val="bottom"/>
          </w:tcPr>
          <w:p>
            <w:pPr>
              <w:spacing w:after="0"/>
              <w:rPr>
                <w:sz w:val="13"/>
                <w:szCs w:val="13"/>
                <w:color w:val="auto"/>
              </w:rPr>
            </w:pPr>
          </w:p>
        </w:tc>
        <w:tc>
          <w:tcPr>
            <w:tcW w:w="1160" w:type="dxa"/>
            <w:vAlign w:val="bottom"/>
          </w:tcPr>
          <w:p>
            <w:pPr>
              <w:jc w:val="center"/>
              <w:ind w:right="63"/>
              <w:spacing w:after="0" w:line="159" w:lineRule="exact"/>
              <w:rPr>
                <w:sz w:val="20"/>
                <w:szCs w:val="20"/>
                <w:color w:val="auto"/>
              </w:rPr>
            </w:pPr>
            <w:r>
              <w:rPr>
                <w:rFonts w:ascii="Arial" w:cs="Arial" w:eastAsia="Arial" w:hAnsi="Arial"/>
                <w:sz w:val="14"/>
                <w:szCs w:val="14"/>
                <w:color w:val="auto"/>
              </w:rPr>
              <w:t>Fixed-price</w:t>
            </w:r>
          </w:p>
        </w:tc>
        <w:tc>
          <w:tcPr>
            <w:tcW w:w="0" w:type="dxa"/>
            <w:vAlign w:val="bottom"/>
          </w:tcPr>
          <w:p>
            <w:pPr>
              <w:spacing w:after="0"/>
              <w:rPr>
                <w:sz w:val="1"/>
                <w:szCs w:val="1"/>
                <w:color w:val="auto"/>
              </w:rPr>
            </w:pPr>
          </w:p>
        </w:tc>
      </w:tr>
      <w:tr>
        <w:trPr>
          <w:trHeight w:val="159"/>
        </w:trPr>
        <w:tc>
          <w:tcPr>
            <w:tcW w:w="4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jc w:val="center"/>
              <w:ind w:right="142"/>
              <w:spacing w:after="0" w:line="159" w:lineRule="exact"/>
              <w:rPr>
                <w:sz w:val="20"/>
                <w:szCs w:val="20"/>
                <w:color w:val="auto"/>
              </w:rPr>
            </w:pPr>
            <w:r>
              <w:rPr>
                <w:rFonts w:ascii="Arial" w:cs="Arial" w:eastAsia="Arial" w:hAnsi="Arial"/>
                <w:sz w:val="14"/>
                <w:szCs w:val="14"/>
                <w:color w:val="auto"/>
                <w:w w:val="98"/>
              </w:rPr>
              <w:t>contracts</w:t>
            </w:r>
          </w:p>
        </w:tc>
        <w:tc>
          <w:tcPr>
            <w:tcW w:w="340" w:type="dxa"/>
            <w:vAlign w:val="bottom"/>
          </w:tcPr>
          <w:p>
            <w:pPr>
              <w:spacing w:after="0"/>
              <w:rPr>
                <w:sz w:val="13"/>
                <w:szCs w:val="13"/>
                <w:color w:val="auto"/>
              </w:rPr>
            </w:pPr>
          </w:p>
        </w:tc>
        <w:tc>
          <w:tcPr>
            <w:tcW w:w="1280" w:type="dxa"/>
            <w:vAlign w:val="bottom"/>
          </w:tcPr>
          <w:p>
            <w:pPr>
              <w:jc w:val="center"/>
              <w:ind w:right="162"/>
              <w:spacing w:after="0" w:line="159" w:lineRule="exact"/>
              <w:rPr>
                <w:sz w:val="20"/>
                <w:szCs w:val="20"/>
                <w:color w:val="auto"/>
              </w:rPr>
            </w:pPr>
            <w:r>
              <w:rPr>
                <w:rFonts w:ascii="Arial" w:cs="Arial" w:eastAsia="Arial" w:hAnsi="Arial"/>
                <w:sz w:val="14"/>
                <w:szCs w:val="14"/>
                <w:color w:val="auto"/>
              </w:rPr>
              <w:t>and other</w:t>
            </w:r>
          </w:p>
        </w:tc>
        <w:tc>
          <w:tcPr>
            <w:tcW w:w="340" w:type="dxa"/>
            <w:vAlign w:val="bottom"/>
          </w:tcPr>
          <w:p>
            <w:pPr>
              <w:spacing w:after="0"/>
              <w:rPr>
                <w:sz w:val="13"/>
                <w:szCs w:val="13"/>
                <w:color w:val="auto"/>
              </w:rPr>
            </w:pPr>
          </w:p>
        </w:tc>
        <w:tc>
          <w:tcPr>
            <w:tcW w:w="1300" w:type="dxa"/>
            <w:vAlign w:val="bottom"/>
          </w:tcPr>
          <w:p>
            <w:pPr>
              <w:jc w:val="center"/>
              <w:ind w:right="122"/>
              <w:spacing w:after="0" w:line="159" w:lineRule="exact"/>
              <w:rPr>
                <w:sz w:val="20"/>
                <w:szCs w:val="20"/>
                <w:color w:val="auto"/>
              </w:rPr>
            </w:pPr>
            <w:r>
              <w:rPr>
                <w:rFonts w:ascii="Arial" w:cs="Arial" w:eastAsia="Arial" w:hAnsi="Arial"/>
                <w:sz w:val="14"/>
                <w:szCs w:val="14"/>
                <w:color w:val="auto"/>
              </w:rPr>
              <w:t>contracts</w:t>
            </w:r>
          </w:p>
        </w:tc>
        <w:tc>
          <w:tcPr>
            <w:tcW w:w="380" w:type="dxa"/>
            <w:vAlign w:val="bottom"/>
          </w:tcPr>
          <w:p>
            <w:pPr>
              <w:spacing w:after="0"/>
              <w:rPr>
                <w:sz w:val="13"/>
                <w:szCs w:val="13"/>
                <w:color w:val="auto"/>
              </w:rPr>
            </w:pPr>
          </w:p>
        </w:tc>
        <w:tc>
          <w:tcPr>
            <w:tcW w:w="1160" w:type="dxa"/>
            <w:vAlign w:val="bottom"/>
          </w:tcPr>
          <w:p>
            <w:pPr>
              <w:jc w:val="center"/>
              <w:ind w:right="43"/>
              <w:spacing w:after="0" w:line="159" w:lineRule="exact"/>
              <w:rPr>
                <w:sz w:val="20"/>
                <w:szCs w:val="20"/>
                <w:color w:val="auto"/>
              </w:rPr>
            </w:pPr>
            <w:r>
              <w:rPr>
                <w:rFonts w:ascii="Arial" w:cs="Arial" w:eastAsia="Arial" w:hAnsi="Arial"/>
                <w:sz w:val="14"/>
                <w:szCs w:val="14"/>
                <w:color w:val="auto"/>
                <w:w w:val="98"/>
              </w:rPr>
              <w:t>contracts</w:t>
            </w:r>
          </w:p>
        </w:tc>
        <w:tc>
          <w:tcPr>
            <w:tcW w:w="0" w:type="dxa"/>
            <w:vAlign w:val="bottom"/>
          </w:tcPr>
          <w:p>
            <w:pPr>
              <w:spacing w:after="0"/>
              <w:rPr>
                <w:sz w:val="1"/>
                <w:szCs w:val="1"/>
                <w:color w:val="auto"/>
              </w:rPr>
            </w:pPr>
          </w:p>
        </w:tc>
      </w:tr>
      <w:tr>
        <w:trPr>
          <w:trHeight w:val="159"/>
        </w:trPr>
        <w:tc>
          <w:tcPr>
            <w:tcW w:w="4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jc w:val="center"/>
              <w:ind w:right="142"/>
              <w:spacing w:after="0" w:line="159" w:lineRule="exact"/>
              <w:rPr>
                <w:sz w:val="20"/>
                <w:szCs w:val="20"/>
                <w:color w:val="auto"/>
              </w:rPr>
            </w:pPr>
            <w:r>
              <w:rPr>
                <w:rFonts w:ascii="Arial" w:cs="Arial" w:eastAsia="Arial" w:hAnsi="Arial"/>
                <w:sz w:val="14"/>
                <w:szCs w:val="14"/>
                <w:color w:val="auto"/>
              </w:rPr>
              <w:t>and other</w:t>
            </w:r>
          </w:p>
        </w:tc>
        <w:tc>
          <w:tcPr>
            <w:tcW w:w="340" w:type="dxa"/>
            <w:vAlign w:val="bottom"/>
          </w:tcPr>
          <w:p>
            <w:pPr>
              <w:spacing w:after="0"/>
              <w:rPr>
                <w:sz w:val="13"/>
                <w:szCs w:val="13"/>
                <w:color w:val="auto"/>
              </w:rPr>
            </w:pPr>
          </w:p>
        </w:tc>
        <w:tc>
          <w:tcPr>
            <w:tcW w:w="1280" w:type="dxa"/>
            <w:vAlign w:val="bottom"/>
          </w:tcPr>
          <w:p>
            <w:pPr>
              <w:jc w:val="center"/>
              <w:ind w:right="122"/>
              <w:spacing w:after="0" w:line="159" w:lineRule="exact"/>
              <w:rPr>
                <w:sz w:val="20"/>
                <w:szCs w:val="20"/>
                <w:color w:val="auto"/>
              </w:rPr>
            </w:pPr>
            <w:r>
              <w:rPr>
                <w:rFonts w:ascii="Arial" w:cs="Arial" w:eastAsia="Arial" w:hAnsi="Arial"/>
                <w:sz w:val="14"/>
                <w:szCs w:val="14"/>
                <w:color w:val="auto"/>
                <w:w w:val="99"/>
              </w:rPr>
              <w:t>assets:</w:t>
            </w:r>
          </w:p>
        </w:tc>
        <w:tc>
          <w:tcPr>
            <w:tcW w:w="340" w:type="dxa"/>
            <w:vAlign w:val="bottom"/>
          </w:tcPr>
          <w:p>
            <w:pPr>
              <w:spacing w:after="0"/>
              <w:rPr>
                <w:sz w:val="13"/>
                <w:szCs w:val="13"/>
                <w:color w:val="auto"/>
              </w:rPr>
            </w:pPr>
          </w:p>
        </w:tc>
        <w:tc>
          <w:tcPr>
            <w:tcW w:w="1300" w:type="dxa"/>
            <w:vAlign w:val="bottom"/>
          </w:tcPr>
          <w:p>
            <w:pPr>
              <w:jc w:val="center"/>
              <w:ind w:right="122"/>
              <w:spacing w:after="0" w:line="159" w:lineRule="exact"/>
              <w:rPr>
                <w:sz w:val="20"/>
                <w:szCs w:val="20"/>
                <w:color w:val="auto"/>
              </w:rPr>
            </w:pPr>
            <w:r>
              <w:rPr>
                <w:rFonts w:ascii="Arial" w:cs="Arial" w:eastAsia="Arial" w:hAnsi="Arial"/>
                <w:sz w:val="14"/>
                <w:szCs w:val="14"/>
                <w:color w:val="auto"/>
                <w:w w:val="97"/>
              </w:rPr>
              <w:t>and other</w:t>
            </w:r>
          </w:p>
        </w:tc>
        <w:tc>
          <w:tcPr>
            <w:tcW w:w="380" w:type="dxa"/>
            <w:vAlign w:val="bottom"/>
          </w:tcPr>
          <w:p>
            <w:pPr>
              <w:spacing w:after="0"/>
              <w:rPr>
                <w:sz w:val="13"/>
                <w:szCs w:val="13"/>
                <w:color w:val="auto"/>
              </w:rPr>
            </w:pPr>
          </w:p>
        </w:tc>
        <w:tc>
          <w:tcPr>
            <w:tcW w:w="1160" w:type="dxa"/>
            <w:vAlign w:val="bottom"/>
          </w:tcPr>
          <w:p>
            <w:pPr>
              <w:jc w:val="center"/>
              <w:ind w:right="43"/>
              <w:spacing w:after="0" w:line="15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73"/>
        </w:trPr>
        <w:tc>
          <w:tcPr>
            <w:tcW w:w="4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w w:val="99"/>
              </w:rPr>
              <w:t>derivatives(1)</w:t>
            </w: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w w:val="99"/>
              </w:rPr>
              <w:t>Sundry</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derivatives(2)</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color w:val="auto"/>
              </w:rPr>
              <w:t>derivatives</w:t>
            </w:r>
          </w:p>
        </w:tc>
        <w:tc>
          <w:tcPr>
            <w:tcW w:w="0" w:type="dxa"/>
            <w:vAlign w:val="bottom"/>
          </w:tcPr>
          <w:p>
            <w:pPr>
              <w:spacing w:after="0"/>
              <w:rPr>
                <w:sz w:val="1"/>
                <w:szCs w:val="1"/>
                <w:color w:val="auto"/>
              </w:rPr>
            </w:pPr>
          </w:p>
        </w:tc>
      </w:tr>
      <w:tr>
        <w:trPr>
          <w:trHeight w:val="135"/>
        </w:trPr>
        <w:tc>
          <w:tcPr>
            <w:tcW w:w="4860" w:type="dxa"/>
            <w:vAlign w:val="bottom"/>
          </w:tcPr>
          <w:p>
            <w:pPr>
              <w:spacing w:after="0" w:line="135" w:lineRule="exact"/>
              <w:rPr>
                <w:sz w:val="20"/>
                <w:szCs w:val="20"/>
                <w:color w:val="auto"/>
              </w:rPr>
            </w:pPr>
            <w:r>
              <w:rPr>
                <w:rFonts w:ascii="Arial" w:cs="Arial" w:eastAsia="Arial" w:hAnsi="Arial"/>
                <w:sz w:val="15"/>
                <w:szCs w:val="15"/>
                <w:b w:val="1"/>
                <w:bCs w:val="1"/>
                <w:color w:val="auto"/>
              </w:rPr>
              <w:t>Sempra Energy Consolidated:</w:t>
            </w:r>
          </w:p>
        </w:tc>
        <w:tc>
          <w:tcPr>
            <w:tcW w:w="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860" w:type="dxa"/>
            <w:vAlign w:val="bottom"/>
          </w:tcPr>
          <w:p>
            <w:pPr>
              <w:spacing w:after="0" w:line="173" w:lineRule="exact"/>
              <w:rPr>
                <w:sz w:val="20"/>
                <w:szCs w:val="20"/>
                <w:color w:val="auto"/>
              </w:rPr>
            </w:pPr>
            <w:r>
              <w:rPr>
                <w:rFonts w:ascii="Arial" w:cs="Arial" w:eastAsia="Arial" w:hAnsi="Arial"/>
                <w:sz w:val="16"/>
                <w:szCs w:val="16"/>
                <w:color w:val="auto"/>
              </w:rPr>
              <w:t>Derivatives designated as hedging instruments:</w:t>
            </w: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tcPr>
          <w:p>
            <w:pPr>
              <w:ind w:left="180"/>
              <w:spacing w:after="0" w:line="173" w:lineRule="exact"/>
              <w:rPr>
                <w:sz w:val="20"/>
                <w:szCs w:val="20"/>
                <w:color w:val="auto"/>
              </w:rPr>
            </w:pPr>
            <w:r>
              <w:rPr>
                <w:rFonts w:ascii="Arial" w:cs="Arial" w:eastAsia="Arial" w:hAnsi="Arial"/>
                <w:sz w:val="16"/>
                <w:szCs w:val="16"/>
                <w:color w:val="auto"/>
              </w:rPr>
              <w:t>Interest rate and foreign exchange instruments(3)</w:t>
            </w:r>
          </w:p>
        </w:tc>
        <w:tc>
          <w:tcPr>
            <w:tcW w:w="460" w:type="dxa"/>
            <w:vAlign w:val="bottom"/>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02"/>
              <w:spacing w:after="0" w:line="173" w:lineRule="exact"/>
              <w:rPr>
                <w:sz w:val="20"/>
                <w:szCs w:val="20"/>
                <w:color w:val="auto"/>
              </w:rPr>
            </w:pPr>
            <w:r>
              <w:rPr>
                <w:rFonts w:ascii="Arial" w:cs="Arial" w:eastAsia="Arial" w:hAnsi="Arial"/>
                <w:sz w:val="16"/>
                <w:szCs w:val="16"/>
                <w:color w:val="auto"/>
              </w:rPr>
              <w:t>14</w:t>
            </w:r>
          </w:p>
        </w:tc>
        <w:tc>
          <w:tcPr>
            <w:tcW w:w="340" w:type="dxa"/>
            <w:vAlign w:val="bottom"/>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82"/>
              <w:spacing w:after="0" w:line="173" w:lineRule="exact"/>
              <w:rPr>
                <w:sz w:val="20"/>
                <w:szCs w:val="20"/>
                <w:color w:val="auto"/>
              </w:rPr>
            </w:pPr>
            <w:r>
              <w:rPr>
                <w:rFonts w:ascii="Arial" w:cs="Arial" w:eastAsia="Arial" w:hAnsi="Arial"/>
                <w:sz w:val="16"/>
                <w:szCs w:val="16"/>
                <w:color w:val="auto"/>
              </w:rPr>
              <w:t>12</w:t>
            </w:r>
          </w:p>
        </w:tc>
        <w:tc>
          <w:tcPr>
            <w:tcW w:w="340" w:type="dxa"/>
            <w:vAlign w:val="bottom"/>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line="173" w:lineRule="exact"/>
              <w:rPr>
                <w:sz w:val="20"/>
                <w:szCs w:val="20"/>
                <w:color w:val="auto"/>
              </w:rPr>
            </w:pPr>
            <w:r>
              <w:rPr>
                <w:rFonts w:ascii="Arial" w:cs="Arial" w:eastAsia="Arial" w:hAnsi="Arial"/>
                <w:sz w:val="16"/>
                <w:szCs w:val="16"/>
                <w:color w:val="auto"/>
              </w:rPr>
              <w:t>(18)</w:t>
            </w:r>
          </w:p>
        </w:tc>
        <w:tc>
          <w:tcPr>
            <w:tcW w:w="380" w:type="dxa"/>
            <w:vAlign w:val="bottom"/>
          </w:tcPr>
          <w:p>
            <w:pPr>
              <w:jc w:val="right"/>
              <w:ind w:right="100"/>
              <w:spacing w:after="0" w:line="173"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73"/>
        </w:trPr>
        <w:tc>
          <w:tcPr>
            <w:tcW w:w="4860" w:type="dxa"/>
            <w:vAlign w:val="bottom"/>
          </w:tcPr>
          <w:p>
            <w:pPr>
              <w:spacing w:after="0" w:line="173" w:lineRule="exact"/>
              <w:rPr>
                <w:sz w:val="20"/>
                <w:szCs w:val="20"/>
                <w:color w:val="auto"/>
              </w:rPr>
            </w:pPr>
            <w:r>
              <w:rPr>
                <w:rFonts w:ascii="Arial" w:cs="Arial" w:eastAsia="Arial" w:hAnsi="Arial"/>
                <w:sz w:val="16"/>
                <w:szCs w:val="16"/>
                <w:color w:val="auto"/>
              </w:rPr>
              <w:t>Derivatives not designated as hedging instruments:</w:t>
            </w: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tcPr>
          <w:p>
            <w:pPr>
              <w:ind w:left="180"/>
              <w:spacing w:after="0" w:line="173" w:lineRule="exact"/>
              <w:rPr>
                <w:sz w:val="20"/>
                <w:szCs w:val="20"/>
                <w:color w:val="auto"/>
              </w:rPr>
            </w:pPr>
            <w:r>
              <w:rPr>
                <w:rFonts w:ascii="Arial" w:cs="Arial" w:eastAsia="Arial" w:hAnsi="Arial"/>
                <w:sz w:val="16"/>
                <w:szCs w:val="16"/>
                <w:color w:val="auto"/>
              </w:rPr>
              <w:t>Interest rate and foreign exchange instruments</w:t>
            </w:r>
          </w:p>
        </w:tc>
        <w:tc>
          <w:tcPr>
            <w:tcW w:w="460" w:type="dxa"/>
            <w:vAlign w:val="bottom"/>
          </w:tcPr>
          <w:p>
            <w:pPr>
              <w:spacing w:after="0"/>
              <w:rPr>
                <w:sz w:val="15"/>
                <w:szCs w:val="15"/>
                <w:color w:val="auto"/>
              </w:rPr>
            </w:pPr>
          </w:p>
        </w:tc>
        <w:tc>
          <w:tcPr>
            <w:tcW w:w="1300" w:type="dxa"/>
            <w:vAlign w:val="bottom"/>
          </w:tcPr>
          <w:p>
            <w:pPr>
              <w:jc w:val="right"/>
              <w:ind w:right="102"/>
              <w:spacing w:after="0" w:line="173" w:lineRule="exact"/>
              <w:rPr>
                <w:sz w:val="20"/>
                <w:szCs w:val="20"/>
                <w:color w:val="auto"/>
              </w:rPr>
            </w:pPr>
            <w:r>
              <w:rPr>
                <w:rFonts w:ascii="Arial" w:cs="Arial" w:eastAsia="Arial" w:hAnsi="Arial"/>
                <w:sz w:val="16"/>
                <w:szCs w:val="16"/>
                <w:color w:val="auto"/>
              </w:rPr>
              <w:t>8</w:t>
            </w:r>
          </w:p>
        </w:tc>
        <w:tc>
          <w:tcPr>
            <w:tcW w:w="340" w:type="dxa"/>
            <w:vAlign w:val="bottom"/>
          </w:tcPr>
          <w:p>
            <w:pPr>
              <w:spacing w:after="0"/>
              <w:rPr>
                <w:sz w:val="15"/>
                <w:szCs w:val="15"/>
                <w:color w:val="auto"/>
              </w:rPr>
            </w:pPr>
          </w:p>
        </w:tc>
        <w:tc>
          <w:tcPr>
            <w:tcW w:w="1280" w:type="dxa"/>
            <w:vAlign w:val="bottom"/>
          </w:tcPr>
          <w:p>
            <w:pPr>
              <w:jc w:val="right"/>
              <w:ind w:right="82"/>
              <w:spacing w:after="0" w:line="173" w:lineRule="exact"/>
              <w:rPr>
                <w:sz w:val="20"/>
                <w:szCs w:val="20"/>
                <w:color w:val="auto"/>
              </w:rPr>
            </w:pPr>
            <w:r>
              <w:rPr>
                <w:rFonts w:ascii="Arial" w:cs="Arial" w:eastAsia="Arial" w:hAnsi="Arial"/>
                <w:sz w:val="16"/>
                <w:szCs w:val="16"/>
                <w:color w:val="auto"/>
              </w:rPr>
              <w:t>22</w:t>
            </w:r>
          </w:p>
        </w:tc>
        <w:tc>
          <w:tcPr>
            <w:tcW w:w="340" w:type="dxa"/>
            <w:vAlign w:val="bottom"/>
          </w:tcPr>
          <w:p>
            <w:pPr>
              <w:spacing w:after="0"/>
              <w:rPr>
                <w:sz w:val="15"/>
                <w:szCs w:val="15"/>
                <w:color w:val="auto"/>
              </w:rPr>
            </w:pPr>
          </w:p>
        </w:tc>
        <w:tc>
          <w:tcPr>
            <w:tcW w:w="1300" w:type="dxa"/>
            <w:vAlign w:val="bottom"/>
          </w:tcPr>
          <w:p>
            <w:pPr>
              <w:jc w:val="right"/>
              <w:ind w:right="42"/>
              <w:spacing w:after="0" w:line="173" w:lineRule="exact"/>
              <w:rPr>
                <w:sz w:val="20"/>
                <w:szCs w:val="20"/>
                <w:color w:val="auto"/>
              </w:rPr>
            </w:pPr>
            <w:r>
              <w:rPr>
                <w:rFonts w:ascii="Arial" w:cs="Arial" w:eastAsia="Arial" w:hAnsi="Arial"/>
                <w:sz w:val="16"/>
                <w:szCs w:val="16"/>
                <w:color w:val="auto"/>
              </w:rPr>
              <w:t>(7)</w:t>
            </w:r>
          </w:p>
        </w:tc>
        <w:tc>
          <w:tcPr>
            <w:tcW w:w="38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73"/>
        </w:trPr>
        <w:tc>
          <w:tcPr>
            <w:tcW w:w="4860" w:type="dxa"/>
            <w:vAlign w:val="bottom"/>
          </w:tcPr>
          <w:p>
            <w:pPr>
              <w:ind w:left="180"/>
              <w:spacing w:after="0" w:line="173" w:lineRule="exact"/>
              <w:rPr>
                <w:sz w:val="20"/>
                <w:szCs w:val="20"/>
                <w:color w:val="auto"/>
              </w:rPr>
            </w:pPr>
            <w:r>
              <w:rPr>
                <w:rFonts w:ascii="Arial" w:cs="Arial" w:eastAsia="Arial" w:hAnsi="Arial"/>
                <w:sz w:val="16"/>
                <w:szCs w:val="16"/>
                <w:color w:val="auto"/>
              </w:rPr>
              <w:t>Commodity contracts not subject to rate recovery</w:t>
            </w:r>
          </w:p>
        </w:tc>
        <w:tc>
          <w:tcPr>
            <w:tcW w:w="460" w:type="dxa"/>
            <w:vAlign w:val="bottom"/>
          </w:tcPr>
          <w:p>
            <w:pPr>
              <w:spacing w:after="0"/>
              <w:rPr>
                <w:sz w:val="15"/>
                <w:szCs w:val="15"/>
                <w:color w:val="auto"/>
              </w:rPr>
            </w:pPr>
          </w:p>
        </w:tc>
        <w:tc>
          <w:tcPr>
            <w:tcW w:w="1300" w:type="dxa"/>
            <w:vAlign w:val="bottom"/>
          </w:tcPr>
          <w:p>
            <w:pPr>
              <w:jc w:val="right"/>
              <w:ind w:right="102"/>
              <w:spacing w:after="0" w:line="173" w:lineRule="exact"/>
              <w:rPr>
                <w:sz w:val="20"/>
                <w:szCs w:val="20"/>
                <w:color w:val="auto"/>
              </w:rPr>
            </w:pPr>
            <w:r>
              <w:rPr>
                <w:rFonts w:ascii="Arial" w:cs="Arial" w:eastAsia="Arial" w:hAnsi="Arial"/>
                <w:sz w:val="16"/>
                <w:szCs w:val="16"/>
                <w:color w:val="auto"/>
              </w:rPr>
              <w:t>47</w:t>
            </w:r>
          </w:p>
        </w:tc>
        <w:tc>
          <w:tcPr>
            <w:tcW w:w="340" w:type="dxa"/>
            <w:vAlign w:val="bottom"/>
          </w:tcPr>
          <w:p>
            <w:pPr>
              <w:spacing w:after="0"/>
              <w:rPr>
                <w:sz w:val="15"/>
                <w:szCs w:val="15"/>
                <w:color w:val="auto"/>
              </w:rPr>
            </w:pPr>
          </w:p>
        </w:tc>
        <w:tc>
          <w:tcPr>
            <w:tcW w:w="1280" w:type="dxa"/>
            <w:vAlign w:val="bottom"/>
          </w:tcPr>
          <w:p>
            <w:pPr>
              <w:jc w:val="right"/>
              <w:ind w:right="82"/>
              <w:spacing w:after="0" w:line="173" w:lineRule="exact"/>
              <w:rPr>
                <w:sz w:val="20"/>
                <w:szCs w:val="20"/>
                <w:color w:val="auto"/>
              </w:rPr>
            </w:pPr>
            <w:r>
              <w:rPr>
                <w:rFonts w:ascii="Arial" w:cs="Arial" w:eastAsia="Arial" w:hAnsi="Arial"/>
                <w:sz w:val="16"/>
                <w:szCs w:val="16"/>
                <w:color w:val="auto"/>
              </w:rPr>
              <w:t>7</w:t>
            </w:r>
          </w:p>
        </w:tc>
        <w:tc>
          <w:tcPr>
            <w:tcW w:w="340" w:type="dxa"/>
            <w:vAlign w:val="bottom"/>
          </w:tcPr>
          <w:p>
            <w:pPr>
              <w:spacing w:after="0"/>
              <w:rPr>
                <w:sz w:val="15"/>
                <w:szCs w:val="15"/>
                <w:color w:val="auto"/>
              </w:rPr>
            </w:pPr>
          </w:p>
        </w:tc>
        <w:tc>
          <w:tcPr>
            <w:tcW w:w="1300" w:type="dxa"/>
            <w:vAlign w:val="bottom"/>
          </w:tcPr>
          <w:p>
            <w:pPr>
              <w:jc w:val="right"/>
              <w:ind w:right="42"/>
              <w:spacing w:after="0" w:line="173" w:lineRule="exact"/>
              <w:rPr>
                <w:sz w:val="20"/>
                <w:szCs w:val="20"/>
                <w:color w:val="auto"/>
              </w:rPr>
            </w:pPr>
            <w:r>
              <w:rPr>
                <w:rFonts w:ascii="Arial" w:cs="Arial" w:eastAsia="Arial" w:hAnsi="Arial"/>
                <w:sz w:val="16"/>
                <w:szCs w:val="16"/>
                <w:color w:val="auto"/>
              </w:rPr>
              <w:t>(51)</w:t>
            </w:r>
          </w:p>
        </w:tc>
        <w:tc>
          <w:tcPr>
            <w:tcW w:w="38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3"/>
        </w:trPr>
        <w:tc>
          <w:tcPr>
            <w:tcW w:w="4860" w:type="dxa"/>
            <w:vAlign w:val="bottom"/>
          </w:tcPr>
          <w:p>
            <w:pPr>
              <w:ind w:left="360"/>
              <w:spacing w:after="0" w:line="173" w:lineRule="exact"/>
              <w:rPr>
                <w:sz w:val="20"/>
                <w:szCs w:val="20"/>
                <w:color w:val="auto"/>
              </w:rPr>
            </w:pPr>
            <w:r>
              <w:rPr>
                <w:rFonts w:ascii="Arial" w:cs="Arial" w:eastAsia="Arial" w:hAnsi="Arial"/>
                <w:sz w:val="16"/>
                <w:szCs w:val="16"/>
                <w:color w:val="auto"/>
              </w:rPr>
              <w:t>Associated offsetting commodity contracts</w:t>
            </w:r>
          </w:p>
        </w:tc>
        <w:tc>
          <w:tcPr>
            <w:tcW w:w="460" w:type="dxa"/>
            <w:vAlign w:val="bottom"/>
          </w:tcPr>
          <w:p>
            <w:pPr>
              <w:spacing w:after="0"/>
              <w:rPr>
                <w:sz w:val="15"/>
                <w:szCs w:val="15"/>
                <w:color w:val="auto"/>
              </w:rPr>
            </w:pPr>
          </w:p>
        </w:tc>
        <w:tc>
          <w:tcPr>
            <w:tcW w:w="1300" w:type="dxa"/>
            <w:vAlign w:val="bottom"/>
          </w:tcPr>
          <w:p>
            <w:pPr>
              <w:jc w:val="right"/>
              <w:ind w:right="42"/>
              <w:spacing w:after="0" w:line="173" w:lineRule="exact"/>
              <w:rPr>
                <w:sz w:val="20"/>
                <w:szCs w:val="20"/>
                <w:color w:val="auto"/>
              </w:rPr>
            </w:pPr>
            <w:r>
              <w:rPr>
                <w:rFonts w:ascii="Arial" w:cs="Arial" w:eastAsia="Arial" w:hAnsi="Arial"/>
                <w:sz w:val="16"/>
                <w:szCs w:val="16"/>
                <w:color w:val="auto"/>
              </w:rPr>
              <w:t>(43)</w:t>
            </w:r>
          </w:p>
        </w:tc>
        <w:tc>
          <w:tcPr>
            <w:tcW w:w="340" w:type="dxa"/>
            <w:vAlign w:val="bottom"/>
          </w:tcPr>
          <w:p>
            <w:pPr>
              <w:spacing w:after="0"/>
              <w:rPr>
                <w:sz w:val="15"/>
                <w:szCs w:val="15"/>
                <w:color w:val="auto"/>
              </w:rPr>
            </w:pPr>
          </w:p>
        </w:tc>
        <w:tc>
          <w:tcPr>
            <w:tcW w:w="1280" w:type="dxa"/>
            <w:vAlign w:val="bottom"/>
          </w:tcPr>
          <w:p>
            <w:pPr>
              <w:jc w:val="right"/>
              <w:ind w:right="42"/>
              <w:spacing w:after="0" w:line="173" w:lineRule="exact"/>
              <w:rPr>
                <w:sz w:val="20"/>
                <w:szCs w:val="20"/>
                <w:color w:val="auto"/>
              </w:rPr>
            </w:pPr>
            <w:r>
              <w:rPr>
                <w:rFonts w:ascii="Arial" w:cs="Arial" w:eastAsia="Arial" w:hAnsi="Arial"/>
                <w:sz w:val="16"/>
                <w:szCs w:val="16"/>
                <w:color w:val="auto"/>
              </w:rPr>
              <w:t>(5)</w:t>
            </w:r>
          </w:p>
        </w:tc>
        <w:tc>
          <w:tcPr>
            <w:tcW w:w="340" w:type="dxa"/>
            <w:vAlign w:val="bottom"/>
          </w:tcPr>
          <w:p>
            <w:pPr>
              <w:spacing w:after="0"/>
              <w:rPr>
                <w:sz w:val="15"/>
                <w:szCs w:val="15"/>
                <w:color w:val="auto"/>
              </w:rPr>
            </w:pPr>
          </w:p>
        </w:tc>
        <w:tc>
          <w:tcPr>
            <w:tcW w:w="1300" w:type="dxa"/>
            <w:vAlign w:val="bottom"/>
          </w:tcPr>
          <w:p>
            <w:pPr>
              <w:jc w:val="right"/>
              <w:ind w:right="82"/>
              <w:spacing w:after="0" w:line="173" w:lineRule="exact"/>
              <w:rPr>
                <w:sz w:val="20"/>
                <w:szCs w:val="20"/>
                <w:color w:val="auto"/>
              </w:rPr>
            </w:pPr>
            <w:r>
              <w:rPr>
                <w:rFonts w:ascii="Arial" w:cs="Arial" w:eastAsia="Arial" w:hAnsi="Arial"/>
                <w:sz w:val="16"/>
                <w:szCs w:val="16"/>
                <w:color w:val="auto"/>
              </w:rPr>
              <w:t>43</w:t>
            </w:r>
          </w:p>
        </w:tc>
        <w:tc>
          <w:tcPr>
            <w:tcW w:w="38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3"/>
        </w:trPr>
        <w:tc>
          <w:tcPr>
            <w:tcW w:w="4860" w:type="dxa"/>
            <w:vAlign w:val="bottom"/>
          </w:tcPr>
          <w:p>
            <w:pPr>
              <w:ind w:left="360"/>
              <w:spacing w:after="0" w:line="173" w:lineRule="exact"/>
              <w:rPr>
                <w:sz w:val="20"/>
                <w:szCs w:val="20"/>
                <w:color w:val="auto"/>
              </w:rPr>
            </w:pPr>
            <w:r>
              <w:rPr>
                <w:rFonts w:ascii="Arial" w:cs="Arial" w:eastAsia="Arial" w:hAnsi="Arial"/>
                <w:sz w:val="16"/>
                <w:szCs w:val="16"/>
                <w:color w:val="auto"/>
              </w:rPr>
              <w:t>Associated offsetting cash collateral</w:t>
            </w:r>
          </w:p>
        </w:tc>
        <w:tc>
          <w:tcPr>
            <w:tcW w:w="460" w:type="dxa"/>
            <w:vAlign w:val="bottom"/>
          </w:tcPr>
          <w:p>
            <w:pPr>
              <w:spacing w:after="0"/>
              <w:rPr>
                <w:sz w:val="15"/>
                <w:szCs w:val="15"/>
                <w:color w:val="auto"/>
              </w:rPr>
            </w:pPr>
          </w:p>
        </w:tc>
        <w:tc>
          <w:tcPr>
            <w:tcW w:w="1300" w:type="dxa"/>
            <w:vAlign w:val="bottom"/>
          </w:tcPr>
          <w:p>
            <w:pPr>
              <w:jc w:val="right"/>
              <w:ind w:right="102"/>
              <w:spacing w:after="0" w:line="173"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280" w:type="dxa"/>
            <w:vAlign w:val="bottom"/>
          </w:tcPr>
          <w:p>
            <w:pPr>
              <w:jc w:val="right"/>
              <w:ind w:right="82"/>
              <w:spacing w:after="0" w:line="173"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300" w:type="dxa"/>
            <w:vAlign w:val="bottom"/>
          </w:tcPr>
          <w:p>
            <w:pPr>
              <w:jc w:val="right"/>
              <w:ind w:right="82"/>
              <w:spacing w:after="0" w:line="173" w:lineRule="exact"/>
              <w:rPr>
                <w:sz w:val="20"/>
                <w:szCs w:val="20"/>
                <w:color w:val="auto"/>
              </w:rPr>
            </w:pPr>
            <w:r>
              <w:rPr>
                <w:rFonts w:ascii="Arial" w:cs="Arial" w:eastAsia="Arial" w:hAnsi="Arial"/>
                <w:sz w:val="16"/>
                <w:szCs w:val="16"/>
                <w:color w:val="auto"/>
              </w:rPr>
              <w:t>1</w:t>
            </w:r>
          </w:p>
        </w:tc>
        <w:tc>
          <w:tcPr>
            <w:tcW w:w="38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4860" w:type="dxa"/>
            <w:vAlign w:val="bottom"/>
          </w:tcPr>
          <w:p>
            <w:pPr>
              <w:ind w:left="180"/>
              <w:spacing w:after="0" w:line="173" w:lineRule="exact"/>
              <w:rPr>
                <w:sz w:val="20"/>
                <w:szCs w:val="20"/>
                <w:color w:val="auto"/>
              </w:rPr>
            </w:pPr>
            <w:r>
              <w:rPr>
                <w:rFonts w:ascii="Arial" w:cs="Arial" w:eastAsia="Arial" w:hAnsi="Arial"/>
                <w:sz w:val="16"/>
                <w:szCs w:val="16"/>
                <w:color w:val="auto"/>
              </w:rPr>
              <w:t>Commodity contracts subject to rate recovery</w:t>
            </w:r>
          </w:p>
        </w:tc>
        <w:tc>
          <w:tcPr>
            <w:tcW w:w="460" w:type="dxa"/>
            <w:vAlign w:val="bottom"/>
          </w:tcPr>
          <w:p>
            <w:pPr>
              <w:spacing w:after="0"/>
              <w:rPr>
                <w:sz w:val="15"/>
                <w:szCs w:val="15"/>
                <w:color w:val="auto"/>
              </w:rPr>
            </w:pPr>
          </w:p>
        </w:tc>
        <w:tc>
          <w:tcPr>
            <w:tcW w:w="1300" w:type="dxa"/>
            <w:vAlign w:val="bottom"/>
          </w:tcPr>
          <w:p>
            <w:pPr>
              <w:jc w:val="right"/>
              <w:ind w:right="102"/>
              <w:spacing w:after="0" w:line="173" w:lineRule="exact"/>
              <w:rPr>
                <w:sz w:val="20"/>
                <w:szCs w:val="20"/>
                <w:color w:val="auto"/>
              </w:rPr>
            </w:pPr>
            <w:r>
              <w:rPr>
                <w:rFonts w:ascii="Arial" w:cs="Arial" w:eastAsia="Arial" w:hAnsi="Arial"/>
                <w:sz w:val="16"/>
                <w:szCs w:val="16"/>
                <w:color w:val="auto"/>
              </w:rPr>
              <w:t>35</w:t>
            </w:r>
          </w:p>
        </w:tc>
        <w:tc>
          <w:tcPr>
            <w:tcW w:w="340" w:type="dxa"/>
            <w:vAlign w:val="bottom"/>
          </w:tcPr>
          <w:p>
            <w:pPr>
              <w:spacing w:after="0"/>
              <w:rPr>
                <w:sz w:val="15"/>
                <w:szCs w:val="15"/>
                <w:color w:val="auto"/>
              </w:rPr>
            </w:pPr>
          </w:p>
        </w:tc>
        <w:tc>
          <w:tcPr>
            <w:tcW w:w="1280" w:type="dxa"/>
            <w:vAlign w:val="bottom"/>
          </w:tcPr>
          <w:p>
            <w:pPr>
              <w:jc w:val="right"/>
              <w:ind w:right="82"/>
              <w:spacing w:after="0" w:line="173" w:lineRule="exact"/>
              <w:rPr>
                <w:sz w:val="20"/>
                <w:szCs w:val="20"/>
                <w:color w:val="auto"/>
              </w:rPr>
            </w:pPr>
            <w:r>
              <w:rPr>
                <w:rFonts w:ascii="Arial" w:cs="Arial" w:eastAsia="Arial" w:hAnsi="Arial"/>
                <w:sz w:val="16"/>
                <w:szCs w:val="16"/>
                <w:color w:val="auto"/>
              </w:rPr>
              <w:t>72</w:t>
            </w:r>
          </w:p>
        </w:tc>
        <w:tc>
          <w:tcPr>
            <w:tcW w:w="340" w:type="dxa"/>
            <w:vAlign w:val="bottom"/>
          </w:tcPr>
          <w:p>
            <w:pPr>
              <w:spacing w:after="0"/>
              <w:rPr>
                <w:sz w:val="15"/>
                <w:szCs w:val="15"/>
                <w:color w:val="auto"/>
              </w:rPr>
            </w:pPr>
          </w:p>
        </w:tc>
        <w:tc>
          <w:tcPr>
            <w:tcW w:w="1300" w:type="dxa"/>
            <w:vAlign w:val="bottom"/>
          </w:tcPr>
          <w:p>
            <w:pPr>
              <w:jc w:val="right"/>
              <w:ind w:right="42"/>
              <w:spacing w:after="0" w:line="173" w:lineRule="exact"/>
              <w:rPr>
                <w:sz w:val="20"/>
                <w:szCs w:val="20"/>
                <w:color w:val="auto"/>
              </w:rPr>
            </w:pPr>
            <w:r>
              <w:rPr>
                <w:rFonts w:ascii="Arial" w:cs="Arial" w:eastAsia="Arial" w:hAnsi="Arial"/>
                <w:sz w:val="16"/>
                <w:szCs w:val="16"/>
                <w:color w:val="auto"/>
              </w:rPr>
              <w:t>(10)</w:t>
            </w:r>
          </w:p>
        </w:tc>
        <w:tc>
          <w:tcPr>
            <w:tcW w:w="38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1"/>
        </w:trPr>
        <w:tc>
          <w:tcPr>
            <w:tcW w:w="48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41"/>
        </w:trPr>
        <w:tc>
          <w:tcPr>
            <w:tcW w:w="4860" w:type="dxa"/>
            <w:vAlign w:val="bottom"/>
          </w:tcPr>
          <w:p>
            <w:pPr>
              <w:ind w:left="180"/>
              <w:spacing w:after="0" w:line="142" w:lineRule="exact"/>
              <w:rPr>
                <w:sz w:val="20"/>
                <w:szCs w:val="20"/>
                <w:color w:val="auto"/>
              </w:rPr>
            </w:pPr>
            <w:r>
              <w:rPr>
                <w:rFonts w:ascii="Arial" w:cs="Arial" w:eastAsia="Arial" w:hAnsi="Arial"/>
                <w:sz w:val="16"/>
                <w:szCs w:val="16"/>
                <w:color w:val="auto"/>
              </w:rPr>
              <w:t>Net amounts presented on the balance sheet</w:t>
            </w:r>
          </w:p>
        </w:tc>
        <w:tc>
          <w:tcPr>
            <w:tcW w:w="460" w:type="dxa"/>
            <w:vAlign w:val="bottom"/>
          </w:tcPr>
          <w:p>
            <w:pPr>
              <w:spacing w:after="0"/>
              <w:rPr>
                <w:sz w:val="12"/>
                <w:szCs w:val="12"/>
                <w:color w:val="auto"/>
              </w:rPr>
            </w:pPr>
          </w:p>
        </w:tc>
        <w:tc>
          <w:tcPr>
            <w:tcW w:w="1300" w:type="dxa"/>
            <w:vAlign w:val="bottom"/>
          </w:tcPr>
          <w:p>
            <w:pPr>
              <w:jc w:val="right"/>
              <w:ind w:right="102"/>
              <w:spacing w:after="0" w:line="142" w:lineRule="exact"/>
              <w:rPr>
                <w:sz w:val="20"/>
                <w:szCs w:val="20"/>
                <w:color w:val="auto"/>
              </w:rPr>
            </w:pPr>
            <w:r>
              <w:rPr>
                <w:rFonts w:ascii="Arial" w:cs="Arial" w:eastAsia="Arial" w:hAnsi="Arial"/>
                <w:sz w:val="16"/>
                <w:szCs w:val="16"/>
                <w:color w:val="auto"/>
              </w:rPr>
              <w:t>58</w:t>
            </w:r>
          </w:p>
        </w:tc>
        <w:tc>
          <w:tcPr>
            <w:tcW w:w="340" w:type="dxa"/>
            <w:vAlign w:val="bottom"/>
          </w:tcPr>
          <w:p>
            <w:pPr>
              <w:spacing w:after="0"/>
              <w:rPr>
                <w:sz w:val="12"/>
                <w:szCs w:val="12"/>
                <w:color w:val="auto"/>
              </w:rPr>
            </w:pPr>
          </w:p>
        </w:tc>
        <w:tc>
          <w:tcPr>
            <w:tcW w:w="1280" w:type="dxa"/>
            <w:vAlign w:val="bottom"/>
          </w:tcPr>
          <w:p>
            <w:pPr>
              <w:jc w:val="right"/>
              <w:ind w:right="82"/>
              <w:spacing w:after="0" w:line="142" w:lineRule="exact"/>
              <w:rPr>
                <w:sz w:val="20"/>
                <w:szCs w:val="20"/>
                <w:color w:val="auto"/>
              </w:rPr>
            </w:pPr>
            <w:r>
              <w:rPr>
                <w:rFonts w:ascii="Arial" w:cs="Arial" w:eastAsia="Arial" w:hAnsi="Arial"/>
                <w:sz w:val="16"/>
                <w:szCs w:val="16"/>
                <w:color w:val="auto"/>
              </w:rPr>
              <w:t>106</w:t>
            </w:r>
          </w:p>
        </w:tc>
        <w:tc>
          <w:tcPr>
            <w:tcW w:w="340" w:type="dxa"/>
            <w:vAlign w:val="bottom"/>
          </w:tcPr>
          <w:p>
            <w:pPr>
              <w:spacing w:after="0"/>
              <w:rPr>
                <w:sz w:val="12"/>
                <w:szCs w:val="12"/>
                <w:color w:val="auto"/>
              </w:rPr>
            </w:pPr>
          </w:p>
        </w:tc>
        <w:tc>
          <w:tcPr>
            <w:tcW w:w="1300" w:type="dxa"/>
            <w:vAlign w:val="bottom"/>
          </w:tcPr>
          <w:p>
            <w:pPr>
              <w:jc w:val="right"/>
              <w:ind w:right="42"/>
              <w:spacing w:after="0" w:line="142" w:lineRule="exact"/>
              <w:rPr>
                <w:sz w:val="20"/>
                <w:szCs w:val="20"/>
                <w:color w:val="auto"/>
              </w:rPr>
            </w:pPr>
            <w:r>
              <w:rPr>
                <w:rFonts w:ascii="Arial" w:cs="Arial" w:eastAsia="Arial" w:hAnsi="Arial"/>
                <w:sz w:val="16"/>
                <w:szCs w:val="16"/>
                <w:color w:val="auto"/>
              </w:rPr>
              <w:t>(39)</w:t>
            </w:r>
          </w:p>
        </w:tc>
        <w:tc>
          <w:tcPr>
            <w:tcW w:w="38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73"/>
        </w:trPr>
        <w:tc>
          <w:tcPr>
            <w:tcW w:w="4860" w:type="dxa"/>
            <w:vAlign w:val="bottom"/>
          </w:tcPr>
          <w:p>
            <w:pPr>
              <w:ind w:left="180"/>
              <w:spacing w:after="0" w:line="173" w:lineRule="exact"/>
              <w:rPr>
                <w:sz w:val="20"/>
                <w:szCs w:val="20"/>
                <w:color w:val="auto"/>
              </w:rPr>
            </w:pPr>
            <w:r>
              <w:rPr>
                <w:rFonts w:ascii="Arial" w:cs="Arial" w:eastAsia="Arial" w:hAnsi="Arial"/>
                <w:sz w:val="16"/>
                <w:szCs w:val="16"/>
                <w:color w:val="auto"/>
              </w:rPr>
              <w:t>Additional cash collateral for commodity contracts</w:t>
            </w: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860" w:type="dxa"/>
            <w:vAlign w:val="bottom"/>
          </w:tcPr>
          <w:p>
            <w:pPr>
              <w:ind w:left="360"/>
              <w:spacing w:after="0"/>
              <w:rPr>
                <w:sz w:val="20"/>
                <w:szCs w:val="20"/>
                <w:color w:val="auto"/>
              </w:rPr>
            </w:pPr>
            <w:r>
              <w:rPr>
                <w:rFonts w:ascii="Arial" w:cs="Arial" w:eastAsia="Arial" w:hAnsi="Arial"/>
                <w:sz w:val="16"/>
                <w:szCs w:val="16"/>
                <w:color w:val="auto"/>
              </w:rPr>
              <w:t>not subject to rate recovery</w:t>
            </w:r>
          </w:p>
        </w:tc>
        <w:tc>
          <w:tcPr>
            <w:tcW w:w="46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17</w:t>
            </w:r>
          </w:p>
        </w:tc>
        <w:tc>
          <w:tcPr>
            <w:tcW w:w="340" w:type="dxa"/>
            <w:vAlign w:val="bottom"/>
          </w:tcPr>
          <w:p>
            <w:pPr>
              <w:spacing w:after="0"/>
              <w:rPr>
                <w:sz w:val="17"/>
                <w:szCs w:val="17"/>
                <w:color w:val="auto"/>
              </w:rPr>
            </w:pP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486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60" w:type="dxa"/>
            <w:vAlign w:val="bottom"/>
          </w:tcPr>
          <w:p>
            <w:pPr>
              <w:spacing w:after="0"/>
              <w:rPr>
                <w:sz w:val="16"/>
                <w:szCs w:val="16"/>
                <w:color w:val="auto"/>
              </w:rPr>
            </w:pPr>
          </w:p>
        </w:tc>
        <w:tc>
          <w:tcPr>
            <w:tcW w:w="1300" w:type="dxa"/>
            <w:vAlign w:val="bottom"/>
            <w:vMerge w:val="restart"/>
          </w:tcPr>
          <w:p>
            <w:pPr>
              <w:jc w:val="right"/>
              <w:ind w:right="102"/>
              <w:spacing w:after="0"/>
              <w:rPr>
                <w:sz w:val="20"/>
                <w:szCs w:val="20"/>
                <w:color w:val="auto"/>
              </w:rPr>
            </w:pPr>
            <w:r>
              <w:rPr>
                <w:rFonts w:ascii="Arial" w:cs="Arial" w:eastAsia="Arial" w:hAnsi="Arial"/>
                <w:sz w:val="16"/>
                <w:szCs w:val="16"/>
                <w:color w:val="auto"/>
              </w:rPr>
              <w:t>31</w:t>
            </w:r>
          </w:p>
        </w:tc>
        <w:tc>
          <w:tcPr>
            <w:tcW w:w="340" w:type="dxa"/>
            <w:vAlign w:val="bottom"/>
          </w:tcPr>
          <w:p>
            <w:pPr>
              <w:spacing w:after="0"/>
              <w:rPr>
                <w:sz w:val="16"/>
                <w:szCs w:val="16"/>
                <w:color w:val="auto"/>
              </w:rPr>
            </w:pPr>
          </w:p>
        </w:tc>
        <w:tc>
          <w:tcPr>
            <w:tcW w:w="1280" w:type="dxa"/>
            <w:vAlign w:val="bottom"/>
            <w:vMerge w:val="restart"/>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300" w:type="dxa"/>
            <w:vAlign w:val="bottom"/>
            <w:vMerge w:val="restart"/>
          </w:tcPr>
          <w:p>
            <w:pPr>
              <w:jc w:val="right"/>
              <w:ind w:right="82"/>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48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860" w:type="dxa"/>
            <w:vAlign w:val="bottom"/>
          </w:tcPr>
          <w:p>
            <w:pPr>
              <w:ind w:left="180"/>
              <w:spacing w:after="0" w:line="166" w:lineRule="exact"/>
              <w:rPr>
                <w:sz w:val="20"/>
                <w:szCs w:val="20"/>
                <w:color w:val="auto"/>
              </w:rPr>
            </w:pPr>
            <w:r>
              <w:rPr>
                <w:rFonts w:ascii="Arial" w:cs="Arial" w:eastAsia="Arial" w:hAnsi="Arial"/>
                <w:sz w:val="16"/>
                <w:szCs w:val="16"/>
                <w:color w:val="auto"/>
              </w:rPr>
              <w:t>Total</w:t>
            </w:r>
          </w:p>
        </w:tc>
        <w:tc>
          <w:tcPr>
            <w:tcW w:w="460" w:type="dxa"/>
            <w:vAlign w:val="bottom"/>
          </w:tcPr>
          <w:p>
            <w:pPr>
              <w:jc w:val="right"/>
              <w:ind w:right="60"/>
              <w:spacing w:after="0" w:line="166"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02"/>
              <w:spacing w:after="0" w:line="166" w:lineRule="exact"/>
              <w:rPr>
                <w:sz w:val="20"/>
                <w:szCs w:val="20"/>
                <w:color w:val="auto"/>
              </w:rPr>
            </w:pPr>
            <w:r>
              <w:rPr>
                <w:rFonts w:ascii="Arial" w:cs="Arial" w:eastAsia="Arial" w:hAnsi="Arial"/>
                <w:sz w:val="16"/>
                <w:szCs w:val="16"/>
                <w:color w:val="auto"/>
              </w:rPr>
              <w:t>106</w:t>
            </w:r>
          </w:p>
        </w:tc>
        <w:tc>
          <w:tcPr>
            <w:tcW w:w="340" w:type="dxa"/>
            <w:vAlign w:val="bottom"/>
          </w:tcPr>
          <w:p>
            <w:pPr>
              <w:jc w:val="right"/>
              <w:ind w:right="60"/>
              <w:spacing w:after="0" w:line="16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82"/>
              <w:spacing w:after="0" w:line="166" w:lineRule="exact"/>
              <w:rPr>
                <w:sz w:val="20"/>
                <w:szCs w:val="20"/>
                <w:color w:val="auto"/>
              </w:rPr>
            </w:pPr>
            <w:r>
              <w:rPr>
                <w:rFonts w:ascii="Arial" w:cs="Arial" w:eastAsia="Arial" w:hAnsi="Arial"/>
                <w:sz w:val="16"/>
                <w:szCs w:val="16"/>
                <w:color w:val="auto"/>
              </w:rPr>
              <w:t>106</w:t>
            </w:r>
          </w:p>
        </w:tc>
        <w:tc>
          <w:tcPr>
            <w:tcW w:w="340" w:type="dxa"/>
            <w:vAlign w:val="bottom"/>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line="166" w:lineRule="exact"/>
              <w:rPr>
                <w:sz w:val="20"/>
                <w:szCs w:val="20"/>
                <w:color w:val="auto"/>
              </w:rPr>
            </w:pPr>
            <w:r>
              <w:rPr>
                <w:rFonts w:ascii="Arial" w:cs="Arial" w:eastAsia="Arial" w:hAnsi="Arial"/>
                <w:sz w:val="16"/>
                <w:szCs w:val="16"/>
                <w:color w:val="auto"/>
              </w:rPr>
              <w:t>(39)</w:t>
            </w:r>
          </w:p>
        </w:tc>
        <w:tc>
          <w:tcPr>
            <w:tcW w:w="380" w:type="dxa"/>
            <w:vAlign w:val="bottom"/>
          </w:tcPr>
          <w:p>
            <w:pPr>
              <w:jc w:val="right"/>
              <w:ind w:right="100"/>
              <w:spacing w:after="0" w:line="166"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66"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80"/>
        </w:trPr>
        <w:tc>
          <w:tcPr>
            <w:tcW w:w="486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28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860" w:type="dxa"/>
            <w:vAlign w:val="bottom"/>
          </w:tcPr>
          <w:p>
            <w:pPr>
              <w:spacing w:after="0" w:line="142" w:lineRule="exact"/>
              <w:rPr>
                <w:sz w:val="20"/>
                <w:szCs w:val="20"/>
                <w:color w:val="auto"/>
              </w:rPr>
            </w:pPr>
            <w:r>
              <w:rPr>
                <w:rFonts w:ascii="Arial" w:cs="Arial" w:eastAsia="Arial" w:hAnsi="Arial"/>
                <w:sz w:val="16"/>
                <w:szCs w:val="16"/>
                <w:b w:val="1"/>
                <w:bCs w:val="1"/>
                <w:color w:val="auto"/>
              </w:rPr>
              <w:t>SDG&amp;E:</w:t>
            </w:r>
          </w:p>
        </w:tc>
        <w:tc>
          <w:tcPr>
            <w:tcW w:w="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60" w:type="dxa"/>
            <w:vAlign w:val="bottom"/>
          </w:tcPr>
          <w:p>
            <w:pPr>
              <w:spacing w:after="0" w:line="173" w:lineRule="exact"/>
              <w:rPr>
                <w:sz w:val="20"/>
                <w:szCs w:val="20"/>
                <w:color w:val="auto"/>
              </w:rPr>
            </w:pPr>
            <w:r>
              <w:rPr>
                <w:rFonts w:ascii="Arial" w:cs="Arial" w:eastAsia="Arial" w:hAnsi="Arial"/>
                <w:sz w:val="16"/>
                <w:szCs w:val="16"/>
                <w:color w:val="auto"/>
              </w:rPr>
              <w:t>Derivatives designated as hedging instruments:</w:t>
            </w: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860" w:type="dxa"/>
            <w:vAlign w:val="bottom"/>
          </w:tcPr>
          <w:p>
            <w:pPr>
              <w:ind w:left="180"/>
              <w:spacing w:after="0"/>
              <w:rPr>
                <w:sz w:val="20"/>
                <w:szCs w:val="20"/>
                <w:color w:val="auto"/>
              </w:rPr>
            </w:pPr>
            <w:r>
              <w:rPr>
                <w:rFonts w:ascii="Arial" w:cs="Arial" w:eastAsia="Arial" w:hAnsi="Arial"/>
                <w:sz w:val="16"/>
                <w:szCs w:val="16"/>
                <w:color w:val="auto"/>
              </w:rPr>
              <w:t>Interest rate instruments(3)</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(16)</w:t>
            </w:r>
          </w:p>
        </w:tc>
        <w:tc>
          <w:tcPr>
            <w:tcW w:w="3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73"/>
        </w:trPr>
        <w:tc>
          <w:tcPr>
            <w:tcW w:w="4860" w:type="dxa"/>
            <w:vAlign w:val="bottom"/>
          </w:tcPr>
          <w:p>
            <w:pPr>
              <w:spacing w:after="0" w:line="173" w:lineRule="exact"/>
              <w:rPr>
                <w:sz w:val="20"/>
                <w:szCs w:val="20"/>
                <w:color w:val="auto"/>
              </w:rPr>
            </w:pPr>
            <w:r>
              <w:rPr>
                <w:rFonts w:ascii="Arial" w:cs="Arial" w:eastAsia="Arial" w:hAnsi="Arial"/>
                <w:sz w:val="16"/>
                <w:szCs w:val="16"/>
                <w:color w:val="auto"/>
              </w:rPr>
              <w:t>Derivatives not designated as hedging instruments:</w:t>
            </w: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tcPr>
          <w:p>
            <w:pPr>
              <w:ind w:left="180"/>
              <w:spacing w:after="0" w:line="173" w:lineRule="exact"/>
              <w:rPr>
                <w:sz w:val="20"/>
                <w:szCs w:val="20"/>
                <w:color w:val="auto"/>
              </w:rPr>
            </w:pPr>
            <w:r>
              <w:rPr>
                <w:rFonts w:ascii="Arial" w:cs="Arial" w:eastAsia="Arial" w:hAnsi="Arial"/>
                <w:sz w:val="16"/>
                <w:szCs w:val="16"/>
                <w:color w:val="auto"/>
              </w:rPr>
              <w:t>Commodity contracts subject to rate recovery</w:t>
            </w:r>
          </w:p>
        </w:tc>
        <w:tc>
          <w:tcPr>
            <w:tcW w:w="460" w:type="dxa"/>
            <w:vAlign w:val="bottom"/>
          </w:tcPr>
          <w:p>
            <w:pPr>
              <w:spacing w:after="0"/>
              <w:rPr>
                <w:sz w:val="15"/>
                <w:szCs w:val="15"/>
                <w:color w:val="auto"/>
              </w:rPr>
            </w:pPr>
          </w:p>
        </w:tc>
        <w:tc>
          <w:tcPr>
            <w:tcW w:w="1300" w:type="dxa"/>
            <w:vAlign w:val="bottom"/>
          </w:tcPr>
          <w:p>
            <w:pPr>
              <w:jc w:val="right"/>
              <w:ind w:right="102"/>
              <w:spacing w:after="0" w:line="173" w:lineRule="exact"/>
              <w:rPr>
                <w:sz w:val="20"/>
                <w:szCs w:val="20"/>
                <w:color w:val="auto"/>
              </w:rPr>
            </w:pPr>
            <w:r>
              <w:rPr>
                <w:rFonts w:ascii="Arial" w:cs="Arial" w:eastAsia="Arial" w:hAnsi="Arial"/>
                <w:sz w:val="16"/>
                <w:szCs w:val="16"/>
                <w:color w:val="auto"/>
              </w:rPr>
              <w:t>34</w:t>
            </w:r>
          </w:p>
        </w:tc>
        <w:tc>
          <w:tcPr>
            <w:tcW w:w="340" w:type="dxa"/>
            <w:vAlign w:val="bottom"/>
          </w:tcPr>
          <w:p>
            <w:pPr>
              <w:spacing w:after="0"/>
              <w:rPr>
                <w:sz w:val="15"/>
                <w:szCs w:val="15"/>
                <w:color w:val="auto"/>
              </w:rPr>
            </w:pPr>
          </w:p>
        </w:tc>
        <w:tc>
          <w:tcPr>
            <w:tcW w:w="1280" w:type="dxa"/>
            <w:vAlign w:val="bottom"/>
          </w:tcPr>
          <w:p>
            <w:pPr>
              <w:jc w:val="right"/>
              <w:ind w:right="82"/>
              <w:spacing w:after="0" w:line="173" w:lineRule="exact"/>
              <w:rPr>
                <w:sz w:val="20"/>
                <w:szCs w:val="20"/>
                <w:color w:val="auto"/>
              </w:rPr>
            </w:pPr>
            <w:r>
              <w:rPr>
                <w:rFonts w:ascii="Arial" w:cs="Arial" w:eastAsia="Arial" w:hAnsi="Arial"/>
                <w:sz w:val="16"/>
                <w:szCs w:val="16"/>
                <w:color w:val="auto"/>
              </w:rPr>
              <w:t>72</w:t>
            </w:r>
          </w:p>
        </w:tc>
        <w:tc>
          <w:tcPr>
            <w:tcW w:w="340" w:type="dxa"/>
            <w:vAlign w:val="bottom"/>
          </w:tcPr>
          <w:p>
            <w:pPr>
              <w:spacing w:after="0"/>
              <w:rPr>
                <w:sz w:val="15"/>
                <w:szCs w:val="15"/>
                <w:color w:val="auto"/>
              </w:rPr>
            </w:pPr>
          </w:p>
        </w:tc>
        <w:tc>
          <w:tcPr>
            <w:tcW w:w="1300" w:type="dxa"/>
            <w:vAlign w:val="bottom"/>
          </w:tcPr>
          <w:p>
            <w:pPr>
              <w:jc w:val="right"/>
              <w:ind w:right="42"/>
              <w:spacing w:after="0" w:line="173" w:lineRule="exact"/>
              <w:rPr>
                <w:sz w:val="20"/>
                <w:szCs w:val="20"/>
                <w:color w:val="auto"/>
              </w:rPr>
            </w:pPr>
            <w:r>
              <w:rPr>
                <w:rFonts w:ascii="Arial" w:cs="Arial" w:eastAsia="Arial" w:hAnsi="Arial"/>
                <w:sz w:val="16"/>
                <w:szCs w:val="16"/>
                <w:color w:val="auto"/>
              </w:rPr>
              <w:t>(9)</w:t>
            </w:r>
          </w:p>
        </w:tc>
        <w:tc>
          <w:tcPr>
            <w:tcW w:w="38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1"/>
        </w:trPr>
        <w:tc>
          <w:tcPr>
            <w:tcW w:w="48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8"/>
        </w:trPr>
        <w:tc>
          <w:tcPr>
            <w:tcW w:w="4860" w:type="dxa"/>
            <w:vAlign w:val="bottom"/>
          </w:tcPr>
          <w:p>
            <w:pPr>
              <w:ind w:left="180"/>
              <w:spacing w:after="0" w:line="168" w:lineRule="exact"/>
              <w:rPr>
                <w:sz w:val="20"/>
                <w:szCs w:val="20"/>
                <w:color w:val="auto"/>
              </w:rPr>
            </w:pPr>
            <w:r>
              <w:rPr>
                <w:rFonts w:ascii="Arial" w:cs="Arial" w:eastAsia="Arial" w:hAnsi="Arial"/>
                <w:sz w:val="16"/>
                <w:szCs w:val="16"/>
                <w:color w:val="auto"/>
              </w:rPr>
              <w:t>Net amounts presented on the balance sheet</w:t>
            </w:r>
          </w:p>
        </w:tc>
        <w:tc>
          <w:tcPr>
            <w:tcW w:w="460" w:type="dxa"/>
            <w:vAlign w:val="bottom"/>
          </w:tcPr>
          <w:p>
            <w:pPr>
              <w:spacing w:after="0"/>
              <w:rPr>
                <w:sz w:val="14"/>
                <w:szCs w:val="14"/>
                <w:color w:val="auto"/>
              </w:rPr>
            </w:pPr>
          </w:p>
        </w:tc>
        <w:tc>
          <w:tcPr>
            <w:tcW w:w="1300" w:type="dxa"/>
            <w:vAlign w:val="bottom"/>
          </w:tcPr>
          <w:p>
            <w:pPr>
              <w:jc w:val="right"/>
              <w:ind w:right="102"/>
              <w:spacing w:after="0" w:line="168" w:lineRule="exact"/>
              <w:rPr>
                <w:sz w:val="20"/>
                <w:szCs w:val="20"/>
                <w:color w:val="auto"/>
              </w:rPr>
            </w:pPr>
            <w:r>
              <w:rPr>
                <w:rFonts w:ascii="Arial" w:cs="Arial" w:eastAsia="Arial" w:hAnsi="Arial"/>
                <w:sz w:val="16"/>
                <w:szCs w:val="16"/>
                <w:color w:val="auto"/>
              </w:rPr>
              <w:t>31</w:t>
            </w:r>
          </w:p>
        </w:tc>
        <w:tc>
          <w:tcPr>
            <w:tcW w:w="340" w:type="dxa"/>
            <w:vAlign w:val="bottom"/>
          </w:tcPr>
          <w:p>
            <w:pPr>
              <w:spacing w:after="0"/>
              <w:rPr>
                <w:sz w:val="14"/>
                <w:szCs w:val="14"/>
                <w:color w:val="auto"/>
              </w:rPr>
            </w:pPr>
          </w:p>
        </w:tc>
        <w:tc>
          <w:tcPr>
            <w:tcW w:w="1280" w:type="dxa"/>
            <w:vAlign w:val="bottom"/>
          </w:tcPr>
          <w:p>
            <w:pPr>
              <w:jc w:val="right"/>
              <w:ind w:right="82"/>
              <w:spacing w:after="0" w:line="168" w:lineRule="exact"/>
              <w:rPr>
                <w:sz w:val="20"/>
                <w:szCs w:val="20"/>
                <w:color w:val="auto"/>
              </w:rPr>
            </w:pPr>
            <w:r>
              <w:rPr>
                <w:rFonts w:ascii="Arial" w:cs="Arial" w:eastAsia="Arial" w:hAnsi="Arial"/>
                <w:sz w:val="16"/>
                <w:szCs w:val="16"/>
                <w:color w:val="auto"/>
              </w:rPr>
              <w:t>70</w:t>
            </w:r>
          </w:p>
        </w:tc>
        <w:tc>
          <w:tcPr>
            <w:tcW w:w="340" w:type="dxa"/>
            <w:vAlign w:val="bottom"/>
          </w:tcPr>
          <w:p>
            <w:pPr>
              <w:spacing w:after="0"/>
              <w:rPr>
                <w:sz w:val="14"/>
                <w:szCs w:val="14"/>
                <w:color w:val="auto"/>
              </w:rPr>
            </w:pPr>
          </w:p>
        </w:tc>
        <w:tc>
          <w:tcPr>
            <w:tcW w:w="1300" w:type="dxa"/>
            <w:vAlign w:val="bottom"/>
          </w:tcPr>
          <w:p>
            <w:pPr>
              <w:jc w:val="right"/>
              <w:ind w:right="42"/>
              <w:spacing w:after="0" w:line="168" w:lineRule="exact"/>
              <w:rPr>
                <w:sz w:val="20"/>
                <w:szCs w:val="20"/>
                <w:color w:val="auto"/>
              </w:rPr>
            </w:pPr>
            <w:r>
              <w:rPr>
                <w:rFonts w:ascii="Arial" w:cs="Arial" w:eastAsia="Arial" w:hAnsi="Arial"/>
                <w:sz w:val="16"/>
                <w:szCs w:val="16"/>
                <w:color w:val="auto"/>
              </w:rPr>
              <w:t>(22)</w:t>
            </w:r>
          </w:p>
        </w:tc>
        <w:tc>
          <w:tcPr>
            <w:tcW w:w="38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73"/>
        </w:trPr>
        <w:tc>
          <w:tcPr>
            <w:tcW w:w="4860" w:type="dxa"/>
            <w:vAlign w:val="bottom"/>
          </w:tcPr>
          <w:p>
            <w:pPr>
              <w:ind w:left="180"/>
              <w:spacing w:after="0" w:line="173" w:lineRule="exact"/>
              <w:rPr>
                <w:sz w:val="20"/>
                <w:szCs w:val="20"/>
                <w:color w:val="auto"/>
              </w:rPr>
            </w:pPr>
            <w:r>
              <w:rPr>
                <w:rFonts w:ascii="Arial" w:cs="Arial" w:eastAsia="Arial" w:hAnsi="Arial"/>
                <w:sz w:val="16"/>
                <w:szCs w:val="16"/>
                <w:color w:val="auto"/>
              </w:rPr>
              <w:t>Additional cash collateral for commodity contracts</w:t>
            </w: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860" w:type="dxa"/>
            <w:vAlign w:val="bottom"/>
          </w:tcPr>
          <w:p>
            <w:pPr>
              <w:ind w:left="360"/>
              <w:spacing w:after="0"/>
              <w:rPr>
                <w:sz w:val="20"/>
                <w:szCs w:val="20"/>
                <w:color w:val="auto"/>
              </w:rPr>
            </w:pPr>
            <w:r>
              <w:rPr>
                <w:rFonts w:ascii="Arial" w:cs="Arial" w:eastAsia="Arial" w:hAnsi="Arial"/>
                <w:sz w:val="16"/>
                <w:szCs w:val="16"/>
                <w:color w:val="auto"/>
              </w:rPr>
              <w:t>not subject to rate recovery</w:t>
            </w:r>
          </w:p>
        </w:tc>
        <w:tc>
          <w:tcPr>
            <w:tcW w:w="46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7"/>
                <w:szCs w:val="17"/>
                <w:color w:val="auto"/>
              </w:rPr>
            </w:pP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486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60" w:type="dxa"/>
            <w:vAlign w:val="bottom"/>
          </w:tcPr>
          <w:p>
            <w:pPr>
              <w:spacing w:after="0"/>
              <w:rPr>
                <w:sz w:val="16"/>
                <w:szCs w:val="16"/>
                <w:color w:val="auto"/>
              </w:rPr>
            </w:pPr>
          </w:p>
        </w:tc>
        <w:tc>
          <w:tcPr>
            <w:tcW w:w="1300" w:type="dxa"/>
            <w:vAlign w:val="bottom"/>
            <w:vMerge w:val="restart"/>
          </w:tcPr>
          <w:p>
            <w:pPr>
              <w:jc w:val="right"/>
              <w:ind w:right="102"/>
              <w:spacing w:after="0"/>
              <w:rPr>
                <w:sz w:val="20"/>
                <w:szCs w:val="20"/>
                <w:color w:val="auto"/>
              </w:rPr>
            </w:pPr>
            <w:r>
              <w:rPr>
                <w:rFonts w:ascii="Arial" w:cs="Arial" w:eastAsia="Arial" w:hAnsi="Arial"/>
                <w:sz w:val="16"/>
                <w:szCs w:val="16"/>
                <w:color w:val="auto"/>
              </w:rPr>
              <w:t>29</w:t>
            </w:r>
          </w:p>
        </w:tc>
        <w:tc>
          <w:tcPr>
            <w:tcW w:w="340" w:type="dxa"/>
            <w:vAlign w:val="bottom"/>
          </w:tcPr>
          <w:p>
            <w:pPr>
              <w:spacing w:after="0"/>
              <w:rPr>
                <w:sz w:val="16"/>
                <w:szCs w:val="16"/>
                <w:color w:val="auto"/>
              </w:rPr>
            </w:pPr>
          </w:p>
        </w:tc>
        <w:tc>
          <w:tcPr>
            <w:tcW w:w="1280" w:type="dxa"/>
            <w:vAlign w:val="bottom"/>
            <w:vMerge w:val="restart"/>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300" w:type="dxa"/>
            <w:vAlign w:val="bottom"/>
            <w:vMerge w:val="restart"/>
          </w:tcPr>
          <w:p>
            <w:pPr>
              <w:jc w:val="right"/>
              <w:ind w:right="82"/>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48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860" w:type="dxa"/>
            <w:vAlign w:val="bottom"/>
          </w:tcPr>
          <w:p>
            <w:pPr>
              <w:ind w:left="180"/>
              <w:spacing w:after="0" w:line="166" w:lineRule="exact"/>
              <w:rPr>
                <w:sz w:val="20"/>
                <w:szCs w:val="20"/>
                <w:color w:val="auto"/>
              </w:rPr>
            </w:pPr>
            <w:r>
              <w:rPr>
                <w:rFonts w:ascii="Arial" w:cs="Arial" w:eastAsia="Arial" w:hAnsi="Arial"/>
                <w:sz w:val="16"/>
                <w:szCs w:val="16"/>
                <w:color w:val="auto"/>
              </w:rPr>
              <w:t>Total</w:t>
            </w:r>
          </w:p>
        </w:tc>
        <w:tc>
          <w:tcPr>
            <w:tcW w:w="460" w:type="dxa"/>
            <w:vAlign w:val="bottom"/>
          </w:tcPr>
          <w:p>
            <w:pPr>
              <w:jc w:val="right"/>
              <w:ind w:right="60"/>
              <w:spacing w:after="0" w:line="166"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02"/>
              <w:spacing w:after="0" w:line="166" w:lineRule="exact"/>
              <w:rPr>
                <w:sz w:val="20"/>
                <w:szCs w:val="20"/>
                <w:color w:val="auto"/>
              </w:rPr>
            </w:pPr>
            <w:r>
              <w:rPr>
                <w:rFonts w:ascii="Arial" w:cs="Arial" w:eastAsia="Arial" w:hAnsi="Arial"/>
                <w:sz w:val="16"/>
                <w:szCs w:val="16"/>
                <w:color w:val="auto"/>
              </w:rPr>
              <w:t>61</w:t>
            </w:r>
          </w:p>
        </w:tc>
        <w:tc>
          <w:tcPr>
            <w:tcW w:w="340" w:type="dxa"/>
            <w:vAlign w:val="bottom"/>
          </w:tcPr>
          <w:p>
            <w:pPr>
              <w:jc w:val="right"/>
              <w:ind w:right="60"/>
              <w:spacing w:after="0" w:line="16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82"/>
              <w:spacing w:after="0" w:line="166" w:lineRule="exact"/>
              <w:rPr>
                <w:sz w:val="20"/>
                <w:szCs w:val="20"/>
                <w:color w:val="auto"/>
              </w:rPr>
            </w:pPr>
            <w:r>
              <w:rPr>
                <w:rFonts w:ascii="Arial" w:cs="Arial" w:eastAsia="Arial" w:hAnsi="Arial"/>
                <w:sz w:val="16"/>
                <w:szCs w:val="16"/>
                <w:color w:val="auto"/>
              </w:rPr>
              <w:t>70</w:t>
            </w:r>
          </w:p>
        </w:tc>
        <w:tc>
          <w:tcPr>
            <w:tcW w:w="340" w:type="dxa"/>
            <w:vAlign w:val="bottom"/>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line="166" w:lineRule="exact"/>
              <w:rPr>
                <w:sz w:val="20"/>
                <w:szCs w:val="20"/>
                <w:color w:val="auto"/>
              </w:rPr>
            </w:pPr>
            <w:r>
              <w:rPr>
                <w:rFonts w:ascii="Arial" w:cs="Arial" w:eastAsia="Arial" w:hAnsi="Arial"/>
                <w:sz w:val="16"/>
                <w:szCs w:val="16"/>
                <w:color w:val="auto"/>
              </w:rPr>
              <w:t>(22)</w:t>
            </w:r>
          </w:p>
        </w:tc>
        <w:tc>
          <w:tcPr>
            <w:tcW w:w="380" w:type="dxa"/>
            <w:vAlign w:val="bottom"/>
          </w:tcPr>
          <w:p>
            <w:pPr>
              <w:jc w:val="right"/>
              <w:ind w:right="100"/>
              <w:spacing w:after="0" w:line="166"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66"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80"/>
        </w:trPr>
        <w:tc>
          <w:tcPr>
            <w:tcW w:w="486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28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860" w:type="dxa"/>
            <w:vAlign w:val="bottom"/>
          </w:tcPr>
          <w:p>
            <w:pPr>
              <w:spacing w:after="0" w:line="168" w:lineRule="exact"/>
              <w:rPr>
                <w:sz w:val="20"/>
                <w:szCs w:val="20"/>
                <w:color w:val="auto"/>
              </w:rPr>
            </w:pPr>
            <w:r>
              <w:rPr>
                <w:rFonts w:ascii="Arial" w:cs="Arial" w:eastAsia="Arial" w:hAnsi="Arial"/>
                <w:sz w:val="16"/>
                <w:szCs w:val="16"/>
                <w:b w:val="1"/>
                <w:bCs w:val="1"/>
                <w:color w:val="auto"/>
              </w:rPr>
              <w:t>SoCalGas:</w:t>
            </w: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86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46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ind w:right="102"/>
              <w:spacing w:after="0"/>
              <w:rPr>
                <w:sz w:val="20"/>
                <w:szCs w:val="20"/>
                <w:color w:val="auto"/>
              </w:rPr>
            </w:pPr>
            <w:r>
              <w:rPr>
                <w:rFonts w:ascii="Arial" w:cs="Arial" w:eastAsia="Arial" w:hAnsi="Arial"/>
                <w:sz w:val="16"/>
                <w:szCs w:val="16"/>
                <w:color w:val="auto"/>
              </w:rPr>
              <w:t>1</w:t>
            </w:r>
          </w:p>
        </w:tc>
        <w:tc>
          <w:tcPr>
            <w:tcW w:w="34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ind w:right="42"/>
              <w:spacing w:after="0"/>
              <w:rPr>
                <w:sz w:val="20"/>
                <w:szCs w:val="20"/>
                <w:color w:val="auto"/>
              </w:rPr>
            </w:pPr>
            <w:r>
              <w:rPr>
                <w:rFonts w:ascii="Arial" w:cs="Arial" w:eastAsia="Arial" w:hAnsi="Arial"/>
                <w:sz w:val="16"/>
                <w:szCs w:val="16"/>
                <w:color w:val="auto"/>
              </w:rPr>
              <w:t>(1)</w:t>
            </w:r>
          </w:p>
        </w:tc>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60" w:type="dxa"/>
            <w:vAlign w:val="bottom"/>
          </w:tcPr>
          <w:p>
            <w:pPr>
              <w:ind w:left="180"/>
              <w:spacing w:after="0" w:line="178" w:lineRule="exact"/>
              <w:rPr>
                <w:sz w:val="20"/>
                <w:szCs w:val="20"/>
                <w:color w:val="auto"/>
              </w:rPr>
            </w:pPr>
            <w:r>
              <w:rPr>
                <w:rFonts w:ascii="Arial" w:cs="Arial" w:eastAsia="Arial" w:hAnsi="Arial"/>
                <w:sz w:val="16"/>
                <w:szCs w:val="16"/>
                <w:color w:val="auto"/>
              </w:rPr>
              <w:t>Commodity contracts subject to rate recovery</w:t>
            </w:r>
          </w:p>
        </w:tc>
        <w:tc>
          <w:tcPr>
            <w:tcW w:w="4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860" w:type="dxa"/>
            <w:vAlign w:val="bottom"/>
          </w:tcPr>
          <w:p>
            <w:pPr>
              <w:ind w:left="180"/>
              <w:spacing w:after="0" w:line="168" w:lineRule="exact"/>
              <w:rPr>
                <w:sz w:val="20"/>
                <w:szCs w:val="20"/>
                <w:color w:val="auto"/>
              </w:rPr>
            </w:pPr>
            <w:r>
              <w:rPr>
                <w:rFonts w:ascii="Arial" w:cs="Arial" w:eastAsia="Arial" w:hAnsi="Arial"/>
                <w:sz w:val="16"/>
                <w:szCs w:val="16"/>
                <w:color w:val="auto"/>
              </w:rPr>
              <w:t>Net amounts presented on the balance sheet</w:t>
            </w:r>
          </w:p>
        </w:tc>
        <w:tc>
          <w:tcPr>
            <w:tcW w:w="460" w:type="dxa"/>
            <w:vAlign w:val="bottom"/>
          </w:tcPr>
          <w:p>
            <w:pPr>
              <w:spacing w:after="0"/>
              <w:rPr>
                <w:sz w:val="14"/>
                <w:szCs w:val="14"/>
                <w:color w:val="auto"/>
              </w:rPr>
            </w:pPr>
          </w:p>
        </w:tc>
        <w:tc>
          <w:tcPr>
            <w:tcW w:w="1300" w:type="dxa"/>
            <w:vAlign w:val="bottom"/>
          </w:tcPr>
          <w:p>
            <w:pPr>
              <w:jc w:val="right"/>
              <w:ind w:right="102"/>
              <w:spacing w:after="0" w:line="168" w:lineRule="exact"/>
              <w:rPr>
                <w:sz w:val="20"/>
                <w:szCs w:val="20"/>
                <w:color w:val="auto"/>
              </w:rPr>
            </w:pPr>
            <w:r>
              <w:rPr>
                <w:rFonts w:ascii="Arial" w:cs="Arial" w:eastAsia="Arial" w:hAnsi="Arial"/>
                <w:sz w:val="16"/>
                <w:szCs w:val="16"/>
                <w:color w:val="auto"/>
              </w:rPr>
              <w:t>1</w:t>
            </w:r>
          </w:p>
        </w:tc>
        <w:tc>
          <w:tcPr>
            <w:tcW w:w="340" w:type="dxa"/>
            <w:vAlign w:val="bottom"/>
          </w:tcPr>
          <w:p>
            <w:pPr>
              <w:spacing w:after="0"/>
              <w:rPr>
                <w:sz w:val="14"/>
                <w:szCs w:val="14"/>
                <w:color w:val="auto"/>
              </w:rPr>
            </w:pPr>
          </w:p>
        </w:tc>
        <w:tc>
          <w:tcPr>
            <w:tcW w:w="1280" w:type="dxa"/>
            <w:vAlign w:val="bottom"/>
          </w:tcPr>
          <w:p>
            <w:pPr>
              <w:jc w:val="right"/>
              <w:ind w:right="82"/>
              <w:spacing w:after="0" w:line="168"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1300" w:type="dxa"/>
            <w:vAlign w:val="bottom"/>
          </w:tcPr>
          <w:p>
            <w:pPr>
              <w:jc w:val="right"/>
              <w:ind w:right="42"/>
              <w:spacing w:after="0" w:line="168" w:lineRule="exact"/>
              <w:rPr>
                <w:sz w:val="20"/>
                <w:szCs w:val="20"/>
                <w:color w:val="auto"/>
              </w:rPr>
            </w:pPr>
            <w:r>
              <w:rPr>
                <w:rFonts w:ascii="Arial" w:cs="Arial" w:eastAsia="Arial" w:hAnsi="Arial"/>
                <w:sz w:val="16"/>
                <w:szCs w:val="16"/>
                <w:color w:val="auto"/>
              </w:rPr>
              <w:t>(1)</w:t>
            </w:r>
          </w:p>
        </w:tc>
        <w:tc>
          <w:tcPr>
            <w:tcW w:w="38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4860" w:type="dxa"/>
            <w:vAlign w:val="bottom"/>
          </w:tcPr>
          <w:p>
            <w:pPr>
              <w:ind w:left="180"/>
              <w:spacing w:after="0" w:line="173" w:lineRule="exact"/>
              <w:rPr>
                <w:sz w:val="20"/>
                <w:szCs w:val="20"/>
                <w:color w:val="auto"/>
              </w:rPr>
            </w:pPr>
            <w:r>
              <w:rPr>
                <w:rFonts w:ascii="Arial" w:cs="Arial" w:eastAsia="Arial" w:hAnsi="Arial"/>
                <w:sz w:val="16"/>
                <w:szCs w:val="16"/>
                <w:color w:val="auto"/>
              </w:rPr>
              <w:t>Additional cash collateral for commodity contracts</w:t>
            </w: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860" w:type="dxa"/>
            <w:vAlign w:val="bottom"/>
          </w:tcPr>
          <w:p>
            <w:pPr>
              <w:ind w:left="360"/>
              <w:spacing w:after="0"/>
              <w:rPr>
                <w:sz w:val="20"/>
                <w:szCs w:val="20"/>
                <w:color w:val="auto"/>
              </w:rPr>
            </w:pPr>
            <w:r>
              <w:rPr>
                <w:rFonts w:ascii="Arial" w:cs="Arial" w:eastAsia="Arial" w:hAnsi="Arial"/>
                <w:sz w:val="16"/>
                <w:szCs w:val="16"/>
                <w:color w:val="auto"/>
              </w:rPr>
              <w:t>not subject to rate recovery</w:t>
            </w:r>
          </w:p>
        </w:tc>
        <w:tc>
          <w:tcPr>
            <w:tcW w:w="46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7"/>
                <w:szCs w:val="17"/>
                <w:color w:val="auto"/>
              </w:rPr>
            </w:pP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486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60" w:type="dxa"/>
            <w:vAlign w:val="bottom"/>
          </w:tcPr>
          <w:p>
            <w:pPr>
              <w:spacing w:after="0"/>
              <w:rPr>
                <w:sz w:val="16"/>
                <w:szCs w:val="16"/>
                <w:color w:val="auto"/>
              </w:rPr>
            </w:pPr>
          </w:p>
        </w:tc>
        <w:tc>
          <w:tcPr>
            <w:tcW w:w="1300" w:type="dxa"/>
            <w:vAlign w:val="bottom"/>
            <w:vMerge w:val="restart"/>
          </w:tcPr>
          <w:p>
            <w:pPr>
              <w:jc w:val="right"/>
              <w:ind w:right="102"/>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6"/>
                <w:szCs w:val="16"/>
                <w:color w:val="auto"/>
              </w:rPr>
            </w:pPr>
          </w:p>
        </w:tc>
        <w:tc>
          <w:tcPr>
            <w:tcW w:w="1280" w:type="dxa"/>
            <w:vAlign w:val="bottom"/>
            <w:vMerge w:val="restart"/>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300" w:type="dxa"/>
            <w:vAlign w:val="bottom"/>
            <w:vMerge w:val="restart"/>
          </w:tcPr>
          <w:p>
            <w:pPr>
              <w:jc w:val="right"/>
              <w:ind w:right="82"/>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48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860" w:type="dxa"/>
            <w:vAlign w:val="bottom"/>
          </w:tcPr>
          <w:p>
            <w:pPr>
              <w:ind w:left="180"/>
              <w:spacing w:after="0" w:line="166" w:lineRule="exact"/>
              <w:rPr>
                <w:sz w:val="20"/>
                <w:szCs w:val="20"/>
                <w:color w:val="auto"/>
              </w:rPr>
            </w:pPr>
            <w:r>
              <w:rPr>
                <w:rFonts w:ascii="Arial" w:cs="Arial" w:eastAsia="Arial" w:hAnsi="Arial"/>
                <w:sz w:val="16"/>
                <w:szCs w:val="16"/>
                <w:color w:val="auto"/>
              </w:rPr>
              <w:t>Total</w:t>
            </w:r>
          </w:p>
        </w:tc>
        <w:tc>
          <w:tcPr>
            <w:tcW w:w="460" w:type="dxa"/>
            <w:vAlign w:val="bottom"/>
          </w:tcPr>
          <w:p>
            <w:pPr>
              <w:jc w:val="right"/>
              <w:ind w:right="60"/>
              <w:spacing w:after="0" w:line="166"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02"/>
              <w:spacing w:after="0" w:line="166" w:lineRule="exact"/>
              <w:rPr>
                <w:sz w:val="20"/>
                <w:szCs w:val="20"/>
                <w:color w:val="auto"/>
              </w:rPr>
            </w:pPr>
            <w:r>
              <w:rPr>
                <w:rFonts w:ascii="Arial" w:cs="Arial" w:eastAsia="Arial" w:hAnsi="Arial"/>
                <w:sz w:val="16"/>
                <w:szCs w:val="16"/>
                <w:color w:val="auto"/>
              </w:rPr>
              <w:t>5</w:t>
            </w:r>
          </w:p>
        </w:tc>
        <w:tc>
          <w:tcPr>
            <w:tcW w:w="340" w:type="dxa"/>
            <w:vAlign w:val="bottom"/>
          </w:tcPr>
          <w:p>
            <w:pPr>
              <w:jc w:val="right"/>
              <w:ind w:right="60"/>
              <w:spacing w:after="0" w:line="16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82"/>
              <w:spacing w:after="0" w:line="166"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line="166" w:lineRule="exact"/>
              <w:rPr>
                <w:sz w:val="20"/>
                <w:szCs w:val="20"/>
                <w:color w:val="auto"/>
              </w:rPr>
            </w:pPr>
            <w:r>
              <w:rPr>
                <w:rFonts w:ascii="Arial" w:cs="Arial" w:eastAsia="Arial" w:hAnsi="Arial"/>
                <w:sz w:val="16"/>
                <w:szCs w:val="16"/>
                <w:color w:val="auto"/>
              </w:rPr>
              <w:t>(1)</w:t>
            </w:r>
          </w:p>
        </w:tc>
        <w:tc>
          <w:tcPr>
            <w:tcW w:w="380" w:type="dxa"/>
            <w:vAlign w:val="bottom"/>
          </w:tcPr>
          <w:p>
            <w:pPr>
              <w:jc w:val="right"/>
              <w:ind w:right="100"/>
              <w:spacing w:after="0" w:line="166"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0"/>
        </w:trPr>
        <w:tc>
          <w:tcPr>
            <w:tcW w:w="486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28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520" w:hanging="514"/>
        <w:spacing w:after="0"/>
        <w:tabs>
          <w:tab w:leader="none" w:pos="52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3" w:lineRule="exact"/>
        <w:rPr>
          <w:rFonts w:ascii="Arial" w:cs="Arial" w:eastAsia="Arial" w:hAnsi="Arial"/>
          <w:sz w:val="14"/>
          <w:szCs w:val="14"/>
          <w:i w:val="1"/>
          <w:iCs w:val="1"/>
          <w:color w:val="auto"/>
        </w:rPr>
      </w:pPr>
    </w:p>
    <w:p>
      <w:pPr>
        <w:ind w:left="520" w:hanging="514"/>
        <w:spacing w:after="0" w:line="237" w:lineRule="auto"/>
        <w:tabs>
          <w:tab w:leader="none" w:pos="52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ind w:left="520" w:hanging="514"/>
        <w:spacing w:after="0"/>
        <w:tabs>
          <w:tab w:leader="none" w:pos="52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effects of derivative instruments designated as hedges on the Condensed Consolidated Statements of Operations and in Other Comprehensive Income (OCI)</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Accumulated Other Comprehensive Income (AOCI) for the three months and six months ended June 30 were:</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HEDGE IMPACT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ectPr>
          <w:pgSz w:w="11900" w:h="16838" w:orient="portrait"/>
          <w:cols w:equalWidth="0" w:num="1">
            <w:col w:w="11420"/>
          </w:cols>
          <w:pgMar w:left="240" w:top="135" w:right="239" w:bottom="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838" w:orient="portrait"/>
          <w:cols w:equalWidth="0" w:num="1">
            <w:col w:w="11420"/>
          </w:cols>
          <w:pgMar w:left="240" w:top="135" w:right="239" w:bottom="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5"/>
          </w:tcPr>
          <w:p>
            <w:pPr>
              <w:jc w:val="right"/>
              <w:ind w:right="4"/>
              <w:spacing w:after="0"/>
              <w:rPr>
                <w:sz w:val="20"/>
                <w:szCs w:val="20"/>
                <w:color w:val="auto"/>
              </w:rPr>
            </w:pPr>
            <w:r>
              <w:rPr>
                <w:rFonts w:ascii="Arial" w:cs="Arial" w:eastAsia="Arial" w:hAnsi="Arial"/>
                <w:sz w:val="14"/>
                <w:szCs w:val="14"/>
                <w:color w:val="auto"/>
              </w:rPr>
              <w:t>Gain (loss) on derivatives recognized in earnings</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2940" w:type="dxa"/>
            <w:vAlign w:val="bottom"/>
            <w:vMerge w:val="restart"/>
          </w:tcPr>
          <w:p>
            <w:pPr>
              <w:ind w:left="1380"/>
              <w:spacing w:after="0"/>
              <w:rPr>
                <w:sz w:val="20"/>
                <w:szCs w:val="20"/>
                <w:color w:val="auto"/>
              </w:rPr>
            </w:pPr>
            <w:r>
              <w:rPr>
                <w:rFonts w:ascii="Arial" w:cs="Arial" w:eastAsia="Arial" w:hAnsi="Arial"/>
                <w:sz w:val="14"/>
                <w:szCs w:val="14"/>
                <w:color w:val="auto"/>
              </w:rPr>
              <w:t>Location</w:t>
            </w:r>
          </w:p>
        </w:tc>
        <w:tc>
          <w:tcPr>
            <w:tcW w:w="2540" w:type="dxa"/>
            <w:vAlign w:val="bottom"/>
            <w:tcBorders>
              <w:bottom w:val="single" w:sz="8" w:color="auto"/>
            </w:tcBorders>
            <w:gridSpan w:val="3"/>
          </w:tcPr>
          <w:p>
            <w:pPr>
              <w:jc w:val="right"/>
              <w:ind w:right="83"/>
              <w:spacing w:after="0" w:line="153" w:lineRule="exact"/>
              <w:rPr>
                <w:sz w:val="20"/>
                <w:szCs w:val="20"/>
                <w:color w:val="auto"/>
              </w:rPr>
            </w:pPr>
            <w:r>
              <w:rPr>
                <w:rFonts w:ascii="Arial" w:cs="Arial" w:eastAsia="Arial" w:hAnsi="Arial"/>
                <w:sz w:val="14"/>
                <w:szCs w:val="14"/>
                <w:color w:val="auto"/>
              </w:rPr>
              <w:t>Three months ended June 30,</w:t>
            </w:r>
          </w:p>
        </w:tc>
        <w:tc>
          <w:tcPr>
            <w:tcW w:w="4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3"/>
          </w:tcPr>
          <w:p>
            <w:pPr>
              <w:jc w:val="right"/>
              <w:ind w:right="542"/>
              <w:spacing w:after="0" w:line="153" w:lineRule="exact"/>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53"/>
        </w:trPr>
        <w:tc>
          <w:tcPr>
            <w:tcW w:w="266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tcPr>
          <w:p>
            <w:pPr>
              <w:jc w:val="right"/>
              <w:ind w:right="145"/>
              <w:spacing w:after="0" w:line="153" w:lineRule="exact"/>
              <w:rPr>
                <w:sz w:val="20"/>
                <w:szCs w:val="20"/>
                <w:color w:val="auto"/>
              </w:rPr>
            </w:pPr>
            <w:r>
              <w:rPr>
                <w:rFonts w:ascii="Arial" w:cs="Arial" w:eastAsia="Arial" w:hAnsi="Arial"/>
                <w:sz w:val="14"/>
                <w:szCs w:val="14"/>
                <w:color w:val="auto"/>
              </w:rPr>
              <w:t>2014</w:t>
            </w: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63"/>
              <w:spacing w:after="0" w:line="153" w:lineRule="exact"/>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84"/>
              <w:spacing w:after="0" w:line="153" w:lineRule="exact"/>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2"/>
              <w:spacing w:after="0" w:line="153"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Arial" w:cs="Arial" w:eastAsia="Arial" w:hAnsi="Arial"/>
                <w:sz w:val="15"/>
                <w:szCs w:val="15"/>
                <w:b w:val="1"/>
                <w:bCs w:val="1"/>
                <w:color w:val="auto"/>
              </w:rPr>
              <w:t>Sempra Energy Consolidated:</w:t>
            </w:r>
          </w:p>
        </w:tc>
        <w:tc>
          <w:tcPr>
            <w:tcW w:w="2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660" w:type="dxa"/>
            <w:vAlign w:val="bottom"/>
          </w:tcPr>
          <w:p>
            <w:pPr>
              <w:ind w:left="180"/>
              <w:spacing w:after="0" w:line="173" w:lineRule="exact"/>
              <w:rPr>
                <w:sz w:val="20"/>
                <w:szCs w:val="20"/>
                <w:color w:val="auto"/>
              </w:rPr>
            </w:pPr>
            <w:r>
              <w:rPr>
                <w:rFonts w:ascii="Arial" w:cs="Arial" w:eastAsia="Arial" w:hAnsi="Arial"/>
                <w:sz w:val="16"/>
                <w:szCs w:val="16"/>
                <w:color w:val="auto"/>
              </w:rPr>
              <w:t>Interest rate instruments</w:t>
            </w:r>
          </w:p>
        </w:tc>
        <w:tc>
          <w:tcPr>
            <w:tcW w:w="2940" w:type="dxa"/>
            <w:vAlign w:val="bottom"/>
          </w:tcPr>
          <w:p>
            <w:pPr>
              <w:ind w:left="380"/>
              <w:spacing w:after="0" w:line="173" w:lineRule="exact"/>
              <w:rPr>
                <w:sz w:val="20"/>
                <w:szCs w:val="20"/>
                <w:color w:val="auto"/>
              </w:rPr>
            </w:pPr>
            <w:r>
              <w:rPr>
                <w:rFonts w:ascii="Arial" w:cs="Arial" w:eastAsia="Arial" w:hAnsi="Arial"/>
                <w:sz w:val="16"/>
                <w:szCs w:val="16"/>
                <w:color w:val="auto"/>
              </w:rPr>
              <w:t>Interest Expense</w:t>
            </w:r>
          </w:p>
        </w:tc>
        <w:tc>
          <w:tcPr>
            <w:tcW w:w="1080" w:type="dxa"/>
            <w:vAlign w:val="bottom"/>
          </w:tcPr>
          <w:p>
            <w:pPr>
              <w:jc w:val="right"/>
              <w:ind w:right="705"/>
              <w:spacing w:after="0" w:line="173"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42"/>
              <w:spacing w:after="0" w:line="173" w:lineRule="exact"/>
              <w:rPr>
                <w:sz w:val="20"/>
                <w:szCs w:val="20"/>
                <w:color w:val="auto"/>
              </w:rPr>
            </w:pPr>
            <w:r>
              <w:rPr>
                <w:rFonts w:ascii="Arial" w:cs="Arial" w:eastAsia="Arial" w:hAnsi="Arial"/>
                <w:sz w:val="16"/>
                <w:szCs w:val="16"/>
                <w:color w:val="auto"/>
              </w:rPr>
              <w:t>2</w:t>
            </w:r>
          </w:p>
        </w:tc>
        <w:tc>
          <w:tcPr>
            <w:tcW w:w="1020" w:type="dxa"/>
            <w:vAlign w:val="bottom"/>
          </w:tcPr>
          <w:p>
            <w:pPr>
              <w:jc w:val="right"/>
              <w:ind w:right="703"/>
              <w:spacing w:after="0" w:line="173" w:lineRule="exact"/>
              <w:rPr>
                <w:sz w:val="20"/>
                <w:szCs w:val="20"/>
                <w:color w:val="auto"/>
              </w:rPr>
            </w:pPr>
            <w:r>
              <w:rPr>
                <w:rFonts w:ascii="Arial" w:cs="Arial" w:eastAsia="Arial" w:hAnsi="Arial"/>
                <w:sz w:val="16"/>
                <w:szCs w:val="16"/>
                <w:color w:val="auto"/>
              </w:rPr>
              <w:t>$</w:t>
            </w:r>
          </w:p>
        </w:tc>
        <w:tc>
          <w:tcPr>
            <w:tcW w:w="480" w:type="dxa"/>
            <w:vAlign w:val="bottom"/>
          </w:tcPr>
          <w:p>
            <w:pPr>
              <w:jc w:val="center"/>
              <w:spacing w:after="0" w:line="173" w:lineRule="exact"/>
              <w:rPr>
                <w:sz w:val="20"/>
                <w:szCs w:val="20"/>
                <w:color w:val="auto"/>
              </w:rPr>
            </w:pPr>
            <w:r>
              <w:rPr>
                <w:rFonts w:ascii="Arial" w:cs="Arial" w:eastAsia="Arial" w:hAnsi="Arial"/>
                <w:sz w:val="16"/>
                <w:szCs w:val="16"/>
                <w:color w:val="auto"/>
              </w:rPr>
              <w:t>2</w:t>
            </w:r>
          </w:p>
        </w:tc>
        <w:tc>
          <w:tcPr>
            <w:tcW w:w="320" w:type="dxa"/>
            <w:vAlign w:val="bottom"/>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24"/>
              <w:spacing w:after="0" w:line="173" w:lineRule="exact"/>
              <w:rPr>
                <w:sz w:val="20"/>
                <w:szCs w:val="20"/>
                <w:color w:val="auto"/>
              </w:rPr>
            </w:pPr>
            <w:r>
              <w:rPr>
                <w:rFonts w:ascii="Arial" w:cs="Arial" w:eastAsia="Arial" w:hAnsi="Arial"/>
                <w:sz w:val="16"/>
                <w:szCs w:val="16"/>
                <w:color w:val="auto"/>
              </w:rPr>
              <w:t>5</w:t>
            </w:r>
          </w:p>
        </w:tc>
        <w:tc>
          <w:tcPr>
            <w:tcW w:w="280" w:type="dxa"/>
            <w:vAlign w:val="bottom"/>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1020" w:type="dxa"/>
            <w:vAlign w:val="bottom"/>
          </w:tcPr>
          <w:p>
            <w:pPr>
              <w:jc w:val="center"/>
              <w:ind w:left="762"/>
              <w:spacing w:after="0" w:line="173"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4"/>
        </w:trPr>
        <w:tc>
          <w:tcPr>
            <w:tcW w:w="266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2940" w:type="dxa"/>
            <w:vAlign w:val="bottom"/>
          </w:tcPr>
          <w:p>
            <w:pPr>
              <w:ind w:left="380"/>
              <w:spacing w:after="0"/>
              <w:rPr>
                <w:sz w:val="20"/>
                <w:szCs w:val="20"/>
                <w:color w:val="auto"/>
              </w:rPr>
            </w:pPr>
            <w:r>
              <w:rPr>
                <w:rFonts w:ascii="Arial" w:cs="Arial" w:eastAsia="Arial" w:hAnsi="Arial"/>
                <w:sz w:val="16"/>
                <w:szCs w:val="16"/>
                <w:color w:val="auto"/>
              </w:rPr>
              <w:t>Other Income, Net</w:t>
            </w:r>
          </w:p>
        </w:tc>
        <w:tc>
          <w:tcPr>
            <w:tcW w:w="10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w:t>
            </w:r>
          </w:p>
        </w:tc>
        <w:tc>
          <w:tcPr>
            <w:tcW w:w="1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left="74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6"/>
        </w:trPr>
        <w:tc>
          <w:tcPr>
            <w:tcW w:w="2660" w:type="dxa"/>
            <w:vAlign w:val="bottom"/>
          </w:tcPr>
          <w:p>
            <w:pPr>
              <w:ind w:left="180"/>
              <w:spacing w:after="0" w:line="166" w:lineRule="exact"/>
              <w:rPr>
                <w:sz w:val="20"/>
                <w:szCs w:val="20"/>
                <w:color w:val="auto"/>
              </w:rPr>
            </w:pPr>
            <w:r>
              <w:rPr>
                <w:rFonts w:ascii="Arial" w:cs="Arial" w:eastAsia="Arial" w:hAnsi="Arial"/>
                <w:sz w:val="16"/>
                <w:szCs w:val="16"/>
                <w:color w:val="auto"/>
              </w:rPr>
              <w:t>Total(1)</w:t>
            </w:r>
          </w:p>
        </w:tc>
        <w:tc>
          <w:tcPr>
            <w:tcW w:w="2940" w:type="dxa"/>
            <w:vAlign w:val="bottom"/>
          </w:tcPr>
          <w:p>
            <w:pPr>
              <w:spacing w:after="0"/>
              <w:rPr>
                <w:sz w:val="14"/>
                <w:szCs w:val="14"/>
                <w:color w:val="auto"/>
              </w:rPr>
            </w:pPr>
          </w:p>
        </w:tc>
        <w:tc>
          <w:tcPr>
            <w:tcW w:w="1080" w:type="dxa"/>
            <w:vAlign w:val="bottom"/>
          </w:tcPr>
          <w:p>
            <w:pPr>
              <w:jc w:val="right"/>
              <w:ind w:right="705"/>
              <w:spacing w:after="0" w:line="166"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42"/>
              <w:spacing w:after="0" w:line="166" w:lineRule="exact"/>
              <w:rPr>
                <w:sz w:val="20"/>
                <w:szCs w:val="20"/>
                <w:color w:val="auto"/>
              </w:rPr>
            </w:pPr>
            <w:r>
              <w:rPr>
                <w:rFonts w:ascii="Arial" w:cs="Arial" w:eastAsia="Arial" w:hAnsi="Arial"/>
                <w:sz w:val="16"/>
                <w:szCs w:val="16"/>
                <w:color w:val="auto"/>
              </w:rPr>
              <w:t>7</w:t>
            </w:r>
          </w:p>
        </w:tc>
        <w:tc>
          <w:tcPr>
            <w:tcW w:w="1020" w:type="dxa"/>
            <w:vAlign w:val="bottom"/>
          </w:tcPr>
          <w:p>
            <w:pPr>
              <w:jc w:val="right"/>
              <w:ind w:right="703"/>
              <w:spacing w:after="0" w:line="166" w:lineRule="exact"/>
              <w:rPr>
                <w:sz w:val="20"/>
                <w:szCs w:val="20"/>
                <w:color w:val="auto"/>
              </w:rPr>
            </w:pPr>
            <w:r>
              <w:rPr>
                <w:rFonts w:ascii="Arial" w:cs="Arial" w:eastAsia="Arial" w:hAnsi="Arial"/>
                <w:sz w:val="16"/>
                <w:szCs w:val="16"/>
                <w:color w:val="auto"/>
              </w:rPr>
              <w:t>$</w:t>
            </w:r>
          </w:p>
        </w:tc>
        <w:tc>
          <w:tcPr>
            <w:tcW w:w="480" w:type="dxa"/>
            <w:vAlign w:val="bottom"/>
          </w:tcPr>
          <w:p>
            <w:pPr>
              <w:jc w:val="center"/>
              <w:spacing w:after="0" w:line="166" w:lineRule="exact"/>
              <w:rPr>
                <w:sz w:val="20"/>
                <w:szCs w:val="20"/>
                <w:color w:val="auto"/>
              </w:rPr>
            </w:pPr>
            <w:r>
              <w:rPr>
                <w:rFonts w:ascii="Arial" w:cs="Arial" w:eastAsia="Arial" w:hAnsi="Arial"/>
                <w:sz w:val="16"/>
                <w:szCs w:val="16"/>
                <w:color w:val="auto"/>
              </w:rPr>
              <w:t>(3)</w:t>
            </w:r>
          </w:p>
        </w:tc>
        <w:tc>
          <w:tcPr>
            <w:tcW w:w="320" w:type="dxa"/>
            <w:vAlign w:val="bottom"/>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24"/>
              <w:spacing w:after="0" w:line="166" w:lineRule="exact"/>
              <w:rPr>
                <w:sz w:val="20"/>
                <w:szCs w:val="20"/>
                <w:color w:val="auto"/>
              </w:rPr>
            </w:pPr>
            <w:r>
              <w:rPr>
                <w:rFonts w:ascii="Arial" w:cs="Arial" w:eastAsia="Arial" w:hAnsi="Arial"/>
                <w:sz w:val="16"/>
                <w:szCs w:val="16"/>
                <w:color w:val="auto"/>
              </w:rPr>
              <w:t>6</w:t>
            </w:r>
          </w:p>
        </w:tc>
        <w:tc>
          <w:tcPr>
            <w:tcW w:w="280" w:type="dxa"/>
            <w:vAlign w:val="bottom"/>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020" w:type="dxa"/>
            <w:vAlign w:val="bottom"/>
          </w:tcPr>
          <w:p>
            <w:pPr>
              <w:jc w:val="center"/>
              <w:ind w:left="742"/>
              <w:spacing w:after="0" w:line="16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80"/>
        </w:trPr>
        <w:tc>
          <w:tcPr>
            <w:tcW w:w="2660" w:type="dxa"/>
            <w:vAlign w:val="bottom"/>
            <w:shd w:val="clear" w:color="auto" w:fill="000000"/>
          </w:tcPr>
          <w:p>
            <w:pPr>
              <w:spacing w:after="0"/>
              <w:rPr>
                <w:sz w:val="6"/>
                <w:szCs w:val="6"/>
                <w:color w:val="auto"/>
              </w:rPr>
            </w:pPr>
          </w:p>
        </w:tc>
        <w:tc>
          <w:tcPr>
            <w:tcW w:w="294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118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480" w:right="200" w:hanging="474"/>
        <w:spacing w:after="0" w:line="249" w:lineRule="auto"/>
        <w:tabs>
          <w:tab w:leader="none" w:pos="48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There were gains from hedge ineffectiveness on these swaps of $7 million and $9 million in the three months and six months ended June 30, 2014, respectively. All other changes in the fair value of the interest rate swap agreements are exactly offset by changes in the fair value of the underlying long-term debt and recorded in Other Income, Net. There was no hedge ineffectiveness in 2013.</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HEDGE IMPACT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580" w:type="dxa"/>
            <w:vAlign w:val="bottom"/>
            <w:gridSpan w:val="3"/>
            <w:vMerge w:val="restart"/>
          </w:tcPr>
          <w:p>
            <w:pPr>
              <w:jc w:val="center"/>
              <w:ind w:left="269"/>
              <w:spacing w:after="0"/>
              <w:rPr>
                <w:sz w:val="20"/>
                <w:szCs w:val="20"/>
                <w:color w:val="auto"/>
              </w:rPr>
            </w:pPr>
            <w:r>
              <w:rPr>
                <w:rFonts w:ascii="Arial" w:cs="Arial" w:eastAsia="Arial" w:hAnsi="Arial"/>
                <w:sz w:val="14"/>
                <w:szCs w:val="14"/>
                <w:color w:val="auto"/>
              </w:rPr>
              <w:t>Pretax gain (loss) recognized</w:t>
            </w:r>
          </w:p>
        </w:tc>
        <w:tc>
          <w:tcPr>
            <w:tcW w:w="3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60" w:type="dxa"/>
            <w:vAlign w:val="bottom"/>
            <w:gridSpan w:val="4"/>
            <w:vMerge w:val="restart"/>
          </w:tcPr>
          <w:p>
            <w:pPr>
              <w:jc w:val="center"/>
              <w:ind w:right="440"/>
              <w:spacing w:after="0"/>
              <w:rPr>
                <w:sz w:val="20"/>
                <w:szCs w:val="20"/>
                <w:color w:val="auto"/>
              </w:rPr>
            </w:pPr>
            <w:r>
              <w:rPr>
                <w:rFonts w:ascii="Arial" w:cs="Arial" w:eastAsia="Arial" w:hAnsi="Arial"/>
                <w:sz w:val="14"/>
                <w:szCs w:val="14"/>
                <w:color w:val="auto"/>
              </w:rPr>
              <w:t>Gain (loss) reclassified from AOCI</w:t>
            </w:r>
          </w:p>
        </w:tc>
        <w:tc>
          <w:tcPr>
            <w:tcW w:w="0" w:type="dxa"/>
            <w:vAlign w:val="bottom"/>
          </w:tcPr>
          <w:p>
            <w:pPr>
              <w:spacing w:after="0"/>
              <w:rPr>
                <w:sz w:val="1"/>
                <w:szCs w:val="1"/>
                <w:color w:val="auto"/>
              </w:rPr>
            </w:pPr>
          </w:p>
        </w:tc>
      </w:tr>
      <w:tr>
        <w:trPr>
          <w:trHeight w:val="113"/>
        </w:trPr>
        <w:tc>
          <w:tcPr>
            <w:tcW w:w="290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2900" w:type="dxa"/>
            <w:vAlign w:val="bottom"/>
          </w:tcPr>
          <w:p>
            <w:pPr>
              <w:spacing w:after="0"/>
              <w:rPr>
                <w:sz w:val="15"/>
                <w:szCs w:val="15"/>
                <w:color w:val="auto"/>
              </w:rPr>
            </w:pPr>
          </w:p>
        </w:tc>
        <w:tc>
          <w:tcPr>
            <w:tcW w:w="2580" w:type="dxa"/>
            <w:vAlign w:val="bottom"/>
            <w:gridSpan w:val="3"/>
          </w:tcPr>
          <w:p>
            <w:pPr>
              <w:jc w:val="center"/>
              <w:ind w:left="269"/>
              <w:spacing w:after="0"/>
              <w:rPr>
                <w:sz w:val="20"/>
                <w:szCs w:val="20"/>
                <w:color w:val="auto"/>
              </w:rPr>
            </w:pPr>
            <w:r>
              <w:rPr>
                <w:rFonts w:ascii="Arial" w:cs="Arial" w:eastAsia="Arial" w:hAnsi="Arial"/>
                <w:sz w:val="14"/>
                <w:szCs w:val="14"/>
                <w:color w:val="auto"/>
              </w:rPr>
              <w:t>in OCI (effective portion)</w:t>
            </w:r>
          </w:p>
        </w:tc>
        <w:tc>
          <w:tcPr>
            <w:tcW w:w="3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60" w:type="dxa"/>
            <w:vAlign w:val="bottom"/>
            <w:gridSpan w:val="4"/>
          </w:tcPr>
          <w:p>
            <w:pPr>
              <w:jc w:val="center"/>
              <w:ind w:right="440"/>
              <w:spacing w:after="0"/>
              <w:rPr>
                <w:sz w:val="20"/>
                <w:szCs w:val="20"/>
                <w:color w:val="auto"/>
              </w:rPr>
            </w:pPr>
            <w:r>
              <w:rPr>
                <w:rFonts w:ascii="Arial" w:cs="Arial" w:eastAsia="Arial" w:hAnsi="Arial"/>
                <w:sz w:val="14"/>
                <w:szCs w:val="14"/>
                <w:color w:val="auto"/>
              </w:rPr>
              <w:t>into earnings (effective portion)</w:t>
            </w:r>
          </w:p>
        </w:tc>
        <w:tc>
          <w:tcPr>
            <w:tcW w:w="0" w:type="dxa"/>
            <w:vAlign w:val="bottom"/>
          </w:tcPr>
          <w:p>
            <w:pPr>
              <w:spacing w:after="0"/>
              <w:rPr>
                <w:sz w:val="1"/>
                <w:szCs w:val="1"/>
                <w:color w:val="auto"/>
              </w:rPr>
            </w:pPr>
          </w:p>
        </w:tc>
      </w:tr>
      <w:tr>
        <w:trPr>
          <w:trHeight w:val="159"/>
        </w:trPr>
        <w:tc>
          <w:tcPr>
            <w:tcW w:w="2900" w:type="dxa"/>
            <w:vAlign w:val="bottom"/>
          </w:tcPr>
          <w:p>
            <w:pPr>
              <w:spacing w:after="0"/>
              <w:rPr>
                <w:sz w:val="13"/>
                <w:szCs w:val="13"/>
                <w:color w:val="auto"/>
              </w:rPr>
            </w:pPr>
          </w:p>
        </w:tc>
        <w:tc>
          <w:tcPr>
            <w:tcW w:w="2580" w:type="dxa"/>
            <w:vAlign w:val="bottom"/>
            <w:tcBorders>
              <w:top w:val="single" w:sz="8" w:color="auto"/>
              <w:bottom w:val="single" w:sz="8" w:color="auto"/>
            </w:tcBorders>
            <w:gridSpan w:val="3"/>
          </w:tcPr>
          <w:p>
            <w:pPr>
              <w:jc w:val="center"/>
              <w:ind w:left="269"/>
              <w:spacing w:after="0" w:line="159" w:lineRule="exact"/>
              <w:rPr>
                <w:sz w:val="20"/>
                <w:szCs w:val="20"/>
                <w:color w:val="auto"/>
              </w:rPr>
            </w:pPr>
            <w:r>
              <w:rPr>
                <w:rFonts w:ascii="Arial" w:cs="Arial" w:eastAsia="Arial" w:hAnsi="Arial"/>
                <w:sz w:val="14"/>
                <w:szCs w:val="14"/>
                <w:color w:val="auto"/>
              </w:rPr>
              <w:t>Three months ended June 30,</w:t>
            </w:r>
          </w:p>
        </w:tc>
        <w:tc>
          <w:tcPr>
            <w:tcW w:w="380" w:type="dxa"/>
            <w:vAlign w:val="bottom"/>
            <w:tcBorders>
              <w:top w:val="single" w:sz="8" w:color="auto"/>
              <w:bottom w:val="single" w:sz="8" w:color="auto"/>
            </w:tcBorders>
          </w:tcPr>
          <w:p>
            <w:pPr>
              <w:spacing w:after="0"/>
              <w:rPr>
                <w:sz w:val="13"/>
                <w:szCs w:val="13"/>
                <w:color w:val="auto"/>
              </w:rPr>
            </w:pPr>
          </w:p>
        </w:tc>
        <w:tc>
          <w:tcPr>
            <w:tcW w:w="2540" w:type="dxa"/>
            <w:vAlign w:val="bottom"/>
            <w:vMerge w:val="restart"/>
          </w:tcPr>
          <w:p>
            <w:pPr>
              <w:ind w:left="1100"/>
              <w:spacing w:after="0"/>
              <w:rPr>
                <w:sz w:val="20"/>
                <w:szCs w:val="20"/>
                <w:color w:val="auto"/>
              </w:rPr>
            </w:pPr>
            <w:r>
              <w:rPr>
                <w:rFonts w:ascii="Arial" w:cs="Arial" w:eastAsia="Arial" w:hAnsi="Arial"/>
                <w:sz w:val="14"/>
                <w:szCs w:val="14"/>
                <w:color w:val="auto"/>
              </w:rPr>
              <w:t>Location</w:t>
            </w:r>
          </w:p>
        </w:tc>
        <w:tc>
          <w:tcPr>
            <w:tcW w:w="380" w:type="dxa"/>
            <w:vAlign w:val="bottom"/>
            <w:tcBorders>
              <w:top w:val="single" w:sz="8" w:color="auto"/>
              <w:bottom w:val="single" w:sz="8" w:color="auto"/>
            </w:tcBorders>
          </w:tcPr>
          <w:p>
            <w:pPr>
              <w:spacing w:after="0"/>
              <w:rPr>
                <w:sz w:val="13"/>
                <w:szCs w:val="13"/>
                <w:color w:val="auto"/>
              </w:rPr>
            </w:pPr>
          </w:p>
        </w:tc>
        <w:tc>
          <w:tcPr>
            <w:tcW w:w="2640" w:type="dxa"/>
            <w:vAlign w:val="bottom"/>
            <w:tcBorders>
              <w:top w:val="single" w:sz="8" w:color="auto"/>
              <w:bottom w:val="single" w:sz="8" w:color="auto"/>
            </w:tcBorders>
            <w:gridSpan w:val="3"/>
          </w:tcPr>
          <w:p>
            <w:pPr>
              <w:jc w:val="center"/>
              <w:ind w:right="349"/>
              <w:spacing w:after="0" w:line="159" w:lineRule="exact"/>
              <w:rPr>
                <w:sz w:val="20"/>
                <w:szCs w:val="20"/>
                <w:color w:val="auto"/>
              </w:rPr>
            </w:pPr>
            <w:r>
              <w:rPr>
                <w:rFonts w:ascii="Arial" w:cs="Arial" w:eastAsia="Arial" w:hAnsi="Arial"/>
                <w:sz w:val="14"/>
                <w:szCs w:val="14"/>
                <w:color w:val="auto"/>
              </w:rPr>
              <w:t>Three months ended June 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rPr>
              <w:t>2014</w:t>
            </w: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49"/>
              <w:spacing w:after="0" w:line="153" w:lineRule="exact"/>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89"/>
              <w:spacing w:after="0" w:line="153" w:lineRule="exact"/>
              <w:rPr>
                <w:sz w:val="20"/>
                <w:szCs w:val="20"/>
                <w:color w:val="auto"/>
              </w:rPr>
            </w:pPr>
            <w:r>
              <w:rPr>
                <w:rFonts w:ascii="Arial" w:cs="Arial" w:eastAsia="Arial" w:hAnsi="Arial"/>
                <w:sz w:val="14"/>
                <w:szCs w:val="14"/>
                <w:color w:val="auto"/>
              </w:rPr>
              <w:t>2014</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49"/>
              <w:spacing w:after="0" w:line="153" w:lineRule="exact"/>
              <w:rPr>
                <w:sz w:val="20"/>
                <w:szCs w:val="20"/>
                <w:color w:val="auto"/>
              </w:rPr>
            </w:pPr>
            <w:r>
              <w:rPr>
                <w:rFonts w:ascii="Arial" w:cs="Arial" w:eastAsia="Arial" w:hAnsi="Arial"/>
                <w:sz w:val="14"/>
                <w:szCs w:val="14"/>
                <w:color w:val="auto"/>
              </w:rPr>
              <w:t>2013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900" w:type="dxa"/>
            <w:vAlign w:val="bottom"/>
          </w:tcPr>
          <w:p>
            <w:pPr>
              <w:spacing w:after="0" w:line="139" w:lineRule="exact"/>
              <w:rPr>
                <w:sz w:val="20"/>
                <w:szCs w:val="20"/>
                <w:color w:val="auto"/>
              </w:rPr>
            </w:pPr>
            <w:r>
              <w:rPr>
                <w:rFonts w:ascii="Arial" w:cs="Arial" w:eastAsia="Arial" w:hAnsi="Arial"/>
                <w:sz w:val="14"/>
                <w:szCs w:val="14"/>
                <w:b w:val="1"/>
                <w:bCs w:val="1"/>
                <w:color w:val="auto"/>
              </w:rPr>
              <w:t>Sempra Energy Consolidated:</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900" w:type="dxa"/>
            <w:vAlign w:val="bottom"/>
          </w:tcPr>
          <w:p>
            <w:pPr>
              <w:ind w:left="160"/>
              <w:spacing w:after="0" w:line="159" w:lineRule="exact"/>
              <w:rPr>
                <w:sz w:val="20"/>
                <w:szCs w:val="20"/>
                <w:color w:val="auto"/>
              </w:rPr>
            </w:pPr>
            <w:r>
              <w:rPr>
                <w:rFonts w:ascii="Arial" w:cs="Arial" w:eastAsia="Arial" w:hAnsi="Arial"/>
                <w:sz w:val="14"/>
                <w:szCs w:val="14"/>
                <w:color w:val="auto"/>
              </w:rPr>
              <w:t>Interest rate and foreign</w:t>
            </w: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00" w:type="dxa"/>
            <w:vAlign w:val="bottom"/>
          </w:tcPr>
          <w:p>
            <w:pPr>
              <w:ind w:left="360"/>
              <w:spacing w:after="0" w:line="159" w:lineRule="exact"/>
              <w:rPr>
                <w:sz w:val="20"/>
                <w:szCs w:val="20"/>
                <w:color w:val="auto"/>
              </w:rPr>
            </w:pPr>
            <w:r>
              <w:rPr>
                <w:rFonts w:ascii="Arial" w:cs="Arial" w:eastAsia="Arial" w:hAnsi="Arial"/>
                <w:sz w:val="14"/>
                <w:szCs w:val="14"/>
                <w:color w:val="auto"/>
              </w:rPr>
              <w:t>exchange instruments(1)</w:t>
            </w:r>
          </w:p>
        </w:tc>
        <w:tc>
          <w:tcPr>
            <w:tcW w:w="1040" w:type="dxa"/>
            <w:vAlign w:val="bottom"/>
          </w:tcPr>
          <w:p>
            <w:pPr>
              <w:jc w:val="right"/>
              <w:ind w:right="669"/>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(7)</w:t>
            </w:r>
          </w:p>
        </w:tc>
        <w:tc>
          <w:tcPr>
            <w:tcW w:w="980" w:type="dxa"/>
            <w:vAlign w:val="bottom"/>
          </w:tcPr>
          <w:p>
            <w:pPr>
              <w:jc w:val="right"/>
              <w:ind w:right="709"/>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33</w:t>
            </w:r>
          </w:p>
        </w:tc>
        <w:tc>
          <w:tcPr>
            <w:tcW w:w="2540" w:type="dxa"/>
            <w:vAlign w:val="bottom"/>
          </w:tcPr>
          <w:p>
            <w:pPr>
              <w:ind w:left="240"/>
              <w:spacing w:after="0" w:line="159" w:lineRule="exact"/>
              <w:rPr>
                <w:sz w:val="20"/>
                <w:szCs w:val="20"/>
                <w:color w:val="auto"/>
              </w:rPr>
            </w:pPr>
            <w:r>
              <w:rPr>
                <w:rFonts w:ascii="Arial" w:cs="Arial" w:eastAsia="Arial" w:hAnsi="Arial"/>
                <w:sz w:val="14"/>
                <w:szCs w:val="14"/>
                <w:color w:val="auto"/>
              </w:rPr>
              <w:t>Interest Expense</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69"/>
              <w:spacing w:after="0" w:line="159" w:lineRule="exact"/>
              <w:rPr>
                <w:sz w:val="20"/>
                <w:szCs w:val="20"/>
                <w:color w:val="auto"/>
              </w:rPr>
            </w:pPr>
            <w:r>
              <w:rPr>
                <w:rFonts w:ascii="Arial" w:cs="Arial" w:eastAsia="Arial" w:hAnsi="Arial"/>
                <w:sz w:val="14"/>
                <w:szCs w:val="14"/>
                <w:color w:val="auto"/>
              </w:rPr>
              <w:t>(6)</w:t>
            </w:r>
          </w:p>
        </w:tc>
        <w:tc>
          <w:tcPr>
            <w:tcW w:w="3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9"/>
        </w:trPr>
        <w:tc>
          <w:tcPr>
            <w:tcW w:w="2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540" w:type="dxa"/>
            <w:vAlign w:val="bottom"/>
          </w:tcPr>
          <w:p>
            <w:pPr>
              <w:ind w:left="240"/>
              <w:spacing w:after="0" w:line="159" w:lineRule="exact"/>
              <w:rPr>
                <w:sz w:val="20"/>
                <w:szCs w:val="20"/>
                <w:color w:val="auto"/>
              </w:rPr>
            </w:pPr>
            <w:r>
              <w:rPr>
                <w:rFonts w:ascii="Arial" w:cs="Arial" w:eastAsia="Arial" w:hAnsi="Arial"/>
                <w:sz w:val="14"/>
                <w:szCs w:val="14"/>
                <w:color w:val="auto"/>
              </w:rPr>
              <w:t>Equity Earnings (Losses),</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00" w:type="dxa"/>
            <w:vAlign w:val="bottom"/>
          </w:tcPr>
          <w:p>
            <w:pPr>
              <w:ind w:left="160"/>
              <w:spacing w:after="0" w:line="159" w:lineRule="exact"/>
              <w:rPr>
                <w:sz w:val="20"/>
                <w:szCs w:val="20"/>
                <w:color w:val="auto"/>
              </w:rPr>
            </w:pPr>
            <w:r>
              <w:rPr>
                <w:rFonts w:ascii="Arial" w:cs="Arial" w:eastAsia="Arial" w:hAnsi="Arial"/>
                <w:sz w:val="14"/>
                <w:szCs w:val="14"/>
                <w:color w:val="auto"/>
              </w:rPr>
              <w:t>Interest rate instruments</w:t>
            </w:r>
          </w:p>
        </w:tc>
        <w:tc>
          <w:tcPr>
            <w:tcW w:w="1040" w:type="dxa"/>
            <w:vAlign w:val="bottom"/>
          </w:tcPr>
          <w:p>
            <w:pPr>
              <w:spacing w:after="0"/>
              <w:rPr>
                <w:sz w:val="13"/>
                <w:szCs w:val="13"/>
                <w:color w:val="auto"/>
              </w:rPr>
            </w:pPr>
          </w:p>
        </w:tc>
        <w:tc>
          <w:tcPr>
            <w:tcW w:w="5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(15)</w:t>
            </w:r>
          </w:p>
        </w:tc>
        <w:tc>
          <w:tcPr>
            <w:tcW w:w="9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13</w:t>
            </w:r>
          </w:p>
        </w:tc>
        <w:tc>
          <w:tcPr>
            <w:tcW w:w="2540" w:type="dxa"/>
            <w:vAlign w:val="bottom"/>
          </w:tcPr>
          <w:p>
            <w:pPr>
              <w:ind w:left="400"/>
              <w:spacing w:after="0" w:line="159" w:lineRule="exact"/>
              <w:rPr>
                <w:sz w:val="20"/>
                <w:szCs w:val="20"/>
                <w:color w:val="auto"/>
              </w:rPr>
            </w:pPr>
            <w:r>
              <w:rPr>
                <w:rFonts w:ascii="Arial" w:cs="Arial" w:eastAsia="Arial" w:hAnsi="Arial"/>
                <w:sz w:val="14"/>
                <w:szCs w:val="14"/>
                <w:color w:val="auto"/>
              </w:rPr>
              <w:t>Before Income Tax</w:t>
            </w:r>
          </w:p>
        </w:tc>
        <w:tc>
          <w:tcPr>
            <w:tcW w:w="380" w:type="dxa"/>
            <w:vAlign w:val="bottom"/>
          </w:tcPr>
          <w:p>
            <w:pPr>
              <w:spacing w:after="0"/>
              <w:rPr>
                <w:sz w:val="13"/>
                <w:szCs w:val="13"/>
                <w:color w:val="auto"/>
              </w:rPr>
            </w:pPr>
          </w:p>
        </w:tc>
        <w:tc>
          <w:tcPr>
            <w:tcW w:w="1260" w:type="dxa"/>
            <w:vAlign w:val="bottom"/>
          </w:tcPr>
          <w:p>
            <w:pPr>
              <w:jc w:val="right"/>
              <w:ind w:right="69"/>
              <w:spacing w:after="0" w:line="159" w:lineRule="exact"/>
              <w:rPr>
                <w:sz w:val="20"/>
                <w:szCs w:val="20"/>
                <w:color w:val="auto"/>
              </w:rPr>
            </w:pPr>
            <w:r>
              <w:rPr>
                <w:rFonts w:ascii="Arial" w:cs="Arial" w:eastAsia="Arial" w:hAnsi="Arial"/>
                <w:sz w:val="14"/>
                <w:szCs w:val="14"/>
                <w:color w:val="auto"/>
              </w:rPr>
              <w:t>(2)</w:t>
            </w:r>
          </w:p>
        </w:tc>
        <w:tc>
          <w:tcPr>
            <w:tcW w:w="320" w:type="dxa"/>
            <w:vAlign w:val="bottom"/>
          </w:tcPr>
          <w:p>
            <w:pPr>
              <w:spacing w:after="0"/>
              <w:rPr>
                <w:sz w:val="13"/>
                <w:szCs w:val="13"/>
                <w:color w:val="auto"/>
              </w:rPr>
            </w:pPr>
          </w:p>
        </w:tc>
        <w:tc>
          <w:tcPr>
            <w:tcW w:w="10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3"/>
        </w:trPr>
        <w:tc>
          <w:tcPr>
            <w:tcW w:w="2900" w:type="dxa"/>
            <w:vAlign w:val="bottom"/>
          </w:tcPr>
          <w:p>
            <w:pPr>
              <w:ind w:left="160"/>
              <w:spacing w:after="0"/>
              <w:rPr>
                <w:sz w:val="20"/>
                <w:szCs w:val="20"/>
                <w:color w:val="auto"/>
              </w:rPr>
            </w:pPr>
            <w:r>
              <w:rPr>
                <w:rFonts w:ascii="Arial" w:cs="Arial" w:eastAsia="Arial" w:hAnsi="Arial"/>
                <w:sz w:val="14"/>
                <w:szCs w:val="14"/>
                <w:color w:val="auto"/>
              </w:rPr>
              <w:t>Commodity contracts not subject</w:t>
            </w:r>
          </w:p>
        </w:tc>
        <w:tc>
          <w:tcPr>
            <w:tcW w:w="1040" w:type="dxa"/>
            <w:vAlign w:val="bottom"/>
          </w:tcPr>
          <w:p>
            <w:pPr>
              <w:spacing w:after="0"/>
              <w:rPr>
                <w:sz w:val="15"/>
                <w:szCs w:val="15"/>
                <w:color w:val="auto"/>
              </w:rPr>
            </w:pPr>
          </w:p>
        </w:tc>
        <w:tc>
          <w:tcPr>
            <w:tcW w:w="56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2540" w:type="dxa"/>
            <w:vAlign w:val="bottom"/>
          </w:tcPr>
          <w:p>
            <w:pPr>
              <w:ind w:left="240"/>
              <w:spacing w:after="0"/>
              <w:rPr>
                <w:sz w:val="20"/>
                <w:szCs w:val="20"/>
                <w:color w:val="auto"/>
              </w:rPr>
            </w:pPr>
            <w:r>
              <w:rPr>
                <w:rFonts w:ascii="Arial" w:cs="Arial" w:eastAsia="Arial" w:hAnsi="Arial"/>
                <w:sz w:val="14"/>
                <w:szCs w:val="14"/>
                <w:color w:val="auto"/>
              </w:rPr>
              <w:t>Revenues: Energy-Related</w:t>
            </w:r>
          </w:p>
        </w:tc>
        <w:tc>
          <w:tcPr>
            <w:tcW w:w="380" w:type="dxa"/>
            <w:vAlign w:val="bottom"/>
          </w:tcPr>
          <w:p>
            <w:pPr>
              <w:spacing w:after="0"/>
              <w:rPr>
                <w:sz w:val="15"/>
                <w:szCs w:val="15"/>
                <w:color w:val="auto"/>
              </w:rPr>
            </w:pPr>
          </w:p>
        </w:tc>
        <w:tc>
          <w:tcPr>
            <w:tcW w:w="126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900" w:type="dxa"/>
            <w:vAlign w:val="bottom"/>
          </w:tcPr>
          <w:p>
            <w:pPr>
              <w:ind w:left="320"/>
              <w:spacing w:after="0" w:line="159" w:lineRule="exact"/>
              <w:rPr>
                <w:sz w:val="20"/>
                <w:szCs w:val="20"/>
                <w:color w:val="auto"/>
              </w:rPr>
            </w:pPr>
            <w:r>
              <w:rPr>
                <w:rFonts w:ascii="Arial" w:cs="Arial" w:eastAsia="Arial" w:hAnsi="Arial"/>
                <w:sz w:val="14"/>
                <w:szCs w:val="14"/>
                <w:color w:val="auto"/>
              </w:rPr>
              <w:t>to rate recovery</w:t>
            </w:r>
          </w:p>
        </w:tc>
        <w:tc>
          <w:tcPr>
            <w:tcW w:w="10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2540" w:type="dxa"/>
            <w:vAlign w:val="bottom"/>
          </w:tcPr>
          <w:p>
            <w:pPr>
              <w:ind w:left="400"/>
              <w:spacing w:after="0" w:line="159" w:lineRule="exact"/>
              <w:rPr>
                <w:sz w:val="20"/>
                <w:szCs w:val="20"/>
                <w:color w:val="auto"/>
              </w:rPr>
            </w:pPr>
            <w:r>
              <w:rPr>
                <w:rFonts w:ascii="Arial" w:cs="Arial" w:eastAsia="Arial" w:hAnsi="Arial"/>
                <w:sz w:val="14"/>
                <w:szCs w:val="14"/>
                <w:color w:val="auto"/>
              </w:rPr>
              <w:t>Businesses</w:t>
            </w: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160"/>
              <w:spacing w:after="0" w:line="153" w:lineRule="exact"/>
              <w:rPr>
                <w:sz w:val="20"/>
                <w:szCs w:val="20"/>
                <w:color w:val="auto"/>
              </w:rPr>
            </w:pPr>
            <w:r>
              <w:rPr>
                <w:rFonts w:ascii="Arial" w:cs="Arial" w:eastAsia="Arial" w:hAnsi="Arial"/>
                <w:sz w:val="14"/>
                <w:szCs w:val="14"/>
                <w:color w:val="auto"/>
              </w:rPr>
              <w:t>Total(2)</w:t>
            </w:r>
          </w:p>
        </w:tc>
        <w:tc>
          <w:tcPr>
            <w:tcW w:w="1040" w:type="dxa"/>
            <w:vAlign w:val="bottom"/>
          </w:tcPr>
          <w:p>
            <w:pPr>
              <w:jc w:val="right"/>
              <w:ind w:right="669"/>
              <w:spacing w:after="0" w:line="153"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49"/>
              <w:spacing w:after="0" w:line="153" w:lineRule="exact"/>
              <w:rPr>
                <w:sz w:val="20"/>
                <w:szCs w:val="20"/>
                <w:color w:val="auto"/>
              </w:rPr>
            </w:pPr>
            <w:r>
              <w:rPr>
                <w:rFonts w:ascii="Arial" w:cs="Arial" w:eastAsia="Arial" w:hAnsi="Arial"/>
                <w:sz w:val="14"/>
                <w:szCs w:val="14"/>
                <w:color w:val="auto"/>
              </w:rPr>
              <w:t>(22)</w:t>
            </w:r>
          </w:p>
        </w:tc>
        <w:tc>
          <w:tcPr>
            <w:tcW w:w="980" w:type="dxa"/>
            <w:vAlign w:val="bottom"/>
          </w:tcPr>
          <w:p>
            <w:pPr>
              <w:jc w:val="right"/>
              <w:ind w:right="709"/>
              <w:spacing w:after="0" w:line="153"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3" w:lineRule="exact"/>
              <w:rPr>
                <w:sz w:val="20"/>
                <w:szCs w:val="20"/>
                <w:color w:val="auto"/>
              </w:rPr>
            </w:pPr>
            <w:r>
              <w:rPr>
                <w:rFonts w:ascii="Arial" w:cs="Arial" w:eastAsia="Arial" w:hAnsi="Arial"/>
                <w:sz w:val="14"/>
                <w:szCs w:val="14"/>
                <w:color w:val="auto"/>
              </w:rPr>
              <w:t>50</w:t>
            </w:r>
          </w:p>
        </w:tc>
        <w:tc>
          <w:tcPr>
            <w:tcW w:w="2540" w:type="dxa"/>
            <w:vAlign w:val="bottom"/>
          </w:tcPr>
          <w:p>
            <w:pPr>
              <w:spacing w:after="0"/>
              <w:rPr>
                <w:sz w:val="13"/>
                <w:szCs w:val="13"/>
                <w:color w:val="auto"/>
              </w:rPr>
            </w:pPr>
          </w:p>
        </w:tc>
        <w:tc>
          <w:tcPr>
            <w:tcW w:w="3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69"/>
              <w:spacing w:after="0" w:line="153" w:lineRule="exact"/>
              <w:rPr>
                <w:sz w:val="20"/>
                <w:szCs w:val="20"/>
                <w:color w:val="auto"/>
              </w:rPr>
            </w:pPr>
            <w:r>
              <w:rPr>
                <w:rFonts w:ascii="Arial" w:cs="Arial" w:eastAsia="Arial" w:hAnsi="Arial"/>
                <w:sz w:val="14"/>
                <w:szCs w:val="14"/>
                <w:color w:val="auto"/>
              </w:rPr>
              <w:t>(8)</w:t>
            </w:r>
          </w:p>
        </w:tc>
        <w:tc>
          <w:tcPr>
            <w:tcW w:w="32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90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254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26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900" w:type="dxa"/>
            <w:vAlign w:val="bottom"/>
          </w:tcPr>
          <w:p>
            <w:pPr>
              <w:spacing w:after="0" w:line="146" w:lineRule="exact"/>
              <w:rPr>
                <w:sz w:val="20"/>
                <w:szCs w:val="20"/>
                <w:color w:val="auto"/>
              </w:rPr>
            </w:pPr>
            <w:r>
              <w:rPr>
                <w:rFonts w:ascii="Arial" w:cs="Arial" w:eastAsia="Arial" w:hAnsi="Arial"/>
                <w:sz w:val="14"/>
                <w:szCs w:val="14"/>
                <w:b w:val="1"/>
                <w:bCs w:val="1"/>
                <w:color w:val="auto"/>
              </w:rPr>
              <w:t>SDG&amp;E:</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ind w:left="160"/>
              <w:spacing w:after="0"/>
              <w:rPr>
                <w:sz w:val="20"/>
                <w:szCs w:val="20"/>
                <w:color w:val="auto"/>
              </w:rPr>
            </w:pPr>
            <w:r>
              <w:rPr>
                <w:rFonts w:ascii="Arial" w:cs="Arial" w:eastAsia="Arial" w:hAnsi="Arial"/>
                <w:sz w:val="14"/>
                <w:szCs w:val="14"/>
                <w:color w:val="auto"/>
              </w:rPr>
              <w:t>Interest rate instruments(1)(2)</w:t>
            </w:r>
          </w:p>
        </w:tc>
        <w:tc>
          <w:tcPr>
            <w:tcW w:w="1040" w:type="dxa"/>
            <w:vAlign w:val="bottom"/>
          </w:tcPr>
          <w:p>
            <w:pPr>
              <w:jc w:val="right"/>
              <w:ind w:right="669"/>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98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10</w:t>
            </w:r>
          </w:p>
        </w:tc>
        <w:tc>
          <w:tcPr>
            <w:tcW w:w="254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(2)</w:t>
            </w:r>
          </w:p>
        </w:tc>
        <w:tc>
          <w:tcPr>
            <w:tcW w:w="3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0"/>
        </w:trPr>
        <w:tc>
          <w:tcPr>
            <w:tcW w:w="2900" w:type="dxa"/>
            <w:vAlign w:val="bottom"/>
            <w:shd w:val="clear" w:color="auto" w:fill="C0C0C0"/>
          </w:tcPr>
          <w:p>
            <w:pPr>
              <w:spacing w:after="0"/>
              <w:rPr>
                <w:sz w:val="6"/>
                <w:szCs w:val="6"/>
                <w:color w:val="auto"/>
              </w:rPr>
            </w:pPr>
          </w:p>
        </w:tc>
        <w:tc>
          <w:tcPr>
            <w:tcW w:w="1040" w:type="dxa"/>
            <w:vAlign w:val="bottom"/>
            <w:shd w:val="clear" w:color="auto" w:fill="C0C0C0"/>
          </w:tcPr>
          <w:p>
            <w:pPr>
              <w:spacing w:after="0"/>
              <w:rPr>
                <w:sz w:val="6"/>
                <w:szCs w:val="6"/>
                <w:color w:val="auto"/>
              </w:rPr>
            </w:pPr>
          </w:p>
        </w:tc>
        <w:tc>
          <w:tcPr>
            <w:tcW w:w="560" w:type="dxa"/>
            <w:vAlign w:val="bottom"/>
            <w:shd w:val="clear" w:color="auto" w:fill="C0C0C0"/>
          </w:tcPr>
          <w:p>
            <w:pPr>
              <w:spacing w:after="0"/>
              <w:rPr>
                <w:sz w:val="6"/>
                <w:szCs w:val="6"/>
                <w:color w:val="auto"/>
              </w:rPr>
            </w:pPr>
          </w:p>
        </w:tc>
        <w:tc>
          <w:tcPr>
            <w:tcW w:w="980" w:type="dxa"/>
            <w:vAlign w:val="bottom"/>
            <w:shd w:val="clear" w:color="auto" w:fill="C0C0C0"/>
          </w:tcPr>
          <w:p>
            <w:pPr>
              <w:spacing w:after="0"/>
              <w:rPr>
                <w:sz w:val="6"/>
                <w:szCs w:val="6"/>
                <w:color w:val="auto"/>
              </w:rPr>
            </w:pPr>
          </w:p>
        </w:tc>
        <w:tc>
          <w:tcPr>
            <w:tcW w:w="380" w:type="dxa"/>
            <w:vAlign w:val="bottom"/>
            <w:shd w:val="clear" w:color="auto" w:fill="C0C0C0"/>
          </w:tcPr>
          <w:p>
            <w:pPr>
              <w:spacing w:after="0"/>
              <w:rPr>
                <w:sz w:val="6"/>
                <w:szCs w:val="6"/>
                <w:color w:val="auto"/>
              </w:rPr>
            </w:pPr>
          </w:p>
        </w:tc>
        <w:tc>
          <w:tcPr>
            <w:tcW w:w="2540" w:type="dxa"/>
            <w:vAlign w:val="bottom"/>
            <w:shd w:val="clear" w:color="auto" w:fill="C0C0C0"/>
          </w:tcPr>
          <w:p>
            <w:pPr>
              <w:spacing w:after="0"/>
              <w:rPr>
                <w:sz w:val="6"/>
                <w:szCs w:val="6"/>
                <w:color w:val="auto"/>
              </w:rPr>
            </w:pPr>
          </w:p>
        </w:tc>
        <w:tc>
          <w:tcPr>
            <w:tcW w:w="380" w:type="dxa"/>
            <w:vAlign w:val="bottom"/>
            <w:shd w:val="clear" w:color="auto" w:fill="C0C0C0"/>
          </w:tcPr>
          <w:p>
            <w:pPr>
              <w:spacing w:after="0"/>
              <w:rPr>
                <w:sz w:val="6"/>
                <w:szCs w:val="6"/>
                <w:color w:val="auto"/>
              </w:rPr>
            </w:pPr>
          </w:p>
        </w:tc>
        <w:tc>
          <w:tcPr>
            <w:tcW w:w="1260" w:type="dxa"/>
            <w:vAlign w:val="bottom"/>
            <w:shd w:val="clear" w:color="auto" w:fill="C0C0C0"/>
          </w:tcPr>
          <w:p>
            <w:pPr>
              <w:spacing w:after="0"/>
              <w:rPr>
                <w:sz w:val="6"/>
                <w:szCs w:val="6"/>
                <w:color w:val="auto"/>
              </w:rPr>
            </w:pPr>
          </w:p>
        </w:tc>
        <w:tc>
          <w:tcPr>
            <w:tcW w:w="320" w:type="dxa"/>
            <w:vAlign w:val="bottom"/>
            <w:shd w:val="clear" w:color="auto" w:fill="C0C0C0"/>
          </w:tcPr>
          <w:p>
            <w:pPr>
              <w:spacing w:after="0"/>
              <w:rPr>
                <w:sz w:val="6"/>
                <w:szCs w:val="6"/>
                <w:color w:val="auto"/>
              </w:rPr>
            </w:pPr>
          </w:p>
        </w:tc>
        <w:tc>
          <w:tcPr>
            <w:tcW w:w="1060" w:type="dxa"/>
            <w:vAlign w:val="bottom"/>
            <w:shd w:val="clear" w:color="auto" w:fill="C0C0C0"/>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900" w:type="dxa"/>
            <w:vAlign w:val="bottom"/>
          </w:tcPr>
          <w:p>
            <w:pPr>
              <w:spacing w:after="0" w:line="146" w:lineRule="exact"/>
              <w:rPr>
                <w:sz w:val="20"/>
                <w:szCs w:val="20"/>
                <w:color w:val="auto"/>
              </w:rPr>
            </w:pPr>
            <w:r>
              <w:rPr>
                <w:rFonts w:ascii="Arial" w:cs="Arial" w:eastAsia="Arial" w:hAnsi="Arial"/>
                <w:sz w:val="14"/>
                <w:szCs w:val="14"/>
                <w:b w:val="1"/>
                <w:bCs w:val="1"/>
                <w:color w:val="auto"/>
              </w:rPr>
              <w:t>SoCalGas:</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1040" w:type="dxa"/>
            <w:vAlign w:val="bottom"/>
          </w:tcPr>
          <w:p>
            <w:pPr>
              <w:jc w:val="right"/>
              <w:ind w:right="669"/>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54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2900" w:type="dxa"/>
            <w:vAlign w:val="bottom"/>
            <w:shd w:val="clear" w:color="auto" w:fill="C1C1C1"/>
          </w:tcPr>
          <w:p>
            <w:pPr>
              <w:spacing w:after="0"/>
              <w:rPr>
                <w:sz w:val="6"/>
                <w:szCs w:val="6"/>
                <w:color w:val="auto"/>
              </w:rPr>
            </w:pPr>
          </w:p>
        </w:tc>
        <w:tc>
          <w:tcPr>
            <w:tcW w:w="2580" w:type="dxa"/>
            <w:vAlign w:val="bottom"/>
            <w:gridSpan w:val="3"/>
            <w:shd w:val="clear" w:color="auto" w:fill="C1C1C1"/>
          </w:tcPr>
          <w:p>
            <w:pPr>
              <w:spacing w:after="0"/>
              <w:rPr>
                <w:sz w:val="6"/>
                <w:szCs w:val="6"/>
                <w:color w:val="auto"/>
              </w:rPr>
            </w:pPr>
          </w:p>
        </w:tc>
        <w:tc>
          <w:tcPr>
            <w:tcW w:w="380" w:type="dxa"/>
            <w:vAlign w:val="bottom"/>
            <w:shd w:val="clear" w:color="auto" w:fill="C1C1C1"/>
          </w:tcPr>
          <w:p>
            <w:pPr>
              <w:spacing w:after="0"/>
              <w:rPr>
                <w:sz w:val="6"/>
                <w:szCs w:val="6"/>
                <w:color w:val="auto"/>
              </w:rPr>
            </w:pPr>
          </w:p>
        </w:tc>
        <w:tc>
          <w:tcPr>
            <w:tcW w:w="2540" w:type="dxa"/>
            <w:vAlign w:val="bottom"/>
            <w:shd w:val="clear" w:color="auto" w:fill="C1C1C1"/>
          </w:tcPr>
          <w:p>
            <w:pPr>
              <w:spacing w:after="0"/>
              <w:rPr>
                <w:sz w:val="6"/>
                <w:szCs w:val="6"/>
                <w:color w:val="auto"/>
              </w:rPr>
            </w:pPr>
          </w:p>
        </w:tc>
        <w:tc>
          <w:tcPr>
            <w:tcW w:w="380" w:type="dxa"/>
            <w:vAlign w:val="bottom"/>
            <w:shd w:val="clear" w:color="auto" w:fill="C1C1C1"/>
          </w:tcPr>
          <w:p>
            <w:pPr>
              <w:spacing w:after="0"/>
              <w:rPr>
                <w:sz w:val="6"/>
                <w:szCs w:val="6"/>
                <w:color w:val="auto"/>
              </w:rPr>
            </w:pPr>
          </w:p>
        </w:tc>
        <w:tc>
          <w:tcPr>
            <w:tcW w:w="2640" w:type="dxa"/>
            <w:vAlign w:val="bottom"/>
            <w:gridSpan w:val="3"/>
            <w:shd w:val="clear" w:color="auto" w:fill="C1C1C1"/>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9"/>
        </w:trPr>
        <w:tc>
          <w:tcPr>
            <w:tcW w:w="2900" w:type="dxa"/>
            <w:vAlign w:val="bottom"/>
          </w:tcPr>
          <w:p>
            <w:pPr>
              <w:spacing w:after="0"/>
              <w:rPr>
                <w:sz w:val="24"/>
                <w:szCs w:val="24"/>
                <w:color w:val="auto"/>
              </w:rPr>
            </w:pPr>
          </w:p>
        </w:tc>
        <w:tc>
          <w:tcPr>
            <w:tcW w:w="2580" w:type="dxa"/>
            <w:vAlign w:val="bottom"/>
            <w:gridSpan w:val="3"/>
          </w:tcPr>
          <w:p>
            <w:pPr>
              <w:jc w:val="center"/>
              <w:ind w:left="269"/>
              <w:spacing w:after="0"/>
              <w:rPr>
                <w:sz w:val="20"/>
                <w:szCs w:val="20"/>
                <w:color w:val="auto"/>
              </w:rPr>
            </w:pPr>
            <w:r>
              <w:rPr>
                <w:rFonts w:ascii="Arial" w:cs="Arial" w:eastAsia="Arial" w:hAnsi="Arial"/>
                <w:sz w:val="14"/>
                <w:szCs w:val="14"/>
                <w:color w:val="auto"/>
              </w:rPr>
              <w:t>Six months ended June 30,</w:t>
            </w:r>
          </w:p>
        </w:tc>
        <w:tc>
          <w:tcPr>
            <w:tcW w:w="380" w:type="dxa"/>
            <w:vAlign w:val="bottom"/>
          </w:tcPr>
          <w:p>
            <w:pPr>
              <w:spacing w:after="0"/>
              <w:rPr>
                <w:sz w:val="24"/>
                <w:szCs w:val="24"/>
                <w:color w:val="auto"/>
              </w:rPr>
            </w:pPr>
          </w:p>
        </w:tc>
        <w:tc>
          <w:tcPr>
            <w:tcW w:w="2540" w:type="dxa"/>
            <w:vAlign w:val="bottom"/>
            <w:vMerge w:val="restart"/>
          </w:tcPr>
          <w:p>
            <w:pPr>
              <w:ind w:left="1100"/>
              <w:spacing w:after="0"/>
              <w:rPr>
                <w:sz w:val="20"/>
                <w:szCs w:val="20"/>
                <w:color w:val="auto"/>
              </w:rPr>
            </w:pPr>
            <w:r>
              <w:rPr>
                <w:rFonts w:ascii="Arial" w:cs="Arial" w:eastAsia="Arial" w:hAnsi="Arial"/>
                <w:sz w:val="14"/>
                <w:szCs w:val="14"/>
                <w:color w:val="auto"/>
              </w:rPr>
              <w:t>Location</w:t>
            </w:r>
          </w:p>
        </w:tc>
        <w:tc>
          <w:tcPr>
            <w:tcW w:w="380" w:type="dxa"/>
            <w:vAlign w:val="bottom"/>
          </w:tcPr>
          <w:p>
            <w:pPr>
              <w:spacing w:after="0"/>
              <w:rPr>
                <w:sz w:val="24"/>
                <w:szCs w:val="24"/>
                <w:color w:val="auto"/>
              </w:rPr>
            </w:pPr>
          </w:p>
        </w:tc>
        <w:tc>
          <w:tcPr>
            <w:tcW w:w="2660" w:type="dxa"/>
            <w:vAlign w:val="bottom"/>
            <w:gridSpan w:val="4"/>
          </w:tcPr>
          <w:p>
            <w:pPr>
              <w:jc w:val="center"/>
              <w:ind w:right="46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53"/>
        </w:trPr>
        <w:tc>
          <w:tcPr>
            <w:tcW w:w="2900" w:type="dxa"/>
            <w:vAlign w:val="bottom"/>
            <w:tcBorders>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rPr>
              <w:t>2014</w:t>
            </w:r>
          </w:p>
        </w:tc>
        <w:tc>
          <w:tcPr>
            <w:tcW w:w="5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149"/>
              <w:spacing w:after="0" w:line="153" w:lineRule="exact"/>
              <w:rPr>
                <w:sz w:val="20"/>
                <w:szCs w:val="20"/>
                <w:color w:val="auto"/>
              </w:rPr>
            </w:pPr>
            <w:r>
              <w:rPr>
                <w:rFonts w:ascii="Arial" w:cs="Arial" w:eastAsia="Arial" w:hAnsi="Arial"/>
                <w:sz w:val="14"/>
                <w:szCs w:val="14"/>
                <w:color w:val="auto"/>
              </w:rPr>
              <w:t>2013</w:t>
            </w:r>
          </w:p>
        </w:tc>
        <w:tc>
          <w:tcPr>
            <w:tcW w:w="380" w:type="dxa"/>
            <w:vAlign w:val="bottom"/>
            <w:tcBorders>
              <w:top w:val="single" w:sz="8" w:color="auto"/>
              <w:bottom w:val="single" w:sz="8" w:color="auto"/>
            </w:tcBorders>
          </w:tcPr>
          <w:p>
            <w:pPr>
              <w:spacing w:after="0"/>
              <w:rPr>
                <w:sz w:val="13"/>
                <w:szCs w:val="13"/>
                <w:color w:val="auto"/>
              </w:rPr>
            </w:pPr>
          </w:p>
        </w:tc>
        <w:tc>
          <w:tcPr>
            <w:tcW w:w="2540" w:type="dxa"/>
            <w:vAlign w:val="bottom"/>
            <w:tcBorders>
              <w:bottom w:val="single" w:sz="8" w:color="auto"/>
            </w:tcBorders>
            <w:vMerge w:val="continue"/>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689"/>
              <w:spacing w:after="0" w:line="153" w:lineRule="exact"/>
              <w:rPr>
                <w:sz w:val="20"/>
                <w:szCs w:val="20"/>
                <w:color w:val="auto"/>
              </w:rPr>
            </w:pPr>
            <w:r>
              <w:rPr>
                <w:rFonts w:ascii="Arial" w:cs="Arial" w:eastAsia="Arial" w:hAnsi="Arial"/>
                <w:sz w:val="14"/>
                <w:szCs w:val="14"/>
                <w:color w:val="auto"/>
              </w:rPr>
              <w:t>2014</w:t>
            </w: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49"/>
              <w:spacing w:after="0" w:line="153" w:lineRule="exact"/>
              <w:rPr>
                <w:sz w:val="20"/>
                <w:szCs w:val="20"/>
                <w:color w:val="auto"/>
              </w:rPr>
            </w:pPr>
            <w:r>
              <w:rPr>
                <w:rFonts w:ascii="Arial" w:cs="Arial" w:eastAsia="Arial" w:hAnsi="Arial"/>
                <w:sz w:val="14"/>
                <w:szCs w:val="14"/>
                <w:color w:val="auto"/>
              </w:rPr>
              <w:t>2013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900" w:type="dxa"/>
            <w:vAlign w:val="bottom"/>
          </w:tcPr>
          <w:p>
            <w:pPr>
              <w:spacing w:after="0" w:line="139" w:lineRule="exact"/>
              <w:rPr>
                <w:sz w:val="20"/>
                <w:szCs w:val="20"/>
                <w:color w:val="auto"/>
              </w:rPr>
            </w:pPr>
            <w:r>
              <w:rPr>
                <w:rFonts w:ascii="Arial" w:cs="Arial" w:eastAsia="Arial" w:hAnsi="Arial"/>
                <w:sz w:val="14"/>
                <w:szCs w:val="14"/>
                <w:b w:val="1"/>
                <w:bCs w:val="1"/>
                <w:color w:val="auto"/>
              </w:rPr>
              <w:t>Sempra Energy Consolidated:</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900" w:type="dxa"/>
            <w:vAlign w:val="bottom"/>
          </w:tcPr>
          <w:p>
            <w:pPr>
              <w:ind w:left="160"/>
              <w:spacing w:after="0" w:line="159" w:lineRule="exact"/>
              <w:rPr>
                <w:sz w:val="20"/>
                <w:szCs w:val="20"/>
                <w:color w:val="auto"/>
              </w:rPr>
            </w:pPr>
            <w:r>
              <w:rPr>
                <w:rFonts w:ascii="Arial" w:cs="Arial" w:eastAsia="Arial" w:hAnsi="Arial"/>
                <w:sz w:val="14"/>
                <w:szCs w:val="14"/>
                <w:color w:val="auto"/>
              </w:rPr>
              <w:t>Interest rate and foreign</w:t>
            </w: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00" w:type="dxa"/>
            <w:vAlign w:val="bottom"/>
          </w:tcPr>
          <w:p>
            <w:pPr>
              <w:ind w:left="360"/>
              <w:spacing w:after="0" w:line="159" w:lineRule="exact"/>
              <w:rPr>
                <w:sz w:val="20"/>
                <w:szCs w:val="20"/>
                <w:color w:val="auto"/>
              </w:rPr>
            </w:pPr>
            <w:r>
              <w:rPr>
                <w:rFonts w:ascii="Arial" w:cs="Arial" w:eastAsia="Arial" w:hAnsi="Arial"/>
                <w:sz w:val="14"/>
                <w:szCs w:val="14"/>
                <w:color w:val="auto"/>
              </w:rPr>
              <w:t>exchange instruments(1)</w:t>
            </w:r>
          </w:p>
        </w:tc>
        <w:tc>
          <w:tcPr>
            <w:tcW w:w="1040" w:type="dxa"/>
            <w:vAlign w:val="bottom"/>
          </w:tcPr>
          <w:p>
            <w:pPr>
              <w:jc w:val="right"/>
              <w:ind w:right="669"/>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(10)</w:t>
            </w:r>
          </w:p>
        </w:tc>
        <w:tc>
          <w:tcPr>
            <w:tcW w:w="980" w:type="dxa"/>
            <w:vAlign w:val="bottom"/>
          </w:tcPr>
          <w:p>
            <w:pPr>
              <w:jc w:val="right"/>
              <w:ind w:right="709"/>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5</w:t>
            </w:r>
          </w:p>
        </w:tc>
        <w:tc>
          <w:tcPr>
            <w:tcW w:w="2540" w:type="dxa"/>
            <w:vAlign w:val="bottom"/>
          </w:tcPr>
          <w:p>
            <w:pPr>
              <w:ind w:left="240"/>
              <w:spacing w:after="0" w:line="159" w:lineRule="exact"/>
              <w:rPr>
                <w:sz w:val="20"/>
                <w:szCs w:val="20"/>
                <w:color w:val="auto"/>
              </w:rPr>
            </w:pPr>
            <w:r>
              <w:rPr>
                <w:rFonts w:ascii="Arial" w:cs="Arial" w:eastAsia="Arial" w:hAnsi="Arial"/>
                <w:sz w:val="14"/>
                <w:szCs w:val="14"/>
                <w:color w:val="auto"/>
              </w:rPr>
              <w:t>Interest Expense</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69"/>
              <w:spacing w:after="0" w:line="159" w:lineRule="exact"/>
              <w:rPr>
                <w:sz w:val="20"/>
                <w:szCs w:val="20"/>
                <w:color w:val="auto"/>
              </w:rPr>
            </w:pPr>
            <w:r>
              <w:rPr>
                <w:rFonts w:ascii="Arial" w:cs="Arial" w:eastAsia="Arial" w:hAnsi="Arial"/>
                <w:sz w:val="14"/>
                <w:szCs w:val="14"/>
                <w:color w:val="auto"/>
              </w:rPr>
              <w:t>(9)</w:t>
            </w:r>
          </w:p>
        </w:tc>
        <w:tc>
          <w:tcPr>
            <w:tcW w:w="3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9"/>
        </w:trPr>
        <w:tc>
          <w:tcPr>
            <w:tcW w:w="2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540" w:type="dxa"/>
            <w:vAlign w:val="bottom"/>
          </w:tcPr>
          <w:p>
            <w:pPr>
              <w:ind w:left="240"/>
              <w:spacing w:after="0" w:line="159" w:lineRule="exact"/>
              <w:rPr>
                <w:sz w:val="20"/>
                <w:szCs w:val="20"/>
                <w:color w:val="auto"/>
              </w:rPr>
            </w:pPr>
            <w:r>
              <w:rPr>
                <w:rFonts w:ascii="Arial" w:cs="Arial" w:eastAsia="Arial" w:hAnsi="Arial"/>
                <w:sz w:val="14"/>
                <w:szCs w:val="14"/>
                <w:color w:val="auto"/>
              </w:rPr>
              <w:t>Gain on Sale of Equity</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00" w:type="dxa"/>
            <w:vAlign w:val="bottom"/>
          </w:tcPr>
          <w:p>
            <w:pPr>
              <w:ind w:left="160"/>
              <w:spacing w:after="0" w:line="159" w:lineRule="exact"/>
              <w:rPr>
                <w:sz w:val="20"/>
                <w:szCs w:val="20"/>
                <w:color w:val="auto"/>
              </w:rPr>
            </w:pPr>
            <w:r>
              <w:rPr>
                <w:rFonts w:ascii="Arial" w:cs="Arial" w:eastAsia="Arial" w:hAnsi="Arial"/>
                <w:sz w:val="14"/>
                <w:szCs w:val="14"/>
                <w:color w:val="auto"/>
              </w:rPr>
              <w:t>Interest rate instruments</w:t>
            </w:r>
          </w:p>
        </w:tc>
        <w:tc>
          <w:tcPr>
            <w:tcW w:w="1040" w:type="dxa"/>
            <w:vAlign w:val="bottom"/>
          </w:tcPr>
          <w:p>
            <w:pPr>
              <w:spacing w:after="0"/>
              <w:rPr>
                <w:sz w:val="13"/>
                <w:szCs w:val="13"/>
                <w:color w:val="auto"/>
              </w:rPr>
            </w:pPr>
          </w:p>
        </w:tc>
        <w:tc>
          <w:tcPr>
            <w:tcW w:w="5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(2)</w:t>
            </w:r>
          </w:p>
        </w:tc>
        <w:tc>
          <w:tcPr>
            <w:tcW w:w="9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540" w:type="dxa"/>
            <w:vAlign w:val="bottom"/>
          </w:tcPr>
          <w:p>
            <w:pPr>
              <w:ind w:left="400"/>
              <w:spacing w:after="0" w:line="159" w:lineRule="exact"/>
              <w:rPr>
                <w:sz w:val="20"/>
                <w:szCs w:val="20"/>
                <w:color w:val="auto"/>
              </w:rPr>
            </w:pPr>
            <w:r>
              <w:rPr>
                <w:rFonts w:ascii="Arial" w:cs="Arial" w:eastAsia="Arial" w:hAnsi="Arial"/>
                <w:sz w:val="14"/>
                <w:szCs w:val="14"/>
                <w:color w:val="auto"/>
              </w:rPr>
              <w:t>Interest and Assets</w:t>
            </w:r>
          </w:p>
        </w:tc>
        <w:tc>
          <w:tcPr>
            <w:tcW w:w="380" w:type="dxa"/>
            <w:vAlign w:val="bottom"/>
          </w:tcPr>
          <w:p>
            <w:pPr>
              <w:spacing w:after="0"/>
              <w:rPr>
                <w:sz w:val="13"/>
                <w:szCs w:val="13"/>
                <w:color w:val="auto"/>
              </w:rPr>
            </w:pPr>
          </w:p>
        </w:tc>
        <w:tc>
          <w:tcPr>
            <w:tcW w:w="1260" w:type="dxa"/>
            <w:vAlign w:val="bottom"/>
          </w:tcPr>
          <w:p>
            <w:pPr>
              <w:jc w:val="right"/>
              <w:ind w:right="69"/>
              <w:spacing w:after="0" w:line="159" w:lineRule="exact"/>
              <w:rPr>
                <w:sz w:val="20"/>
                <w:szCs w:val="20"/>
                <w:color w:val="auto"/>
              </w:rPr>
            </w:pPr>
            <w:r>
              <w:rPr>
                <w:rFonts w:ascii="Arial" w:cs="Arial" w:eastAsia="Arial" w:hAnsi="Arial"/>
                <w:sz w:val="14"/>
                <w:szCs w:val="14"/>
                <w:color w:val="auto"/>
              </w:rPr>
              <w:t>(2)</w:t>
            </w:r>
          </w:p>
        </w:tc>
        <w:tc>
          <w:tcPr>
            <w:tcW w:w="320" w:type="dxa"/>
            <w:vAlign w:val="bottom"/>
          </w:tcPr>
          <w:p>
            <w:pPr>
              <w:spacing w:after="0"/>
              <w:rPr>
                <w:sz w:val="13"/>
                <w:szCs w:val="13"/>
                <w:color w:val="auto"/>
              </w:rPr>
            </w:pPr>
          </w:p>
        </w:tc>
        <w:tc>
          <w:tcPr>
            <w:tcW w:w="10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540" w:type="dxa"/>
            <w:vAlign w:val="bottom"/>
          </w:tcPr>
          <w:p>
            <w:pPr>
              <w:ind w:left="240"/>
              <w:spacing w:after="0" w:line="159" w:lineRule="exact"/>
              <w:rPr>
                <w:sz w:val="20"/>
                <w:szCs w:val="20"/>
                <w:color w:val="auto"/>
              </w:rPr>
            </w:pPr>
            <w:r>
              <w:rPr>
                <w:rFonts w:ascii="Arial" w:cs="Arial" w:eastAsia="Arial" w:hAnsi="Arial"/>
                <w:sz w:val="14"/>
                <w:szCs w:val="14"/>
                <w:color w:val="auto"/>
              </w:rPr>
              <w:t>Equity Earnings (Losses),</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00" w:type="dxa"/>
            <w:vAlign w:val="bottom"/>
          </w:tcPr>
          <w:p>
            <w:pPr>
              <w:ind w:left="160"/>
              <w:spacing w:after="0" w:line="159" w:lineRule="exact"/>
              <w:rPr>
                <w:sz w:val="20"/>
                <w:szCs w:val="20"/>
                <w:color w:val="auto"/>
              </w:rPr>
            </w:pPr>
            <w:r>
              <w:rPr>
                <w:rFonts w:ascii="Arial" w:cs="Arial" w:eastAsia="Arial" w:hAnsi="Arial"/>
                <w:sz w:val="14"/>
                <w:szCs w:val="14"/>
                <w:color w:val="auto"/>
              </w:rPr>
              <w:t>Interest rate instruments</w:t>
            </w:r>
          </w:p>
        </w:tc>
        <w:tc>
          <w:tcPr>
            <w:tcW w:w="1040" w:type="dxa"/>
            <w:vAlign w:val="bottom"/>
          </w:tcPr>
          <w:p>
            <w:pPr>
              <w:spacing w:after="0"/>
              <w:rPr>
                <w:sz w:val="13"/>
                <w:szCs w:val="13"/>
                <w:color w:val="auto"/>
              </w:rPr>
            </w:pPr>
          </w:p>
        </w:tc>
        <w:tc>
          <w:tcPr>
            <w:tcW w:w="5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(30)</w:t>
            </w:r>
          </w:p>
        </w:tc>
        <w:tc>
          <w:tcPr>
            <w:tcW w:w="9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14</w:t>
            </w:r>
          </w:p>
        </w:tc>
        <w:tc>
          <w:tcPr>
            <w:tcW w:w="2540" w:type="dxa"/>
            <w:vAlign w:val="bottom"/>
          </w:tcPr>
          <w:p>
            <w:pPr>
              <w:ind w:left="400"/>
              <w:spacing w:after="0" w:line="159" w:lineRule="exact"/>
              <w:rPr>
                <w:sz w:val="20"/>
                <w:szCs w:val="20"/>
                <w:color w:val="auto"/>
              </w:rPr>
            </w:pPr>
            <w:r>
              <w:rPr>
                <w:rFonts w:ascii="Arial" w:cs="Arial" w:eastAsia="Arial" w:hAnsi="Arial"/>
                <w:sz w:val="14"/>
                <w:szCs w:val="14"/>
                <w:color w:val="auto"/>
              </w:rPr>
              <w:t>Before Income Tax</w:t>
            </w:r>
          </w:p>
        </w:tc>
        <w:tc>
          <w:tcPr>
            <w:tcW w:w="380" w:type="dxa"/>
            <w:vAlign w:val="bottom"/>
          </w:tcPr>
          <w:p>
            <w:pPr>
              <w:spacing w:after="0"/>
              <w:rPr>
                <w:sz w:val="13"/>
                <w:szCs w:val="13"/>
                <w:color w:val="auto"/>
              </w:rPr>
            </w:pPr>
          </w:p>
        </w:tc>
        <w:tc>
          <w:tcPr>
            <w:tcW w:w="1260" w:type="dxa"/>
            <w:vAlign w:val="bottom"/>
          </w:tcPr>
          <w:p>
            <w:pPr>
              <w:jc w:val="right"/>
              <w:ind w:right="69"/>
              <w:spacing w:after="0" w:line="159" w:lineRule="exact"/>
              <w:rPr>
                <w:sz w:val="20"/>
                <w:szCs w:val="20"/>
                <w:color w:val="auto"/>
              </w:rPr>
            </w:pPr>
            <w:r>
              <w:rPr>
                <w:rFonts w:ascii="Arial" w:cs="Arial" w:eastAsia="Arial" w:hAnsi="Arial"/>
                <w:sz w:val="14"/>
                <w:szCs w:val="14"/>
                <w:color w:val="auto"/>
              </w:rPr>
              <w:t>(5)</w:t>
            </w:r>
          </w:p>
        </w:tc>
        <w:tc>
          <w:tcPr>
            <w:tcW w:w="320" w:type="dxa"/>
            <w:vAlign w:val="bottom"/>
          </w:tcPr>
          <w:p>
            <w:pPr>
              <w:spacing w:after="0"/>
              <w:rPr>
                <w:sz w:val="13"/>
                <w:szCs w:val="13"/>
                <w:color w:val="auto"/>
              </w:rPr>
            </w:pPr>
          </w:p>
        </w:tc>
        <w:tc>
          <w:tcPr>
            <w:tcW w:w="10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3"/>
        </w:trPr>
        <w:tc>
          <w:tcPr>
            <w:tcW w:w="2900" w:type="dxa"/>
            <w:vAlign w:val="bottom"/>
          </w:tcPr>
          <w:p>
            <w:pPr>
              <w:ind w:left="160"/>
              <w:spacing w:after="0"/>
              <w:rPr>
                <w:sz w:val="20"/>
                <w:szCs w:val="20"/>
                <w:color w:val="auto"/>
              </w:rPr>
            </w:pPr>
            <w:r>
              <w:rPr>
                <w:rFonts w:ascii="Arial" w:cs="Arial" w:eastAsia="Arial" w:hAnsi="Arial"/>
                <w:sz w:val="14"/>
                <w:szCs w:val="14"/>
                <w:color w:val="auto"/>
              </w:rPr>
              <w:t>Commodity contracts not subject</w:t>
            </w:r>
          </w:p>
        </w:tc>
        <w:tc>
          <w:tcPr>
            <w:tcW w:w="1040" w:type="dxa"/>
            <w:vAlign w:val="bottom"/>
          </w:tcPr>
          <w:p>
            <w:pPr>
              <w:spacing w:after="0"/>
              <w:rPr>
                <w:sz w:val="15"/>
                <w:szCs w:val="15"/>
                <w:color w:val="auto"/>
              </w:rPr>
            </w:pP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rPr>
              <w:t>(6)</w:t>
            </w:r>
          </w:p>
        </w:tc>
        <w:tc>
          <w:tcPr>
            <w:tcW w:w="98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2540" w:type="dxa"/>
            <w:vAlign w:val="bottom"/>
          </w:tcPr>
          <w:p>
            <w:pPr>
              <w:ind w:left="240"/>
              <w:spacing w:after="0"/>
              <w:rPr>
                <w:sz w:val="20"/>
                <w:szCs w:val="20"/>
                <w:color w:val="auto"/>
              </w:rPr>
            </w:pPr>
            <w:r>
              <w:rPr>
                <w:rFonts w:ascii="Arial" w:cs="Arial" w:eastAsia="Arial" w:hAnsi="Arial"/>
                <w:sz w:val="14"/>
                <w:szCs w:val="14"/>
                <w:color w:val="auto"/>
              </w:rPr>
              <w:t>Revenues: Energy-Related</w:t>
            </w:r>
          </w:p>
        </w:tc>
        <w:tc>
          <w:tcPr>
            <w:tcW w:w="380" w:type="dxa"/>
            <w:vAlign w:val="bottom"/>
          </w:tcPr>
          <w:p>
            <w:pPr>
              <w:spacing w:after="0"/>
              <w:rPr>
                <w:sz w:val="15"/>
                <w:szCs w:val="15"/>
                <w:color w:val="auto"/>
              </w:rPr>
            </w:pPr>
          </w:p>
        </w:tc>
        <w:tc>
          <w:tcPr>
            <w:tcW w:w="1260" w:type="dxa"/>
            <w:vAlign w:val="bottom"/>
            <w:vMerge w:val="restart"/>
          </w:tcPr>
          <w:p>
            <w:pPr>
              <w:jc w:val="right"/>
              <w:ind w:right="69"/>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900" w:type="dxa"/>
            <w:vAlign w:val="bottom"/>
          </w:tcPr>
          <w:p>
            <w:pPr>
              <w:ind w:left="320"/>
              <w:spacing w:after="0" w:line="159" w:lineRule="exact"/>
              <w:rPr>
                <w:sz w:val="20"/>
                <w:szCs w:val="20"/>
                <w:color w:val="auto"/>
              </w:rPr>
            </w:pPr>
            <w:r>
              <w:rPr>
                <w:rFonts w:ascii="Arial" w:cs="Arial" w:eastAsia="Arial" w:hAnsi="Arial"/>
                <w:sz w:val="14"/>
                <w:szCs w:val="14"/>
                <w:color w:val="auto"/>
              </w:rPr>
              <w:t>to rate recovery</w:t>
            </w:r>
          </w:p>
        </w:tc>
        <w:tc>
          <w:tcPr>
            <w:tcW w:w="10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2540" w:type="dxa"/>
            <w:vAlign w:val="bottom"/>
          </w:tcPr>
          <w:p>
            <w:pPr>
              <w:ind w:left="400"/>
              <w:spacing w:after="0" w:line="159" w:lineRule="exact"/>
              <w:rPr>
                <w:sz w:val="20"/>
                <w:szCs w:val="20"/>
                <w:color w:val="auto"/>
              </w:rPr>
            </w:pPr>
            <w:r>
              <w:rPr>
                <w:rFonts w:ascii="Arial" w:cs="Arial" w:eastAsia="Arial" w:hAnsi="Arial"/>
                <w:sz w:val="14"/>
                <w:szCs w:val="14"/>
                <w:color w:val="auto"/>
              </w:rPr>
              <w:t>Businesses</w:t>
            </w: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160"/>
              <w:spacing w:after="0" w:line="153" w:lineRule="exact"/>
              <w:rPr>
                <w:sz w:val="20"/>
                <w:szCs w:val="20"/>
                <w:color w:val="auto"/>
              </w:rPr>
            </w:pPr>
            <w:r>
              <w:rPr>
                <w:rFonts w:ascii="Arial" w:cs="Arial" w:eastAsia="Arial" w:hAnsi="Arial"/>
                <w:sz w:val="14"/>
                <w:szCs w:val="14"/>
                <w:color w:val="auto"/>
              </w:rPr>
              <w:t>Total(2)</w:t>
            </w:r>
          </w:p>
        </w:tc>
        <w:tc>
          <w:tcPr>
            <w:tcW w:w="1040" w:type="dxa"/>
            <w:vAlign w:val="bottom"/>
          </w:tcPr>
          <w:p>
            <w:pPr>
              <w:jc w:val="right"/>
              <w:ind w:right="669"/>
              <w:spacing w:after="0" w:line="153"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49"/>
              <w:spacing w:after="0" w:line="153" w:lineRule="exact"/>
              <w:rPr>
                <w:sz w:val="20"/>
                <w:szCs w:val="20"/>
                <w:color w:val="auto"/>
              </w:rPr>
            </w:pPr>
            <w:r>
              <w:rPr>
                <w:rFonts w:ascii="Arial" w:cs="Arial" w:eastAsia="Arial" w:hAnsi="Arial"/>
                <w:sz w:val="14"/>
                <w:szCs w:val="14"/>
                <w:color w:val="auto"/>
              </w:rPr>
              <w:t>(48)</w:t>
            </w:r>
          </w:p>
        </w:tc>
        <w:tc>
          <w:tcPr>
            <w:tcW w:w="980" w:type="dxa"/>
            <w:vAlign w:val="bottom"/>
          </w:tcPr>
          <w:p>
            <w:pPr>
              <w:jc w:val="right"/>
              <w:ind w:right="709"/>
              <w:spacing w:after="0" w:line="153"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3" w:lineRule="exact"/>
              <w:rPr>
                <w:sz w:val="20"/>
                <w:szCs w:val="20"/>
                <w:color w:val="auto"/>
              </w:rPr>
            </w:pPr>
            <w:r>
              <w:rPr>
                <w:rFonts w:ascii="Arial" w:cs="Arial" w:eastAsia="Arial" w:hAnsi="Arial"/>
                <w:sz w:val="14"/>
                <w:szCs w:val="14"/>
                <w:color w:val="auto"/>
              </w:rPr>
              <w:t>23</w:t>
            </w:r>
          </w:p>
        </w:tc>
        <w:tc>
          <w:tcPr>
            <w:tcW w:w="2540" w:type="dxa"/>
            <w:vAlign w:val="bottom"/>
          </w:tcPr>
          <w:p>
            <w:pPr>
              <w:spacing w:after="0"/>
              <w:rPr>
                <w:sz w:val="13"/>
                <w:szCs w:val="13"/>
                <w:color w:val="auto"/>
              </w:rPr>
            </w:pPr>
          </w:p>
        </w:tc>
        <w:tc>
          <w:tcPr>
            <w:tcW w:w="3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69"/>
              <w:spacing w:after="0" w:line="153" w:lineRule="exact"/>
              <w:rPr>
                <w:sz w:val="20"/>
                <w:szCs w:val="20"/>
                <w:color w:val="auto"/>
              </w:rPr>
            </w:pPr>
            <w:r>
              <w:rPr>
                <w:rFonts w:ascii="Arial" w:cs="Arial" w:eastAsia="Arial" w:hAnsi="Arial"/>
                <w:sz w:val="14"/>
                <w:szCs w:val="14"/>
                <w:color w:val="auto"/>
              </w:rPr>
              <w:t>(26)</w:t>
            </w:r>
          </w:p>
        </w:tc>
        <w:tc>
          <w:tcPr>
            <w:tcW w:w="32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3"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90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254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26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900" w:type="dxa"/>
            <w:vAlign w:val="bottom"/>
          </w:tcPr>
          <w:p>
            <w:pPr>
              <w:spacing w:after="0" w:line="146" w:lineRule="exact"/>
              <w:rPr>
                <w:sz w:val="20"/>
                <w:szCs w:val="20"/>
                <w:color w:val="auto"/>
              </w:rPr>
            </w:pPr>
            <w:r>
              <w:rPr>
                <w:rFonts w:ascii="Arial" w:cs="Arial" w:eastAsia="Arial" w:hAnsi="Arial"/>
                <w:sz w:val="14"/>
                <w:szCs w:val="14"/>
                <w:b w:val="1"/>
                <w:bCs w:val="1"/>
                <w:color w:val="auto"/>
              </w:rPr>
              <w:t>SDG&amp;E:</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ind w:left="160"/>
              <w:spacing w:after="0"/>
              <w:rPr>
                <w:sz w:val="20"/>
                <w:szCs w:val="20"/>
                <w:color w:val="auto"/>
              </w:rPr>
            </w:pPr>
            <w:r>
              <w:rPr>
                <w:rFonts w:ascii="Arial" w:cs="Arial" w:eastAsia="Arial" w:hAnsi="Arial"/>
                <w:sz w:val="14"/>
                <w:szCs w:val="14"/>
                <w:color w:val="auto"/>
              </w:rPr>
              <w:t>Interest rate instruments(1)(2)</w:t>
            </w:r>
          </w:p>
        </w:tc>
        <w:tc>
          <w:tcPr>
            <w:tcW w:w="1040" w:type="dxa"/>
            <w:vAlign w:val="bottom"/>
          </w:tcPr>
          <w:p>
            <w:pPr>
              <w:jc w:val="right"/>
              <w:ind w:right="669"/>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(6)</w:t>
            </w:r>
          </w:p>
        </w:tc>
        <w:tc>
          <w:tcPr>
            <w:tcW w:w="98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11</w:t>
            </w:r>
          </w:p>
        </w:tc>
        <w:tc>
          <w:tcPr>
            <w:tcW w:w="254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(5)</w:t>
            </w:r>
          </w:p>
        </w:tc>
        <w:tc>
          <w:tcPr>
            <w:tcW w:w="3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0"/>
        </w:trPr>
        <w:tc>
          <w:tcPr>
            <w:tcW w:w="2900" w:type="dxa"/>
            <w:vAlign w:val="bottom"/>
            <w:shd w:val="clear" w:color="auto" w:fill="C0C0C0"/>
          </w:tcPr>
          <w:p>
            <w:pPr>
              <w:spacing w:after="0"/>
              <w:rPr>
                <w:sz w:val="6"/>
                <w:szCs w:val="6"/>
                <w:color w:val="auto"/>
              </w:rPr>
            </w:pPr>
          </w:p>
        </w:tc>
        <w:tc>
          <w:tcPr>
            <w:tcW w:w="1040" w:type="dxa"/>
            <w:vAlign w:val="bottom"/>
            <w:shd w:val="clear" w:color="auto" w:fill="C0C0C0"/>
          </w:tcPr>
          <w:p>
            <w:pPr>
              <w:spacing w:after="0"/>
              <w:rPr>
                <w:sz w:val="6"/>
                <w:szCs w:val="6"/>
                <w:color w:val="auto"/>
              </w:rPr>
            </w:pPr>
          </w:p>
        </w:tc>
        <w:tc>
          <w:tcPr>
            <w:tcW w:w="560" w:type="dxa"/>
            <w:vAlign w:val="bottom"/>
            <w:shd w:val="clear" w:color="auto" w:fill="C0C0C0"/>
          </w:tcPr>
          <w:p>
            <w:pPr>
              <w:spacing w:after="0"/>
              <w:rPr>
                <w:sz w:val="6"/>
                <w:szCs w:val="6"/>
                <w:color w:val="auto"/>
              </w:rPr>
            </w:pPr>
          </w:p>
        </w:tc>
        <w:tc>
          <w:tcPr>
            <w:tcW w:w="980" w:type="dxa"/>
            <w:vAlign w:val="bottom"/>
            <w:shd w:val="clear" w:color="auto" w:fill="C0C0C0"/>
          </w:tcPr>
          <w:p>
            <w:pPr>
              <w:spacing w:after="0"/>
              <w:rPr>
                <w:sz w:val="6"/>
                <w:szCs w:val="6"/>
                <w:color w:val="auto"/>
              </w:rPr>
            </w:pPr>
          </w:p>
        </w:tc>
        <w:tc>
          <w:tcPr>
            <w:tcW w:w="380" w:type="dxa"/>
            <w:vAlign w:val="bottom"/>
            <w:shd w:val="clear" w:color="auto" w:fill="C0C0C0"/>
          </w:tcPr>
          <w:p>
            <w:pPr>
              <w:spacing w:after="0"/>
              <w:rPr>
                <w:sz w:val="6"/>
                <w:szCs w:val="6"/>
                <w:color w:val="auto"/>
              </w:rPr>
            </w:pPr>
          </w:p>
        </w:tc>
        <w:tc>
          <w:tcPr>
            <w:tcW w:w="2540" w:type="dxa"/>
            <w:vAlign w:val="bottom"/>
            <w:shd w:val="clear" w:color="auto" w:fill="C0C0C0"/>
          </w:tcPr>
          <w:p>
            <w:pPr>
              <w:spacing w:after="0"/>
              <w:rPr>
                <w:sz w:val="6"/>
                <w:szCs w:val="6"/>
                <w:color w:val="auto"/>
              </w:rPr>
            </w:pPr>
          </w:p>
        </w:tc>
        <w:tc>
          <w:tcPr>
            <w:tcW w:w="380" w:type="dxa"/>
            <w:vAlign w:val="bottom"/>
            <w:shd w:val="clear" w:color="auto" w:fill="C0C0C0"/>
          </w:tcPr>
          <w:p>
            <w:pPr>
              <w:spacing w:after="0"/>
              <w:rPr>
                <w:sz w:val="6"/>
                <w:szCs w:val="6"/>
                <w:color w:val="auto"/>
              </w:rPr>
            </w:pPr>
          </w:p>
        </w:tc>
        <w:tc>
          <w:tcPr>
            <w:tcW w:w="1260" w:type="dxa"/>
            <w:vAlign w:val="bottom"/>
            <w:shd w:val="clear" w:color="auto" w:fill="C0C0C0"/>
          </w:tcPr>
          <w:p>
            <w:pPr>
              <w:spacing w:after="0"/>
              <w:rPr>
                <w:sz w:val="6"/>
                <w:szCs w:val="6"/>
                <w:color w:val="auto"/>
              </w:rPr>
            </w:pPr>
          </w:p>
        </w:tc>
        <w:tc>
          <w:tcPr>
            <w:tcW w:w="320" w:type="dxa"/>
            <w:vAlign w:val="bottom"/>
            <w:shd w:val="clear" w:color="auto" w:fill="C0C0C0"/>
          </w:tcPr>
          <w:p>
            <w:pPr>
              <w:spacing w:after="0"/>
              <w:rPr>
                <w:sz w:val="6"/>
                <w:szCs w:val="6"/>
                <w:color w:val="auto"/>
              </w:rPr>
            </w:pPr>
          </w:p>
        </w:tc>
        <w:tc>
          <w:tcPr>
            <w:tcW w:w="1060" w:type="dxa"/>
            <w:vAlign w:val="bottom"/>
            <w:shd w:val="clear" w:color="auto" w:fill="C0C0C0"/>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900" w:type="dxa"/>
            <w:vAlign w:val="bottom"/>
          </w:tcPr>
          <w:p>
            <w:pPr>
              <w:spacing w:after="0" w:line="146" w:lineRule="exact"/>
              <w:rPr>
                <w:sz w:val="20"/>
                <w:szCs w:val="20"/>
                <w:color w:val="auto"/>
              </w:rPr>
            </w:pPr>
            <w:r>
              <w:rPr>
                <w:rFonts w:ascii="Arial" w:cs="Arial" w:eastAsia="Arial" w:hAnsi="Arial"/>
                <w:sz w:val="14"/>
                <w:szCs w:val="14"/>
                <w:b w:val="1"/>
                <w:bCs w:val="1"/>
                <w:color w:val="auto"/>
              </w:rPr>
              <w:t>SoCalGas:</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1040" w:type="dxa"/>
            <w:vAlign w:val="bottom"/>
          </w:tcPr>
          <w:p>
            <w:pPr>
              <w:jc w:val="right"/>
              <w:ind w:right="669"/>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54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2900" w:type="dxa"/>
            <w:vAlign w:val="bottom"/>
            <w:shd w:val="clear" w:color="auto" w:fill="C0C0C0"/>
          </w:tcPr>
          <w:p>
            <w:pPr>
              <w:spacing w:after="0"/>
              <w:rPr>
                <w:sz w:val="6"/>
                <w:szCs w:val="6"/>
                <w:color w:val="auto"/>
              </w:rPr>
            </w:pPr>
          </w:p>
        </w:tc>
        <w:tc>
          <w:tcPr>
            <w:tcW w:w="1040" w:type="dxa"/>
            <w:vAlign w:val="bottom"/>
            <w:shd w:val="clear" w:color="auto" w:fill="C0C0C0"/>
          </w:tcPr>
          <w:p>
            <w:pPr>
              <w:spacing w:after="0"/>
              <w:rPr>
                <w:sz w:val="6"/>
                <w:szCs w:val="6"/>
                <w:color w:val="auto"/>
              </w:rPr>
            </w:pPr>
          </w:p>
        </w:tc>
        <w:tc>
          <w:tcPr>
            <w:tcW w:w="560" w:type="dxa"/>
            <w:vAlign w:val="bottom"/>
            <w:shd w:val="clear" w:color="auto" w:fill="C0C0C0"/>
          </w:tcPr>
          <w:p>
            <w:pPr>
              <w:spacing w:after="0"/>
              <w:rPr>
                <w:sz w:val="6"/>
                <w:szCs w:val="6"/>
                <w:color w:val="auto"/>
              </w:rPr>
            </w:pPr>
          </w:p>
        </w:tc>
        <w:tc>
          <w:tcPr>
            <w:tcW w:w="980" w:type="dxa"/>
            <w:vAlign w:val="bottom"/>
            <w:shd w:val="clear" w:color="auto" w:fill="C0C0C0"/>
          </w:tcPr>
          <w:p>
            <w:pPr>
              <w:spacing w:after="0"/>
              <w:rPr>
                <w:sz w:val="6"/>
                <w:szCs w:val="6"/>
                <w:color w:val="auto"/>
              </w:rPr>
            </w:pPr>
          </w:p>
        </w:tc>
        <w:tc>
          <w:tcPr>
            <w:tcW w:w="380" w:type="dxa"/>
            <w:vAlign w:val="bottom"/>
            <w:shd w:val="clear" w:color="auto" w:fill="C0C0C0"/>
          </w:tcPr>
          <w:p>
            <w:pPr>
              <w:spacing w:after="0"/>
              <w:rPr>
                <w:sz w:val="6"/>
                <w:szCs w:val="6"/>
                <w:color w:val="auto"/>
              </w:rPr>
            </w:pPr>
          </w:p>
        </w:tc>
        <w:tc>
          <w:tcPr>
            <w:tcW w:w="2540" w:type="dxa"/>
            <w:vAlign w:val="bottom"/>
            <w:shd w:val="clear" w:color="auto" w:fill="C0C0C0"/>
          </w:tcPr>
          <w:p>
            <w:pPr>
              <w:spacing w:after="0"/>
              <w:rPr>
                <w:sz w:val="6"/>
                <w:szCs w:val="6"/>
                <w:color w:val="auto"/>
              </w:rPr>
            </w:pPr>
          </w:p>
        </w:tc>
        <w:tc>
          <w:tcPr>
            <w:tcW w:w="380" w:type="dxa"/>
            <w:vAlign w:val="bottom"/>
            <w:shd w:val="clear" w:color="auto" w:fill="C0C0C0"/>
          </w:tcPr>
          <w:p>
            <w:pPr>
              <w:spacing w:after="0"/>
              <w:rPr>
                <w:sz w:val="6"/>
                <w:szCs w:val="6"/>
                <w:color w:val="auto"/>
              </w:rPr>
            </w:pPr>
          </w:p>
        </w:tc>
        <w:tc>
          <w:tcPr>
            <w:tcW w:w="1260" w:type="dxa"/>
            <w:vAlign w:val="bottom"/>
            <w:shd w:val="clear" w:color="auto" w:fill="C0C0C0"/>
          </w:tcPr>
          <w:p>
            <w:pPr>
              <w:spacing w:after="0"/>
              <w:rPr>
                <w:sz w:val="6"/>
                <w:szCs w:val="6"/>
                <w:color w:val="auto"/>
              </w:rPr>
            </w:pPr>
          </w:p>
        </w:tc>
        <w:tc>
          <w:tcPr>
            <w:tcW w:w="320" w:type="dxa"/>
            <w:vAlign w:val="bottom"/>
            <w:shd w:val="clear" w:color="auto" w:fill="C0C0C0"/>
          </w:tcPr>
          <w:p>
            <w:pPr>
              <w:spacing w:after="0"/>
              <w:rPr>
                <w:sz w:val="6"/>
                <w:szCs w:val="6"/>
                <w:color w:val="auto"/>
              </w:rPr>
            </w:pPr>
          </w:p>
        </w:tc>
        <w:tc>
          <w:tcPr>
            <w:tcW w:w="1060" w:type="dxa"/>
            <w:vAlign w:val="bottom"/>
            <w:shd w:val="clear" w:color="auto" w:fill="C0C0C0"/>
          </w:tcPr>
          <w:p>
            <w:pPr>
              <w:spacing w:after="0"/>
              <w:rPr>
                <w:sz w:val="6"/>
                <w:szCs w:val="6"/>
                <w:color w:val="auto"/>
              </w:rPr>
            </w:pPr>
          </w:p>
        </w:tc>
        <w:tc>
          <w:tcPr>
            <w:tcW w:w="20" w:type="dxa"/>
            <w:vAlign w:val="bottom"/>
            <w:shd w:val="clear" w:color="auto" w:fill="C0C0C0"/>
          </w:tcPr>
          <w:p>
            <w:pPr>
              <w:spacing w:after="0"/>
              <w:rPr>
                <w:sz w:val="6"/>
                <w:szCs w:val="6"/>
                <w:color w:val="auto"/>
              </w:rPr>
            </w:pPr>
          </w:p>
        </w:tc>
        <w:tc>
          <w:tcPr>
            <w:tcW w:w="0" w:type="dxa"/>
            <w:vAlign w:val="bottom"/>
          </w:tcPr>
          <w:p>
            <w:pPr>
              <w:spacing w:after="0"/>
              <w:rPr>
                <w:sz w:val="1"/>
                <w:szCs w:val="1"/>
                <w:color w:val="auto"/>
              </w:rPr>
            </w:pPr>
          </w:p>
        </w:tc>
      </w:tr>
    </w:tbl>
    <w:p>
      <w:pPr>
        <w:ind w:left="500" w:hanging="494"/>
        <w:spacing w:after="0"/>
        <w:tabs>
          <w:tab w:leader="none" w:pos="500"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Amounts include Otay Mesa VIE. All of SDG&amp;E’s interest rate derivative activity relates to Otay Mesa VIE.</w:t>
      </w:r>
    </w:p>
    <w:p>
      <w:pPr>
        <w:spacing w:after="0" w:line="3" w:lineRule="exact"/>
        <w:rPr>
          <w:rFonts w:ascii="Arial" w:cs="Arial" w:eastAsia="Arial" w:hAnsi="Arial"/>
          <w:sz w:val="14"/>
          <w:szCs w:val="14"/>
          <w:i w:val="1"/>
          <w:iCs w:val="1"/>
          <w:color w:val="auto"/>
        </w:rPr>
      </w:pPr>
    </w:p>
    <w:p>
      <w:pPr>
        <w:ind w:left="500" w:hanging="494"/>
        <w:spacing w:after="0"/>
        <w:tabs>
          <w:tab w:leader="none" w:pos="500"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There was a negligible amount of ineffectiveness related to these hedges in 2014 and 2013.</w:t>
      </w:r>
    </w:p>
    <w:p>
      <w:pPr>
        <w:spacing w:after="0" w:line="21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For Sempra Energy Consolidated we expect that losses of $26 million, which are net of income tax benefit, that are currently recorded in AOCI (including $13 million in noncontrolling interests, of which $12 million is related to Otay Mesa VIE at SDG&amp;E) related to cash flow hedges will be reclassified into earnings during the next twelve months as the hedged items affect earnings. Actual amounts ultimately reclassified into earnings depend on the interest rates in effect when derivative contracts that are currently outstanding mature.</w:t>
      </w:r>
    </w:p>
    <w:p>
      <w:pPr>
        <w:spacing w:after="0" w:line="180"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SoCalGas expects that negligible losses, which are net of income tax benefit, currently recorded in AOCI related to cash flow hedges will be reclassified into earnings during the next twelve months as the hedged items affect earnings.</w:t>
      </w:r>
    </w:p>
    <w:p>
      <w:pPr>
        <w:spacing w:after="0" w:line="164"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For all forecasted transactions, the maximum term over which we are hedging exposure to the variability of cash flows at June 30, 2014 is approximately 19 years and 5 years for Sempra Energy Consolidated and SDG&amp;E, respectively. The maximum term of hedged interest rate variability related to debt at Sempra Renewables’ equity method investees is 21 years.</w:t>
      </w:r>
    </w:p>
    <w:p>
      <w:pPr>
        <w:spacing w:after="0" w:line="178"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The effects of derivative instruments not designated as hedging instruments on the Condensed Consolidated Statements of Operations for the three months and six months ended June 30 were:</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UNDESIGNATED DERIVATIVE IMPACT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3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60" w:type="dxa"/>
            <w:vAlign w:val="bottom"/>
            <w:gridSpan w:val="5"/>
            <w:vMerge w:val="restart"/>
          </w:tcPr>
          <w:p>
            <w:pPr>
              <w:ind w:left="780"/>
              <w:spacing w:after="0"/>
              <w:rPr>
                <w:sz w:val="20"/>
                <w:szCs w:val="20"/>
                <w:color w:val="auto"/>
              </w:rPr>
            </w:pPr>
            <w:r>
              <w:rPr>
                <w:rFonts w:ascii="Arial" w:cs="Arial" w:eastAsia="Arial" w:hAnsi="Arial"/>
                <w:sz w:val="14"/>
                <w:szCs w:val="14"/>
                <w:color w:val="auto"/>
              </w:rPr>
              <w:t>Gain (loss) on derivatives recognized in earnings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gridSpan w:val="5"/>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3220" w:type="dxa"/>
            <w:vAlign w:val="bottom"/>
            <w:vMerge w:val="restart"/>
          </w:tcPr>
          <w:p>
            <w:pPr>
              <w:ind w:left="1460"/>
              <w:spacing w:after="0"/>
              <w:rPr>
                <w:sz w:val="20"/>
                <w:szCs w:val="20"/>
                <w:color w:val="auto"/>
              </w:rPr>
            </w:pPr>
            <w:r>
              <w:rPr>
                <w:rFonts w:ascii="Arial" w:cs="Arial" w:eastAsia="Arial" w:hAnsi="Arial"/>
                <w:sz w:val="14"/>
                <w:szCs w:val="14"/>
                <w:color w:val="auto"/>
              </w:rPr>
              <w:t>Location</w:t>
            </w:r>
          </w:p>
        </w:tc>
        <w:tc>
          <w:tcPr>
            <w:tcW w:w="3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3"/>
          </w:tcPr>
          <w:p>
            <w:pPr>
              <w:jc w:val="right"/>
              <w:ind w:right="441"/>
              <w:spacing w:after="0" w:line="153" w:lineRule="exact"/>
              <w:rPr>
                <w:sz w:val="20"/>
                <w:szCs w:val="20"/>
                <w:color w:val="auto"/>
              </w:rPr>
            </w:pPr>
            <w:r>
              <w:rPr>
                <w:rFonts w:ascii="Arial" w:cs="Arial" w:eastAsia="Arial" w:hAnsi="Arial"/>
                <w:sz w:val="14"/>
                <w:szCs w:val="14"/>
                <w:color w:val="auto"/>
              </w:rPr>
              <w:t>Three months ended June 30,</w:t>
            </w:r>
          </w:p>
        </w:tc>
        <w:tc>
          <w:tcPr>
            <w:tcW w:w="2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3"/>
          </w:tcPr>
          <w:p>
            <w:pPr>
              <w:jc w:val="right"/>
              <w:ind w:right="421"/>
              <w:spacing w:after="0" w:line="153" w:lineRule="exact"/>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53"/>
        </w:trPr>
        <w:tc>
          <w:tcPr>
            <w:tcW w:w="288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3"/>
              <w:spacing w:after="0" w:line="153" w:lineRule="exact"/>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61"/>
              <w:spacing w:after="0" w:line="153" w:lineRule="exact"/>
              <w:rPr>
                <w:sz w:val="20"/>
                <w:szCs w:val="20"/>
                <w:color w:val="auto"/>
              </w:rPr>
            </w:pPr>
            <w:r>
              <w:rPr>
                <w:rFonts w:ascii="Arial" w:cs="Arial" w:eastAsia="Arial" w:hAnsi="Arial"/>
                <w:sz w:val="14"/>
                <w:szCs w:val="14"/>
                <w:color w:val="auto"/>
              </w:rPr>
              <w:t>2013</w:t>
            </w: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62"/>
              <w:spacing w:after="0" w:line="153" w:lineRule="exact"/>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61"/>
              <w:spacing w:after="0" w:line="153"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35"/>
        </w:trPr>
        <w:tc>
          <w:tcPr>
            <w:tcW w:w="2880" w:type="dxa"/>
            <w:vAlign w:val="bottom"/>
          </w:tcPr>
          <w:p>
            <w:pPr>
              <w:spacing w:after="0" w:line="135" w:lineRule="exact"/>
              <w:rPr>
                <w:sz w:val="20"/>
                <w:szCs w:val="20"/>
                <w:color w:val="auto"/>
              </w:rPr>
            </w:pPr>
            <w:r>
              <w:rPr>
                <w:rFonts w:ascii="Arial" w:cs="Arial" w:eastAsia="Arial" w:hAnsi="Arial"/>
                <w:sz w:val="15"/>
                <w:szCs w:val="15"/>
                <w:b w:val="1"/>
                <w:bCs w:val="1"/>
                <w:color w:val="auto"/>
              </w:rPr>
              <w:t>Sempra Energy Consolidated:</w:t>
            </w:r>
          </w:p>
        </w:tc>
        <w:tc>
          <w:tcPr>
            <w:tcW w:w="3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880" w:type="dxa"/>
            <w:vAlign w:val="bottom"/>
          </w:tcPr>
          <w:p>
            <w:pPr>
              <w:ind w:left="180"/>
              <w:spacing w:after="0" w:line="173" w:lineRule="exact"/>
              <w:rPr>
                <w:sz w:val="20"/>
                <w:szCs w:val="20"/>
                <w:color w:val="auto"/>
              </w:rPr>
            </w:pPr>
            <w:r>
              <w:rPr>
                <w:rFonts w:ascii="Arial" w:cs="Arial" w:eastAsia="Arial" w:hAnsi="Arial"/>
                <w:sz w:val="16"/>
                <w:szCs w:val="16"/>
                <w:color w:val="auto"/>
              </w:rPr>
              <w:t>Interest rate and foreign exchange</w:t>
            </w:r>
          </w:p>
        </w:tc>
        <w:tc>
          <w:tcPr>
            <w:tcW w:w="3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80" w:type="dxa"/>
            <w:vAlign w:val="bottom"/>
          </w:tcPr>
          <w:p>
            <w:pPr>
              <w:ind w:left="400"/>
              <w:spacing w:after="0" w:line="173" w:lineRule="exact"/>
              <w:rPr>
                <w:sz w:val="20"/>
                <w:szCs w:val="20"/>
                <w:color w:val="auto"/>
              </w:rPr>
            </w:pPr>
            <w:r>
              <w:rPr>
                <w:rFonts w:ascii="Arial" w:cs="Arial" w:eastAsia="Arial" w:hAnsi="Arial"/>
                <w:sz w:val="16"/>
                <w:szCs w:val="16"/>
                <w:color w:val="auto"/>
              </w:rPr>
              <w:t>instruments</w:t>
            </w:r>
          </w:p>
        </w:tc>
        <w:tc>
          <w:tcPr>
            <w:tcW w:w="3220" w:type="dxa"/>
            <w:vAlign w:val="bottom"/>
          </w:tcPr>
          <w:p>
            <w:pPr>
              <w:ind w:left="280"/>
              <w:spacing w:after="0" w:line="173" w:lineRule="exact"/>
              <w:rPr>
                <w:sz w:val="20"/>
                <w:szCs w:val="20"/>
                <w:color w:val="auto"/>
              </w:rPr>
            </w:pPr>
            <w:r>
              <w:rPr>
                <w:rFonts w:ascii="Arial" w:cs="Arial" w:eastAsia="Arial" w:hAnsi="Arial"/>
                <w:sz w:val="16"/>
                <w:szCs w:val="16"/>
                <w:color w:val="auto"/>
              </w:rPr>
              <w:t>Other Income, Net</w:t>
            </w:r>
          </w:p>
        </w:tc>
        <w:tc>
          <w:tcPr>
            <w:tcW w:w="3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83"/>
              <w:spacing w:after="0" w:line="173" w:lineRule="exact"/>
              <w:rPr>
                <w:sz w:val="20"/>
                <w:szCs w:val="20"/>
                <w:color w:val="auto"/>
              </w:rPr>
            </w:pPr>
            <w:r>
              <w:rPr>
                <w:rFonts w:ascii="Arial" w:cs="Arial" w:eastAsia="Arial" w:hAnsi="Arial"/>
                <w:sz w:val="16"/>
                <w:szCs w:val="16"/>
                <w:color w:val="auto"/>
              </w:rPr>
              <w:t>4</w:t>
            </w:r>
          </w:p>
        </w:tc>
        <w:tc>
          <w:tcPr>
            <w:tcW w:w="28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6</w:t>
            </w:r>
          </w:p>
        </w:tc>
        <w:tc>
          <w:tcPr>
            <w:tcW w:w="2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182"/>
              <w:spacing w:after="0" w:line="173" w:lineRule="exact"/>
              <w:rPr>
                <w:sz w:val="20"/>
                <w:szCs w:val="20"/>
                <w:color w:val="auto"/>
              </w:rPr>
            </w:pPr>
            <w:r>
              <w:rPr>
                <w:rFonts w:ascii="Arial" w:cs="Arial" w:eastAsia="Arial" w:hAnsi="Arial"/>
                <w:sz w:val="16"/>
                <w:szCs w:val="16"/>
                <w:color w:val="auto"/>
              </w:rPr>
              <w:t>7</w:t>
            </w:r>
          </w:p>
        </w:tc>
        <w:tc>
          <w:tcPr>
            <w:tcW w:w="200" w:type="dxa"/>
            <w:vAlign w:val="bottom"/>
          </w:tcPr>
          <w:p>
            <w:pPr>
              <w:jc w:val="right"/>
              <w:ind w:right="20"/>
              <w:spacing w:after="0" w:line="173" w:lineRule="exact"/>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73"/>
        </w:trPr>
        <w:tc>
          <w:tcPr>
            <w:tcW w:w="2880" w:type="dxa"/>
            <w:vAlign w:val="bottom"/>
          </w:tcPr>
          <w:p>
            <w:pPr>
              <w:ind w:left="180"/>
              <w:spacing w:after="0" w:line="173" w:lineRule="exact"/>
              <w:rPr>
                <w:sz w:val="20"/>
                <w:szCs w:val="20"/>
                <w:color w:val="auto"/>
              </w:rPr>
            </w:pPr>
            <w:r>
              <w:rPr>
                <w:rFonts w:ascii="Arial" w:cs="Arial" w:eastAsia="Arial" w:hAnsi="Arial"/>
                <w:sz w:val="16"/>
                <w:szCs w:val="16"/>
                <w:color w:val="auto"/>
              </w:rPr>
              <w:t>Foreign exchange instruments</w:t>
            </w:r>
          </w:p>
        </w:tc>
        <w:tc>
          <w:tcPr>
            <w:tcW w:w="3220" w:type="dxa"/>
            <w:vAlign w:val="bottom"/>
          </w:tcPr>
          <w:p>
            <w:pPr>
              <w:ind w:left="280"/>
              <w:spacing w:after="0" w:line="173" w:lineRule="exact"/>
              <w:rPr>
                <w:sz w:val="20"/>
                <w:szCs w:val="20"/>
                <w:color w:val="auto"/>
              </w:rPr>
            </w:pPr>
            <w:r>
              <w:rPr>
                <w:rFonts w:ascii="Arial" w:cs="Arial" w:eastAsia="Arial" w:hAnsi="Arial"/>
                <w:sz w:val="16"/>
                <w:szCs w:val="16"/>
                <w:color w:val="auto"/>
              </w:rPr>
              <w:t>Equity Earnings,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3220" w:type="dxa"/>
            <w:vAlign w:val="bottom"/>
          </w:tcPr>
          <w:p>
            <w:pPr>
              <w:ind w:left="460"/>
              <w:spacing w:after="0" w:line="173" w:lineRule="exact"/>
              <w:rPr>
                <w:sz w:val="20"/>
                <w:szCs w:val="20"/>
                <w:color w:val="auto"/>
              </w:rPr>
            </w:pPr>
            <w:r>
              <w:rPr>
                <w:rFonts w:ascii="Arial" w:cs="Arial" w:eastAsia="Arial" w:hAnsi="Arial"/>
                <w:sz w:val="16"/>
                <w:szCs w:val="16"/>
                <w:color w:val="auto"/>
              </w:rPr>
              <w:t>Net of Income Tax</w:t>
            </w:r>
          </w:p>
        </w:tc>
        <w:tc>
          <w:tcPr>
            <w:tcW w:w="320" w:type="dxa"/>
            <w:vAlign w:val="bottom"/>
          </w:tcPr>
          <w:p>
            <w:pPr>
              <w:spacing w:after="0"/>
              <w:rPr>
                <w:sz w:val="15"/>
                <w:szCs w:val="15"/>
                <w:color w:val="auto"/>
              </w:rPr>
            </w:pPr>
          </w:p>
        </w:tc>
        <w:tc>
          <w:tcPr>
            <w:tcW w:w="1100" w:type="dxa"/>
            <w:vAlign w:val="bottom"/>
          </w:tcPr>
          <w:p>
            <w:pPr>
              <w:jc w:val="right"/>
              <w:ind w:right="83"/>
              <w:spacing w:after="0" w:line="173"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0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4</w:t>
            </w:r>
          </w:p>
        </w:tc>
        <w:tc>
          <w:tcPr>
            <w:tcW w:w="260" w:type="dxa"/>
            <w:vAlign w:val="bottom"/>
          </w:tcPr>
          <w:p>
            <w:pPr>
              <w:spacing w:after="0"/>
              <w:rPr>
                <w:sz w:val="15"/>
                <w:szCs w:val="15"/>
                <w:color w:val="auto"/>
              </w:rPr>
            </w:pPr>
          </w:p>
        </w:tc>
        <w:tc>
          <w:tcPr>
            <w:tcW w:w="1160" w:type="dxa"/>
            <w:vAlign w:val="bottom"/>
          </w:tcPr>
          <w:p>
            <w:pPr>
              <w:jc w:val="right"/>
              <w:ind w:right="142"/>
              <w:spacing w:after="0" w:line="173" w:lineRule="exact"/>
              <w:rPr>
                <w:sz w:val="20"/>
                <w:szCs w:val="20"/>
                <w:color w:val="auto"/>
              </w:rPr>
            </w:pPr>
            <w:r>
              <w:rPr>
                <w:rFonts w:ascii="Arial" w:cs="Arial" w:eastAsia="Arial" w:hAnsi="Arial"/>
                <w:sz w:val="16"/>
                <w:szCs w:val="16"/>
                <w:color w:val="auto"/>
              </w:rPr>
              <w:t>(2)</w:t>
            </w:r>
          </w:p>
        </w:tc>
        <w:tc>
          <w:tcPr>
            <w:tcW w:w="20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3"/>
        </w:trPr>
        <w:tc>
          <w:tcPr>
            <w:tcW w:w="2880" w:type="dxa"/>
            <w:vAlign w:val="bottom"/>
          </w:tcPr>
          <w:p>
            <w:pPr>
              <w:ind w:left="180"/>
              <w:spacing w:after="0" w:line="173" w:lineRule="exact"/>
              <w:rPr>
                <w:sz w:val="20"/>
                <w:szCs w:val="20"/>
                <w:color w:val="auto"/>
              </w:rPr>
            </w:pPr>
            <w:r>
              <w:rPr>
                <w:rFonts w:ascii="Arial" w:cs="Arial" w:eastAsia="Arial" w:hAnsi="Arial"/>
                <w:sz w:val="16"/>
                <w:szCs w:val="16"/>
                <w:color w:val="auto"/>
              </w:rPr>
              <w:t>Commodity contracts not subject</w:t>
            </w:r>
          </w:p>
        </w:tc>
        <w:tc>
          <w:tcPr>
            <w:tcW w:w="3220" w:type="dxa"/>
            <w:vAlign w:val="bottom"/>
          </w:tcPr>
          <w:p>
            <w:pPr>
              <w:ind w:left="280"/>
              <w:spacing w:after="0" w:line="173" w:lineRule="exact"/>
              <w:rPr>
                <w:sz w:val="20"/>
                <w:szCs w:val="20"/>
                <w:color w:val="auto"/>
              </w:rPr>
            </w:pPr>
            <w:r>
              <w:rPr>
                <w:rFonts w:ascii="Arial" w:cs="Arial" w:eastAsia="Arial" w:hAnsi="Arial"/>
                <w:sz w:val="16"/>
                <w:szCs w:val="16"/>
                <w:color w:val="auto"/>
              </w:rPr>
              <w:t>Revenues: Energy-Related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80" w:type="dxa"/>
            <w:vAlign w:val="bottom"/>
          </w:tcPr>
          <w:p>
            <w:pPr>
              <w:ind w:left="360"/>
              <w:spacing w:after="0" w:line="173" w:lineRule="exact"/>
              <w:rPr>
                <w:sz w:val="20"/>
                <w:szCs w:val="20"/>
                <w:color w:val="auto"/>
              </w:rPr>
            </w:pPr>
            <w:r>
              <w:rPr>
                <w:rFonts w:ascii="Arial" w:cs="Arial" w:eastAsia="Arial" w:hAnsi="Arial"/>
                <w:sz w:val="16"/>
                <w:szCs w:val="16"/>
                <w:color w:val="auto"/>
              </w:rPr>
              <w:t>to rate recovery</w:t>
            </w:r>
          </w:p>
        </w:tc>
        <w:tc>
          <w:tcPr>
            <w:tcW w:w="3220" w:type="dxa"/>
            <w:vAlign w:val="bottom"/>
          </w:tcPr>
          <w:p>
            <w:pPr>
              <w:ind w:left="460"/>
              <w:spacing w:after="0" w:line="173" w:lineRule="exact"/>
              <w:rPr>
                <w:sz w:val="20"/>
                <w:szCs w:val="20"/>
                <w:color w:val="auto"/>
              </w:rPr>
            </w:pPr>
            <w:r>
              <w:rPr>
                <w:rFonts w:ascii="Arial" w:cs="Arial" w:eastAsia="Arial" w:hAnsi="Arial"/>
                <w:sz w:val="16"/>
                <w:szCs w:val="16"/>
                <w:color w:val="auto"/>
              </w:rPr>
              <w:t>Businesses</w:t>
            </w:r>
          </w:p>
        </w:tc>
        <w:tc>
          <w:tcPr>
            <w:tcW w:w="320" w:type="dxa"/>
            <w:vAlign w:val="bottom"/>
          </w:tcPr>
          <w:p>
            <w:pPr>
              <w:spacing w:after="0"/>
              <w:rPr>
                <w:sz w:val="15"/>
                <w:szCs w:val="15"/>
                <w:color w:val="auto"/>
              </w:rPr>
            </w:pPr>
          </w:p>
        </w:tc>
        <w:tc>
          <w:tcPr>
            <w:tcW w:w="1100" w:type="dxa"/>
            <w:vAlign w:val="bottom"/>
          </w:tcPr>
          <w:p>
            <w:pPr>
              <w:jc w:val="right"/>
              <w:ind w:right="83"/>
              <w:spacing w:after="0" w:line="173" w:lineRule="exact"/>
              <w:rPr>
                <w:sz w:val="20"/>
                <w:szCs w:val="20"/>
                <w:color w:val="auto"/>
              </w:rPr>
            </w:pPr>
            <w:r>
              <w:rPr>
                <w:rFonts w:ascii="Arial" w:cs="Arial" w:eastAsia="Arial" w:hAnsi="Arial"/>
                <w:sz w:val="16"/>
                <w:szCs w:val="16"/>
                <w:color w:val="auto"/>
              </w:rPr>
              <w:t>4</w:t>
            </w:r>
          </w:p>
        </w:tc>
        <w:tc>
          <w:tcPr>
            <w:tcW w:w="280" w:type="dxa"/>
            <w:vAlign w:val="bottom"/>
          </w:tcPr>
          <w:p>
            <w:pPr>
              <w:spacing w:after="0"/>
              <w:rPr>
                <w:sz w:val="15"/>
                <w:szCs w:val="15"/>
                <w:color w:val="auto"/>
              </w:rPr>
            </w:pPr>
          </w:p>
        </w:tc>
        <w:tc>
          <w:tcPr>
            <w:tcW w:w="10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21</w:t>
            </w:r>
          </w:p>
        </w:tc>
        <w:tc>
          <w:tcPr>
            <w:tcW w:w="260" w:type="dxa"/>
            <w:vAlign w:val="bottom"/>
          </w:tcPr>
          <w:p>
            <w:pPr>
              <w:spacing w:after="0"/>
              <w:rPr>
                <w:sz w:val="15"/>
                <w:szCs w:val="15"/>
                <w:color w:val="auto"/>
              </w:rPr>
            </w:pPr>
          </w:p>
        </w:tc>
        <w:tc>
          <w:tcPr>
            <w:tcW w:w="1160" w:type="dxa"/>
            <w:vAlign w:val="bottom"/>
          </w:tcPr>
          <w:p>
            <w:pPr>
              <w:jc w:val="right"/>
              <w:ind w:right="142"/>
              <w:spacing w:after="0" w:line="173" w:lineRule="exact"/>
              <w:rPr>
                <w:sz w:val="20"/>
                <w:szCs w:val="20"/>
                <w:color w:val="auto"/>
              </w:rPr>
            </w:pPr>
            <w:r>
              <w:rPr>
                <w:rFonts w:ascii="Arial" w:cs="Arial" w:eastAsia="Arial" w:hAnsi="Arial"/>
                <w:sz w:val="16"/>
                <w:szCs w:val="16"/>
                <w:color w:val="auto"/>
              </w:rPr>
              <w:t>(1)</w:t>
            </w:r>
          </w:p>
        </w:tc>
        <w:tc>
          <w:tcPr>
            <w:tcW w:w="20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3"/>
        </w:trPr>
        <w:tc>
          <w:tcPr>
            <w:tcW w:w="2880" w:type="dxa"/>
            <w:vAlign w:val="bottom"/>
          </w:tcPr>
          <w:p>
            <w:pPr>
              <w:ind w:left="180"/>
              <w:spacing w:after="0" w:line="173" w:lineRule="exact"/>
              <w:rPr>
                <w:sz w:val="20"/>
                <w:szCs w:val="20"/>
                <w:color w:val="auto"/>
              </w:rPr>
            </w:pPr>
            <w:r>
              <w:rPr>
                <w:rFonts w:ascii="Arial" w:cs="Arial" w:eastAsia="Arial" w:hAnsi="Arial"/>
                <w:sz w:val="16"/>
                <w:szCs w:val="16"/>
                <w:color w:val="auto"/>
              </w:rPr>
              <w:t>Commodity contracts not subject</w:t>
            </w:r>
          </w:p>
        </w:tc>
        <w:tc>
          <w:tcPr>
            <w:tcW w:w="3220" w:type="dxa"/>
            <w:vAlign w:val="bottom"/>
          </w:tcPr>
          <w:p>
            <w:pPr>
              <w:ind w:left="280"/>
              <w:spacing w:after="0" w:line="173" w:lineRule="exact"/>
              <w:rPr>
                <w:sz w:val="20"/>
                <w:szCs w:val="20"/>
                <w:color w:val="auto"/>
              </w:rPr>
            </w:pPr>
            <w:r>
              <w:rPr>
                <w:rFonts w:ascii="Arial" w:cs="Arial" w:eastAsia="Arial" w:hAnsi="Arial"/>
                <w:sz w:val="16"/>
                <w:szCs w:val="16"/>
                <w:color w:val="auto"/>
              </w:rPr>
              <w:t>Cost of Natural Gas, Electric Fuel</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80" w:type="dxa"/>
            <w:vAlign w:val="bottom"/>
          </w:tcPr>
          <w:p>
            <w:pPr>
              <w:ind w:left="360"/>
              <w:spacing w:after="0" w:line="173" w:lineRule="exact"/>
              <w:rPr>
                <w:sz w:val="20"/>
                <w:szCs w:val="20"/>
                <w:color w:val="auto"/>
              </w:rPr>
            </w:pPr>
            <w:r>
              <w:rPr>
                <w:rFonts w:ascii="Arial" w:cs="Arial" w:eastAsia="Arial" w:hAnsi="Arial"/>
                <w:sz w:val="16"/>
                <w:szCs w:val="16"/>
                <w:color w:val="auto"/>
              </w:rPr>
              <w:t>to rate recovery</w:t>
            </w:r>
          </w:p>
        </w:tc>
        <w:tc>
          <w:tcPr>
            <w:tcW w:w="3220" w:type="dxa"/>
            <w:vAlign w:val="bottom"/>
          </w:tcPr>
          <w:p>
            <w:pPr>
              <w:ind w:left="460"/>
              <w:spacing w:after="0" w:line="173" w:lineRule="exact"/>
              <w:rPr>
                <w:sz w:val="20"/>
                <w:szCs w:val="20"/>
                <w:color w:val="auto"/>
              </w:rPr>
            </w:pPr>
            <w:r>
              <w:rPr>
                <w:rFonts w:ascii="Arial" w:cs="Arial" w:eastAsia="Arial" w:hAnsi="Arial"/>
                <w:sz w:val="16"/>
                <w:szCs w:val="16"/>
                <w:color w:val="auto"/>
              </w:rPr>
              <w:t>and Purchased Power</w:t>
            </w:r>
          </w:p>
        </w:tc>
        <w:tc>
          <w:tcPr>
            <w:tcW w:w="320" w:type="dxa"/>
            <w:vAlign w:val="bottom"/>
          </w:tcPr>
          <w:p>
            <w:pPr>
              <w:spacing w:after="0"/>
              <w:rPr>
                <w:sz w:val="15"/>
                <w:szCs w:val="15"/>
                <w:color w:val="auto"/>
              </w:rPr>
            </w:pPr>
          </w:p>
        </w:tc>
        <w:tc>
          <w:tcPr>
            <w:tcW w:w="1100" w:type="dxa"/>
            <w:vAlign w:val="bottom"/>
          </w:tcPr>
          <w:p>
            <w:pPr>
              <w:jc w:val="right"/>
              <w:ind w:right="83"/>
              <w:spacing w:after="0" w:line="173" w:lineRule="exact"/>
              <w:rPr>
                <w:sz w:val="20"/>
                <w:szCs w:val="20"/>
                <w:color w:val="auto"/>
              </w:rPr>
            </w:pPr>
            <w:r>
              <w:rPr>
                <w:rFonts w:ascii="Arial" w:cs="Arial" w:eastAsia="Arial" w:hAnsi="Arial"/>
                <w:sz w:val="16"/>
                <w:szCs w:val="16"/>
                <w:color w:val="auto"/>
              </w:rPr>
              <w:t>1</w:t>
            </w:r>
          </w:p>
        </w:tc>
        <w:tc>
          <w:tcPr>
            <w:tcW w:w="280" w:type="dxa"/>
            <w:vAlign w:val="bottom"/>
          </w:tcPr>
          <w:p>
            <w:pPr>
              <w:spacing w:after="0"/>
              <w:rPr>
                <w:sz w:val="15"/>
                <w:szCs w:val="15"/>
                <w:color w:val="auto"/>
              </w:rPr>
            </w:pPr>
          </w:p>
        </w:tc>
        <w:tc>
          <w:tcPr>
            <w:tcW w:w="1060" w:type="dxa"/>
            <w:vAlign w:val="bottom"/>
          </w:tcPr>
          <w:p>
            <w:pPr>
              <w:jc w:val="right"/>
              <w:ind w:right="81"/>
              <w:spacing w:after="0" w:line="173"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160" w:type="dxa"/>
            <w:vAlign w:val="bottom"/>
          </w:tcPr>
          <w:p>
            <w:pPr>
              <w:jc w:val="right"/>
              <w:ind w:right="182"/>
              <w:spacing w:after="0" w:line="173" w:lineRule="exact"/>
              <w:rPr>
                <w:sz w:val="20"/>
                <w:szCs w:val="20"/>
                <w:color w:val="auto"/>
              </w:rPr>
            </w:pPr>
            <w:r>
              <w:rPr>
                <w:rFonts w:ascii="Arial" w:cs="Arial" w:eastAsia="Arial" w:hAnsi="Arial"/>
                <w:sz w:val="16"/>
                <w:szCs w:val="16"/>
                <w:color w:val="auto"/>
              </w:rPr>
              <w:t>2</w:t>
            </w:r>
          </w:p>
        </w:tc>
        <w:tc>
          <w:tcPr>
            <w:tcW w:w="20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2880" w:type="dxa"/>
            <w:vAlign w:val="bottom"/>
          </w:tcPr>
          <w:p>
            <w:pPr>
              <w:ind w:left="180"/>
              <w:spacing w:after="0" w:line="173" w:lineRule="exact"/>
              <w:rPr>
                <w:sz w:val="20"/>
                <w:szCs w:val="20"/>
                <w:color w:val="auto"/>
              </w:rPr>
            </w:pPr>
            <w:r>
              <w:rPr>
                <w:rFonts w:ascii="Arial" w:cs="Arial" w:eastAsia="Arial" w:hAnsi="Arial"/>
                <w:sz w:val="16"/>
                <w:szCs w:val="16"/>
                <w:color w:val="auto"/>
              </w:rPr>
              <w:t>Commodity contracts subject</w:t>
            </w:r>
          </w:p>
        </w:tc>
        <w:tc>
          <w:tcPr>
            <w:tcW w:w="3220" w:type="dxa"/>
            <w:vAlign w:val="bottom"/>
          </w:tcPr>
          <w:p>
            <w:pPr>
              <w:ind w:left="280"/>
              <w:spacing w:after="0" w:line="173" w:lineRule="exact"/>
              <w:rPr>
                <w:sz w:val="20"/>
                <w:szCs w:val="20"/>
                <w:color w:val="auto"/>
              </w:rPr>
            </w:pPr>
            <w:r>
              <w:rPr>
                <w:rFonts w:ascii="Arial" w:cs="Arial" w:eastAsia="Arial" w:hAnsi="Arial"/>
                <w:sz w:val="16"/>
                <w:szCs w:val="16"/>
                <w:color w:val="auto"/>
              </w:rPr>
              <w:t>Cost of Electric Fuel</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80" w:type="dxa"/>
            <w:vAlign w:val="bottom"/>
          </w:tcPr>
          <w:p>
            <w:pPr>
              <w:ind w:left="360"/>
              <w:spacing w:after="0" w:line="173" w:lineRule="exact"/>
              <w:rPr>
                <w:sz w:val="20"/>
                <w:szCs w:val="20"/>
                <w:color w:val="auto"/>
              </w:rPr>
            </w:pPr>
            <w:r>
              <w:rPr>
                <w:rFonts w:ascii="Arial" w:cs="Arial" w:eastAsia="Arial" w:hAnsi="Arial"/>
                <w:sz w:val="16"/>
                <w:szCs w:val="16"/>
                <w:color w:val="auto"/>
              </w:rPr>
              <w:t>to rate recovery</w:t>
            </w:r>
          </w:p>
        </w:tc>
        <w:tc>
          <w:tcPr>
            <w:tcW w:w="3220" w:type="dxa"/>
            <w:vAlign w:val="bottom"/>
          </w:tcPr>
          <w:p>
            <w:pPr>
              <w:ind w:left="460"/>
              <w:spacing w:after="0" w:line="173" w:lineRule="exact"/>
              <w:rPr>
                <w:sz w:val="20"/>
                <w:szCs w:val="20"/>
                <w:color w:val="auto"/>
              </w:rPr>
            </w:pPr>
            <w:r>
              <w:rPr>
                <w:rFonts w:ascii="Arial" w:cs="Arial" w:eastAsia="Arial" w:hAnsi="Arial"/>
                <w:sz w:val="16"/>
                <w:szCs w:val="16"/>
                <w:color w:val="auto"/>
              </w:rPr>
              <w:t>and Purchased Power</w:t>
            </w:r>
          </w:p>
        </w:tc>
        <w:tc>
          <w:tcPr>
            <w:tcW w:w="320" w:type="dxa"/>
            <w:vAlign w:val="bottom"/>
          </w:tcPr>
          <w:p>
            <w:pPr>
              <w:spacing w:after="0"/>
              <w:rPr>
                <w:sz w:val="15"/>
                <w:szCs w:val="15"/>
                <w:color w:val="auto"/>
              </w:rPr>
            </w:pPr>
          </w:p>
        </w:tc>
        <w:tc>
          <w:tcPr>
            <w:tcW w:w="1100" w:type="dxa"/>
            <w:vAlign w:val="bottom"/>
          </w:tcPr>
          <w:p>
            <w:pPr>
              <w:jc w:val="right"/>
              <w:ind w:right="83"/>
              <w:spacing w:after="0" w:line="173" w:lineRule="exact"/>
              <w:rPr>
                <w:sz w:val="20"/>
                <w:szCs w:val="20"/>
                <w:color w:val="auto"/>
              </w:rPr>
            </w:pPr>
            <w:r>
              <w:rPr>
                <w:rFonts w:ascii="Arial" w:cs="Arial" w:eastAsia="Arial" w:hAnsi="Arial"/>
                <w:sz w:val="16"/>
                <w:szCs w:val="16"/>
                <w:color w:val="auto"/>
              </w:rPr>
              <w:t>8</w:t>
            </w:r>
          </w:p>
        </w:tc>
        <w:tc>
          <w:tcPr>
            <w:tcW w:w="280" w:type="dxa"/>
            <w:vAlign w:val="bottom"/>
          </w:tcPr>
          <w:p>
            <w:pPr>
              <w:spacing w:after="0"/>
              <w:rPr>
                <w:sz w:val="15"/>
                <w:szCs w:val="15"/>
                <w:color w:val="auto"/>
              </w:rPr>
            </w:pPr>
          </w:p>
        </w:tc>
        <w:tc>
          <w:tcPr>
            <w:tcW w:w="1060" w:type="dxa"/>
            <w:vAlign w:val="bottom"/>
          </w:tcPr>
          <w:p>
            <w:pPr>
              <w:jc w:val="right"/>
              <w:ind w:right="41"/>
              <w:spacing w:after="0" w:line="173" w:lineRule="exact"/>
              <w:rPr>
                <w:sz w:val="20"/>
                <w:szCs w:val="20"/>
                <w:color w:val="auto"/>
              </w:rPr>
            </w:pPr>
            <w:r>
              <w:rPr>
                <w:rFonts w:ascii="Arial" w:cs="Arial" w:eastAsia="Arial" w:hAnsi="Arial"/>
                <w:sz w:val="16"/>
                <w:szCs w:val="16"/>
                <w:color w:val="auto"/>
              </w:rPr>
              <w:t>(18)</w:t>
            </w:r>
          </w:p>
        </w:tc>
        <w:tc>
          <w:tcPr>
            <w:tcW w:w="260" w:type="dxa"/>
            <w:vAlign w:val="bottom"/>
          </w:tcPr>
          <w:p>
            <w:pPr>
              <w:spacing w:after="0"/>
              <w:rPr>
                <w:sz w:val="15"/>
                <w:szCs w:val="15"/>
                <w:color w:val="auto"/>
              </w:rPr>
            </w:pPr>
          </w:p>
        </w:tc>
        <w:tc>
          <w:tcPr>
            <w:tcW w:w="1160" w:type="dxa"/>
            <w:vAlign w:val="bottom"/>
          </w:tcPr>
          <w:p>
            <w:pPr>
              <w:jc w:val="right"/>
              <w:ind w:right="182"/>
              <w:spacing w:after="0" w:line="173" w:lineRule="exact"/>
              <w:rPr>
                <w:sz w:val="20"/>
                <w:szCs w:val="20"/>
                <w:color w:val="auto"/>
              </w:rPr>
            </w:pPr>
            <w:r>
              <w:rPr>
                <w:rFonts w:ascii="Arial" w:cs="Arial" w:eastAsia="Arial" w:hAnsi="Arial"/>
                <w:sz w:val="16"/>
                <w:szCs w:val="16"/>
                <w:color w:val="auto"/>
              </w:rPr>
              <w:t>20</w:t>
            </w:r>
          </w:p>
        </w:tc>
        <w:tc>
          <w:tcPr>
            <w:tcW w:w="20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6"/>
        </w:trPr>
        <w:tc>
          <w:tcPr>
            <w:tcW w:w="2880" w:type="dxa"/>
            <w:vAlign w:val="bottom"/>
          </w:tcPr>
          <w:p>
            <w:pPr>
              <w:ind w:left="180"/>
              <w:spacing w:after="0"/>
              <w:rPr>
                <w:sz w:val="20"/>
                <w:szCs w:val="20"/>
                <w:color w:val="auto"/>
              </w:rPr>
            </w:pPr>
            <w:r>
              <w:rPr>
                <w:rFonts w:ascii="Arial" w:cs="Arial" w:eastAsia="Arial" w:hAnsi="Arial"/>
                <w:sz w:val="16"/>
                <w:szCs w:val="16"/>
                <w:color w:val="auto"/>
              </w:rPr>
              <w:t>Commodity contracts subject</w:t>
            </w:r>
          </w:p>
        </w:tc>
        <w:tc>
          <w:tcPr>
            <w:tcW w:w="3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ind w:left="800"/>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6"/>
                <w:szCs w:val="16"/>
                <w:color w:val="auto"/>
              </w:rPr>
            </w:pPr>
          </w:p>
        </w:tc>
        <w:tc>
          <w:tcPr>
            <w:tcW w:w="1060" w:type="dxa"/>
            <w:vAlign w:val="bottom"/>
            <w:vMerge w:val="restart"/>
          </w:tcPr>
          <w:p>
            <w:pPr>
              <w:jc w:val="right"/>
              <w:ind w:right="41"/>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6"/>
                <w:szCs w:val="16"/>
                <w:color w:val="auto"/>
              </w:rPr>
            </w:pPr>
          </w:p>
        </w:tc>
        <w:tc>
          <w:tcPr>
            <w:tcW w:w="1160" w:type="dxa"/>
            <w:vAlign w:val="bottom"/>
            <w:vMerge w:val="restart"/>
          </w:tcPr>
          <w:p>
            <w:pPr>
              <w:jc w:val="right"/>
              <w:ind w:right="182"/>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1"/>
        </w:trPr>
        <w:tc>
          <w:tcPr>
            <w:tcW w:w="288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220" w:type="dxa"/>
            <w:vAlign w:val="bottom"/>
          </w:tcPr>
          <w:p>
            <w:pPr>
              <w:ind w:left="280"/>
              <w:spacing w:after="0"/>
              <w:rPr>
                <w:sz w:val="20"/>
                <w:szCs w:val="20"/>
                <w:color w:val="auto"/>
              </w:rPr>
            </w:pPr>
            <w:r>
              <w:rPr>
                <w:rFonts w:ascii="Arial" w:cs="Arial" w:eastAsia="Arial" w:hAnsi="Arial"/>
                <w:sz w:val="16"/>
                <w:szCs w:val="16"/>
                <w:color w:val="auto"/>
              </w:rPr>
              <w:t>Cost of Natural Gas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880" w:type="dxa"/>
            <w:vAlign w:val="bottom"/>
          </w:tcPr>
          <w:p>
            <w:pPr>
              <w:ind w:left="180"/>
              <w:spacing w:after="0" w:line="166" w:lineRule="exact"/>
              <w:rPr>
                <w:sz w:val="20"/>
                <w:szCs w:val="20"/>
                <w:color w:val="auto"/>
              </w:rPr>
            </w:pPr>
            <w:r>
              <w:rPr>
                <w:rFonts w:ascii="Arial" w:cs="Arial" w:eastAsia="Arial" w:hAnsi="Arial"/>
                <w:sz w:val="16"/>
                <w:szCs w:val="16"/>
                <w:color w:val="auto"/>
              </w:rPr>
              <w:t>Total</w:t>
            </w:r>
          </w:p>
        </w:tc>
        <w:tc>
          <w:tcPr>
            <w:tcW w:w="3220" w:type="dxa"/>
            <w:vAlign w:val="bottom"/>
          </w:tcPr>
          <w:p>
            <w:pPr>
              <w:spacing w:after="0"/>
              <w:rPr>
                <w:sz w:val="14"/>
                <w:szCs w:val="14"/>
                <w:color w:val="auto"/>
              </w:rPr>
            </w:pPr>
          </w:p>
        </w:tc>
        <w:tc>
          <w:tcPr>
            <w:tcW w:w="32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83"/>
              <w:spacing w:after="0" w:line="166" w:lineRule="exact"/>
              <w:rPr>
                <w:sz w:val="20"/>
                <w:szCs w:val="20"/>
                <w:color w:val="auto"/>
              </w:rPr>
            </w:pPr>
            <w:r>
              <w:rPr>
                <w:rFonts w:ascii="Arial" w:cs="Arial" w:eastAsia="Arial" w:hAnsi="Arial"/>
                <w:sz w:val="16"/>
                <w:szCs w:val="16"/>
                <w:color w:val="auto"/>
              </w:rPr>
              <w:t>16</w:t>
            </w:r>
          </w:p>
        </w:tc>
        <w:tc>
          <w:tcPr>
            <w:tcW w:w="28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81"/>
              <w:spacing w:after="0" w:line="166" w:lineRule="exact"/>
              <w:rPr>
                <w:sz w:val="20"/>
                <w:szCs w:val="20"/>
                <w:color w:val="auto"/>
              </w:rPr>
            </w:pPr>
            <w:r>
              <w:rPr>
                <w:rFonts w:ascii="Arial" w:cs="Arial" w:eastAsia="Arial" w:hAnsi="Arial"/>
                <w:sz w:val="16"/>
                <w:szCs w:val="16"/>
                <w:color w:val="auto"/>
              </w:rPr>
              <w:t>12</w:t>
            </w:r>
          </w:p>
        </w:tc>
        <w:tc>
          <w:tcPr>
            <w:tcW w:w="26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182"/>
              <w:spacing w:after="0" w:line="166" w:lineRule="exact"/>
              <w:rPr>
                <w:sz w:val="20"/>
                <w:szCs w:val="20"/>
                <w:color w:val="auto"/>
              </w:rPr>
            </w:pPr>
            <w:r>
              <w:rPr>
                <w:rFonts w:ascii="Arial" w:cs="Arial" w:eastAsia="Arial" w:hAnsi="Arial"/>
                <w:sz w:val="16"/>
                <w:szCs w:val="16"/>
                <w:color w:val="auto"/>
              </w:rPr>
              <w:t>27</w:t>
            </w:r>
          </w:p>
        </w:tc>
        <w:tc>
          <w:tcPr>
            <w:tcW w:w="200" w:type="dxa"/>
            <w:vAlign w:val="bottom"/>
          </w:tcPr>
          <w:p>
            <w:pPr>
              <w:jc w:val="right"/>
              <w:ind w:right="20"/>
              <w:spacing w:after="0" w:line="166" w:lineRule="exact"/>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line="166"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80"/>
        </w:trPr>
        <w:tc>
          <w:tcPr>
            <w:tcW w:w="2880" w:type="dxa"/>
            <w:vAlign w:val="bottom"/>
            <w:shd w:val="clear" w:color="auto" w:fill="000000"/>
          </w:tcPr>
          <w:p>
            <w:pPr>
              <w:spacing w:after="0"/>
              <w:rPr>
                <w:sz w:val="6"/>
                <w:szCs w:val="6"/>
                <w:color w:val="auto"/>
              </w:rPr>
            </w:pPr>
          </w:p>
        </w:tc>
        <w:tc>
          <w:tcPr>
            <w:tcW w:w="322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880" w:type="dxa"/>
            <w:vAlign w:val="bottom"/>
          </w:tcPr>
          <w:p>
            <w:pPr>
              <w:spacing w:after="0" w:line="142" w:lineRule="exact"/>
              <w:rPr>
                <w:sz w:val="20"/>
                <w:szCs w:val="20"/>
                <w:color w:val="auto"/>
              </w:rPr>
            </w:pPr>
            <w:r>
              <w:rPr>
                <w:rFonts w:ascii="Arial" w:cs="Arial" w:eastAsia="Arial" w:hAnsi="Arial"/>
                <w:sz w:val="16"/>
                <w:szCs w:val="16"/>
                <w:b w:val="1"/>
                <w:bCs w:val="1"/>
                <w:color w:val="auto"/>
              </w:rPr>
              <w:t>SDG&amp;E:</w:t>
            </w:r>
          </w:p>
        </w:tc>
        <w:tc>
          <w:tcPr>
            <w:tcW w:w="3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80" w:type="dxa"/>
            <w:vAlign w:val="bottom"/>
          </w:tcPr>
          <w:p>
            <w:pPr>
              <w:ind w:left="180"/>
              <w:spacing w:after="0" w:line="173" w:lineRule="exact"/>
              <w:rPr>
                <w:sz w:val="20"/>
                <w:szCs w:val="20"/>
                <w:color w:val="auto"/>
              </w:rPr>
            </w:pPr>
            <w:r>
              <w:rPr>
                <w:rFonts w:ascii="Arial" w:cs="Arial" w:eastAsia="Arial" w:hAnsi="Arial"/>
                <w:sz w:val="16"/>
                <w:szCs w:val="16"/>
                <w:color w:val="auto"/>
              </w:rPr>
              <w:t>Commodity contracts subject</w:t>
            </w:r>
          </w:p>
        </w:tc>
        <w:tc>
          <w:tcPr>
            <w:tcW w:w="3220" w:type="dxa"/>
            <w:vAlign w:val="bottom"/>
          </w:tcPr>
          <w:p>
            <w:pPr>
              <w:ind w:left="280"/>
              <w:spacing w:after="0" w:line="173" w:lineRule="exact"/>
              <w:rPr>
                <w:sz w:val="20"/>
                <w:szCs w:val="20"/>
                <w:color w:val="auto"/>
              </w:rPr>
            </w:pPr>
            <w:r>
              <w:rPr>
                <w:rFonts w:ascii="Arial" w:cs="Arial" w:eastAsia="Arial" w:hAnsi="Arial"/>
                <w:sz w:val="16"/>
                <w:szCs w:val="16"/>
                <w:color w:val="auto"/>
              </w:rPr>
              <w:t>Cost of Electric Fuel</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88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220" w:type="dxa"/>
            <w:vAlign w:val="bottom"/>
          </w:tcPr>
          <w:p>
            <w:pPr>
              <w:ind w:left="460"/>
              <w:spacing w:after="0"/>
              <w:rPr>
                <w:sz w:val="20"/>
                <w:szCs w:val="20"/>
                <w:color w:val="auto"/>
              </w:rPr>
            </w:pPr>
            <w:r>
              <w:rPr>
                <w:rFonts w:ascii="Arial" w:cs="Arial" w:eastAsia="Arial" w:hAnsi="Arial"/>
                <w:sz w:val="16"/>
                <w:szCs w:val="16"/>
                <w:color w:val="auto"/>
              </w:rPr>
              <w:t>and Purchased Power</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3"/>
              <w:spacing w:after="0"/>
              <w:rPr>
                <w:sz w:val="20"/>
                <w:szCs w:val="20"/>
                <w:color w:val="auto"/>
              </w:rPr>
            </w:pPr>
            <w:r>
              <w:rPr>
                <w:rFonts w:ascii="Arial" w:cs="Arial" w:eastAsia="Arial" w:hAnsi="Arial"/>
                <w:sz w:val="16"/>
                <w:szCs w:val="16"/>
                <w:color w:val="auto"/>
              </w:rPr>
              <w:t>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82"/>
              <w:spacing w:after="0"/>
              <w:rPr>
                <w:sz w:val="20"/>
                <w:szCs w:val="20"/>
                <w:color w:val="auto"/>
              </w:rPr>
            </w:pPr>
            <w:r>
              <w:rPr>
                <w:rFonts w:ascii="Arial" w:cs="Arial" w:eastAsia="Arial" w:hAnsi="Arial"/>
                <w:sz w:val="16"/>
                <w:szCs w:val="16"/>
                <w:color w:val="auto"/>
              </w:rPr>
              <w:t>20</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80"/>
        </w:trPr>
        <w:tc>
          <w:tcPr>
            <w:tcW w:w="2880" w:type="dxa"/>
            <w:vAlign w:val="bottom"/>
            <w:shd w:val="clear" w:color="auto" w:fill="000000"/>
          </w:tcPr>
          <w:p>
            <w:pPr>
              <w:spacing w:after="0"/>
              <w:rPr>
                <w:sz w:val="6"/>
                <w:szCs w:val="6"/>
                <w:color w:val="auto"/>
              </w:rPr>
            </w:pPr>
          </w:p>
        </w:tc>
        <w:tc>
          <w:tcPr>
            <w:tcW w:w="322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0" w:gutter="0" w:footer="0" w:header="0"/>
        </w:sectPr>
      </w:pPr>
    </w:p>
    <w:bookmarkStart w:id="31" w:name="page32"/>
    <w:bookmarkEnd w:id="31"/>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0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2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73"/>
        </w:trPr>
        <w:tc>
          <w:tcPr>
            <w:tcW w:w="2700" w:type="dxa"/>
            <w:vAlign w:val="bottom"/>
          </w:tcPr>
          <w:p>
            <w:pPr>
              <w:ind w:left="180"/>
              <w:spacing w:after="0" w:line="173" w:lineRule="exact"/>
              <w:rPr>
                <w:sz w:val="20"/>
                <w:szCs w:val="20"/>
                <w:color w:val="auto"/>
              </w:rPr>
            </w:pPr>
            <w:r>
              <w:rPr>
                <w:rFonts w:ascii="Arial" w:cs="Arial" w:eastAsia="Arial" w:hAnsi="Arial"/>
                <w:sz w:val="16"/>
                <w:szCs w:val="16"/>
                <w:color w:val="auto"/>
              </w:rPr>
              <w:t>Commodity contracts subject</w:t>
            </w:r>
          </w:p>
        </w:tc>
        <w:tc>
          <w:tcPr>
            <w:tcW w:w="2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14"/>
        </w:trPr>
        <w:tc>
          <w:tcPr>
            <w:tcW w:w="270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2740" w:type="dxa"/>
            <w:vAlign w:val="bottom"/>
          </w:tcPr>
          <w:p>
            <w:pPr>
              <w:ind w:left="460"/>
              <w:spacing w:after="0"/>
              <w:rPr>
                <w:sz w:val="20"/>
                <w:szCs w:val="20"/>
                <w:color w:val="auto"/>
              </w:rPr>
            </w:pPr>
            <w:r>
              <w:rPr>
                <w:rFonts w:ascii="Arial" w:cs="Arial" w:eastAsia="Arial" w:hAnsi="Arial"/>
                <w:sz w:val="16"/>
                <w:szCs w:val="16"/>
                <w:color w:val="auto"/>
              </w:rPr>
              <w:t>Cost of Natural Gas</w:t>
            </w:r>
          </w:p>
        </w:tc>
        <w:tc>
          <w:tcPr>
            <w:tcW w:w="136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62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6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64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248525"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8525" cy="5080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FEATURES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Sempra Energy Consolidated and SDG&amp;E, certain of our derivative instruments contain credit limits which vary depending upon our credit</w:t>
      </w:r>
    </w:p>
    <w:p>
      <w:pPr>
        <w:spacing w:after="0" w:line="2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ratings. Generally, these provisions, if applicable, may reduce our credit limit if a specified credit rating agency reduces our ratings. In certain cases, if our credit ratings were to fall below investment grade, the counterparty to these derivative liability instruments could request immediate payment or demand immediate and ongoing full collateralization.</w:t>
      </w:r>
    </w:p>
    <w:p>
      <w:pPr>
        <w:spacing w:after="0" w:line="18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For Sempra Energy Consolidated, the total fair value of this group of derivative instruments in a net liability position at June 30, 2014 and December 31, 2013 is $1 million and $3 million, respectively. At June 30, 2014, if the credit ratings of Sempra Energy were reduced below investment grade, $1 million of additional assets could be required to be posted as collateral for these derivative contracts.</w:t>
      </w:r>
    </w:p>
    <w:p>
      <w:pPr>
        <w:spacing w:after="0" w:line="17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For SDG&amp;E, the total fair value of this group of derivative instruments in a net liability position was negligible at June 30, 2014 and $3 million at December 31, 2013. At June 30, 2014, if the credit ratings of SDG&amp;E were reduced below investment grade, a negligible amount of additional assets could be required to be posted as collateral for these derivative contracts.</w:t>
      </w:r>
    </w:p>
    <w:p>
      <w:pPr>
        <w:spacing w:after="0" w:line="17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For Sempra Energy Consolidated, SDG&amp;E and SoCalGas, some of our derivative contracts contain a provision that would permit the counterparty, in certain circumstances, to request adequate assurance of our performance under the contracts. Such additional assurance, if needed, is not material and is not included in the amounts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327025</wp:posOffset>
            </wp:positionV>
            <wp:extent cx="72656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color w:val="auto"/>
        </w:rPr>
        <w:t>NOTE 8. FAIR VALUE MEASUREMENTS</w:t>
      </w:r>
    </w:p>
    <w:p>
      <w:pPr>
        <w:spacing w:after="0" w:line="21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We discuss the valuation techniques and inputs we use to measure fair value and the definition of the three levels of the fair value hierarchy in Note 1 of the Notes to Consolidated Financial Statements in the Annual Report. We have not changed the valuation techniques or inputs we use to measure fair value during the six months ended June 30, 2014.</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Recurring Fair Value Measures</w:t>
      </w:r>
    </w:p>
    <w:p>
      <w:pPr>
        <w:spacing w:after="0" w:line="21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three tables below, by level within the fair value hierarchy, set forth our financial assets and liabilities that were accounted for at fair value on a recurring basis at June 30, 2014 and December 31, 2013.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180"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The fair value of commodity derivative assets and liabilities is presented in accordance with our netting policy, as we discuss in Note 7 under “Financial Statement Presentation.”</w:t>
      </w:r>
    </w:p>
    <w:p>
      <w:pPr>
        <w:spacing w:after="0" w:line="16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The determination of fair values, shown in the tables below, incorporates various factors, including but not limited to, the credit standing of the counterparties involved and the impact of credit enhancements (such as cash deposits, letters of credit and priority interests).</w:t>
      </w:r>
    </w:p>
    <w:p>
      <w:pPr>
        <w:spacing w:after="0" w:line="16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Our financial assets and liabilities that were accounted for at fair value on a recurring basis at June 30, 2014 and December 31, 2013 in the tables below include the following:</w:t>
      </w:r>
    </w:p>
    <w:p>
      <w:pPr>
        <w:spacing w:after="0" w:line="164" w:lineRule="exact"/>
        <w:rPr>
          <w:sz w:val="20"/>
          <w:szCs w:val="20"/>
          <w:color w:val="auto"/>
        </w:rPr>
      </w:pPr>
    </w:p>
    <w:p>
      <w:pPr>
        <w:jc w:val="both"/>
        <w:ind w:left="320" w:hanging="172"/>
        <w:spacing w:after="0" w:line="253" w:lineRule="auto"/>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Nuclear decommissioning trusts reflect the assets of SDG&amp;E’s nuclear decommissioning trusts, excluding cash balances. A third party trustee values the trust assets using prices from a pricing service based on a market approach. We validate these prices by comparison to prices from other independent data sources. Equity and certain debt securities are valued using quoted prices listed on nationally recognized securities exchanges or based on closing prices reported in the active market in which the identical security is traded (Level 1). Other debt securities are valued based on yields that are currently available for comparable securities of issuers with similar credit ratings (Level 2).</w:t>
      </w:r>
    </w:p>
    <w:p>
      <w:pPr>
        <w:spacing w:after="0" w:line="211" w:lineRule="exact"/>
        <w:rPr>
          <w:rFonts w:ascii="Times New Roman" w:cs="Times New Roman" w:eastAsia="Times New Roman" w:hAnsi="Times New Roman"/>
          <w:sz w:val="18"/>
          <w:szCs w:val="18"/>
          <w:color w:val="auto"/>
        </w:rPr>
      </w:pPr>
    </w:p>
    <w:p>
      <w:pPr>
        <w:jc w:val="both"/>
        <w:ind w:left="320" w:hanging="172"/>
        <w:spacing w:after="0" w:line="250" w:lineRule="auto"/>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 into commodity contracts and interest rate derivatives primarily as a means to manage price exposures. We may also manage foreign exchange rate exposures using derivatives. We primarily use a market approach with market participant assumptions to value these derivatives. Market participant assumptions include those about risk, and the risk inherent in the inputs to the valuation techniques. These inputs can be readily observable, market corroborated, or generally unobservable. We have exchange-traded derivatives that are valued based on quoted prices in active markets for the identical instruments (Level 1). We also may have other commodity derivatives that are valued using industry standard models that consider quoted forward prices for commodities, time value, current market and contractual prices for the underlying instruments, volatility factors, and other relevant economic measures (Level 2). All Level 3 recurring items are related to CRRs at SDG&amp;E, as we discuss below under “Level 3 Information.” We record commodity derivative contracts that are subject to rate recovery as commodity costs that are offset by regulatory account balances and are recovered in rates.</w:t>
      </w:r>
    </w:p>
    <w:p>
      <w:pPr>
        <w:spacing w:after="0" w:line="215"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include marketable securities that we value using a market approach based on closing prices reported in the active market in which the identical security is traded (Level 1).</w:t>
      </w:r>
    </w:p>
    <w:p>
      <w:pPr>
        <w:spacing w:after="0" w:line="19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There were no transfers into or out of Level 1, Level 2 or Level 3 for Sempra Energy Consolidated, SDG&amp;E or SoCalGas during the periods presented, nor any changes in valuation techniques used in recurring fair value measurements.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vMerge w:val="restart"/>
          </w:tcPr>
          <w:p>
            <w:pPr>
              <w:jc w:val="right"/>
              <w:spacing w:after="0"/>
              <w:rPr>
                <w:sz w:val="20"/>
                <w:szCs w:val="20"/>
                <w:color w:val="auto"/>
              </w:rPr>
            </w:pPr>
            <w:r>
              <w:rPr>
                <w:rFonts w:ascii="Arial" w:cs="Arial" w:eastAsia="Arial" w:hAnsi="Arial"/>
                <w:sz w:val="14"/>
                <w:szCs w:val="14"/>
                <w:color w:val="auto"/>
              </w:rPr>
              <w:t>At fair value as of June 30, 2014</w:t>
            </w: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50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4"/>
            <w:vMerge w:val="continue"/>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69"/>
              <w:spacing w:after="0" w:line="153" w:lineRule="exact"/>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100"/>
              <w:spacing w:after="0" w:line="153" w:lineRule="exact"/>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120"/>
              <w:spacing w:after="0" w:line="153" w:lineRule="exact"/>
              <w:rPr>
                <w:sz w:val="20"/>
                <w:szCs w:val="20"/>
                <w:color w:val="auto"/>
              </w:rPr>
            </w:pPr>
            <w:r>
              <w:rPr>
                <w:rFonts w:ascii="Arial" w:cs="Arial" w:eastAsia="Arial" w:hAnsi="Arial"/>
                <w:sz w:val="14"/>
                <w:szCs w:val="14"/>
                <w:color w:val="auto"/>
              </w:rPr>
              <w:t>Level 3</w:t>
            </w: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40"/>
              <w:spacing w:after="0" w:line="153" w:lineRule="exact"/>
              <w:rPr>
                <w:sz w:val="20"/>
                <w:szCs w:val="20"/>
                <w:color w:val="auto"/>
              </w:rPr>
            </w:pPr>
            <w:r>
              <w:rPr>
                <w:rFonts w:ascii="Arial" w:cs="Arial" w:eastAsia="Arial" w:hAnsi="Arial"/>
                <w:sz w:val="14"/>
                <w:szCs w:val="14"/>
                <w:color w:val="auto"/>
              </w:rPr>
              <w:t>Netting(1)</w:t>
            </w: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49"/>
              <w:spacing w:after="0" w:line="153"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9"/>
        </w:trPr>
        <w:tc>
          <w:tcPr>
            <w:tcW w:w="5040" w:type="dxa"/>
            <w:vAlign w:val="bottom"/>
          </w:tcPr>
          <w:p>
            <w:pPr>
              <w:spacing w:after="0" w:line="139" w:lineRule="exact"/>
              <w:rPr>
                <w:sz w:val="20"/>
                <w:szCs w:val="20"/>
                <w:color w:val="auto"/>
              </w:rPr>
            </w:pPr>
            <w:r>
              <w:rPr>
                <w:rFonts w:ascii="Arial" w:cs="Arial" w:eastAsia="Arial" w:hAnsi="Arial"/>
                <w:sz w:val="14"/>
                <w:szCs w:val="14"/>
                <w:color w:val="auto"/>
              </w:rPr>
              <w:t>Assets:</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4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69"/>
              <w:spacing w:after="0"/>
              <w:rPr>
                <w:sz w:val="20"/>
                <w:szCs w:val="20"/>
                <w:color w:val="auto"/>
              </w:rPr>
            </w:pPr>
            <w:r>
              <w:rPr>
                <w:rFonts w:ascii="Arial" w:cs="Arial" w:eastAsia="Arial" w:hAnsi="Arial"/>
                <w:sz w:val="14"/>
                <w:szCs w:val="14"/>
                <w:color w:val="auto"/>
              </w:rPr>
              <w:t>652</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70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164"/>
        </w:trPr>
        <w:tc>
          <w:tcPr>
            <w:tcW w:w="5040" w:type="dxa"/>
            <w:vAlign w:val="bottom"/>
          </w:tcPr>
          <w:p>
            <w:pPr>
              <w:ind w:left="400"/>
              <w:spacing w:after="0" w:line="159"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49" w:orient="portrait"/>
          <w:cols w:equalWidth="0" w:num="1">
            <w:col w:w="11420"/>
          </w:cols>
          <w:pgMar w:left="240" w:top="106" w:right="239" w:bottom="0" w:gutter="0" w:footer="0" w:header="0"/>
        </w:sectPr>
      </w:pPr>
    </w:p>
    <w:bookmarkStart w:id="32" w:name="page33"/>
    <w:bookmarkEnd w:id="32"/>
    <w:p>
      <w:pPr>
        <w:ind w:left="760" w:right="400" w:hanging="196"/>
        <w:spacing w:after="0" w:line="251" w:lineRule="auto"/>
        <w:rPr>
          <w:sz w:val="20"/>
          <w:szCs w:val="20"/>
          <w:color w:val="auto"/>
        </w:rPr>
      </w:pPr>
      <w:r>
        <w:rPr>
          <w:rFonts w:ascii="Arial" w:cs="Arial" w:eastAsia="Arial" w:hAnsi="Arial"/>
          <w:sz w:val="14"/>
          <w:szCs w:val="14"/>
          <w:color w:val="auto"/>
        </w:rPr>
        <w:t>Debt securities issued by the U.S. Treasury and other U.S. government corporations and agencies</w:t>
      </w:r>
    </w:p>
    <w:p>
      <w:pPr>
        <w:jc w:val="center"/>
        <w:ind w:right="2180"/>
        <w:spacing w:after="0"/>
        <w:rPr>
          <w:sz w:val="20"/>
          <w:szCs w:val="20"/>
          <w:color w:val="auto"/>
        </w:rPr>
      </w:pPr>
      <w:r>
        <w:rPr>
          <w:rFonts w:ascii="Arial" w:cs="Arial" w:eastAsia="Arial" w:hAnsi="Arial"/>
          <w:sz w:val="14"/>
          <w:szCs w:val="14"/>
          <w:color w:val="auto"/>
        </w:rPr>
        <w:t>Municipal bonds</w:t>
      </w:r>
    </w:p>
    <w:p>
      <w:pPr>
        <w:spacing w:after="0" w:line="11" w:lineRule="exact"/>
        <w:rPr>
          <w:sz w:val="20"/>
          <w:szCs w:val="20"/>
          <w:color w:val="auto"/>
        </w:rPr>
      </w:pPr>
    </w:p>
    <w:p>
      <w:pPr>
        <w:jc w:val="center"/>
        <w:ind w:right="2220"/>
        <w:spacing w:after="0"/>
        <w:rPr>
          <w:sz w:val="20"/>
          <w:szCs w:val="20"/>
          <w:color w:val="auto"/>
        </w:rPr>
      </w:pPr>
      <w:r>
        <w:rPr>
          <w:rFonts w:ascii="Arial" w:cs="Arial" w:eastAsia="Arial" w:hAnsi="Arial"/>
          <w:sz w:val="14"/>
          <w:szCs w:val="14"/>
          <w:color w:val="auto"/>
        </w:rPr>
        <w:t>Other securities</w:t>
      </w:r>
    </w:p>
    <w:p>
      <w:pPr>
        <w:spacing w:after="0" w:line="12" w:lineRule="exact"/>
        <w:rPr>
          <w:sz w:val="20"/>
          <w:szCs w:val="20"/>
          <w:color w:val="auto"/>
        </w:rPr>
      </w:pPr>
    </w:p>
    <w:p>
      <w:pPr>
        <w:jc w:val="center"/>
        <w:ind w:right="2280"/>
        <w:spacing w:after="0"/>
        <w:rPr>
          <w:sz w:val="20"/>
          <w:szCs w:val="20"/>
          <w:color w:val="auto"/>
        </w:rPr>
      </w:pPr>
      <w:r>
        <w:rPr>
          <w:rFonts w:ascii="Arial" w:cs="Arial" w:eastAsia="Arial" w:hAnsi="Arial"/>
          <w:sz w:val="14"/>
          <w:szCs w:val="14"/>
          <w:color w:val="auto"/>
        </w:rPr>
        <w:t>Total debt securities</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Total nuclear decommissioning trusts(2)</w:t>
      </w:r>
    </w:p>
    <w:p>
      <w:pPr>
        <w:ind w:left="160"/>
        <w:spacing w:after="0" w:line="237" w:lineRule="auto"/>
        <w:rPr>
          <w:sz w:val="20"/>
          <w:szCs w:val="20"/>
          <w:color w:val="auto"/>
        </w:rPr>
      </w:pPr>
      <w:r>
        <w:rPr>
          <w:rFonts w:ascii="Arial" w:cs="Arial" w:eastAsia="Arial" w:hAnsi="Arial"/>
          <w:sz w:val="14"/>
          <w:szCs w:val="14"/>
          <w:color w:val="auto"/>
        </w:rPr>
        <w:t>Interest rate and foreign exchange instruments</w:t>
      </w:r>
    </w:p>
    <w:p>
      <w:pPr>
        <w:ind w:left="160"/>
        <w:spacing w:after="0"/>
        <w:rPr>
          <w:sz w:val="20"/>
          <w:szCs w:val="20"/>
          <w:color w:val="auto"/>
        </w:rPr>
      </w:pPr>
      <w:r>
        <w:rPr>
          <w:rFonts w:ascii="Arial" w:cs="Arial" w:eastAsia="Arial" w:hAnsi="Arial"/>
          <w:sz w:val="14"/>
          <w:szCs w:val="14"/>
          <w:color w:val="auto"/>
        </w:rPr>
        <w:t>Commodity contracts not subject to rate recovery</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Commodity contracts subject to rate recovery</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Liabilities:</w:t>
      </w:r>
    </w:p>
    <w:p>
      <w:pPr>
        <w:ind w:left="160"/>
        <w:spacing w:after="0" w:line="237" w:lineRule="auto"/>
        <w:rPr>
          <w:sz w:val="20"/>
          <w:szCs w:val="20"/>
          <w:color w:val="auto"/>
        </w:rPr>
      </w:pPr>
      <w:r>
        <w:rPr>
          <w:rFonts w:ascii="Arial" w:cs="Arial" w:eastAsia="Arial" w:hAnsi="Arial"/>
          <w:sz w:val="14"/>
          <w:szCs w:val="14"/>
          <w:color w:val="auto"/>
        </w:rPr>
        <w:t>Interest rate and foreign exchange instruments</w:t>
      </w:r>
    </w:p>
    <w:p>
      <w:pPr>
        <w:ind w:left="160"/>
        <w:spacing w:after="0"/>
        <w:rPr>
          <w:sz w:val="20"/>
          <w:szCs w:val="20"/>
          <w:color w:val="auto"/>
        </w:rPr>
      </w:pPr>
      <w:r>
        <w:rPr>
          <w:rFonts w:ascii="Arial" w:cs="Arial" w:eastAsia="Arial" w:hAnsi="Arial"/>
          <w:sz w:val="14"/>
          <w:szCs w:val="14"/>
          <w:color w:val="auto"/>
        </w:rPr>
        <w:t>Commodity contracts not subject to rate recovery</w:t>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Commodity contracts subject to rate recovery</w:t>
      </w:r>
    </w:p>
    <w:p>
      <w:pPr>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51</w:t>
            </w:r>
          </w:p>
        </w:tc>
        <w:tc>
          <w:tcPr>
            <w:tcW w:w="540" w:type="dxa"/>
            <w:vAlign w:val="bottom"/>
          </w:tcPr>
          <w:p>
            <w:pPr>
              <w:spacing w:after="0"/>
              <w:rPr>
                <w:sz w:val="14"/>
                <w:szCs w:val="14"/>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55</w:t>
            </w:r>
          </w:p>
        </w:tc>
        <w:tc>
          <w:tcPr>
            <w:tcW w:w="600" w:type="dxa"/>
            <w:vAlign w:val="bottom"/>
          </w:tcPr>
          <w:p>
            <w:pPr>
              <w:spacing w:after="0"/>
              <w:rPr>
                <w:sz w:val="14"/>
                <w:szCs w:val="14"/>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159"/>
        </w:trPr>
        <w:tc>
          <w:tcPr>
            <w:tcW w:w="640" w:type="dxa"/>
            <w:vAlign w:val="bottom"/>
          </w:tcPr>
          <w:p>
            <w:pPr>
              <w:spacing w:after="0"/>
              <w:rPr>
                <w:sz w:val="13"/>
                <w:szCs w:val="13"/>
                <w:color w:val="auto"/>
              </w:rPr>
            </w:pPr>
          </w:p>
        </w:tc>
        <w:tc>
          <w:tcPr>
            <w:tcW w:w="7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7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114</w:t>
            </w:r>
          </w:p>
        </w:tc>
        <w:tc>
          <w:tcPr>
            <w:tcW w:w="600" w:type="dxa"/>
            <w:vAlign w:val="bottom"/>
          </w:tcPr>
          <w:p>
            <w:pPr>
              <w:spacing w:after="0"/>
              <w:rPr>
                <w:sz w:val="13"/>
                <w:szCs w:val="13"/>
                <w:color w:val="auto"/>
              </w:rPr>
            </w:pPr>
          </w:p>
        </w:tc>
        <w:tc>
          <w:tcPr>
            <w:tcW w:w="66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72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114</w:t>
            </w:r>
          </w:p>
        </w:tc>
      </w:tr>
      <w:tr>
        <w:trPr>
          <w:trHeight w:val="173"/>
        </w:trPr>
        <w:tc>
          <w:tcPr>
            <w:tcW w:w="6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196</w:t>
            </w:r>
          </w:p>
        </w:tc>
        <w:tc>
          <w:tcPr>
            <w:tcW w:w="6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r>
      <w:tr>
        <w:trPr>
          <w:trHeight w:val="153"/>
        </w:trPr>
        <w:tc>
          <w:tcPr>
            <w:tcW w:w="6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51</w:t>
            </w:r>
          </w:p>
        </w:tc>
        <w:tc>
          <w:tcPr>
            <w:tcW w:w="5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365</w:t>
            </w:r>
          </w:p>
        </w:tc>
        <w:tc>
          <w:tcPr>
            <w:tcW w:w="6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416</w:t>
            </w:r>
          </w:p>
        </w:tc>
      </w:tr>
      <w:tr>
        <w:trPr>
          <w:trHeight w:val="153"/>
        </w:trPr>
        <w:tc>
          <w:tcPr>
            <w:tcW w:w="6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703</w:t>
            </w:r>
          </w:p>
        </w:tc>
        <w:tc>
          <w:tcPr>
            <w:tcW w:w="5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365</w:t>
            </w:r>
          </w:p>
        </w:tc>
        <w:tc>
          <w:tcPr>
            <w:tcW w:w="6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1,068</w:t>
            </w:r>
          </w:p>
        </w:tc>
      </w:tr>
      <w:tr>
        <w:trPr>
          <w:trHeight w:val="139"/>
        </w:trPr>
        <w:tc>
          <w:tcPr>
            <w:tcW w:w="640" w:type="dxa"/>
            <w:vAlign w:val="bottom"/>
          </w:tcPr>
          <w:p>
            <w:pPr>
              <w:spacing w:after="0"/>
              <w:rPr>
                <w:sz w:val="12"/>
                <w:szCs w:val="12"/>
                <w:color w:val="auto"/>
              </w:rPr>
            </w:pPr>
          </w:p>
        </w:tc>
        <w:tc>
          <w:tcPr>
            <w:tcW w:w="700" w:type="dxa"/>
            <w:vAlign w:val="bottom"/>
          </w:tcPr>
          <w:p>
            <w:pPr>
              <w:jc w:val="right"/>
              <w:ind w:right="69"/>
              <w:spacing w:after="0" w:line="13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700" w:type="dxa"/>
            <w:vAlign w:val="bottom"/>
          </w:tcPr>
          <w:p>
            <w:pPr>
              <w:jc w:val="right"/>
              <w:ind w:right="69"/>
              <w:spacing w:after="0" w:line="139" w:lineRule="exact"/>
              <w:rPr>
                <w:sz w:val="20"/>
                <w:szCs w:val="20"/>
                <w:color w:val="auto"/>
              </w:rPr>
            </w:pPr>
            <w:r>
              <w:rPr>
                <w:rFonts w:ascii="Arial" w:cs="Arial" w:eastAsia="Arial" w:hAnsi="Arial"/>
                <w:sz w:val="14"/>
                <w:szCs w:val="14"/>
                <w:color w:val="auto"/>
              </w:rPr>
              <w:t>62</w:t>
            </w:r>
          </w:p>
        </w:tc>
        <w:tc>
          <w:tcPr>
            <w:tcW w:w="600" w:type="dxa"/>
            <w:vAlign w:val="bottom"/>
          </w:tcPr>
          <w:p>
            <w:pPr>
              <w:spacing w:after="0"/>
              <w:rPr>
                <w:sz w:val="12"/>
                <w:szCs w:val="12"/>
                <w:color w:val="auto"/>
              </w:rPr>
            </w:pPr>
          </w:p>
        </w:tc>
        <w:tc>
          <w:tcPr>
            <w:tcW w:w="660" w:type="dxa"/>
            <w:vAlign w:val="bottom"/>
          </w:tcPr>
          <w:p>
            <w:pPr>
              <w:jc w:val="right"/>
              <w:ind w:right="69"/>
              <w:spacing w:after="0" w:line="13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720" w:type="dxa"/>
            <w:vAlign w:val="bottom"/>
          </w:tcPr>
          <w:p>
            <w:pPr>
              <w:jc w:val="right"/>
              <w:ind w:right="69"/>
              <w:spacing w:after="0" w:line="13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Arial" w:cs="Arial" w:eastAsia="Arial" w:hAnsi="Arial"/>
                <w:sz w:val="14"/>
                <w:szCs w:val="14"/>
                <w:color w:val="auto"/>
              </w:rPr>
              <w:t>62</w:t>
            </w:r>
          </w:p>
        </w:tc>
      </w:tr>
      <w:tr>
        <w:trPr>
          <w:trHeight w:val="159"/>
        </w:trPr>
        <w:tc>
          <w:tcPr>
            <w:tcW w:w="640" w:type="dxa"/>
            <w:vAlign w:val="bottom"/>
          </w:tcPr>
          <w:p>
            <w:pPr>
              <w:spacing w:after="0"/>
              <w:rPr>
                <w:sz w:val="13"/>
                <w:szCs w:val="13"/>
                <w:color w:val="auto"/>
              </w:rPr>
            </w:pPr>
          </w:p>
        </w:tc>
        <w:tc>
          <w:tcPr>
            <w:tcW w:w="7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3</w:t>
            </w:r>
          </w:p>
        </w:tc>
        <w:tc>
          <w:tcPr>
            <w:tcW w:w="540" w:type="dxa"/>
            <w:vAlign w:val="bottom"/>
          </w:tcPr>
          <w:p>
            <w:pPr>
              <w:spacing w:after="0"/>
              <w:rPr>
                <w:sz w:val="13"/>
                <w:szCs w:val="13"/>
                <w:color w:val="auto"/>
              </w:rPr>
            </w:pPr>
          </w:p>
        </w:tc>
        <w:tc>
          <w:tcPr>
            <w:tcW w:w="7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4</w:t>
            </w:r>
          </w:p>
        </w:tc>
        <w:tc>
          <w:tcPr>
            <w:tcW w:w="600" w:type="dxa"/>
            <w:vAlign w:val="bottom"/>
          </w:tcPr>
          <w:p>
            <w:pPr>
              <w:spacing w:after="0"/>
              <w:rPr>
                <w:sz w:val="13"/>
                <w:szCs w:val="13"/>
                <w:color w:val="auto"/>
              </w:rPr>
            </w:pPr>
          </w:p>
        </w:tc>
        <w:tc>
          <w:tcPr>
            <w:tcW w:w="66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720" w:type="dxa"/>
            <w:vAlign w:val="bottom"/>
          </w:tcPr>
          <w:p>
            <w:pPr>
              <w:jc w:val="right"/>
              <w:ind w:right="69"/>
              <w:spacing w:after="0" w:line="159" w:lineRule="exact"/>
              <w:rPr>
                <w:sz w:val="20"/>
                <w:szCs w:val="20"/>
                <w:color w:val="auto"/>
              </w:rPr>
            </w:pPr>
            <w:r>
              <w:rPr>
                <w:rFonts w:ascii="Arial" w:cs="Arial" w:eastAsia="Arial" w:hAnsi="Arial"/>
                <w:sz w:val="14"/>
                <w:szCs w:val="14"/>
                <w:color w:val="auto"/>
              </w:rPr>
              <w:t>12</w:t>
            </w:r>
          </w:p>
        </w:tc>
        <w:tc>
          <w:tcPr>
            <w:tcW w:w="5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19</w:t>
            </w:r>
          </w:p>
        </w:tc>
      </w:tr>
      <w:tr>
        <w:trPr>
          <w:trHeight w:val="173"/>
        </w:trPr>
        <w:tc>
          <w:tcPr>
            <w:tcW w:w="6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w:t>
            </w:r>
          </w:p>
        </w:tc>
        <w:tc>
          <w:tcPr>
            <w:tcW w:w="5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w:t>
            </w:r>
          </w:p>
        </w:tc>
        <w:tc>
          <w:tcPr>
            <w:tcW w:w="6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85</w:t>
            </w:r>
          </w:p>
        </w:tc>
        <w:tc>
          <w:tcPr>
            <w:tcW w:w="6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32</w:t>
            </w:r>
          </w:p>
        </w:tc>
        <w:tc>
          <w:tcPr>
            <w:tcW w:w="5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r>
      <w:tr>
        <w:trPr>
          <w:trHeight w:val="153"/>
        </w:trPr>
        <w:tc>
          <w:tcPr>
            <w:tcW w:w="640" w:type="dxa"/>
            <w:vAlign w:val="bottom"/>
          </w:tcPr>
          <w:p>
            <w:pPr>
              <w:jc w:val="right"/>
              <w:ind w:right="249"/>
              <w:spacing w:after="0" w:line="153"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69"/>
              <w:spacing w:after="0" w:line="153" w:lineRule="exact"/>
              <w:rPr>
                <w:sz w:val="20"/>
                <w:szCs w:val="20"/>
                <w:color w:val="auto"/>
              </w:rPr>
            </w:pPr>
            <w:r>
              <w:rPr>
                <w:rFonts w:ascii="Arial" w:cs="Arial" w:eastAsia="Arial" w:hAnsi="Arial"/>
                <w:sz w:val="14"/>
                <w:szCs w:val="14"/>
                <w:color w:val="auto"/>
              </w:rPr>
              <w:t>714</w:t>
            </w:r>
          </w:p>
        </w:tc>
        <w:tc>
          <w:tcPr>
            <w:tcW w:w="540" w:type="dxa"/>
            <w:vAlign w:val="bottom"/>
          </w:tcPr>
          <w:p>
            <w:pPr>
              <w:jc w:val="right"/>
              <w:ind w:right="249"/>
              <w:spacing w:after="0" w:line="153"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69"/>
              <w:spacing w:after="0" w:line="153" w:lineRule="exact"/>
              <w:rPr>
                <w:sz w:val="20"/>
                <w:szCs w:val="20"/>
                <w:color w:val="auto"/>
              </w:rPr>
            </w:pPr>
            <w:r>
              <w:rPr>
                <w:rFonts w:ascii="Arial" w:cs="Arial" w:eastAsia="Arial" w:hAnsi="Arial"/>
                <w:sz w:val="14"/>
                <w:szCs w:val="14"/>
                <w:color w:val="auto"/>
              </w:rPr>
              <w:t>434</w:t>
            </w:r>
          </w:p>
        </w:tc>
        <w:tc>
          <w:tcPr>
            <w:tcW w:w="600" w:type="dxa"/>
            <w:vAlign w:val="bottom"/>
          </w:tcPr>
          <w:p>
            <w:pPr>
              <w:jc w:val="right"/>
              <w:ind w:right="309"/>
              <w:spacing w:after="0" w:line="153"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69"/>
              <w:spacing w:after="0" w:line="153" w:lineRule="exact"/>
              <w:rPr>
                <w:sz w:val="20"/>
                <w:szCs w:val="20"/>
                <w:color w:val="auto"/>
              </w:rPr>
            </w:pPr>
            <w:r>
              <w:rPr>
                <w:rFonts w:ascii="Arial" w:cs="Arial" w:eastAsia="Arial" w:hAnsi="Arial"/>
                <w:sz w:val="14"/>
                <w:szCs w:val="14"/>
                <w:color w:val="auto"/>
              </w:rPr>
              <w:t>85</w:t>
            </w:r>
          </w:p>
        </w:tc>
        <w:tc>
          <w:tcPr>
            <w:tcW w:w="660" w:type="dxa"/>
            <w:vAlign w:val="bottom"/>
          </w:tcPr>
          <w:p>
            <w:pPr>
              <w:jc w:val="right"/>
              <w:ind w:right="349"/>
              <w:spacing w:after="0" w:line="153"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69"/>
              <w:spacing w:after="0" w:line="153" w:lineRule="exact"/>
              <w:rPr>
                <w:sz w:val="20"/>
                <w:szCs w:val="20"/>
                <w:color w:val="auto"/>
              </w:rPr>
            </w:pPr>
            <w:r>
              <w:rPr>
                <w:rFonts w:ascii="Arial" w:cs="Arial" w:eastAsia="Arial" w:hAnsi="Arial"/>
                <w:sz w:val="14"/>
                <w:szCs w:val="14"/>
                <w:color w:val="auto"/>
              </w:rPr>
              <w:t>44</w:t>
            </w:r>
          </w:p>
        </w:tc>
        <w:tc>
          <w:tcPr>
            <w:tcW w:w="500" w:type="dxa"/>
            <w:vAlign w:val="bottom"/>
          </w:tcPr>
          <w:p>
            <w:pPr>
              <w:jc w:val="right"/>
              <w:ind w:right="189"/>
              <w:spacing w:after="0" w:line="153"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3" w:lineRule="exact"/>
              <w:rPr>
                <w:sz w:val="20"/>
                <w:szCs w:val="20"/>
                <w:color w:val="auto"/>
              </w:rPr>
            </w:pPr>
            <w:r>
              <w:rPr>
                <w:rFonts w:ascii="Arial" w:cs="Arial" w:eastAsia="Arial" w:hAnsi="Arial"/>
                <w:sz w:val="14"/>
                <w:szCs w:val="14"/>
                <w:color w:val="auto"/>
              </w:rPr>
              <w:t>1,277</w:t>
            </w:r>
          </w:p>
        </w:tc>
      </w:tr>
      <w:tr>
        <w:trPr>
          <w:trHeight w:val="80"/>
        </w:trPr>
        <w:tc>
          <w:tcPr>
            <w:tcW w:w="640" w:type="dxa"/>
            <w:vAlign w:val="bottom"/>
            <w:shd w:val="clear" w:color="auto" w:fill="000000"/>
          </w:tcPr>
          <w:p>
            <w:pPr>
              <w:spacing w:after="0"/>
              <w:rPr>
                <w:sz w:val="6"/>
                <w:szCs w:val="6"/>
                <w:color w:val="auto"/>
              </w:rPr>
            </w:pPr>
          </w:p>
        </w:tc>
        <w:tc>
          <w:tcPr>
            <w:tcW w:w="700" w:type="dxa"/>
            <w:vAlign w:val="bottom"/>
            <w:shd w:val="clear" w:color="auto" w:fill="000000"/>
          </w:tcPr>
          <w:p>
            <w:pPr>
              <w:spacing w:after="0"/>
              <w:rPr>
                <w:sz w:val="6"/>
                <w:szCs w:val="6"/>
                <w:color w:val="auto"/>
              </w:rPr>
            </w:pPr>
          </w:p>
        </w:tc>
        <w:tc>
          <w:tcPr>
            <w:tcW w:w="540" w:type="dxa"/>
            <w:vAlign w:val="bottom"/>
            <w:shd w:val="clear" w:color="auto" w:fill="000000"/>
          </w:tcPr>
          <w:p>
            <w:pPr>
              <w:spacing w:after="0"/>
              <w:rPr>
                <w:sz w:val="6"/>
                <w:szCs w:val="6"/>
                <w:color w:val="auto"/>
              </w:rPr>
            </w:pPr>
          </w:p>
        </w:tc>
        <w:tc>
          <w:tcPr>
            <w:tcW w:w="70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660" w:type="dxa"/>
            <w:vAlign w:val="bottom"/>
            <w:shd w:val="clear" w:color="auto" w:fill="000000"/>
          </w:tcPr>
          <w:p>
            <w:pPr>
              <w:spacing w:after="0"/>
              <w:rPr>
                <w:sz w:val="6"/>
                <w:szCs w:val="6"/>
                <w:color w:val="auto"/>
              </w:rPr>
            </w:pPr>
          </w:p>
        </w:tc>
        <w:tc>
          <w:tcPr>
            <w:tcW w:w="66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660" w:type="dxa"/>
            <w:vAlign w:val="bottom"/>
            <w:shd w:val="clear" w:color="auto" w:fill="000000"/>
          </w:tcPr>
          <w:p>
            <w:pPr>
              <w:spacing w:after="0"/>
              <w:rPr>
                <w:sz w:val="6"/>
                <w:szCs w:val="6"/>
                <w:color w:val="auto"/>
              </w:rPr>
            </w:pPr>
          </w:p>
        </w:tc>
      </w:tr>
      <w:tr>
        <w:trPr>
          <w:trHeight w:val="306"/>
        </w:trPr>
        <w:tc>
          <w:tcPr>
            <w:tcW w:w="6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119</w:t>
            </w:r>
          </w:p>
        </w:tc>
        <w:tc>
          <w:tcPr>
            <w:tcW w:w="60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159"/>
        </w:trPr>
        <w:tc>
          <w:tcPr>
            <w:tcW w:w="640" w:type="dxa"/>
            <w:vAlign w:val="bottom"/>
          </w:tcPr>
          <w:p>
            <w:pPr>
              <w:spacing w:after="0"/>
              <w:rPr>
                <w:sz w:val="13"/>
                <w:szCs w:val="13"/>
                <w:color w:val="auto"/>
              </w:rPr>
            </w:pPr>
          </w:p>
        </w:tc>
        <w:tc>
          <w:tcPr>
            <w:tcW w:w="7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7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3</w:t>
            </w:r>
          </w:p>
        </w:tc>
        <w:tc>
          <w:tcPr>
            <w:tcW w:w="600" w:type="dxa"/>
            <w:vAlign w:val="bottom"/>
          </w:tcPr>
          <w:p>
            <w:pPr>
              <w:spacing w:after="0"/>
              <w:rPr>
                <w:sz w:val="13"/>
                <w:szCs w:val="13"/>
                <w:color w:val="auto"/>
              </w:rPr>
            </w:pPr>
          </w:p>
        </w:tc>
        <w:tc>
          <w:tcPr>
            <w:tcW w:w="66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72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r>
      <w:tr>
        <w:trPr>
          <w:trHeight w:val="173"/>
        </w:trPr>
        <w:tc>
          <w:tcPr>
            <w:tcW w:w="6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w:t>
            </w:r>
          </w:p>
        </w:tc>
        <w:tc>
          <w:tcPr>
            <w:tcW w:w="6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183"/>
        </w:trPr>
        <w:tc>
          <w:tcPr>
            <w:tcW w:w="6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134</w:t>
            </w:r>
          </w:p>
        </w:tc>
        <w:tc>
          <w:tcPr>
            <w:tcW w:w="60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-3195955</wp:posOffset>
            </wp:positionH>
            <wp:positionV relativeFrom="paragraph">
              <wp:posOffset>-19050</wp:posOffset>
            </wp:positionV>
            <wp:extent cx="7248525"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8525" cy="508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720"/>
            <w:col w:w="6380"/>
          </w:cols>
          <w:pgMar w:left="240" w:top="126" w:right="239" w:bottom="0" w:gutter="0" w:footer="0" w:header="0"/>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4"/>
          </w:tcPr>
          <w:p>
            <w:pPr>
              <w:jc w:val="right"/>
              <w:ind w:right="489"/>
              <w:spacing w:after="0"/>
              <w:rPr>
                <w:sz w:val="20"/>
                <w:szCs w:val="20"/>
                <w:color w:val="auto"/>
              </w:rPr>
            </w:pPr>
            <w:r>
              <w:rPr>
                <w:rFonts w:ascii="Arial" w:cs="Arial" w:eastAsia="Arial" w:hAnsi="Arial"/>
                <w:sz w:val="14"/>
                <w:szCs w:val="14"/>
                <w:color w:val="auto"/>
              </w:rPr>
              <w:t>At fair value as of December 31, 2013</w:t>
            </w:r>
          </w:p>
        </w:tc>
        <w:tc>
          <w:tcPr>
            <w:tcW w:w="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69"/>
              <w:spacing w:after="0" w:line="153" w:lineRule="exact"/>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69"/>
              <w:spacing w:after="0" w:line="153" w:lineRule="exact"/>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69"/>
              <w:spacing w:after="0" w:line="153" w:lineRule="exact"/>
              <w:rPr>
                <w:sz w:val="20"/>
                <w:szCs w:val="20"/>
                <w:color w:val="auto"/>
              </w:rPr>
            </w:pPr>
            <w:r>
              <w:rPr>
                <w:rFonts w:ascii="Arial" w:cs="Arial" w:eastAsia="Arial" w:hAnsi="Arial"/>
                <w:sz w:val="14"/>
                <w:szCs w:val="14"/>
                <w:color w:val="auto"/>
              </w:rPr>
              <w:t>Level 3</w:t>
            </w:r>
          </w:p>
        </w:tc>
        <w:tc>
          <w:tcPr>
            <w:tcW w:w="10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Netting(1)</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49"/>
              <w:spacing w:after="0" w:line="153"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9"/>
        </w:trPr>
        <w:tc>
          <w:tcPr>
            <w:tcW w:w="5040" w:type="dxa"/>
            <w:vAlign w:val="bottom"/>
          </w:tcPr>
          <w:p>
            <w:pPr>
              <w:spacing w:after="0" w:line="139" w:lineRule="exact"/>
              <w:rPr>
                <w:sz w:val="20"/>
                <w:szCs w:val="20"/>
                <w:color w:val="auto"/>
              </w:rPr>
            </w:pPr>
            <w:r>
              <w:rPr>
                <w:rFonts w:ascii="Arial" w:cs="Arial" w:eastAsia="Arial" w:hAnsi="Arial"/>
                <w:sz w:val="14"/>
                <w:szCs w:val="14"/>
                <w:color w:val="auto"/>
              </w:rPr>
              <w:t>Assets:</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4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69"/>
              <w:spacing w:after="0"/>
              <w:rPr>
                <w:sz w:val="20"/>
                <w:szCs w:val="20"/>
                <w:color w:val="auto"/>
              </w:rPr>
            </w:pPr>
            <w:r>
              <w:rPr>
                <w:rFonts w:ascii="Arial" w:cs="Arial" w:eastAsia="Arial" w:hAnsi="Arial"/>
                <w:sz w:val="14"/>
                <w:szCs w:val="14"/>
                <w:color w:val="auto"/>
              </w:rPr>
              <w:t>614</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769"/>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9"/>
              <w:spacing w:after="0"/>
              <w:rPr>
                <w:sz w:val="20"/>
                <w:szCs w:val="20"/>
                <w:color w:val="auto"/>
              </w:rPr>
            </w:pPr>
            <w:r>
              <w:rPr>
                <w:rFonts w:ascii="Arial" w:cs="Arial" w:eastAsia="Arial" w:hAnsi="Arial"/>
                <w:sz w:val="14"/>
                <w:szCs w:val="14"/>
                <w:color w:val="auto"/>
                <w:w w:val="99"/>
              </w:rPr>
              <w:t>―</w:t>
            </w:r>
          </w:p>
        </w:tc>
        <w:tc>
          <w:tcPr>
            <w:tcW w:w="36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64"/>
        </w:trPr>
        <w:tc>
          <w:tcPr>
            <w:tcW w:w="5040" w:type="dxa"/>
            <w:vAlign w:val="bottom"/>
          </w:tcPr>
          <w:p>
            <w:pPr>
              <w:ind w:left="400"/>
              <w:spacing w:after="0" w:line="159"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040" w:type="dxa"/>
            <w:vAlign w:val="bottom"/>
          </w:tcPr>
          <w:p>
            <w:pPr>
              <w:ind w:left="400"/>
              <w:spacing w:after="0" w:line="139" w:lineRule="exact"/>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040" w:type="dxa"/>
            <w:vAlign w:val="bottom"/>
          </w:tcPr>
          <w:p>
            <w:pPr>
              <w:ind w:left="560"/>
              <w:spacing w:after="0" w:line="159" w:lineRule="exact"/>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040" w:type="dxa"/>
            <w:vAlign w:val="bottom"/>
          </w:tcPr>
          <w:p>
            <w:pPr>
              <w:ind w:left="760"/>
              <w:spacing w:after="0" w:line="159" w:lineRule="exact"/>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3"/>
                <w:szCs w:val="13"/>
                <w:color w:val="auto"/>
              </w:rPr>
            </w:pP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59</w:t>
            </w:r>
          </w:p>
        </w:tc>
        <w:tc>
          <w:tcPr>
            <w:tcW w:w="340" w:type="dxa"/>
            <w:vAlign w:val="bottom"/>
          </w:tcPr>
          <w:p>
            <w:pPr>
              <w:spacing w:after="0"/>
              <w:rPr>
                <w:sz w:val="13"/>
                <w:szCs w:val="13"/>
                <w:color w:val="auto"/>
              </w:rPr>
            </w:pP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58</w:t>
            </w:r>
          </w:p>
        </w:tc>
        <w:tc>
          <w:tcPr>
            <w:tcW w:w="340" w:type="dxa"/>
            <w:vAlign w:val="bottom"/>
          </w:tcPr>
          <w:p>
            <w:pPr>
              <w:spacing w:after="0"/>
              <w:rPr>
                <w:sz w:val="13"/>
                <w:szCs w:val="13"/>
                <w:color w:val="auto"/>
              </w:rPr>
            </w:pPr>
          </w:p>
        </w:tc>
        <w:tc>
          <w:tcPr>
            <w:tcW w:w="92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spacing w:after="0"/>
              <w:rPr>
                <w:sz w:val="13"/>
                <w:szCs w:val="13"/>
                <w:color w:val="auto"/>
              </w:rPr>
            </w:pPr>
          </w:p>
        </w:tc>
        <w:tc>
          <w:tcPr>
            <w:tcW w:w="320" w:type="dxa"/>
            <w:vAlign w:val="bottom"/>
          </w:tcPr>
          <w:p>
            <w:pPr>
              <w:jc w:val="right"/>
              <w:ind w:right="89"/>
              <w:spacing w:after="0" w:line="159" w:lineRule="exact"/>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59"/>
        </w:trPr>
        <w:tc>
          <w:tcPr>
            <w:tcW w:w="5040" w:type="dxa"/>
            <w:vAlign w:val="bottom"/>
          </w:tcPr>
          <w:p>
            <w:pPr>
              <w:ind w:left="560"/>
              <w:spacing w:after="0" w:line="159" w:lineRule="exact"/>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3"/>
                <w:szCs w:val="13"/>
                <w:color w:val="auto"/>
              </w:rPr>
            </w:pP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111</w:t>
            </w:r>
          </w:p>
        </w:tc>
        <w:tc>
          <w:tcPr>
            <w:tcW w:w="340" w:type="dxa"/>
            <w:vAlign w:val="bottom"/>
          </w:tcPr>
          <w:p>
            <w:pPr>
              <w:spacing w:after="0"/>
              <w:rPr>
                <w:sz w:val="13"/>
                <w:szCs w:val="13"/>
                <w:color w:val="auto"/>
              </w:rPr>
            </w:pPr>
          </w:p>
        </w:tc>
        <w:tc>
          <w:tcPr>
            <w:tcW w:w="92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spacing w:after="0"/>
              <w:rPr>
                <w:sz w:val="13"/>
                <w:szCs w:val="13"/>
                <w:color w:val="auto"/>
              </w:rPr>
            </w:pPr>
          </w:p>
        </w:tc>
        <w:tc>
          <w:tcPr>
            <w:tcW w:w="320" w:type="dxa"/>
            <w:vAlign w:val="bottom"/>
          </w:tcPr>
          <w:p>
            <w:pPr>
              <w:jc w:val="right"/>
              <w:ind w:right="89"/>
              <w:spacing w:after="0" w:line="159" w:lineRule="exact"/>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73"/>
        </w:trPr>
        <w:tc>
          <w:tcPr>
            <w:tcW w:w="504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153</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53"/>
        </w:trPr>
        <w:tc>
          <w:tcPr>
            <w:tcW w:w="5040" w:type="dxa"/>
            <w:vAlign w:val="bottom"/>
          </w:tcPr>
          <w:p>
            <w:pPr>
              <w:ind w:left="400"/>
              <w:spacing w:after="0" w:line="153" w:lineRule="exact"/>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59</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322</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53"/>
        </w:trPr>
        <w:tc>
          <w:tcPr>
            <w:tcW w:w="5040" w:type="dxa"/>
            <w:vAlign w:val="bottom"/>
          </w:tcPr>
          <w:p>
            <w:pPr>
              <w:ind w:left="160"/>
              <w:spacing w:after="0" w:line="153" w:lineRule="exact"/>
              <w:rPr>
                <w:sz w:val="20"/>
                <w:szCs w:val="20"/>
                <w:color w:val="auto"/>
              </w:rPr>
            </w:pPr>
            <w:r>
              <w:rPr>
                <w:rFonts w:ascii="Arial" w:cs="Arial" w:eastAsia="Arial" w:hAnsi="Arial"/>
                <w:sz w:val="14"/>
                <w:szCs w:val="14"/>
                <w:color w:val="auto"/>
              </w:rPr>
              <w:t>Total nuclear decommissioning trusts(2)</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673</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322</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139"/>
        </w:trPr>
        <w:tc>
          <w:tcPr>
            <w:tcW w:w="5040" w:type="dxa"/>
            <w:vAlign w:val="bottom"/>
          </w:tcPr>
          <w:p>
            <w:pPr>
              <w:ind w:left="160"/>
              <w:spacing w:after="0" w:line="139" w:lineRule="exact"/>
              <w:rPr>
                <w:sz w:val="20"/>
                <w:szCs w:val="20"/>
                <w:color w:val="auto"/>
              </w:rPr>
            </w:pPr>
            <w:r>
              <w:rPr>
                <w:rFonts w:ascii="Arial" w:cs="Arial" w:eastAsia="Arial" w:hAnsi="Arial"/>
                <w:sz w:val="14"/>
                <w:szCs w:val="14"/>
                <w:color w:val="auto"/>
              </w:rPr>
              <w:t>Interest rate and foreign exchange instruments</w:t>
            </w:r>
          </w:p>
        </w:tc>
        <w:tc>
          <w:tcPr>
            <w:tcW w:w="440" w:type="dxa"/>
            <w:vAlign w:val="bottom"/>
          </w:tcPr>
          <w:p>
            <w:pPr>
              <w:spacing w:after="0"/>
              <w:rPr>
                <w:sz w:val="12"/>
                <w:szCs w:val="12"/>
                <w:color w:val="auto"/>
              </w:rPr>
            </w:pPr>
          </w:p>
        </w:tc>
        <w:tc>
          <w:tcPr>
            <w:tcW w:w="900" w:type="dxa"/>
            <w:vAlign w:val="bottom"/>
          </w:tcPr>
          <w:p>
            <w:pPr>
              <w:jc w:val="right"/>
              <w:ind w:right="69"/>
              <w:spacing w:after="0" w:line="13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00" w:type="dxa"/>
            <w:vAlign w:val="bottom"/>
          </w:tcPr>
          <w:p>
            <w:pPr>
              <w:jc w:val="right"/>
              <w:ind w:right="69"/>
              <w:spacing w:after="0" w:line="139" w:lineRule="exact"/>
              <w:rPr>
                <w:sz w:val="20"/>
                <w:szCs w:val="20"/>
                <w:color w:val="auto"/>
              </w:rPr>
            </w:pPr>
            <w:r>
              <w:rPr>
                <w:rFonts w:ascii="Arial" w:cs="Arial" w:eastAsia="Arial" w:hAnsi="Arial"/>
                <w:sz w:val="14"/>
                <w:szCs w:val="14"/>
                <w:color w:val="auto"/>
              </w:rPr>
              <w:t>56</w:t>
            </w:r>
          </w:p>
        </w:tc>
        <w:tc>
          <w:tcPr>
            <w:tcW w:w="340" w:type="dxa"/>
            <w:vAlign w:val="bottom"/>
          </w:tcPr>
          <w:p>
            <w:pPr>
              <w:spacing w:after="0"/>
              <w:rPr>
                <w:sz w:val="12"/>
                <w:szCs w:val="12"/>
                <w:color w:val="auto"/>
              </w:rPr>
            </w:pPr>
          </w:p>
        </w:tc>
        <w:tc>
          <w:tcPr>
            <w:tcW w:w="920" w:type="dxa"/>
            <w:vAlign w:val="bottom"/>
          </w:tcPr>
          <w:p>
            <w:pPr>
              <w:jc w:val="right"/>
              <w:ind w:right="69"/>
              <w:spacing w:after="0" w:line="139" w:lineRule="exact"/>
              <w:rPr>
                <w:sz w:val="20"/>
                <w:szCs w:val="20"/>
                <w:color w:val="auto"/>
              </w:rPr>
            </w:pPr>
            <w:r>
              <w:rPr>
                <w:rFonts w:ascii="Arial" w:cs="Arial" w:eastAsia="Arial" w:hAnsi="Arial"/>
                <w:sz w:val="14"/>
                <w:szCs w:val="14"/>
                <w:color w:val="auto"/>
              </w:rPr>
              <w:t>―</w:t>
            </w:r>
          </w:p>
        </w:tc>
        <w:tc>
          <w:tcPr>
            <w:tcW w:w="1080" w:type="dxa"/>
            <w:vAlign w:val="bottom"/>
          </w:tcPr>
          <w:p>
            <w:pPr>
              <w:spacing w:after="0"/>
              <w:rPr>
                <w:sz w:val="12"/>
                <w:szCs w:val="12"/>
                <w:color w:val="auto"/>
              </w:rPr>
            </w:pPr>
          </w:p>
        </w:tc>
        <w:tc>
          <w:tcPr>
            <w:tcW w:w="320" w:type="dxa"/>
            <w:vAlign w:val="bottom"/>
          </w:tcPr>
          <w:p>
            <w:pPr>
              <w:jc w:val="right"/>
              <w:ind w:right="89"/>
              <w:spacing w:after="0" w:line="139" w:lineRule="exact"/>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59"/>
        </w:trPr>
        <w:tc>
          <w:tcPr>
            <w:tcW w:w="5040" w:type="dxa"/>
            <w:vAlign w:val="bottom"/>
          </w:tcPr>
          <w:p>
            <w:pPr>
              <w:ind w:left="160"/>
              <w:spacing w:after="0" w:line="159" w:lineRule="exact"/>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Pr>
          <w:p>
            <w:pPr>
              <w:spacing w:after="0"/>
              <w:rPr>
                <w:sz w:val="13"/>
                <w:szCs w:val="13"/>
                <w:color w:val="auto"/>
              </w:rPr>
            </w:pP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1</w:t>
            </w:r>
          </w:p>
        </w:tc>
        <w:tc>
          <w:tcPr>
            <w:tcW w:w="340" w:type="dxa"/>
            <w:vAlign w:val="bottom"/>
          </w:tcPr>
          <w:p>
            <w:pPr>
              <w:spacing w:after="0"/>
              <w:rPr>
                <w:sz w:val="13"/>
                <w:szCs w:val="13"/>
                <w:color w:val="auto"/>
              </w:rPr>
            </w:pP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5</w:t>
            </w:r>
          </w:p>
        </w:tc>
        <w:tc>
          <w:tcPr>
            <w:tcW w:w="340" w:type="dxa"/>
            <w:vAlign w:val="bottom"/>
          </w:tcPr>
          <w:p>
            <w:pPr>
              <w:spacing w:after="0"/>
              <w:rPr>
                <w:sz w:val="13"/>
                <w:szCs w:val="13"/>
                <w:color w:val="auto"/>
              </w:rPr>
            </w:pPr>
          </w:p>
        </w:tc>
        <w:tc>
          <w:tcPr>
            <w:tcW w:w="92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spacing w:after="0"/>
              <w:rPr>
                <w:sz w:val="13"/>
                <w:szCs w:val="13"/>
                <w:color w:val="auto"/>
              </w:rPr>
            </w:pPr>
          </w:p>
        </w:tc>
        <w:tc>
          <w:tcPr>
            <w:tcW w:w="320" w:type="dxa"/>
            <w:vAlign w:val="bottom"/>
          </w:tcPr>
          <w:p>
            <w:pPr>
              <w:jc w:val="right"/>
              <w:ind w:right="89"/>
              <w:spacing w:after="0" w:line="159" w:lineRule="exact"/>
              <w:rPr>
                <w:sz w:val="20"/>
                <w:szCs w:val="20"/>
                <w:color w:val="auto"/>
              </w:rPr>
            </w:pPr>
            <w:r>
              <w:rPr>
                <w:rFonts w:ascii="Arial" w:cs="Arial" w:eastAsia="Arial" w:hAnsi="Arial"/>
                <w:sz w:val="14"/>
                <w:szCs w:val="14"/>
                <w:color w:val="auto"/>
                <w:w w:val="89"/>
              </w:rPr>
              <w:t>17</w:t>
            </w:r>
          </w:p>
        </w:tc>
        <w:tc>
          <w:tcPr>
            <w:tcW w:w="36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3"/>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99</w:t>
            </w:r>
          </w:p>
        </w:tc>
        <w:tc>
          <w:tcPr>
            <w:tcW w:w="10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89"/>
              </w:rPr>
              <w:t>31</w:t>
            </w: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53"/>
        </w:trPr>
        <w:tc>
          <w:tcPr>
            <w:tcW w:w="504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3" w:lineRule="exact"/>
              <w:rPr>
                <w:sz w:val="20"/>
                <w:szCs w:val="20"/>
                <w:color w:val="auto"/>
              </w:rPr>
            </w:pPr>
            <w:r>
              <w:rPr>
                <w:rFonts w:ascii="Arial" w:cs="Arial" w:eastAsia="Arial" w:hAnsi="Arial"/>
                <w:sz w:val="14"/>
                <w:szCs w:val="14"/>
                <w:color w:val="auto"/>
              </w:rPr>
              <w:t>676</w:t>
            </w:r>
          </w:p>
        </w:tc>
        <w:tc>
          <w:tcPr>
            <w:tcW w:w="3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3" w:lineRule="exact"/>
              <w:rPr>
                <w:sz w:val="20"/>
                <w:szCs w:val="20"/>
                <w:color w:val="auto"/>
              </w:rPr>
            </w:pPr>
            <w:r>
              <w:rPr>
                <w:rFonts w:ascii="Arial" w:cs="Arial" w:eastAsia="Arial" w:hAnsi="Arial"/>
                <w:sz w:val="14"/>
                <w:szCs w:val="14"/>
                <w:color w:val="auto"/>
              </w:rPr>
              <w:t>384</w:t>
            </w:r>
          </w:p>
        </w:tc>
        <w:tc>
          <w:tcPr>
            <w:tcW w:w="3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line="153" w:lineRule="exact"/>
              <w:rPr>
                <w:sz w:val="20"/>
                <w:szCs w:val="20"/>
                <w:color w:val="auto"/>
              </w:rPr>
            </w:pPr>
            <w:r>
              <w:rPr>
                <w:rFonts w:ascii="Arial" w:cs="Arial" w:eastAsia="Arial" w:hAnsi="Arial"/>
                <w:sz w:val="14"/>
                <w:szCs w:val="14"/>
                <w:color w:val="auto"/>
              </w:rPr>
              <w:t>99</w:t>
            </w:r>
          </w:p>
        </w:tc>
        <w:tc>
          <w:tcPr>
            <w:tcW w:w="1080" w:type="dxa"/>
            <w:vAlign w:val="bottom"/>
          </w:tcPr>
          <w:p>
            <w:pPr>
              <w:jc w:val="right"/>
              <w:ind w:right="769"/>
              <w:spacing w:after="0" w:line="153"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3" w:lineRule="exact"/>
              <w:rPr>
                <w:sz w:val="20"/>
                <w:szCs w:val="20"/>
                <w:color w:val="auto"/>
              </w:rPr>
            </w:pPr>
            <w:r>
              <w:rPr>
                <w:rFonts w:ascii="Arial" w:cs="Arial" w:eastAsia="Arial" w:hAnsi="Arial"/>
                <w:sz w:val="14"/>
                <w:szCs w:val="14"/>
                <w:color w:val="auto"/>
                <w:w w:val="89"/>
              </w:rPr>
              <w:t>48</w:t>
            </w:r>
          </w:p>
        </w:tc>
        <w:tc>
          <w:tcPr>
            <w:tcW w:w="360" w:type="dxa"/>
            <w:vAlign w:val="bottom"/>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3" w:lineRule="exact"/>
              <w:rPr>
                <w:sz w:val="20"/>
                <w:szCs w:val="20"/>
                <w:color w:val="auto"/>
              </w:rPr>
            </w:pPr>
            <w:r>
              <w:rPr>
                <w:rFonts w:ascii="Arial" w:cs="Arial" w:eastAsia="Arial" w:hAnsi="Arial"/>
                <w:sz w:val="14"/>
                <w:szCs w:val="14"/>
                <w:color w:val="auto"/>
              </w:rPr>
              <w:t>1,207</w:t>
            </w:r>
          </w:p>
        </w:tc>
        <w:tc>
          <w:tcPr>
            <w:tcW w:w="0" w:type="dxa"/>
            <w:vAlign w:val="bottom"/>
          </w:tcPr>
          <w:p>
            <w:pPr>
              <w:spacing w:after="0"/>
              <w:rPr>
                <w:sz w:val="1"/>
                <w:szCs w:val="1"/>
                <w:color w:val="auto"/>
              </w:rPr>
            </w:pPr>
          </w:p>
        </w:tc>
      </w:tr>
      <w:tr>
        <w:trPr>
          <w:trHeight w:val="80"/>
        </w:trPr>
        <w:tc>
          <w:tcPr>
            <w:tcW w:w="5040" w:type="dxa"/>
            <w:vAlign w:val="bottom"/>
            <w:vMerge w:val="continue"/>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line="146" w:lineRule="exact"/>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040" w:type="dxa"/>
            <w:vAlign w:val="bottom"/>
          </w:tcPr>
          <w:p>
            <w:pPr>
              <w:ind w:left="160"/>
              <w:spacing w:after="0" w:line="159" w:lineRule="exact"/>
              <w:rPr>
                <w:sz w:val="20"/>
                <w:szCs w:val="20"/>
                <w:color w:val="auto"/>
              </w:rPr>
            </w:pPr>
            <w:r>
              <w:rPr>
                <w:rFonts w:ascii="Arial" w:cs="Arial" w:eastAsia="Arial" w:hAnsi="Arial"/>
                <w:sz w:val="14"/>
                <w:szCs w:val="14"/>
                <w:color w:val="auto"/>
              </w:rPr>
              <w:t>Interest rate and foreign exchange instruments</w:t>
            </w:r>
          </w:p>
        </w:tc>
        <w:tc>
          <w:tcPr>
            <w:tcW w:w="4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117</w:t>
            </w:r>
          </w:p>
        </w:tc>
        <w:tc>
          <w:tcPr>
            <w:tcW w:w="3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69"/>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9" w:lineRule="exact"/>
              <w:rPr>
                <w:sz w:val="20"/>
                <w:szCs w:val="20"/>
                <w:color w:val="auto"/>
              </w:rPr>
            </w:pPr>
            <w:r>
              <w:rPr>
                <w:rFonts w:ascii="Arial" w:cs="Arial" w:eastAsia="Arial" w:hAnsi="Arial"/>
                <w:sz w:val="14"/>
                <w:szCs w:val="14"/>
                <w:color w:val="auto"/>
                <w:w w:val="99"/>
              </w:rPr>
              <w:t>―</w:t>
            </w:r>
          </w:p>
        </w:tc>
        <w:tc>
          <w:tcPr>
            <w:tcW w:w="36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59"/>
        </w:trPr>
        <w:tc>
          <w:tcPr>
            <w:tcW w:w="5040" w:type="dxa"/>
            <w:vAlign w:val="bottom"/>
          </w:tcPr>
          <w:p>
            <w:pPr>
              <w:ind w:left="160"/>
              <w:spacing w:after="0" w:line="159" w:lineRule="exact"/>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Pr>
          <w:p>
            <w:pPr>
              <w:spacing w:after="0"/>
              <w:rPr>
                <w:sz w:val="13"/>
                <w:szCs w:val="13"/>
                <w:color w:val="auto"/>
              </w:rPr>
            </w:pP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4</w:t>
            </w:r>
          </w:p>
        </w:tc>
        <w:tc>
          <w:tcPr>
            <w:tcW w:w="340" w:type="dxa"/>
            <w:vAlign w:val="bottom"/>
          </w:tcPr>
          <w:p>
            <w:pPr>
              <w:spacing w:after="0"/>
              <w:rPr>
                <w:sz w:val="13"/>
                <w:szCs w:val="13"/>
                <w:color w:val="auto"/>
              </w:rPr>
            </w:pP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8</w:t>
            </w:r>
          </w:p>
        </w:tc>
        <w:tc>
          <w:tcPr>
            <w:tcW w:w="340" w:type="dxa"/>
            <w:vAlign w:val="bottom"/>
          </w:tcPr>
          <w:p>
            <w:pPr>
              <w:spacing w:after="0"/>
              <w:rPr>
                <w:sz w:val="13"/>
                <w:szCs w:val="13"/>
                <w:color w:val="auto"/>
              </w:rPr>
            </w:pPr>
          </w:p>
        </w:tc>
        <w:tc>
          <w:tcPr>
            <w:tcW w:w="92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spacing w:after="0"/>
              <w:rPr>
                <w:sz w:val="13"/>
                <w:szCs w:val="13"/>
                <w:color w:val="auto"/>
              </w:rPr>
            </w:pPr>
          </w:p>
        </w:tc>
        <w:tc>
          <w:tcPr>
            <w:tcW w:w="3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(5)</w:t>
            </w:r>
          </w:p>
        </w:tc>
        <w:tc>
          <w:tcPr>
            <w:tcW w:w="36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3"/>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3"/>
        </w:trPr>
        <w:tc>
          <w:tcPr>
            <w:tcW w:w="5040" w:type="dxa"/>
            <w:vAlign w:val="bottom"/>
          </w:tcPr>
          <w:p>
            <w:pPr>
              <w:spacing w:after="0" w:line="153" w:lineRule="exact"/>
              <w:rPr>
                <w:sz w:val="20"/>
                <w:szCs w:val="20"/>
                <w:color w:val="auto"/>
              </w:rPr>
            </w:pPr>
            <w:r>
              <w:rPr>
                <w:rFonts w:ascii="Arial" w:cs="Arial" w:eastAsia="Arial" w:hAnsi="Arial"/>
                <w:sz w:val="14"/>
                <w:szCs w:val="14"/>
                <w:color w:val="auto"/>
              </w:rPr>
              <w:t>Total</w:t>
            </w:r>
          </w:p>
        </w:tc>
        <w:tc>
          <w:tcPr>
            <w:tcW w:w="4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3" w:lineRule="exact"/>
              <w:rPr>
                <w:sz w:val="20"/>
                <w:szCs w:val="20"/>
                <w:color w:val="auto"/>
              </w:rPr>
            </w:pPr>
            <w:r>
              <w:rPr>
                <w:rFonts w:ascii="Arial" w:cs="Arial" w:eastAsia="Arial" w:hAnsi="Arial"/>
                <w:sz w:val="14"/>
                <w:szCs w:val="14"/>
                <w:color w:val="auto"/>
              </w:rPr>
              <w:t>4</w:t>
            </w:r>
          </w:p>
        </w:tc>
        <w:tc>
          <w:tcPr>
            <w:tcW w:w="3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3" w:lineRule="exact"/>
              <w:rPr>
                <w:sz w:val="20"/>
                <w:szCs w:val="20"/>
                <w:color w:val="auto"/>
              </w:rPr>
            </w:pPr>
            <w:r>
              <w:rPr>
                <w:rFonts w:ascii="Arial" w:cs="Arial" w:eastAsia="Arial" w:hAnsi="Arial"/>
                <w:sz w:val="14"/>
                <w:szCs w:val="14"/>
                <w:color w:val="auto"/>
              </w:rPr>
              <w:t>138</w:t>
            </w:r>
          </w:p>
        </w:tc>
        <w:tc>
          <w:tcPr>
            <w:tcW w:w="3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69"/>
              <w:spacing w:after="0" w:line="153"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49"/>
              <w:spacing w:after="0" w:line="153" w:lineRule="exact"/>
              <w:rPr>
                <w:sz w:val="20"/>
                <w:szCs w:val="20"/>
                <w:color w:val="auto"/>
              </w:rPr>
            </w:pPr>
            <w:r>
              <w:rPr>
                <w:rFonts w:ascii="Arial" w:cs="Arial" w:eastAsia="Arial" w:hAnsi="Arial"/>
                <w:sz w:val="14"/>
                <w:szCs w:val="14"/>
                <w:color w:val="auto"/>
              </w:rPr>
              <w:t>(5)</w:t>
            </w:r>
          </w:p>
        </w:tc>
        <w:tc>
          <w:tcPr>
            <w:tcW w:w="360" w:type="dxa"/>
            <w:vAlign w:val="bottom"/>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3"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80"/>
        </w:trPr>
        <w:tc>
          <w:tcPr>
            <w:tcW w:w="504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500" w:hanging="494"/>
        <w:spacing w:after="0"/>
        <w:tabs>
          <w:tab w:leader="none" w:pos="50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the effect of the contractual ability to settle contracts under master netting agreements and with cash collateral, as well as cash collateral not offset.</w:t>
      </w:r>
    </w:p>
    <w:p>
      <w:pPr>
        <w:spacing w:after="0" w:line="3" w:lineRule="exact"/>
        <w:rPr>
          <w:rFonts w:ascii="Arial" w:cs="Arial" w:eastAsia="Arial" w:hAnsi="Arial"/>
          <w:sz w:val="14"/>
          <w:szCs w:val="14"/>
          <w:i w:val="1"/>
          <w:iCs w:val="1"/>
          <w:color w:val="auto"/>
        </w:rPr>
      </w:pPr>
    </w:p>
    <w:p>
      <w:pPr>
        <w:ind w:left="500" w:hanging="494"/>
        <w:spacing w:after="0"/>
        <w:tabs>
          <w:tab w:leader="none" w:pos="50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balances and cash equivalents.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55"/>
        </w:trPr>
        <w:tc>
          <w:tcPr>
            <w:tcW w:w="50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4"/>
          </w:tcPr>
          <w:p>
            <w:pPr>
              <w:jc w:val="right"/>
              <w:ind w:right="669"/>
              <w:spacing w:after="0" w:line="155" w:lineRule="exact"/>
              <w:rPr>
                <w:sz w:val="20"/>
                <w:szCs w:val="20"/>
                <w:color w:val="auto"/>
              </w:rPr>
            </w:pPr>
            <w:r>
              <w:rPr>
                <w:rFonts w:ascii="Arial" w:cs="Arial" w:eastAsia="Arial" w:hAnsi="Arial"/>
                <w:sz w:val="14"/>
                <w:szCs w:val="14"/>
                <w:color w:val="auto"/>
              </w:rPr>
              <w:t>At fair value as of June 30, 2014</w:t>
            </w:r>
          </w:p>
        </w:tc>
        <w:tc>
          <w:tcPr>
            <w:tcW w:w="3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0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Level 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Netting(1)</w:t>
            </w: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9"/>
        </w:trPr>
        <w:tc>
          <w:tcPr>
            <w:tcW w:w="5040" w:type="dxa"/>
            <w:vAlign w:val="bottom"/>
          </w:tcPr>
          <w:p>
            <w:pPr>
              <w:spacing w:after="0" w:line="139" w:lineRule="exact"/>
              <w:rPr>
                <w:sz w:val="20"/>
                <w:szCs w:val="20"/>
                <w:color w:val="auto"/>
              </w:rPr>
            </w:pPr>
            <w:r>
              <w:rPr>
                <w:rFonts w:ascii="Arial" w:cs="Arial" w:eastAsia="Arial" w:hAnsi="Arial"/>
                <w:sz w:val="14"/>
                <w:szCs w:val="14"/>
                <w:color w:val="auto"/>
              </w:rPr>
              <w:t>Assets:</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4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69"/>
              <w:spacing w:after="0"/>
              <w:rPr>
                <w:sz w:val="20"/>
                <w:szCs w:val="20"/>
                <w:color w:val="auto"/>
              </w:rPr>
            </w:pPr>
            <w:r>
              <w:rPr>
                <w:rFonts w:ascii="Arial" w:cs="Arial" w:eastAsia="Arial" w:hAnsi="Arial"/>
                <w:sz w:val="14"/>
                <w:szCs w:val="14"/>
                <w:color w:val="auto"/>
              </w:rPr>
              <w:t>652</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769"/>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69"/>
              <w:spacing w:after="0"/>
              <w:rPr>
                <w:sz w:val="20"/>
                <w:szCs w:val="20"/>
                <w:color w:val="auto"/>
              </w:rPr>
            </w:pPr>
            <w:r>
              <w:rPr>
                <w:rFonts w:ascii="Arial" w:cs="Arial" w:eastAsia="Arial" w:hAnsi="Arial"/>
                <w:sz w:val="14"/>
                <w:szCs w:val="14"/>
                <w:color w:val="auto"/>
                <w:w w:val="99"/>
              </w:rPr>
              <w:t>―</w:t>
            </w:r>
          </w:p>
        </w:tc>
        <w:tc>
          <w:tcPr>
            <w:tcW w:w="38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164"/>
        </w:trPr>
        <w:tc>
          <w:tcPr>
            <w:tcW w:w="5040" w:type="dxa"/>
            <w:vAlign w:val="bottom"/>
          </w:tcPr>
          <w:p>
            <w:pPr>
              <w:ind w:left="400"/>
              <w:spacing w:after="0" w:line="159"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040" w:type="dxa"/>
            <w:vAlign w:val="bottom"/>
          </w:tcPr>
          <w:p>
            <w:pPr>
              <w:ind w:left="400"/>
              <w:spacing w:after="0" w:line="139" w:lineRule="exact"/>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040" w:type="dxa"/>
            <w:vAlign w:val="bottom"/>
          </w:tcPr>
          <w:p>
            <w:pPr>
              <w:ind w:left="560"/>
              <w:spacing w:after="0" w:line="159" w:lineRule="exact"/>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040" w:type="dxa"/>
            <w:vAlign w:val="bottom"/>
          </w:tcPr>
          <w:p>
            <w:pPr>
              <w:ind w:left="760"/>
              <w:spacing w:after="0" w:line="159" w:lineRule="exact"/>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3"/>
                <w:szCs w:val="13"/>
                <w:color w:val="auto"/>
              </w:rPr>
            </w:pP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51</w:t>
            </w:r>
          </w:p>
        </w:tc>
        <w:tc>
          <w:tcPr>
            <w:tcW w:w="340" w:type="dxa"/>
            <w:vAlign w:val="bottom"/>
          </w:tcPr>
          <w:p>
            <w:pPr>
              <w:spacing w:after="0"/>
              <w:rPr>
                <w:sz w:val="13"/>
                <w:szCs w:val="13"/>
                <w:color w:val="auto"/>
              </w:rPr>
            </w:pP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55</w:t>
            </w:r>
          </w:p>
        </w:tc>
        <w:tc>
          <w:tcPr>
            <w:tcW w:w="340" w:type="dxa"/>
            <w:vAlign w:val="bottom"/>
          </w:tcPr>
          <w:p>
            <w:pPr>
              <w:spacing w:after="0"/>
              <w:rPr>
                <w:sz w:val="13"/>
                <w:szCs w:val="13"/>
                <w:color w:val="auto"/>
              </w:rPr>
            </w:pPr>
          </w:p>
        </w:tc>
        <w:tc>
          <w:tcPr>
            <w:tcW w:w="92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spacing w:after="0"/>
              <w:rPr>
                <w:sz w:val="13"/>
                <w:szCs w:val="13"/>
                <w:color w:val="auto"/>
              </w:rPr>
            </w:pPr>
          </w:p>
        </w:tc>
        <w:tc>
          <w:tcPr>
            <w:tcW w:w="300" w:type="dxa"/>
            <w:vAlign w:val="bottom"/>
          </w:tcPr>
          <w:p>
            <w:pPr>
              <w:jc w:val="right"/>
              <w:ind w:right="69"/>
              <w:spacing w:after="0" w:line="159" w:lineRule="exact"/>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59"/>
        </w:trPr>
        <w:tc>
          <w:tcPr>
            <w:tcW w:w="5040" w:type="dxa"/>
            <w:vAlign w:val="bottom"/>
          </w:tcPr>
          <w:p>
            <w:pPr>
              <w:ind w:left="560"/>
              <w:spacing w:after="0" w:line="159" w:lineRule="exact"/>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3"/>
                <w:szCs w:val="13"/>
                <w:color w:val="auto"/>
              </w:rPr>
            </w:pP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114</w:t>
            </w:r>
          </w:p>
        </w:tc>
        <w:tc>
          <w:tcPr>
            <w:tcW w:w="340" w:type="dxa"/>
            <w:vAlign w:val="bottom"/>
          </w:tcPr>
          <w:p>
            <w:pPr>
              <w:spacing w:after="0"/>
              <w:rPr>
                <w:sz w:val="13"/>
                <w:szCs w:val="13"/>
                <w:color w:val="auto"/>
              </w:rPr>
            </w:pPr>
          </w:p>
        </w:tc>
        <w:tc>
          <w:tcPr>
            <w:tcW w:w="92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spacing w:after="0"/>
              <w:rPr>
                <w:sz w:val="13"/>
                <w:szCs w:val="13"/>
                <w:color w:val="auto"/>
              </w:rPr>
            </w:pPr>
          </w:p>
        </w:tc>
        <w:tc>
          <w:tcPr>
            <w:tcW w:w="300" w:type="dxa"/>
            <w:vAlign w:val="bottom"/>
          </w:tcPr>
          <w:p>
            <w:pPr>
              <w:jc w:val="right"/>
              <w:ind w:right="69"/>
              <w:spacing w:after="0" w:line="159" w:lineRule="exact"/>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73"/>
        </w:trPr>
        <w:tc>
          <w:tcPr>
            <w:tcW w:w="504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196</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53"/>
        </w:trPr>
        <w:tc>
          <w:tcPr>
            <w:tcW w:w="5040" w:type="dxa"/>
            <w:vAlign w:val="bottom"/>
          </w:tcPr>
          <w:p>
            <w:pPr>
              <w:ind w:left="400"/>
              <w:spacing w:after="0" w:line="153" w:lineRule="exact"/>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51</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365</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53"/>
        </w:trPr>
        <w:tc>
          <w:tcPr>
            <w:tcW w:w="5040" w:type="dxa"/>
            <w:vAlign w:val="bottom"/>
          </w:tcPr>
          <w:p>
            <w:pPr>
              <w:ind w:left="160"/>
              <w:spacing w:after="0" w:line="153" w:lineRule="exact"/>
              <w:rPr>
                <w:sz w:val="20"/>
                <w:szCs w:val="20"/>
                <w:color w:val="auto"/>
              </w:rPr>
            </w:pPr>
            <w:r>
              <w:rPr>
                <w:rFonts w:ascii="Arial" w:cs="Arial" w:eastAsia="Arial" w:hAnsi="Arial"/>
                <w:sz w:val="14"/>
                <w:szCs w:val="14"/>
                <w:color w:val="auto"/>
              </w:rPr>
              <w:t>Total nuclear decommissioning trusts(2)</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703</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365</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1,068</w:t>
            </w:r>
          </w:p>
        </w:tc>
        <w:tc>
          <w:tcPr>
            <w:tcW w:w="0" w:type="dxa"/>
            <w:vAlign w:val="bottom"/>
          </w:tcPr>
          <w:p>
            <w:pPr>
              <w:spacing w:after="0"/>
              <w:rPr>
                <w:sz w:val="1"/>
                <w:szCs w:val="1"/>
                <w:color w:val="auto"/>
              </w:rPr>
            </w:pPr>
          </w:p>
        </w:tc>
      </w:tr>
      <w:tr>
        <w:trPr>
          <w:trHeight w:val="139"/>
        </w:trPr>
        <w:tc>
          <w:tcPr>
            <w:tcW w:w="5040" w:type="dxa"/>
            <w:vAlign w:val="bottom"/>
          </w:tcPr>
          <w:p>
            <w:pPr>
              <w:ind w:left="160"/>
              <w:spacing w:after="0" w:line="139" w:lineRule="exact"/>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Pr>
          <w:p>
            <w:pPr>
              <w:spacing w:after="0"/>
              <w:rPr>
                <w:sz w:val="12"/>
                <w:szCs w:val="12"/>
                <w:color w:val="auto"/>
              </w:rPr>
            </w:pPr>
          </w:p>
        </w:tc>
        <w:tc>
          <w:tcPr>
            <w:tcW w:w="900" w:type="dxa"/>
            <w:vAlign w:val="bottom"/>
          </w:tcPr>
          <w:p>
            <w:pPr>
              <w:jc w:val="right"/>
              <w:ind w:right="69"/>
              <w:spacing w:after="0" w:line="13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00" w:type="dxa"/>
            <w:vAlign w:val="bottom"/>
          </w:tcPr>
          <w:p>
            <w:pPr>
              <w:jc w:val="right"/>
              <w:ind w:right="69"/>
              <w:spacing w:after="0" w:line="13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20" w:type="dxa"/>
            <w:vAlign w:val="bottom"/>
          </w:tcPr>
          <w:p>
            <w:pPr>
              <w:jc w:val="right"/>
              <w:ind w:right="69"/>
              <w:spacing w:after="0" w:line="139" w:lineRule="exact"/>
              <w:rPr>
                <w:sz w:val="20"/>
                <w:szCs w:val="20"/>
                <w:color w:val="auto"/>
              </w:rPr>
            </w:pPr>
            <w:r>
              <w:rPr>
                <w:rFonts w:ascii="Arial" w:cs="Arial" w:eastAsia="Arial" w:hAnsi="Arial"/>
                <w:sz w:val="14"/>
                <w:szCs w:val="14"/>
                <w:color w:val="auto"/>
              </w:rPr>
              <w:t>―</w:t>
            </w:r>
          </w:p>
        </w:tc>
        <w:tc>
          <w:tcPr>
            <w:tcW w:w="1080" w:type="dxa"/>
            <w:vAlign w:val="bottom"/>
          </w:tcPr>
          <w:p>
            <w:pPr>
              <w:spacing w:after="0"/>
              <w:rPr>
                <w:sz w:val="12"/>
                <w:szCs w:val="12"/>
                <w:color w:val="auto"/>
              </w:rPr>
            </w:pPr>
          </w:p>
        </w:tc>
        <w:tc>
          <w:tcPr>
            <w:tcW w:w="300" w:type="dxa"/>
            <w:vAlign w:val="bottom"/>
          </w:tcPr>
          <w:p>
            <w:pPr>
              <w:jc w:val="right"/>
              <w:ind w:right="69"/>
              <w:spacing w:after="0" w:line="139" w:lineRule="exact"/>
              <w:rPr>
                <w:sz w:val="20"/>
                <w:szCs w:val="20"/>
                <w:color w:val="auto"/>
              </w:rPr>
            </w:pPr>
            <w:r>
              <w:rPr>
                <w:rFonts w:ascii="Arial" w:cs="Arial" w:eastAsia="Arial" w:hAnsi="Arial"/>
                <w:sz w:val="14"/>
                <w:szCs w:val="14"/>
                <w:color w:val="auto"/>
              </w:rPr>
              <w:t>1</w:t>
            </w:r>
          </w:p>
        </w:tc>
        <w:tc>
          <w:tcPr>
            <w:tcW w:w="38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3"/>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85</w:t>
            </w: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89"/>
              </w:rPr>
              <w:t>30</w:t>
            </w: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53"/>
        </w:trPr>
        <w:tc>
          <w:tcPr>
            <w:tcW w:w="504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3" w:lineRule="exact"/>
              <w:rPr>
                <w:sz w:val="20"/>
                <w:szCs w:val="20"/>
                <w:color w:val="auto"/>
              </w:rPr>
            </w:pPr>
            <w:r>
              <w:rPr>
                <w:rFonts w:ascii="Arial" w:cs="Arial" w:eastAsia="Arial" w:hAnsi="Arial"/>
                <w:sz w:val="14"/>
                <w:szCs w:val="14"/>
                <w:color w:val="auto"/>
              </w:rPr>
              <w:t>711</w:t>
            </w:r>
          </w:p>
        </w:tc>
        <w:tc>
          <w:tcPr>
            <w:tcW w:w="3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3" w:lineRule="exact"/>
              <w:rPr>
                <w:sz w:val="20"/>
                <w:szCs w:val="20"/>
                <w:color w:val="auto"/>
              </w:rPr>
            </w:pPr>
            <w:r>
              <w:rPr>
                <w:rFonts w:ascii="Arial" w:cs="Arial" w:eastAsia="Arial" w:hAnsi="Arial"/>
                <w:sz w:val="14"/>
                <w:szCs w:val="14"/>
                <w:color w:val="auto"/>
              </w:rPr>
              <w:t>367</w:t>
            </w:r>
          </w:p>
        </w:tc>
        <w:tc>
          <w:tcPr>
            <w:tcW w:w="3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line="153" w:lineRule="exact"/>
              <w:rPr>
                <w:sz w:val="20"/>
                <w:szCs w:val="20"/>
                <w:color w:val="auto"/>
              </w:rPr>
            </w:pPr>
            <w:r>
              <w:rPr>
                <w:rFonts w:ascii="Arial" w:cs="Arial" w:eastAsia="Arial" w:hAnsi="Arial"/>
                <w:sz w:val="14"/>
                <w:szCs w:val="14"/>
                <w:color w:val="auto"/>
              </w:rPr>
              <w:t>85</w:t>
            </w:r>
          </w:p>
        </w:tc>
        <w:tc>
          <w:tcPr>
            <w:tcW w:w="1080" w:type="dxa"/>
            <w:vAlign w:val="bottom"/>
          </w:tcPr>
          <w:p>
            <w:pPr>
              <w:jc w:val="right"/>
              <w:ind w:right="769"/>
              <w:spacing w:after="0" w:line="153" w:lineRule="exact"/>
              <w:rPr>
                <w:sz w:val="20"/>
                <w:szCs w:val="20"/>
                <w:color w:val="auto"/>
              </w:rPr>
            </w:pPr>
            <w:r>
              <w:rPr>
                <w:rFonts w:ascii="Arial" w:cs="Arial" w:eastAsia="Arial" w:hAnsi="Arial"/>
                <w:sz w:val="14"/>
                <w:szCs w:val="14"/>
                <w:color w:val="auto"/>
              </w:rPr>
              <w:t>$</w:t>
            </w:r>
          </w:p>
        </w:tc>
        <w:tc>
          <w:tcPr>
            <w:tcW w:w="300" w:type="dxa"/>
            <w:vAlign w:val="bottom"/>
          </w:tcPr>
          <w:p>
            <w:pPr>
              <w:jc w:val="right"/>
              <w:ind w:right="69"/>
              <w:spacing w:after="0" w:line="153" w:lineRule="exact"/>
              <w:rPr>
                <w:sz w:val="20"/>
                <w:szCs w:val="20"/>
                <w:color w:val="auto"/>
              </w:rPr>
            </w:pPr>
            <w:r>
              <w:rPr>
                <w:rFonts w:ascii="Arial" w:cs="Arial" w:eastAsia="Arial" w:hAnsi="Arial"/>
                <w:sz w:val="14"/>
                <w:szCs w:val="14"/>
                <w:color w:val="auto"/>
                <w:w w:val="89"/>
              </w:rPr>
              <w:t>31</w:t>
            </w:r>
          </w:p>
        </w:tc>
        <w:tc>
          <w:tcPr>
            <w:tcW w:w="380" w:type="dxa"/>
            <w:vAlign w:val="bottom"/>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3" w:lineRule="exact"/>
              <w:rPr>
                <w:sz w:val="20"/>
                <w:szCs w:val="20"/>
                <w:color w:val="auto"/>
              </w:rPr>
            </w:pPr>
            <w:r>
              <w:rPr>
                <w:rFonts w:ascii="Arial" w:cs="Arial" w:eastAsia="Arial" w:hAnsi="Arial"/>
                <w:sz w:val="14"/>
                <w:szCs w:val="14"/>
                <w:color w:val="auto"/>
              </w:rPr>
              <w:t>1,194</w:t>
            </w:r>
          </w:p>
        </w:tc>
        <w:tc>
          <w:tcPr>
            <w:tcW w:w="0" w:type="dxa"/>
            <w:vAlign w:val="bottom"/>
          </w:tcPr>
          <w:p>
            <w:pPr>
              <w:spacing w:after="0"/>
              <w:rPr>
                <w:sz w:val="1"/>
                <w:szCs w:val="1"/>
                <w:color w:val="auto"/>
              </w:rPr>
            </w:pPr>
          </w:p>
        </w:tc>
      </w:tr>
      <w:tr>
        <w:trPr>
          <w:trHeight w:val="80"/>
        </w:trPr>
        <w:tc>
          <w:tcPr>
            <w:tcW w:w="5040" w:type="dxa"/>
            <w:vAlign w:val="bottom"/>
            <w:vMerge w:val="continue"/>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line="146" w:lineRule="exact"/>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040" w:type="dxa"/>
            <w:vAlign w:val="bottom"/>
          </w:tcPr>
          <w:p>
            <w:pPr>
              <w:ind w:left="160"/>
              <w:spacing w:after="0" w:line="159" w:lineRule="exact"/>
              <w:rPr>
                <w:sz w:val="20"/>
                <w:szCs w:val="20"/>
                <w:color w:val="auto"/>
              </w:rPr>
            </w:pPr>
            <w:r>
              <w:rPr>
                <w:rFonts w:ascii="Arial" w:cs="Arial" w:eastAsia="Arial" w:hAnsi="Arial"/>
                <w:sz w:val="14"/>
                <w:szCs w:val="14"/>
                <w:color w:val="auto"/>
              </w:rPr>
              <w:t>Interest rate instruments</w:t>
            </w:r>
          </w:p>
        </w:tc>
        <w:tc>
          <w:tcPr>
            <w:tcW w:w="4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53</w:t>
            </w:r>
          </w:p>
        </w:tc>
        <w:tc>
          <w:tcPr>
            <w:tcW w:w="3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69"/>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jc w:val="right"/>
              <w:ind w:right="69"/>
              <w:spacing w:after="0" w:line="159" w:lineRule="exact"/>
              <w:rPr>
                <w:sz w:val="20"/>
                <w:szCs w:val="20"/>
                <w:color w:val="auto"/>
              </w:rPr>
            </w:pPr>
            <w:r>
              <w:rPr>
                <w:rFonts w:ascii="Arial" w:cs="Arial" w:eastAsia="Arial" w:hAnsi="Arial"/>
                <w:sz w:val="14"/>
                <w:szCs w:val="14"/>
                <w:color w:val="auto"/>
                <w:w w:val="99"/>
              </w:rPr>
              <w:t>―</w:t>
            </w:r>
          </w:p>
        </w:tc>
        <w:tc>
          <w:tcPr>
            <w:tcW w:w="38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3"/>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11</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3"/>
        </w:trPr>
        <w:tc>
          <w:tcPr>
            <w:tcW w:w="5040" w:type="dxa"/>
            <w:vAlign w:val="bottom"/>
          </w:tcPr>
          <w:p>
            <w:pPr>
              <w:spacing w:after="0" w:line="153" w:lineRule="exact"/>
              <w:rPr>
                <w:sz w:val="20"/>
                <w:szCs w:val="20"/>
                <w:color w:val="auto"/>
              </w:rPr>
            </w:pPr>
            <w:r>
              <w:rPr>
                <w:rFonts w:ascii="Arial" w:cs="Arial" w:eastAsia="Arial" w:hAnsi="Arial"/>
                <w:sz w:val="14"/>
                <w:szCs w:val="14"/>
                <w:color w:val="auto"/>
              </w:rPr>
              <w:t>Total</w:t>
            </w:r>
          </w:p>
        </w:tc>
        <w:tc>
          <w:tcPr>
            <w:tcW w:w="4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3" w:lineRule="exact"/>
              <w:rPr>
                <w:sz w:val="20"/>
                <w:szCs w:val="20"/>
                <w:color w:val="auto"/>
              </w:rPr>
            </w:pPr>
            <w:r>
              <w:rPr>
                <w:rFonts w:ascii="Arial" w:cs="Arial" w:eastAsia="Arial" w:hAnsi="Arial"/>
                <w:sz w:val="14"/>
                <w:szCs w:val="14"/>
                <w:color w:val="auto"/>
              </w:rPr>
              <w:t>64</w:t>
            </w:r>
          </w:p>
        </w:tc>
        <w:tc>
          <w:tcPr>
            <w:tcW w:w="3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69"/>
              <w:spacing w:after="0" w:line="153" w:lineRule="exact"/>
              <w:rPr>
                <w:sz w:val="20"/>
                <w:szCs w:val="20"/>
                <w:color w:val="auto"/>
              </w:rPr>
            </w:pPr>
            <w:r>
              <w:rPr>
                <w:rFonts w:ascii="Arial" w:cs="Arial" w:eastAsia="Arial" w:hAnsi="Arial"/>
                <w:sz w:val="14"/>
                <w:szCs w:val="14"/>
                <w:color w:val="auto"/>
              </w:rPr>
              <w:t>$</w:t>
            </w:r>
          </w:p>
        </w:tc>
        <w:tc>
          <w:tcPr>
            <w:tcW w:w="300" w:type="dxa"/>
            <w:vAlign w:val="bottom"/>
          </w:tcPr>
          <w:p>
            <w:pPr>
              <w:jc w:val="right"/>
              <w:ind w:right="69"/>
              <w:spacing w:after="0" w:line="153" w:lineRule="exact"/>
              <w:rPr>
                <w:sz w:val="20"/>
                <w:szCs w:val="20"/>
                <w:color w:val="auto"/>
              </w:rPr>
            </w:pPr>
            <w:r>
              <w:rPr>
                <w:rFonts w:ascii="Arial" w:cs="Arial" w:eastAsia="Arial" w:hAnsi="Arial"/>
                <w:sz w:val="14"/>
                <w:szCs w:val="14"/>
                <w:color w:val="auto"/>
                <w:w w:val="99"/>
              </w:rPr>
              <w:t>―</w:t>
            </w:r>
          </w:p>
        </w:tc>
        <w:tc>
          <w:tcPr>
            <w:tcW w:w="380" w:type="dxa"/>
            <w:vAlign w:val="bottom"/>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3"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80"/>
        </w:trPr>
        <w:tc>
          <w:tcPr>
            <w:tcW w:w="504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3240" w:type="dxa"/>
            <w:vAlign w:val="bottom"/>
            <w:gridSpan w:val="4"/>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319"/>
        </w:trPr>
        <w:tc>
          <w:tcPr>
            <w:tcW w:w="50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489"/>
              <w:spacing w:after="0"/>
              <w:rPr>
                <w:sz w:val="20"/>
                <w:szCs w:val="20"/>
                <w:color w:val="auto"/>
              </w:rPr>
            </w:pPr>
            <w:r>
              <w:rPr>
                <w:rFonts w:ascii="Arial" w:cs="Arial" w:eastAsia="Arial" w:hAnsi="Arial"/>
                <w:sz w:val="14"/>
                <w:szCs w:val="14"/>
                <w:color w:val="auto"/>
              </w:rPr>
              <w:t>At fair value as of December 31, 2013</w:t>
            </w: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69"/>
              <w:spacing w:after="0" w:line="153" w:lineRule="exact"/>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69"/>
              <w:spacing w:after="0" w:line="153" w:lineRule="exact"/>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69"/>
              <w:spacing w:after="0" w:line="153" w:lineRule="exact"/>
              <w:rPr>
                <w:sz w:val="20"/>
                <w:szCs w:val="20"/>
                <w:color w:val="auto"/>
              </w:rPr>
            </w:pPr>
            <w:r>
              <w:rPr>
                <w:rFonts w:ascii="Arial" w:cs="Arial" w:eastAsia="Arial" w:hAnsi="Arial"/>
                <w:sz w:val="14"/>
                <w:szCs w:val="14"/>
                <w:color w:val="auto"/>
              </w:rPr>
              <w:t>Level 3</w:t>
            </w:r>
          </w:p>
        </w:tc>
        <w:tc>
          <w:tcPr>
            <w:tcW w:w="10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Netting(1)</w:t>
            </w:r>
          </w:p>
        </w:tc>
        <w:tc>
          <w:tcPr>
            <w:tcW w:w="3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49"/>
              <w:spacing w:after="0" w:line="153"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9"/>
        </w:trPr>
        <w:tc>
          <w:tcPr>
            <w:tcW w:w="5040" w:type="dxa"/>
            <w:vAlign w:val="bottom"/>
          </w:tcPr>
          <w:p>
            <w:pPr>
              <w:spacing w:after="0" w:line="139" w:lineRule="exact"/>
              <w:rPr>
                <w:sz w:val="20"/>
                <w:szCs w:val="20"/>
                <w:color w:val="auto"/>
              </w:rPr>
            </w:pPr>
            <w:r>
              <w:rPr>
                <w:rFonts w:ascii="Arial" w:cs="Arial" w:eastAsia="Arial" w:hAnsi="Arial"/>
                <w:sz w:val="14"/>
                <w:szCs w:val="14"/>
                <w:color w:val="auto"/>
              </w:rPr>
              <w:t>Assets:</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4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69"/>
              <w:spacing w:after="0"/>
              <w:rPr>
                <w:sz w:val="20"/>
                <w:szCs w:val="20"/>
                <w:color w:val="auto"/>
              </w:rPr>
            </w:pPr>
            <w:r>
              <w:rPr>
                <w:rFonts w:ascii="Arial" w:cs="Arial" w:eastAsia="Arial" w:hAnsi="Arial"/>
                <w:sz w:val="14"/>
                <w:szCs w:val="14"/>
                <w:color w:val="auto"/>
              </w:rPr>
              <w:t>614</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769"/>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69"/>
              <w:spacing w:after="0"/>
              <w:rPr>
                <w:sz w:val="20"/>
                <w:szCs w:val="20"/>
                <w:color w:val="auto"/>
              </w:rPr>
            </w:pPr>
            <w:r>
              <w:rPr>
                <w:rFonts w:ascii="Arial" w:cs="Arial" w:eastAsia="Arial" w:hAnsi="Arial"/>
                <w:sz w:val="14"/>
                <w:szCs w:val="14"/>
                <w:color w:val="auto"/>
                <w:w w:val="99"/>
              </w:rPr>
              <w:t>―</w:t>
            </w:r>
          </w:p>
        </w:tc>
        <w:tc>
          <w:tcPr>
            <w:tcW w:w="38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64"/>
        </w:trPr>
        <w:tc>
          <w:tcPr>
            <w:tcW w:w="5040" w:type="dxa"/>
            <w:vAlign w:val="bottom"/>
          </w:tcPr>
          <w:p>
            <w:pPr>
              <w:ind w:left="400"/>
              <w:spacing w:after="0" w:line="159"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040" w:type="dxa"/>
            <w:vAlign w:val="bottom"/>
          </w:tcPr>
          <w:p>
            <w:pPr>
              <w:ind w:left="400"/>
              <w:spacing w:after="0" w:line="139" w:lineRule="exact"/>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040" w:type="dxa"/>
            <w:vAlign w:val="bottom"/>
          </w:tcPr>
          <w:p>
            <w:pPr>
              <w:ind w:left="560"/>
              <w:spacing w:after="0" w:line="159" w:lineRule="exact"/>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040" w:type="dxa"/>
            <w:vAlign w:val="bottom"/>
          </w:tcPr>
          <w:p>
            <w:pPr>
              <w:ind w:left="760"/>
              <w:spacing w:after="0" w:line="159" w:lineRule="exact"/>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3"/>
                <w:szCs w:val="13"/>
                <w:color w:val="auto"/>
              </w:rPr>
            </w:pP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59</w:t>
            </w:r>
          </w:p>
        </w:tc>
        <w:tc>
          <w:tcPr>
            <w:tcW w:w="340" w:type="dxa"/>
            <w:vAlign w:val="bottom"/>
          </w:tcPr>
          <w:p>
            <w:pPr>
              <w:spacing w:after="0"/>
              <w:rPr>
                <w:sz w:val="13"/>
                <w:szCs w:val="13"/>
                <w:color w:val="auto"/>
              </w:rPr>
            </w:pP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58</w:t>
            </w:r>
          </w:p>
        </w:tc>
        <w:tc>
          <w:tcPr>
            <w:tcW w:w="340" w:type="dxa"/>
            <w:vAlign w:val="bottom"/>
          </w:tcPr>
          <w:p>
            <w:pPr>
              <w:spacing w:after="0"/>
              <w:rPr>
                <w:sz w:val="13"/>
                <w:szCs w:val="13"/>
                <w:color w:val="auto"/>
              </w:rPr>
            </w:pPr>
          </w:p>
        </w:tc>
        <w:tc>
          <w:tcPr>
            <w:tcW w:w="92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spacing w:after="0"/>
              <w:rPr>
                <w:sz w:val="13"/>
                <w:szCs w:val="13"/>
                <w:color w:val="auto"/>
              </w:rPr>
            </w:pPr>
          </w:p>
        </w:tc>
        <w:tc>
          <w:tcPr>
            <w:tcW w:w="300" w:type="dxa"/>
            <w:vAlign w:val="bottom"/>
          </w:tcPr>
          <w:p>
            <w:pPr>
              <w:jc w:val="right"/>
              <w:ind w:right="69"/>
              <w:spacing w:after="0" w:line="159" w:lineRule="exact"/>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59"/>
        </w:trPr>
        <w:tc>
          <w:tcPr>
            <w:tcW w:w="5040" w:type="dxa"/>
            <w:vAlign w:val="bottom"/>
          </w:tcPr>
          <w:p>
            <w:pPr>
              <w:ind w:left="560"/>
              <w:spacing w:after="0" w:line="159" w:lineRule="exact"/>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3"/>
                <w:szCs w:val="13"/>
                <w:color w:val="auto"/>
              </w:rPr>
            </w:pP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111</w:t>
            </w:r>
          </w:p>
        </w:tc>
        <w:tc>
          <w:tcPr>
            <w:tcW w:w="340" w:type="dxa"/>
            <w:vAlign w:val="bottom"/>
          </w:tcPr>
          <w:p>
            <w:pPr>
              <w:spacing w:after="0"/>
              <w:rPr>
                <w:sz w:val="13"/>
                <w:szCs w:val="13"/>
                <w:color w:val="auto"/>
              </w:rPr>
            </w:pPr>
          </w:p>
        </w:tc>
        <w:tc>
          <w:tcPr>
            <w:tcW w:w="92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spacing w:after="0"/>
              <w:rPr>
                <w:sz w:val="13"/>
                <w:szCs w:val="13"/>
                <w:color w:val="auto"/>
              </w:rPr>
            </w:pPr>
          </w:p>
        </w:tc>
        <w:tc>
          <w:tcPr>
            <w:tcW w:w="300" w:type="dxa"/>
            <w:vAlign w:val="bottom"/>
          </w:tcPr>
          <w:p>
            <w:pPr>
              <w:jc w:val="right"/>
              <w:ind w:right="69"/>
              <w:spacing w:after="0" w:line="159" w:lineRule="exact"/>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73"/>
        </w:trPr>
        <w:tc>
          <w:tcPr>
            <w:tcW w:w="504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153</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53"/>
        </w:trPr>
        <w:tc>
          <w:tcPr>
            <w:tcW w:w="5040" w:type="dxa"/>
            <w:vAlign w:val="bottom"/>
          </w:tcPr>
          <w:p>
            <w:pPr>
              <w:ind w:left="400"/>
              <w:spacing w:after="0" w:line="153" w:lineRule="exact"/>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59</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322</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53"/>
        </w:trPr>
        <w:tc>
          <w:tcPr>
            <w:tcW w:w="5040" w:type="dxa"/>
            <w:vAlign w:val="bottom"/>
          </w:tcPr>
          <w:p>
            <w:pPr>
              <w:ind w:left="160"/>
              <w:spacing w:after="0" w:line="153" w:lineRule="exact"/>
              <w:rPr>
                <w:sz w:val="20"/>
                <w:szCs w:val="20"/>
                <w:color w:val="auto"/>
              </w:rPr>
            </w:pPr>
            <w:r>
              <w:rPr>
                <w:rFonts w:ascii="Arial" w:cs="Arial" w:eastAsia="Arial" w:hAnsi="Arial"/>
                <w:sz w:val="14"/>
                <w:szCs w:val="14"/>
                <w:color w:val="auto"/>
              </w:rPr>
              <w:t>Total nuclear decommissioning trusts(2)</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673</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322</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139"/>
        </w:trPr>
        <w:tc>
          <w:tcPr>
            <w:tcW w:w="5040" w:type="dxa"/>
            <w:vAlign w:val="bottom"/>
          </w:tcPr>
          <w:p>
            <w:pPr>
              <w:ind w:left="160"/>
              <w:spacing w:after="0" w:line="139" w:lineRule="exact"/>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Pr>
          <w:p>
            <w:pPr>
              <w:spacing w:after="0"/>
              <w:rPr>
                <w:sz w:val="12"/>
                <w:szCs w:val="12"/>
                <w:color w:val="auto"/>
              </w:rPr>
            </w:pPr>
          </w:p>
        </w:tc>
        <w:tc>
          <w:tcPr>
            <w:tcW w:w="900" w:type="dxa"/>
            <w:vAlign w:val="bottom"/>
          </w:tcPr>
          <w:p>
            <w:pPr>
              <w:jc w:val="right"/>
              <w:ind w:right="69"/>
              <w:spacing w:after="0" w:line="13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00" w:type="dxa"/>
            <w:vAlign w:val="bottom"/>
          </w:tcPr>
          <w:p>
            <w:pPr>
              <w:jc w:val="right"/>
              <w:ind w:right="69"/>
              <w:spacing w:after="0" w:line="13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20" w:type="dxa"/>
            <w:vAlign w:val="bottom"/>
          </w:tcPr>
          <w:p>
            <w:pPr>
              <w:jc w:val="right"/>
              <w:ind w:right="69"/>
              <w:spacing w:after="0" w:line="139" w:lineRule="exact"/>
              <w:rPr>
                <w:sz w:val="20"/>
                <w:szCs w:val="20"/>
                <w:color w:val="auto"/>
              </w:rPr>
            </w:pPr>
            <w:r>
              <w:rPr>
                <w:rFonts w:ascii="Arial" w:cs="Arial" w:eastAsia="Arial" w:hAnsi="Arial"/>
                <w:sz w:val="14"/>
                <w:szCs w:val="14"/>
                <w:color w:val="auto"/>
              </w:rPr>
              <w:t>―</w:t>
            </w:r>
          </w:p>
        </w:tc>
        <w:tc>
          <w:tcPr>
            <w:tcW w:w="1080" w:type="dxa"/>
            <w:vAlign w:val="bottom"/>
          </w:tcPr>
          <w:p>
            <w:pPr>
              <w:spacing w:after="0"/>
              <w:rPr>
                <w:sz w:val="12"/>
                <w:szCs w:val="12"/>
                <w:color w:val="auto"/>
              </w:rPr>
            </w:pPr>
          </w:p>
        </w:tc>
        <w:tc>
          <w:tcPr>
            <w:tcW w:w="300" w:type="dxa"/>
            <w:vAlign w:val="bottom"/>
          </w:tcPr>
          <w:p>
            <w:pPr>
              <w:jc w:val="right"/>
              <w:ind w:right="69"/>
              <w:spacing w:after="0" w:line="139" w:lineRule="exact"/>
              <w:rPr>
                <w:sz w:val="20"/>
                <w:szCs w:val="20"/>
                <w:color w:val="auto"/>
              </w:rPr>
            </w:pPr>
            <w:r>
              <w:rPr>
                <w:rFonts w:ascii="Arial" w:cs="Arial" w:eastAsia="Arial" w:hAnsi="Arial"/>
                <w:sz w:val="14"/>
                <w:szCs w:val="14"/>
                <w:color w:val="auto"/>
              </w:rPr>
              <w:t>1</w:t>
            </w:r>
          </w:p>
        </w:tc>
        <w:tc>
          <w:tcPr>
            <w:tcW w:w="38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3"/>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99</w:t>
            </w: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89"/>
              </w:rPr>
              <w:t>29</w:t>
            </w: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53"/>
        </w:trPr>
        <w:tc>
          <w:tcPr>
            <w:tcW w:w="504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3" w:lineRule="exact"/>
              <w:rPr>
                <w:sz w:val="20"/>
                <w:szCs w:val="20"/>
                <w:color w:val="auto"/>
              </w:rPr>
            </w:pPr>
            <w:r>
              <w:rPr>
                <w:rFonts w:ascii="Arial" w:cs="Arial" w:eastAsia="Arial" w:hAnsi="Arial"/>
                <w:sz w:val="14"/>
                <w:szCs w:val="14"/>
                <w:color w:val="auto"/>
              </w:rPr>
              <w:t>674</w:t>
            </w:r>
          </w:p>
        </w:tc>
        <w:tc>
          <w:tcPr>
            <w:tcW w:w="3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3" w:lineRule="exact"/>
              <w:rPr>
                <w:sz w:val="20"/>
                <w:szCs w:val="20"/>
                <w:color w:val="auto"/>
              </w:rPr>
            </w:pPr>
            <w:r>
              <w:rPr>
                <w:rFonts w:ascii="Arial" w:cs="Arial" w:eastAsia="Arial" w:hAnsi="Arial"/>
                <w:sz w:val="14"/>
                <w:szCs w:val="14"/>
                <w:color w:val="auto"/>
              </w:rPr>
              <w:t>323</w:t>
            </w:r>
          </w:p>
        </w:tc>
        <w:tc>
          <w:tcPr>
            <w:tcW w:w="3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line="153" w:lineRule="exact"/>
              <w:rPr>
                <w:sz w:val="20"/>
                <w:szCs w:val="20"/>
                <w:color w:val="auto"/>
              </w:rPr>
            </w:pPr>
            <w:r>
              <w:rPr>
                <w:rFonts w:ascii="Arial" w:cs="Arial" w:eastAsia="Arial" w:hAnsi="Arial"/>
                <w:sz w:val="14"/>
                <w:szCs w:val="14"/>
                <w:color w:val="auto"/>
              </w:rPr>
              <w:t>99</w:t>
            </w:r>
          </w:p>
        </w:tc>
        <w:tc>
          <w:tcPr>
            <w:tcW w:w="1080" w:type="dxa"/>
            <w:vAlign w:val="bottom"/>
          </w:tcPr>
          <w:p>
            <w:pPr>
              <w:jc w:val="right"/>
              <w:ind w:right="769"/>
              <w:spacing w:after="0" w:line="153" w:lineRule="exact"/>
              <w:rPr>
                <w:sz w:val="20"/>
                <w:szCs w:val="20"/>
                <w:color w:val="auto"/>
              </w:rPr>
            </w:pPr>
            <w:r>
              <w:rPr>
                <w:rFonts w:ascii="Arial" w:cs="Arial" w:eastAsia="Arial" w:hAnsi="Arial"/>
                <w:sz w:val="14"/>
                <w:szCs w:val="14"/>
                <w:color w:val="auto"/>
              </w:rPr>
              <w:t>$</w:t>
            </w:r>
          </w:p>
        </w:tc>
        <w:tc>
          <w:tcPr>
            <w:tcW w:w="300" w:type="dxa"/>
            <w:vAlign w:val="bottom"/>
          </w:tcPr>
          <w:p>
            <w:pPr>
              <w:jc w:val="right"/>
              <w:ind w:right="69"/>
              <w:spacing w:after="0" w:line="153" w:lineRule="exact"/>
              <w:rPr>
                <w:sz w:val="20"/>
                <w:szCs w:val="20"/>
                <w:color w:val="auto"/>
              </w:rPr>
            </w:pPr>
            <w:r>
              <w:rPr>
                <w:rFonts w:ascii="Arial" w:cs="Arial" w:eastAsia="Arial" w:hAnsi="Arial"/>
                <w:sz w:val="14"/>
                <w:szCs w:val="14"/>
                <w:color w:val="auto"/>
                <w:w w:val="89"/>
              </w:rPr>
              <w:t>30</w:t>
            </w:r>
          </w:p>
        </w:tc>
        <w:tc>
          <w:tcPr>
            <w:tcW w:w="380" w:type="dxa"/>
            <w:vAlign w:val="bottom"/>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3" w:lineRule="exact"/>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80"/>
        </w:trPr>
        <w:tc>
          <w:tcPr>
            <w:tcW w:w="5040" w:type="dxa"/>
            <w:vAlign w:val="bottom"/>
            <w:vMerge w:val="continue"/>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line="146" w:lineRule="exact"/>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040" w:type="dxa"/>
            <w:vAlign w:val="bottom"/>
          </w:tcPr>
          <w:p>
            <w:pPr>
              <w:ind w:left="160"/>
              <w:spacing w:after="0" w:line="159" w:lineRule="exact"/>
              <w:rPr>
                <w:sz w:val="20"/>
                <w:szCs w:val="20"/>
                <w:color w:val="auto"/>
              </w:rPr>
            </w:pPr>
            <w:r>
              <w:rPr>
                <w:rFonts w:ascii="Arial" w:cs="Arial" w:eastAsia="Arial" w:hAnsi="Arial"/>
                <w:sz w:val="14"/>
                <w:szCs w:val="14"/>
                <w:color w:val="auto"/>
              </w:rPr>
              <w:t>Interest rate instruments</w:t>
            </w:r>
          </w:p>
        </w:tc>
        <w:tc>
          <w:tcPr>
            <w:tcW w:w="4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9" w:lineRule="exact"/>
              <w:rPr>
                <w:sz w:val="20"/>
                <w:szCs w:val="20"/>
                <w:color w:val="auto"/>
              </w:rPr>
            </w:pPr>
            <w:r>
              <w:rPr>
                <w:rFonts w:ascii="Arial" w:cs="Arial" w:eastAsia="Arial" w:hAnsi="Arial"/>
                <w:sz w:val="14"/>
                <w:szCs w:val="14"/>
                <w:color w:val="auto"/>
              </w:rPr>
              <w:t>55</w:t>
            </w:r>
          </w:p>
        </w:tc>
        <w:tc>
          <w:tcPr>
            <w:tcW w:w="3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69"/>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jc w:val="right"/>
              <w:ind w:right="69"/>
              <w:spacing w:after="0" w:line="159" w:lineRule="exact"/>
              <w:rPr>
                <w:sz w:val="20"/>
                <w:szCs w:val="20"/>
                <w:color w:val="auto"/>
              </w:rPr>
            </w:pPr>
            <w:r>
              <w:rPr>
                <w:rFonts w:ascii="Arial" w:cs="Arial" w:eastAsia="Arial" w:hAnsi="Arial"/>
                <w:sz w:val="14"/>
                <w:szCs w:val="14"/>
                <w:color w:val="auto"/>
                <w:w w:val="99"/>
              </w:rPr>
              <w:t>―</w:t>
            </w:r>
          </w:p>
        </w:tc>
        <w:tc>
          <w:tcPr>
            <w:tcW w:w="38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73"/>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3"/>
        </w:trPr>
        <w:tc>
          <w:tcPr>
            <w:tcW w:w="5040" w:type="dxa"/>
            <w:vAlign w:val="bottom"/>
          </w:tcPr>
          <w:p>
            <w:pPr>
              <w:spacing w:after="0" w:line="153" w:lineRule="exact"/>
              <w:rPr>
                <w:sz w:val="20"/>
                <w:szCs w:val="20"/>
                <w:color w:val="auto"/>
              </w:rPr>
            </w:pPr>
            <w:r>
              <w:rPr>
                <w:rFonts w:ascii="Arial" w:cs="Arial" w:eastAsia="Arial" w:hAnsi="Arial"/>
                <w:sz w:val="14"/>
                <w:szCs w:val="14"/>
                <w:color w:val="auto"/>
              </w:rPr>
              <w:t>Total</w:t>
            </w:r>
          </w:p>
        </w:tc>
        <w:tc>
          <w:tcPr>
            <w:tcW w:w="4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line="153" w:lineRule="exact"/>
              <w:rPr>
                <w:sz w:val="20"/>
                <w:szCs w:val="20"/>
                <w:color w:val="auto"/>
              </w:rPr>
            </w:pPr>
            <w:r>
              <w:rPr>
                <w:rFonts w:ascii="Arial" w:cs="Arial" w:eastAsia="Arial" w:hAnsi="Arial"/>
                <w:sz w:val="14"/>
                <w:szCs w:val="14"/>
                <w:color w:val="auto"/>
              </w:rPr>
              <w:t>67</w:t>
            </w:r>
          </w:p>
        </w:tc>
        <w:tc>
          <w:tcPr>
            <w:tcW w:w="3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69"/>
              <w:spacing w:after="0" w:line="153" w:lineRule="exact"/>
              <w:rPr>
                <w:sz w:val="20"/>
                <w:szCs w:val="20"/>
                <w:color w:val="auto"/>
              </w:rPr>
            </w:pPr>
            <w:r>
              <w:rPr>
                <w:rFonts w:ascii="Arial" w:cs="Arial" w:eastAsia="Arial" w:hAnsi="Arial"/>
                <w:sz w:val="14"/>
                <w:szCs w:val="14"/>
                <w:color w:val="auto"/>
              </w:rPr>
              <w:t>$</w:t>
            </w:r>
          </w:p>
        </w:tc>
        <w:tc>
          <w:tcPr>
            <w:tcW w:w="300" w:type="dxa"/>
            <w:vAlign w:val="bottom"/>
          </w:tcPr>
          <w:p>
            <w:pPr>
              <w:jc w:val="right"/>
              <w:ind w:right="69"/>
              <w:spacing w:after="0" w:line="153" w:lineRule="exact"/>
              <w:rPr>
                <w:sz w:val="20"/>
                <w:szCs w:val="20"/>
                <w:color w:val="auto"/>
              </w:rPr>
            </w:pPr>
            <w:r>
              <w:rPr>
                <w:rFonts w:ascii="Arial" w:cs="Arial" w:eastAsia="Arial" w:hAnsi="Arial"/>
                <w:sz w:val="14"/>
                <w:szCs w:val="14"/>
                <w:color w:val="auto"/>
                <w:w w:val="99"/>
              </w:rPr>
              <w:t>―</w:t>
            </w:r>
          </w:p>
        </w:tc>
        <w:tc>
          <w:tcPr>
            <w:tcW w:w="380" w:type="dxa"/>
            <w:vAlign w:val="bottom"/>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3"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80"/>
        </w:trPr>
        <w:tc>
          <w:tcPr>
            <w:tcW w:w="504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500" w:hanging="494"/>
        <w:spacing w:after="0"/>
        <w:tabs>
          <w:tab w:leader="none" w:pos="50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the effect of the contractual ability to settle contracts under master netting agreements and with cash collateral, as well as cash collateral not offset.</w:t>
      </w:r>
    </w:p>
    <w:p>
      <w:pPr>
        <w:spacing w:after="0" w:line="3" w:lineRule="exact"/>
        <w:rPr>
          <w:rFonts w:ascii="Arial" w:cs="Arial" w:eastAsia="Arial" w:hAnsi="Arial"/>
          <w:sz w:val="14"/>
          <w:szCs w:val="14"/>
          <w:i w:val="1"/>
          <w:iCs w:val="1"/>
          <w:color w:val="auto"/>
        </w:rPr>
      </w:pPr>
    </w:p>
    <w:p>
      <w:pPr>
        <w:ind w:left="500" w:hanging="494"/>
        <w:spacing w:after="0"/>
        <w:tabs>
          <w:tab w:leader="none" w:pos="50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balances and cash equivalents.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5"/>
            <w:vMerge w:val="restart"/>
          </w:tcPr>
          <w:p>
            <w:pPr>
              <w:jc w:val="right"/>
              <w:spacing w:after="0"/>
              <w:rPr>
                <w:sz w:val="20"/>
                <w:szCs w:val="20"/>
                <w:color w:val="auto"/>
              </w:rPr>
            </w:pPr>
            <w:r>
              <w:rPr>
                <w:rFonts w:ascii="Arial" w:cs="Arial" w:eastAsia="Arial" w:hAnsi="Arial"/>
                <w:sz w:val="14"/>
                <w:szCs w:val="14"/>
                <w:color w:val="auto"/>
              </w:rPr>
              <w:t>At fair value as of June 30, 2014</w:t>
            </w: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484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gridSpan w:val="5"/>
            <w:vMerge w:val="continue"/>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8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120"/>
              <w:spacing w:after="0" w:line="153" w:lineRule="exact"/>
              <w:rPr>
                <w:sz w:val="20"/>
                <w:szCs w:val="20"/>
                <w:color w:val="auto"/>
              </w:rPr>
            </w:pPr>
            <w:r>
              <w:rPr>
                <w:rFonts w:ascii="Arial" w:cs="Arial" w:eastAsia="Arial" w:hAnsi="Arial"/>
                <w:sz w:val="14"/>
                <w:szCs w:val="14"/>
                <w:color w:val="auto"/>
              </w:rPr>
              <w:t>Level 3</w:t>
            </w: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49"/>
              <w:spacing w:after="0" w:line="153" w:lineRule="exact"/>
              <w:rPr>
                <w:sz w:val="20"/>
                <w:szCs w:val="20"/>
                <w:color w:val="auto"/>
              </w:rPr>
            </w:pPr>
            <w:r>
              <w:rPr>
                <w:rFonts w:ascii="Arial" w:cs="Arial" w:eastAsia="Arial" w:hAnsi="Arial"/>
                <w:sz w:val="14"/>
                <w:szCs w:val="14"/>
                <w:color w:val="auto"/>
              </w:rPr>
              <w:t>Netting(1)</w:t>
            </w: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09"/>
              <w:spacing w:after="0" w:line="153"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9"/>
        </w:trPr>
        <w:tc>
          <w:tcPr>
            <w:tcW w:w="4840" w:type="dxa"/>
            <w:vAlign w:val="bottom"/>
          </w:tcPr>
          <w:p>
            <w:pPr>
              <w:spacing w:after="0" w:line="139" w:lineRule="exact"/>
              <w:rPr>
                <w:sz w:val="20"/>
                <w:szCs w:val="20"/>
                <w:color w:val="auto"/>
              </w:rPr>
            </w:pPr>
            <w:r>
              <w:rPr>
                <w:rFonts w:ascii="Arial" w:cs="Arial" w:eastAsia="Arial" w:hAnsi="Arial"/>
                <w:sz w:val="14"/>
                <w:szCs w:val="14"/>
                <w:color w:val="auto"/>
              </w:rPr>
              <w:t>Assets:</w:t>
            </w: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840" w:type="dxa"/>
            <w:vAlign w:val="bottom"/>
          </w:tcPr>
          <w:p>
            <w:pPr>
              <w:ind w:left="160"/>
              <w:spacing w:after="0" w:line="159" w:lineRule="exact"/>
              <w:rPr>
                <w:sz w:val="20"/>
                <w:szCs w:val="20"/>
                <w:color w:val="auto"/>
              </w:rPr>
            </w:pPr>
            <w:r>
              <w:rPr>
                <w:rFonts w:ascii="Arial" w:cs="Arial" w:eastAsia="Arial" w:hAnsi="Arial"/>
                <w:sz w:val="14"/>
                <w:szCs w:val="14"/>
                <w:color w:val="auto"/>
              </w:rPr>
              <w:t>Commodity contracts not subject to rate recovery</w:t>
            </w:r>
          </w:p>
        </w:tc>
        <w:tc>
          <w:tcPr>
            <w:tcW w:w="1060" w:type="dxa"/>
            <w:vAlign w:val="bottom"/>
          </w:tcPr>
          <w:p>
            <w:pPr>
              <w:jc w:val="right"/>
              <w:ind w:right="649"/>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ind w:left="20"/>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649"/>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9" w:lineRule="exact"/>
              <w:rPr>
                <w:sz w:val="20"/>
                <w:szCs w:val="20"/>
                <w:color w:val="auto"/>
              </w:rPr>
            </w:pPr>
            <w:r>
              <w:rPr>
                <w:rFonts w:ascii="Arial" w:cs="Arial" w:eastAsia="Arial" w:hAnsi="Arial"/>
                <w:sz w:val="14"/>
                <w:szCs w:val="14"/>
                <w:color w:val="auto"/>
                <w:w w:val="99"/>
              </w:rPr>
              <w:t>―</w:t>
            </w:r>
          </w:p>
        </w:tc>
        <w:tc>
          <w:tcPr>
            <w:tcW w:w="3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line="159" w:lineRule="exact"/>
              <w:rPr>
                <w:sz w:val="20"/>
                <w:szCs w:val="20"/>
                <w:color w:val="auto"/>
              </w:rPr>
            </w:pPr>
            <w:r>
              <w:rPr>
                <w:rFonts w:ascii="Arial" w:cs="Arial" w:eastAsia="Arial" w:hAnsi="Arial"/>
                <w:sz w:val="14"/>
                <w:szCs w:val="14"/>
                <w:color w:val="auto"/>
              </w:rPr>
              <w:t>2</w:t>
            </w:r>
          </w:p>
        </w:tc>
        <w:tc>
          <w:tcPr>
            <w:tcW w:w="4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3"/>
        </w:trPr>
        <w:tc>
          <w:tcPr>
            <w:tcW w:w="48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0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w:t>
            </w: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3"/>
        </w:trPr>
        <w:tc>
          <w:tcPr>
            <w:tcW w:w="484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1060" w:type="dxa"/>
            <w:vAlign w:val="bottom"/>
          </w:tcPr>
          <w:p>
            <w:pPr>
              <w:jc w:val="right"/>
              <w:ind w:right="649"/>
              <w:spacing w:after="0" w:line="153" w:lineRule="exact"/>
              <w:rPr>
                <w:sz w:val="20"/>
                <w:szCs w:val="20"/>
                <w:color w:val="auto"/>
              </w:rPr>
            </w:pPr>
            <w:r>
              <w:rPr>
                <w:rFonts w:ascii="Arial" w:cs="Arial" w:eastAsia="Arial" w:hAnsi="Arial"/>
                <w:sz w:val="14"/>
                <w:szCs w:val="14"/>
                <w:color w:val="auto"/>
              </w:rPr>
              <w:t>$</w:t>
            </w:r>
          </w:p>
        </w:tc>
        <w:tc>
          <w:tcPr>
            <w:tcW w:w="320" w:type="dxa"/>
            <w:vAlign w:val="bottom"/>
          </w:tcPr>
          <w:p>
            <w:pPr>
              <w:ind w:left="20"/>
              <w:spacing w:after="0" w:line="153"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649"/>
              <w:spacing w:after="0" w:line="153"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3" w:lineRule="exact"/>
              <w:rPr>
                <w:sz w:val="20"/>
                <w:szCs w:val="20"/>
                <w:color w:val="auto"/>
              </w:rPr>
            </w:pPr>
            <w:r>
              <w:rPr>
                <w:rFonts w:ascii="Arial" w:cs="Arial" w:eastAsia="Arial" w:hAnsi="Arial"/>
                <w:sz w:val="14"/>
                <w:szCs w:val="14"/>
                <w:color w:val="auto"/>
              </w:rPr>
              <w:t>1</w:t>
            </w:r>
          </w:p>
        </w:tc>
        <w:tc>
          <w:tcPr>
            <w:tcW w:w="3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20" w:type="dxa"/>
            <w:vAlign w:val="bottom"/>
          </w:tcPr>
          <w:p>
            <w:pPr>
              <w:ind w:left="640"/>
              <w:spacing w:after="0" w:line="153"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line="153" w:lineRule="exact"/>
              <w:rPr>
                <w:sz w:val="20"/>
                <w:szCs w:val="20"/>
                <w:color w:val="auto"/>
              </w:rPr>
            </w:pPr>
            <w:r>
              <w:rPr>
                <w:rFonts w:ascii="Arial" w:cs="Arial" w:eastAsia="Arial" w:hAnsi="Arial"/>
                <w:sz w:val="14"/>
                <w:szCs w:val="14"/>
                <w:color w:val="auto"/>
              </w:rPr>
              <w:t>4</w:t>
            </w:r>
          </w:p>
        </w:tc>
        <w:tc>
          <w:tcPr>
            <w:tcW w:w="42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3"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80"/>
        </w:trPr>
        <w:tc>
          <w:tcPr>
            <w:tcW w:w="4840" w:type="dxa"/>
            <w:vAlign w:val="bottom"/>
            <w:vMerge w:val="continue"/>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96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0" w:gutter="0" w:footer="0" w:header="0"/>
          <w:type w:val="continuous"/>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20"/>
                <w:szCs w:val="20"/>
                <w:color w:val="auto"/>
              </w:rPr>
            </w:pPr>
            <w:r>
              <w:rPr>
                <w:rFonts w:ascii="Arial" w:cs="Arial" w:eastAsia="Arial" w:hAnsi="Arial"/>
                <w:sz w:val="14"/>
                <w:szCs w:val="14"/>
                <w:color w:val="auto"/>
              </w:rPr>
              <w:t>Liabilities:</w:t>
            </w:r>
          </w:p>
        </w:tc>
        <w:tc>
          <w:tcPr>
            <w:tcW w:w="1060" w:type="dxa"/>
            <w:vAlign w:val="bottom"/>
            <w:vMerge w:val="restart"/>
          </w:tcPr>
          <w:p>
            <w:pPr>
              <w:jc w:val="right"/>
              <w:ind w:right="649"/>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9"/>
              <w:spacing w:after="0"/>
              <w:rPr>
                <w:sz w:val="20"/>
                <w:szCs w:val="20"/>
                <w:color w:val="auto"/>
              </w:rPr>
            </w:pPr>
            <w:r>
              <w:rPr>
                <w:rFonts w:ascii="Arial" w:cs="Arial" w:eastAsia="Arial" w:hAnsi="Arial"/>
                <w:sz w:val="14"/>
                <w:szCs w:val="14"/>
                <w:color w:val="auto"/>
                <w:w w:val="99"/>
              </w:rPr>
              <w:t>―</w:t>
            </w:r>
          </w:p>
        </w:tc>
        <w:tc>
          <w:tcPr>
            <w:tcW w:w="940" w:type="dxa"/>
            <w:vAlign w:val="bottom"/>
            <w:vMerge w:val="restart"/>
          </w:tcPr>
          <w:p>
            <w:pPr>
              <w:jc w:val="right"/>
              <w:ind w:right="649"/>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9"/>
              <w:spacing w:after="0"/>
              <w:rPr>
                <w:sz w:val="20"/>
                <w:szCs w:val="20"/>
                <w:color w:val="auto"/>
              </w:rPr>
            </w:pPr>
            <w:r>
              <w:rPr>
                <w:rFonts w:ascii="Arial" w:cs="Arial" w:eastAsia="Arial" w:hAnsi="Arial"/>
                <w:sz w:val="14"/>
                <w:szCs w:val="14"/>
                <w:color w:val="auto"/>
              </w:rPr>
              <w:t>1</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129"/>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4"/>
        </w:trPr>
        <w:tc>
          <w:tcPr>
            <w:tcW w:w="4840" w:type="dxa"/>
            <w:vAlign w:val="bottom"/>
          </w:tcPr>
          <w:p>
            <w:pPr>
              <w:ind w:left="160"/>
              <w:spacing w:after="0" w:line="159" w:lineRule="exact"/>
              <w:rPr>
                <w:sz w:val="20"/>
                <w:szCs w:val="20"/>
                <w:color w:val="auto"/>
              </w:rPr>
            </w:pPr>
            <w:r>
              <w:rPr>
                <w:rFonts w:ascii="Arial" w:cs="Arial" w:eastAsia="Arial" w:hAnsi="Arial"/>
                <w:sz w:val="14"/>
                <w:szCs w:val="14"/>
                <w:color w:val="auto"/>
              </w:rPr>
              <w:t>Commodity contracts subject to rate recovery</w:t>
            </w:r>
          </w:p>
        </w:tc>
        <w:tc>
          <w:tcPr>
            <w:tcW w:w="106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40" w:type="dxa"/>
            <w:vAlign w:val="bottom"/>
          </w:tcPr>
          <w:p>
            <w:pPr>
              <w:spacing w:after="0" w:line="153" w:lineRule="exact"/>
              <w:rPr>
                <w:sz w:val="20"/>
                <w:szCs w:val="20"/>
                <w:color w:val="auto"/>
              </w:rPr>
            </w:pPr>
            <w:r>
              <w:rPr>
                <w:rFonts w:ascii="Arial" w:cs="Arial" w:eastAsia="Arial" w:hAnsi="Arial"/>
                <w:sz w:val="14"/>
                <w:szCs w:val="14"/>
                <w:color w:val="auto"/>
              </w:rPr>
              <w:t>Total</w:t>
            </w:r>
          </w:p>
        </w:tc>
        <w:tc>
          <w:tcPr>
            <w:tcW w:w="1060" w:type="dxa"/>
            <w:vAlign w:val="bottom"/>
          </w:tcPr>
          <w:p>
            <w:pPr>
              <w:jc w:val="right"/>
              <w:ind w:right="649"/>
              <w:spacing w:after="0" w:line="153"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3" w:lineRule="exact"/>
              <w:rPr>
                <w:sz w:val="20"/>
                <w:szCs w:val="20"/>
                <w:color w:val="auto"/>
              </w:rPr>
            </w:pPr>
            <w:r>
              <w:rPr>
                <w:rFonts w:ascii="Arial" w:cs="Arial" w:eastAsia="Arial" w:hAnsi="Arial"/>
                <w:sz w:val="14"/>
                <w:szCs w:val="14"/>
                <w:color w:val="auto"/>
                <w:w w:val="99"/>
              </w:rPr>
              <w:t>―</w:t>
            </w:r>
          </w:p>
        </w:tc>
        <w:tc>
          <w:tcPr>
            <w:tcW w:w="940" w:type="dxa"/>
            <w:vAlign w:val="bottom"/>
          </w:tcPr>
          <w:p>
            <w:pPr>
              <w:jc w:val="right"/>
              <w:ind w:right="649"/>
              <w:spacing w:after="0" w:line="153"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3" w:lineRule="exact"/>
              <w:rPr>
                <w:sz w:val="20"/>
                <w:szCs w:val="20"/>
                <w:color w:val="auto"/>
              </w:rPr>
            </w:pPr>
            <w:r>
              <w:rPr>
                <w:rFonts w:ascii="Arial" w:cs="Arial" w:eastAsia="Arial" w:hAnsi="Arial"/>
                <w:sz w:val="14"/>
                <w:szCs w:val="14"/>
                <w:color w:val="auto"/>
              </w:rPr>
              <w:t>1</w:t>
            </w:r>
          </w:p>
        </w:tc>
        <w:tc>
          <w:tcPr>
            <w:tcW w:w="3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20" w:type="dxa"/>
            <w:vAlign w:val="bottom"/>
          </w:tcPr>
          <w:p>
            <w:pPr>
              <w:ind w:left="640"/>
              <w:spacing w:after="0" w:line="153"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3"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4840" w:type="dxa"/>
            <w:vAlign w:val="bottom"/>
            <w:shd w:val="clear" w:color="auto" w:fill="000000"/>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3900" w:type="dxa"/>
            <w:vAlign w:val="bottom"/>
            <w:gridSpan w:val="6"/>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319"/>
        </w:trPr>
        <w:tc>
          <w:tcPr>
            <w:tcW w:w="48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6"/>
          </w:tcPr>
          <w:p>
            <w:pPr>
              <w:jc w:val="right"/>
              <w:ind w:right="749"/>
              <w:spacing w:after="0"/>
              <w:rPr>
                <w:sz w:val="20"/>
                <w:szCs w:val="20"/>
                <w:color w:val="auto"/>
              </w:rPr>
            </w:pPr>
            <w:r>
              <w:rPr>
                <w:rFonts w:ascii="Arial" w:cs="Arial" w:eastAsia="Arial" w:hAnsi="Arial"/>
                <w:sz w:val="14"/>
                <w:szCs w:val="14"/>
                <w:color w:val="auto"/>
              </w:rPr>
              <w:t>At fair value as of December 31, 2013</w:t>
            </w: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8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120"/>
              <w:spacing w:after="0" w:line="153" w:lineRule="exact"/>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49"/>
              <w:spacing w:after="0" w:line="153" w:lineRule="exact"/>
              <w:rPr>
                <w:sz w:val="20"/>
                <w:szCs w:val="20"/>
                <w:color w:val="auto"/>
              </w:rPr>
            </w:pPr>
            <w:r>
              <w:rPr>
                <w:rFonts w:ascii="Arial" w:cs="Arial" w:eastAsia="Arial" w:hAnsi="Arial"/>
                <w:sz w:val="14"/>
                <w:szCs w:val="14"/>
                <w:color w:val="auto"/>
              </w:rPr>
              <w:t>Netting(1)</w:t>
            </w: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09"/>
              <w:spacing w:after="0" w:line="153"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9"/>
        </w:trPr>
        <w:tc>
          <w:tcPr>
            <w:tcW w:w="4840" w:type="dxa"/>
            <w:vAlign w:val="bottom"/>
          </w:tcPr>
          <w:p>
            <w:pPr>
              <w:spacing w:after="0" w:line="139" w:lineRule="exact"/>
              <w:rPr>
                <w:sz w:val="20"/>
                <w:szCs w:val="20"/>
                <w:color w:val="auto"/>
              </w:rPr>
            </w:pPr>
            <w:r>
              <w:rPr>
                <w:rFonts w:ascii="Arial" w:cs="Arial" w:eastAsia="Arial" w:hAnsi="Arial"/>
                <w:sz w:val="14"/>
                <w:szCs w:val="14"/>
                <w:color w:val="auto"/>
              </w:rPr>
              <w:t>Assets:</w:t>
            </w: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840" w:type="dxa"/>
            <w:vAlign w:val="bottom"/>
          </w:tcPr>
          <w:p>
            <w:pPr>
              <w:ind w:left="160"/>
              <w:spacing w:after="0" w:line="159" w:lineRule="exact"/>
              <w:rPr>
                <w:sz w:val="20"/>
                <w:szCs w:val="20"/>
                <w:color w:val="auto"/>
              </w:rPr>
            </w:pPr>
            <w:r>
              <w:rPr>
                <w:rFonts w:ascii="Arial" w:cs="Arial" w:eastAsia="Arial" w:hAnsi="Arial"/>
                <w:sz w:val="14"/>
                <w:szCs w:val="14"/>
                <w:color w:val="auto"/>
              </w:rPr>
              <w:t>Commodity contracts not subject to rate recovery</w:t>
            </w:r>
          </w:p>
        </w:tc>
        <w:tc>
          <w:tcPr>
            <w:tcW w:w="1060" w:type="dxa"/>
            <w:vAlign w:val="bottom"/>
          </w:tcPr>
          <w:p>
            <w:pPr>
              <w:jc w:val="right"/>
              <w:ind w:right="649"/>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9" w:lineRule="exact"/>
              <w:rPr>
                <w:sz w:val="20"/>
                <w:szCs w:val="20"/>
                <w:color w:val="auto"/>
              </w:rPr>
            </w:pPr>
            <w:r>
              <w:rPr>
                <w:rFonts w:ascii="Arial" w:cs="Arial" w:eastAsia="Arial" w:hAnsi="Arial"/>
                <w:sz w:val="14"/>
                <w:szCs w:val="14"/>
                <w:color w:val="auto"/>
                <w:w w:val="99"/>
              </w:rPr>
              <w:t>―</w:t>
            </w:r>
          </w:p>
        </w:tc>
        <w:tc>
          <w:tcPr>
            <w:tcW w:w="940" w:type="dxa"/>
            <w:vAlign w:val="bottom"/>
          </w:tcPr>
          <w:p>
            <w:pPr>
              <w:jc w:val="right"/>
              <w:ind w:right="649"/>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9" w:lineRule="exact"/>
              <w:rPr>
                <w:sz w:val="20"/>
                <w:szCs w:val="20"/>
                <w:color w:val="auto"/>
              </w:rPr>
            </w:pPr>
            <w:r>
              <w:rPr>
                <w:rFonts w:ascii="Arial" w:cs="Arial" w:eastAsia="Arial" w:hAnsi="Arial"/>
                <w:sz w:val="14"/>
                <w:szCs w:val="14"/>
                <w:color w:val="auto"/>
                <w:w w:val="99"/>
              </w:rPr>
              <w:t>―</w:t>
            </w:r>
          </w:p>
        </w:tc>
        <w:tc>
          <w:tcPr>
            <w:tcW w:w="3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line="159" w:lineRule="exact"/>
              <w:rPr>
                <w:sz w:val="20"/>
                <w:szCs w:val="20"/>
                <w:color w:val="auto"/>
              </w:rPr>
            </w:pPr>
            <w:r>
              <w:rPr>
                <w:rFonts w:ascii="Arial" w:cs="Arial" w:eastAsia="Arial" w:hAnsi="Arial"/>
                <w:sz w:val="14"/>
                <w:szCs w:val="14"/>
                <w:color w:val="auto"/>
              </w:rPr>
              <w:t>2</w:t>
            </w:r>
          </w:p>
        </w:tc>
        <w:tc>
          <w:tcPr>
            <w:tcW w:w="4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3"/>
        </w:trPr>
        <w:tc>
          <w:tcPr>
            <w:tcW w:w="48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0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w:t>
            </w: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99"/>
              </w:rPr>
              <w:t>―</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w:t>
            </w: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3"/>
        </w:trPr>
        <w:tc>
          <w:tcPr>
            <w:tcW w:w="484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1060" w:type="dxa"/>
            <w:vAlign w:val="bottom"/>
          </w:tcPr>
          <w:p>
            <w:pPr>
              <w:jc w:val="right"/>
              <w:ind w:right="649"/>
              <w:spacing w:after="0" w:line="153"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3" w:lineRule="exact"/>
              <w:rPr>
                <w:sz w:val="20"/>
                <w:szCs w:val="20"/>
                <w:color w:val="auto"/>
              </w:rPr>
            </w:pPr>
            <w:r>
              <w:rPr>
                <w:rFonts w:ascii="Arial" w:cs="Arial" w:eastAsia="Arial" w:hAnsi="Arial"/>
                <w:sz w:val="14"/>
                <w:szCs w:val="14"/>
                <w:color w:val="auto"/>
              </w:rPr>
              <w:t>1</w:t>
            </w:r>
          </w:p>
        </w:tc>
        <w:tc>
          <w:tcPr>
            <w:tcW w:w="940" w:type="dxa"/>
            <w:vAlign w:val="bottom"/>
          </w:tcPr>
          <w:p>
            <w:pPr>
              <w:jc w:val="right"/>
              <w:ind w:right="649"/>
              <w:spacing w:after="0" w:line="153"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3" w:lineRule="exact"/>
              <w:rPr>
                <w:sz w:val="20"/>
                <w:szCs w:val="20"/>
                <w:color w:val="auto"/>
              </w:rPr>
            </w:pPr>
            <w:r>
              <w:rPr>
                <w:rFonts w:ascii="Arial" w:cs="Arial" w:eastAsia="Arial" w:hAnsi="Arial"/>
                <w:sz w:val="14"/>
                <w:szCs w:val="14"/>
                <w:color w:val="auto"/>
                <w:w w:val="99"/>
              </w:rPr>
              <w:t>―</w:t>
            </w:r>
          </w:p>
        </w:tc>
        <w:tc>
          <w:tcPr>
            <w:tcW w:w="3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20" w:type="dxa"/>
            <w:vAlign w:val="bottom"/>
          </w:tcPr>
          <w:p>
            <w:pPr>
              <w:ind w:left="640"/>
              <w:spacing w:after="0" w:line="153"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line="153" w:lineRule="exact"/>
              <w:rPr>
                <w:sz w:val="20"/>
                <w:szCs w:val="20"/>
                <w:color w:val="auto"/>
              </w:rPr>
            </w:pPr>
            <w:r>
              <w:rPr>
                <w:rFonts w:ascii="Arial" w:cs="Arial" w:eastAsia="Arial" w:hAnsi="Arial"/>
                <w:sz w:val="14"/>
                <w:szCs w:val="14"/>
                <w:color w:val="auto"/>
              </w:rPr>
              <w:t>4</w:t>
            </w:r>
          </w:p>
        </w:tc>
        <w:tc>
          <w:tcPr>
            <w:tcW w:w="42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3"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80"/>
        </w:trPr>
        <w:tc>
          <w:tcPr>
            <w:tcW w:w="4840" w:type="dxa"/>
            <w:vAlign w:val="bottom"/>
            <w:vMerge w:val="continue"/>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4840" w:type="dxa"/>
            <w:vAlign w:val="bottom"/>
          </w:tcPr>
          <w:p>
            <w:pPr>
              <w:spacing w:after="0" w:line="159" w:lineRule="exact"/>
              <w:rPr>
                <w:sz w:val="20"/>
                <w:szCs w:val="20"/>
                <w:color w:val="auto"/>
              </w:rPr>
            </w:pPr>
            <w:r>
              <w:rPr>
                <w:rFonts w:ascii="Arial" w:cs="Arial" w:eastAsia="Arial" w:hAnsi="Arial"/>
                <w:sz w:val="14"/>
                <w:szCs w:val="14"/>
                <w:color w:val="auto"/>
              </w:rPr>
              <w:t>Liabilities:</w:t>
            </w:r>
          </w:p>
        </w:tc>
        <w:tc>
          <w:tcPr>
            <w:tcW w:w="1060" w:type="dxa"/>
            <w:vAlign w:val="bottom"/>
            <w:vMerge w:val="restart"/>
          </w:tcPr>
          <w:p>
            <w:pPr>
              <w:jc w:val="right"/>
              <w:ind w:right="649"/>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9"/>
              <w:spacing w:after="0"/>
              <w:rPr>
                <w:sz w:val="20"/>
                <w:szCs w:val="20"/>
                <w:color w:val="auto"/>
              </w:rPr>
            </w:pPr>
            <w:r>
              <w:rPr>
                <w:rFonts w:ascii="Arial" w:cs="Arial" w:eastAsia="Arial" w:hAnsi="Arial"/>
                <w:sz w:val="14"/>
                <w:szCs w:val="14"/>
                <w:color w:val="auto"/>
                <w:w w:val="99"/>
              </w:rPr>
              <w:t>―</w:t>
            </w:r>
          </w:p>
        </w:tc>
        <w:tc>
          <w:tcPr>
            <w:tcW w:w="940" w:type="dxa"/>
            <w:vAlign w:val="bottom"/>
            <w:vMerge w:val="restart"/>
          </w:tcPr>
          <w:p>
            <w:pPr>
              <w:jc w:val="right"/>
              <w:ind w:right="649"/>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9"/>
              <w:spacing w:after="0"/>
              <w:rPr>
                <w:sz w:val="20"/>
                <w:szCs w:val="20"/>
                <w:color w:val="auto"/>
              </w:rPr>
            </w:pPr>
            <w:r>
              <w:rPr>
                <w:rFonts w:ascii="Arial" w:cs="Arial" w:eastAsia="Arial" w:hAnsi="Arial"/>
                <w:sz w:val="14"/>
                <w:szCs w:val="14"/>
                <w:color w:val="auto"/>
              </w:rPr>
              <w:t>1</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129"/>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4"/>
        </w:trPr>
        <w:tc>
          <w:tcPr>
            <w:tcW w:w="4840" w:type="dxa"/>
            <w:vAlign w:val="bottom"/>
          </w:tcPr>
          <w:p>
            <w:pPr>
              <w:ind w:left="160"/>
              <w:spacing w:after="0" w:line="159" w:lineRule="exact"/>
              <w:rPr>
                <w:sz w:val="20"/>
                <w:szCs w:val="20"/>
                <w:color w:val="auto"/>
              </w:rPr>
            </w:pPr>
            <w:r>
              <w:rPr>
                <w:rFonts w:ascii="Arial" w:cs="Arial" w:eastAsia="Arial" w:hAnsi="Arial"/>
                <w:sz w:val="14"/>
                <w:szCs w:val="14"/>
                <w:color w:val="auto"/>
              </w:rPr>
              <w:t>Commodity contracts subject to rate recovery</w:t>
            </w:r>
          </w:p>
        </w:tc>
        <w:tc>
          <w:tcPr>
            <w:tcW w:w="106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40" w:type="dxa"/>
            <w:vAlign w:val="bottom"/>
          </w:tcPr>
          <w:p>
            <w:pPr>
              <w:spacing w:after="0" w:line="153" w:lineRule="exact"/>
              <w:rPr>
                <w:sz w:val="20"/>
                <w:szCs w:val="20"/>
                <w:color w:val="auto"/>
              </w:rPr>
            </w:pPr>
            <w:r>
              <w:rPr>
                <w:rFonts w:ascii="Arial" w:cs="Arial" w:eastAsia="Arial" w:hAnsi="Arial"/>
                <w:sz w:val="14"/>
                <w:szCs w:val="14"/>
                <w:color w:val="auto"/>
              </w:rPr>
              <w:t>Total</w:t>
            </w:r>
          </w:p>
        </w:tc>
        <w:tc>
          <w:tcPr>
            <w:tcW w:w="1060" w:type="dxa"/>
            <w:vAlign w:val="bottom"/>
          </w:tcPr>
          <w:p>
            <w:pPr>
              <w:jc w:val="right"/>
              <w:ind w:right="649"/>
              <w:spacing w:after="0" w:line="153"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3" w:lineRule="exact"/>
              <w:rPr>
                <w:sz w:val="20"/>
                <w:szCs w:val="20"/>
                <w:color w:val="auto"/>
              </w:rPr>
            </w:pPr>
            <w:r>
              <w:rPr>
                <w:rFonts w:ascii="Arial" w:cs="Arial" w:eastAsia="Arial" w:hAnsi="Arial"/>
                <w:sz w:val="14"/>
                <w:szCs w:val="14"/>
                <w:color w:val="auto"/>
                <w:w w:val="99"/>
              </w:rPr>
              <w:t>―</w:t>
            </w:r>
          </w:p>
        </w:tc>
        <w:tc>
          <w:tcPr>
            <w:tcW w:w="940" w:type="dxa"/>
            <w:vAlign w:val="bottom"/>
          </w:tcPr>
          <w:p>
            <w:pPr>
              <w:jc w:val="right"/>
              <w:ind w:right="649"/>
              <w:spacing w:after="0" w:line="153"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89"/>
              <w:spacing w:after="0" w:line="153" w:lineRule="exact"/>
              <w:rPr>
                <w:sz w:val="20"/>
                <w:szCs w:val="20"/>
                <w:color w:val="auto"/>
              </w:rPr>
            </w:pPr>
            <w:r>
              <w:rPr>
                <w:rFonts w:ascii="Arial" w:cs="Arial" w:eastAsia="Arial" w:hAnsi="Arial"/>
                <w:sz w:val="14"/>
                <w:szCs w:val="14"/>
                <w:color w:val="auto"/>
              </w:rPr>
              <w:t>1</w:t>
            </w:r>
          </w:p>
        </w:tc>
        <w:tc>
          <w:tcPr>
            <w:tcW w:w="3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20" w:type="dxa"/>
            <w:vAlign w:val="bottom"/>
          </w:tcPr>
          <w:p>
            <w:pPr>
              <w:ind w:left="640"/>
              <w:spacing w:after="0" w:line="153"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3"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4840" w:type="dxa"/>
            <w:vAlign w:val="bottom"/>
            <w:shd w:val="clear" w:color="auto" w:fill="000000"/>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520" w:hanging="474"/>
        <w:spacing w:after="0"/>
        <w:tabs>
          <w:tab w:leader="none" w:pos="52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the effect of the contractual ability to settle contracts under master netting agreements and with cash collateral, as well as cash collateral not offset.</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Level 3 Information</w:t>
      </w:r>
    </w:p>
    <w:p>
      <w:pPr>
        <w:spacing w:after="0" w:line="21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following table sets forth reconciliations of changes in the fair value of Congestion Revenue Rights (CRRs) classified as Level 3 in the fair value hierarchy for Sempra Energy Consolidated and SDG&amp;E:</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LEVEL 3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3700" w:type="dxa"/>
            <w:vAlign w:val="bottom"/>
            <w:gridSpan w:val="3"/>
            <w:vMerge w:val="restart"/>
          </w:tcPr>
          <w:p>
            <w:pPr>
              <w:jc w:val="right"/>
              <w:ind w:right="544"/>
              <w:spacing w:after="0"/>
              <w:rPr>
                <w:sz w:val="20"/>
                <w:szCs w:val="20"/>
                <w:color w:val="auto"/>
              </w:rPr>
            </w:pPr>
            <w:r>
              <w:rPr>
                <w:rFonts w:ascii="Arial" w:cs="Arial" w:eastAsia="Arial" w:hAnsi="Arial"/>
                <w:sz w:val="14"/>
                <w:szCs w:val="14"/>
                <w:color w:val="auto"/>
              </w:rPr>
              <w:t>Three months ended June 30,</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7100" w:type="dxa"/>
            <w:vAlign w:val="bottom"/>
          </w:tcPr>
          <w:p>
            <w:pPr>
              <w:spacing w:after="0"/>
              <w:rPr>
                <w:sz w:val="10"/>
                <w:szCs w:val="10"/>
                <w:color w:val="auto"/>
              </w:rPr>
            </w:pPr>
          </w:p>
        </w:tc>
        <w:tc>
          <w:tcPr>
            <w:tcW w:w="3700" w:type="dxa"/>
            <w:vAlign w:val="bottom"/>
            <w:tcBorders>
              <w:bottom w:val="single" w:sz="8" w:color="auto"/>
            </w:tcBorders>
            <w:gridSpan w:val="3"/>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2014</w:t>
            </w:r>
          </w:p>
        </w:tc>
        <w:tc>
          <w:tcPr>
            <w:tcW w:w="1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64"/>
              <w:spacing w:after="0" w:line="153" w:lineRule="exact"/>
              <w:rPr>
                <w:sz w:val="20"/>
                <w:szCs w:val="20"/>
                <w:color w:val="auto"/>
              </w:rPr>
            </w:pPr>
            <w:r>
              <w:rPr>
                <w:rFonts w:ascii="Arial" w:cs="Arial" w:eastAsia="Arial" w:hAnsi="Arial"/>
                <w:sz w:val="14"/>
                <w:szCs w:val="14"/>
                <w:color w:val="auto"/>
              </w:rPr>
              <w:t>2013</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100" w:type="dxa"/>
            <w:vAlign w:val="bottom"/>
          </w:tcPr>
          <w:p>
            <w:pPr>
              <w:spacing w:after="0" w:line="135" w:lineRule="exact"/>
              <w:rPr>
                <w:sz w:val="20"/>
                <w:szCs w:val="20"/>
                <w:color w:val="auto"/>
              </w:rPr>
            </w:pPr>
            <w:r>
              <w:rPr>
                <w:rFonts w:ascii="Arial" w:cs="Arial" w:eastAsia="Arial" w:hAnsi="Arial"/>
                <w:sz w:val="15"/>
                <w:szCs w:val="15"/>
                <w:color w:val="auto"/>
              </w:rPr>
              <w:t>Balance at April 1</w:t>
            </w:r>
          </w:p>
        </w:tc>
        <w:tc>
          <w:tcPr>
            <w:tcW w:w="1240" w:type="dxa"/>
            <w:vAlign w:val="bottom"/>
          </w:tcPr>
          <w:p>
            <w:pPr>
              <w:jc w:val="right"/>
              <w:ind w:right="624"/>
              <w:spacing w:after="0" w:line="135"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182"/>
              <w:spacing w:after="0" w:line="135" w:lineRule="exact"/>
              <w:rPr>
                <w:sz w:val="20"/>
                <w:szCs w:val="20"/>
                <w:color w:val="auto"/>
              </w:rPr>
            </w:pPr>
            <w:r>
              <w:rPr>
                <w:rFonts w:ascii="Arial" w:cs="Arial" w:eastAsia="Arial" w:hAnsi="Arial"/>
                <w:sz w:val="15"/>
                <w:szCs w:val="15"/>
                <w:color w:val="auto"/>
              </w:rPr>
              <w:t>95</w:t>
            </w:r>
          </w:p>
        </w:tc>
        <w:tc>
          <w:tcPr>
            <w:tcW w:w="1340" w:type="dxa"/>
            <w:vAlign w:val="bottom"/>
          </w:tcPr>
          <w:p>
            <w:pPr>
              <w:jc w:val="right"/>
              <w:ind w:right="944"/>
              <w:spacing w:after="0" w:line="135"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73"/>
        </w:trPr>
        <w:tc>
          <w:tcPr>
            <w:tcW w:w="7100" w:type="dxa"/>
            <w:vAlign w:val="bottom"/>
          </w:tcPr>
          <w:p>
            <w:pPr>
              <w:ind w:left="180"/>
              <w:spacing w:after="0" w:line="173" w:lineRule="exact"/>
              <w:rPr>
                <w:sz w:val="20"/>
                <w:szCs w:val="20"/>
                <w:color w:val="auto"/>
              </w:rPr>
            </w:pPr>
            <w:r>
              <w:rPr>
                <w:rFonts w:ascii="Arial" w:cs="Arial" w:eastAsia="Arial" w:hAnsi="Arial"/>
                <w:sz w:val="16"/>
                <w:szCs w:val="16"/>
                <w:color w:val="auto"/>
              </w:rPr>
              <w:t>Realized and unrealized gains (losses)</w:t>
            </w:r>
          </w:p>
        </w:tc>
        <w:tc>
          <w:tcPr>
            <w:tcW w:w="1240" w:type="dxa"/>
            <w:vAlign w:val="bottom"/>
          </w:tcPr>
          <w:p>
            <w:pPr>
              <w:spacing w:after="0"/>
              <w:rPr>
                <w:sz w:val="15"/>
                <w:szCs w:val="15"/>
                <w:color w:val="auto"/>
              </w:rPr>
            </w:pPr>
          </w:p>
        </w:tc>
        <w:tc>
          <w:tcPr>
            <w:tcW w:w="1120" w:type="dxa"/>
            <w:vAlign w:val="bottom"/>
          </w:tcPr>
          <w:p>
            <w:pPr>
              <w:jc w:val="right"/>
              <w:ind w:right="182"/>
              <w:spacing w:after="0" w:line="173" w:lineRule="exact"/>
              <w:rPr>
                <w:sz w:val="20"/>
                <w:szCs w:val="20"/>
                <w:color w:val="auto"/>
              </w:rPr>
            </w:pPr>
            <w:r>
              <w:rPr>
                <w:rFonts w:ascii="Arial" w:cs="Arial" w:eastAsia="Arial" w:hAnsi="Arial"/>
                <w:sz w:val="16"/>
                <w:szCs w:val="16"/>
                <w:color w:val="auto"/>
              </w:rPr>
              <w:t>5</w:t>
            </w:r>
          </w:p>
        </w:tc>
        <w:tc>
          <w:tcPr>
            <w:tcW w:w="1340" w:type="dxa"/>
            <w:vAlign w:val="bottom"/>
          </w:tcPr>
          <w:p>
            <w:pPr>
              <w:spacing w:after="0"/>
              <w:rPr>
                <w:sz w:val="15"/>
                <w:szCs w:val="15"/>
                <w:color w:val="auto"/>
              </w:rPr>
            </w:pPr>
          </w:p>
        </w:tc>
        <w:tc>
          <w:tcPr>
            <w:tcW w:w="62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7100" w:type="dxa"/>
            <w:vAlign w:val="bottom"/>
          </w:tcPr>
          <w:p>
            <w:pPr>
              <w:ind w:left="180"/>
              <w:spacing w:after="0"/>
              <w:rPr>
                <w:sz w:val="20"/>
                <w:szCs w:val="20"/>
                <w:color w:val="auto"/>
              </w:rPr>
            </w:pPr>
            <w:r>
              <w:rPr>
                <w:rFonts w:ascii="Arial" w:cs="Arial" w:eastAsia="Arial" w:hAnsi="Arial"/>
                <w:sz w:val="16"/>
                <w:szCs w:val="16"/>
                <w:color w:val="auto"/>
              </w:rPr>
              <w:t>Settlements</w:t>
            </w:r>
          </w:p>
        </w:tc>
        <w:tc>
          <w:tcPr>
            <w:tcW w:w="1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(15)</w:t>
            </w:r>
          </w:p>
        </w:tc>
        <w:tc>
          <w:tcPr>
            <w:tcW w:w="1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6"/>
        </w:trPr>
        <w:tc>
          <w:tcPr>
            <w:tcW w:w="7100" w:type="dxa"/>
            <w:vAlign w:val="bottom"/>
          </w:tcPr>
          <w:p>
            <w:pPr>
              <w:spacing w:after="0"/>
              <w:rPr>
                <w:sz w:val="20"/>
                <w:szCs w:val="20"/>
                <w:color w:val="auto"/>
              </w:rPr>
            </w:pPr>
            <w:r>
              <w:rPr>
                <w:rFonts w:ascii="Arial" w:cs="Arial" w:eastAsia="Arial" w:hAnsi="Arial"/>
                <w:sz w:val="16"/>
                <w:szCs w:val="16"/>
                <w:color w:val="auto"/>
              </w:rPr>
              <w:t>Balance at June 30</w:t>
            </w:r>
          </w:p>
        </w:tc>
        <w:tc>
          <w:tcPr>
            <w:tcW w:w="1240" w:type="dxa"/>
            <w:vAlign w:val="bottom"/>
            <w:tcBorders>
              <w:bottom w:val="single" w:sz="8" w:color="auto"/>
            </w:tcBorders>
          </w:tcPr>
          <w:p>
            <w:pPr>
              <w:jc w:val="right"/>
              <w:ind w:right="624"/>
              <w:spacing w:after="0" w:line="166"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82"/>
              <w:spacing w:after="0" w:line="166" w:lineRule="exact"/>
              <w:rPr>
                <w:sz w:val="20"/>
                <w:szCs w:val="20"/>
                <w:color w:val="auto"/>
              </w:rPr>
            </w:pPr>
            <w:r>
              <w:rPr>
                <w:rFonts w:ascii="Arial" w:cs="Arial" w:eastAsia="Arial" w:hAnsi="Arial"/>
                <w:sz w:val="16"/>
                <w:szCs w:val="16"/>
                <w:color w:val="auto"/>
              </w:rPr>
              <w:t>85</w:t>
            </w:r>
          </w:p>
        </w:tc>
        <w:tc>
          <w:tcPr>
            <w:tcW w:w="1340" w:type="dxa"/>
            <w:vAlign w:val="bottom"/>
            <w:tcBorders>
              <w:bottom w:val="single" w:sz="8" w:color="auto"/>
            </w:tcBorders>
          </w:tcPr>
          <w:p>
            <w:pPr>
              <w:jc w:val="right"/>
              <w:ind w:right="944"/>
              <w:spacing w:after="0" w:line="166"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41"/>
        </w:trPr>
        <w:tc>
          <w:tcPr>
            <w:tcW w:w="7100" w:type="dxa"/>
            <w:vAlign w:val="bottom"/>
          </w:tcPr>
          <w:p>
            <w:pPr>
              <w:spacing w:after="0" w:line="142" w:lineRule="exact"/>
              <w:rPr>
                <w:sz w:val="20"/>
                <w:szCs w:val="20"/>
                <w:color w:val="auto"/>
              </w:rPr>
            </w:pPr>
            <w:r>
              <w:rPr>
                <w:rFonts w:ascii="Arial" w:cs="Arial" w:eastAsia="Arial" w:hAnsi="Arial"/>
                <w:sz w:val="16"/>
                <w:szCs w:val="16"/>
                <w:color w:val="auto"/>
              </w:rPr>
              <w:t>Change in unrealized gains or losses relating to</w:t>
            </w:r>
          </w:p>
        </w:tc>
        <w:tc>
          <w:tcPr>
            <w:tcW w:w="1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100" w:type="dxa"/>
            <w:vAlign w:val="bottom"/>
          </w:tcPr>
          <w:p>
            <w:pPr>
              <w:ind w:left="180"/>
              <w:spacing w:after="0"/>
              <w:rPr>
                <w:sz w:val="20"/>
                <w:szCs w:val="20"/>
                <w:color w:val="auto"/>
              </w:rPr>
            </w:pPr>
            <w:r>
              <w:rPr>
                <w:rFonts w:ascii="Arial" w:cs="Arial" w:eastAsia="Arial" w:hAnsi="Arial"/>
                <w:sz w:val="16"/>
                <w:szCs w:val="16"/>
                <w:color w:val="auto"/>
              </w:rPr>
              <w:t>instruments still held at June 30</w:t>
            </w:r>
          </w:p>
        </w:tc>
        <w:tc>
          <w:tcPr>
            <w:tcW w:w="1240" w:type="dxa"/>
            <w:vAlign w:val="bottom"/>
          </w:tcPr>
          <w:p>
            <w:pPr>
              <w:jc w:val="right"/>
              <w:ind w:right="624"/>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944"/>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80"/>
        </w:trPr>
        <w:tc>
          <w:tcPr>
            <w:tcW w:w="7100" w:type="dxa"/>
            <w:vAlign w:val="bottom"/>
            <w:shd w:val="clear" w:color="auto" w:fill="C0C0C0"/>
          </w:tcPr>
          <w:p>
            <w:pPr>
              <w:spacing w:after="0"/>
              <w:rPr>
                <w:sz w:val="6"/>
                <w:szCs w:val="6"/>
                <w:color w:val="auto"/>
              </w:rPr>
            </w:pPr>
          </w:p>
        </w:tc>
        <w:tc>
          <w:tcPr>
            <w:tcW w:w="1240" w:type="dxa"/>
            <w:vAlign w:val="bottom"/>
            <w:shd w:val="clear" w:color="auto" w:fill="C0C0C0"/>
          </w:tcPr>
          <w:p>
            <w:pPr>
              <w:spacing w:after="0"/>
              <w:rPr>
                <w:sz w:val="6"/>
                <w:szCs w:val="6"/>
                <w:color w:val="auto"/>
              </w:rPr>
            </w:pPr>
          </w:p>
        </w:tc>
        <w:tc>
          <w:tcPr>
            <w:tcW w:w="2460" w:type="dxa"/>
            <w:vAlign w:val="bottom"/>
            <w:gridSpan w:val="2"/>
            <w:shd w:val="clear" w:color="auto" w:fill="C0C0C0"/>
          </w:tcPr>
          <w:p>
            <w:pPr>
              <w:spacing w:after="0"/>
              <w:rPr>
                <w:sz w:val="6"/>
                <w:szCs w:val="6"/>
                <w:color w:val="auto"/>
              </w:rPr>
            </w:pPr>
          </w:p>
        </w:tc>
        <w:tc>
          <w:tcPr>
            <w:tcW w:w="620" w:type="dxa"/>
            <w:vAlign w:val="bottom"/>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359"/>
        </w:trPr>
        <w:tc>
          <w:tcPr>
            <w:tcW w:w="71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right"/>
              <w:ind w:right="624"/>
              <w:spacing w:after="0"/>
              <w:rPr>
                <w:sz w:val="20"/>
                <w:szCs w:val="20"/>
                <w:color w:val="auto"/>
              </w:rPr>
            </w:pPr>
            <w:r>
              <w:rPr>
                <w:rFonts w:ascii="Arial" w:cs="Arial" w:eastAsia="Arial" w:hAnsi="Arial"/>
                <w:sz w:val="14"/>
                <w:szCs w:val="14"/>
                <w:color w:val="auto"/>
              </w:rPr>
              <w:t>Six months ended June 30,</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2014</w:t>
            </w:r>
          </w:p>
        </w:tc>
        <w:tc>
          <w:tcPr>
            <w:tcW w:w="1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64"/>
              <w:spacing w:after="0" w:line="153" w:lineRule="exact"/>
              <w:rPr>
                <w:sz w:val="20"/>
                <w:szCs w:val="20"/>
                <w:color w:val="auto"/>
              </w:rPr>
            </w:pPr>
            <w:r>
              <w:rPr>
                <w:rFonts w:ascii="Arial" w:cs="Arial" w:eastAsia="Arial" w:hAnsi="Arial"/>
                <w:sz w:val="14"/>
                <w:szCs w:val="14"/>
                <w:color w:val="auto"/>
              </w:rPr>
              <w:t>2013</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100" w:type="dxa"/>
            <w:vAlign w:val="bottom"/>
          </w:tcPr>
          <w:p>
            <w:pPr>
              <w:spacing w:after="0" w:line="135" w:lineRule="exact"/>
              <w:rPr>
                <w:sz w:val="20"/>
                <w:szCs w:val="20"/>
                <w:color w:val="auto"/>
              </w:rPr>
            </w:pPr>
            <w:r>
              <w:rPr>
                <w:rFonts w:ascii="Arial" w:cs="Arial" w:eastAsia="Arial" w:hAnsi="Arial"/>
                <w:sz w:val="15"/>
                <w:szCs w:val="15"/>
                <w:color w:val="auto"/>
              </w:rPr>
              <w:t>Balance as of January 1</w:t>
            </w:r>
          </w:p>
        </w:tc>
        <w:tc>
          <w:tcPr>
            <w:tcW w:w="1240" w:type="dxa"/>
            <w:vAlign w:val="bottom"/>
          </w:tcPr>
          <w:p>
            <w:pPr>
              <w:jc w:val="right"/>
              <w:ind w:right="624"/>
              <w:spacing w:after="0" w:line="135"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182"/>
              <w:spacing w:after="0" w:line="135" w:lineRule="exact"/>
              <w:rPr>
                <w:sz w:val="20"/>
                <w:szCs w:val="20"/>
                <w:color w:val="auto"/>
              </w:rPr>
            </w:pPr>
            <w:r>
              <w:rPr>
                <w:rFonts w:ascii="Arial" w:cs="Arial" w:eastAsia="Arial" w:hAnsi="Arial"/>
                <w:sz w:val="15"/>
                <w:szCs w:val="15"/>
                <w:color w:val="auto"/>
              </w:rPr>
              <w:t>99</w:t>
            </w:r>
          </w:p>
        </w:tc>
        <w:tc>
          <w:tcPr>
            <w:tcW w:w="1340" w:type="dxa"/>
            <w:vAlign w:val="bottom"/>
          </w:tcPr>
          <w:p>
            <w:pPr>
              <w:jc w:val="right"/>
              <w:ind w:right="944"/>
              <w:spacing w:after="0" w:line="135"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73"/>
        </w:trPr>
        <w:tc>
          <w:tcPr>
            <w:tcW w:w="7100" w:type="dxa"/>
            <w:vAlign w:val="bottom"/>
          </w:tcPr>
          <w:p>
            <w:pPr>
              <w:ind w:left="180"/>
              <w:spacing w:after="0" w:line="173" w:lineRule="exact"/>
              <w:rPr>
                <w:sz w:val="20"/>
                <w:szCs w:val="20"/>
                <w:color w:val="auto"/>
              </w:rPr>
            </w:pPr>
            <w:r>
              <w:rPr>
                <w:rFonts w:ascii="Arial" w:cs="Arial" w:eastAsia="Arial" w:hAnsi="Arial"/>
                <w:sz w:val="16"/>
                <w:szCs w:val="16"/>
                <w:color w:val="auto"/>
              </w:rPr>
              <w:t>Realized and unrealized gains (losses)</w:t>
            </w:r>
          </w:p>
        </w:tc>
        <w:tc>
          <w:tcPr>
            <w:tcW w:w="1240" w:type="dxa"/>
            <w:vAlign w:val="bottom"/>
          </w:tcPr>
          <w:p>
            <w:pPr>
              <w:spacing w:after="0"/>
              <w:rPr>
                <w:sz w:val="15"/>
                <w:szCs w:val="15"/>
                <w:color w:val="auto"/>
              </w:rPr>
            </w:pPr>
          </w:p>
        </w:tc>
        <w:tc>
          <w:tcPr>
            <w:tcW w:w="1120" w:type="dxa"/>
            <w:vAlign w:val="bottom"/>
          </w:tcPr>
          <w:p>
            <w:pPr>
              <w:jc w:val="right"/>
              <w:ind w:right="182"/>
              <w:spacing w:after="0" w:line="173" w:lineRule="exact"/>
              <w:rPr>
                <w:sz w:val="20"/>
                <w:szCs w:val="20"/>
                <w:color w:val="auto"/>
              </w:rPr>
            </w:pPr>
            <w:r>
              <w:rPr>
                <w:rFonts w:ascii="Arial" w:cs="Arial" w:eastAsia="Arial" w:hAnsi="Arial"/>
                <w:sz w:val="16"/>
                <w:szCs w:val="16"/>
                <w:color w:val="auto"/>
              </w:rPr>
              <w:t>6</w:t>
            </w:r>
          </w:p>
        </w:tc>
        <w:tc>
          <w:tcPr>
            <w:tcW w:w="1340" w:type="dxa"/>
            <w:vAlign w:val="bottom"/>
          </w:tcPr>
          <w:p>
            <w:pPr>
              <w:spacing w:after="0"/>
              <w:rPr>
                <w:sz w:val="15"/>
                <w:szCs w:val="15"/>
                <w:color w:val="auto"/>
              </w:rPr>
            </w:pPr>
          </w:p>
        </w:tc>
        <w:tc>
          <w:tcPr>
            <w:tcW w:w="620" w:type="dxa"/>
            <w:vAlign w:val="bottom"/>
          </w:tcPr>
          <w:p>
            <w:pPr>
              <w:jc w:val="right"/>
              <w:spacing w:after="0" w:line="17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3"/>
        </w:trPr>
        <w:tc>
          <w:tcPr>
            <w:tcW w:w="7100" w:type="dxa"/>
            <w:vAlign w:val="bottom"/>
          </w:tcPr>
          <w:p>
            <w:pPr>
              <w:ind w:left="180"/>
              <w:spacing w:after="0" w:line="173" w:lineRule="exact"/>
              <w:rPr>
                <w:sz w:val="20"/>
                <w:szCs w:val="20"/>
                <w:color w:val="auto"/>
              </w:rPr>
            </w:pPr>
            <w:r>
              <w:rPr>
                <w:rFonts w:ascii="Arial" w:cs="Arial" w:eastAsia="Arial" w:hAnsi="Arial"/>
                <w:sz w:val="16"/>
                <w:szCs w:val="16"/>
                <w:color w:val="auto"/>
              </w:rPr>
              <w:t>Allocated transmission instruments</w:t>
            </w:r>
          </w:p>
        </w:tc>
        <w:tc>
          <w:tcPr>
            <w:tcW w:w="1240" w:type="dxa"/>
            <w:vAlign w:val="bottom"/>
          </w:tcPr>
          <w:p>
            <w:pPr>
              <w:spacing w:after="0"/>
              <w:rPr>
                <w:sz w:val="15"/>
                <w:szCs w:val="15"/>
                <w:color w:val="auto"/>
              </w:rPr>
            </w:pPr>
          </w:p>
        </w:tc>
        <w:tc>
          <w:tcPr>
            <w:tcW w:w="1120" w:type="dxa"/>
            <w:vAlign w:val="bottom"/>
          </w:tcPr>
          <w:p>
            <w:pPr>
              <w:jc w:val="right"/>
              <w:ind w:right="182"/>
              <w:spacing w:after="0" w:line="173" w:lineRule="exact"/>
              <w:rPr>
                <w:sz w:val="20"/>
                <w:szCs w:val="20"/>
                <w:color w:val="auto"/>
              </w:rPr>
            </w:pPr>
            <w:r>
              <w:rPr>
                <w:rFonts w:ascii="Arial" w:cs="Arial" w:eastAsia="Arial" w:hAnsi="Arial"/>
                <w:sz w:val="16"/>
                <w:szCs w:val="16"/>
                <w:color w:val="auto"/>
              </w:rPr>
              <w:t>1</w:t>
            </w:r>
          </w:p>
        </w:tc>
        <w:tc>
          <w:tcPr>
            <w:tcW w:w="1340" w:type="dxa"/>
            <w:vAlign w:val="bottom"/>
          </w:tcPr>
          <w:p>
            <w:pPr>
              <w:spacing w:after="0"/>
              <w:rPr>
                <w:sz w:val="15"/>
                <w:szCs w:val="15"/>
                <w:color w:val="auto"/>
              </w:rPr>
            </w:pPr>
          </w:p>
        </w:tc>
        <w:tc>
          <w:tcPr>
            <w:tcW w:w="6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7100" w:type="dxa"/>
            <w:vAlign w:val="bottom"/>
          </w:tcPr>
          <w:p>
            <w:pPr>
              <w:ind w:left="180"/>
              <w:spacing w:after="0"/>
              <w:rPr>
                <w:sz w:val="20"/>
                <w:szCs w:val="20"/>
                <w:color w:val="auto"/>
              </w:rPr>
            </w:pPr>
            <w:r>
              <w:rPr>
                <w:rFonts w:ascii="Arial" w:cs="Arial" w:eastAsia="Arial" w:hAnsi="Arial"/>
                <w:sz w:val="16"/>
                <w:szCs w:val="16"/>
                <w:color w:val="auto"/>
              </w:rPr>
              <w:t>Settlements</w:t>
            </w:r>
          </w:p>
        </w:tc>
        <w:tc>
          <w:tcPr>
            <w:tcW w:w="1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(21)</w:t>
            </w:r>
          </w:p>
        </w:tc>
        <w:tc>
          <w:tcPr>
            <w:tcW w:w="1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6"/>
        </w:trPr>
        <w:tc>
          <w:tcPr>
            <w:tcW w:w="7100" w:type="dxa"/>
            <w:vAlign w:val="bottom"/>
          </w:tcPr>
          <w:p>
            <w:pPr>
              <w:spacing w:after="0"/>
              <w:rPr>
                <w:sz w:val="20"/>
                <w:szCs w:val="20"/>
                <w:color w:val="auto"/>
              </w:rPr>
            </w:pPr>
            <w:r>
              <w:rPr>
                <w:rFonts w:ascii="Arial" w:cs="Arial" w:eastAsia="Arial" w:hAnsi="Arial"/>
                <w:sz w:val="16"/>
                <w:szCs w:val="16"/>
                <w:color w:val="auto"/>
              </w:rPr>
              <w:t>Balance as of June 30</w:t>
            </w:r>
          </w:p>
        </w:tc>
        <w:tc>
          <w:tcPr>
            <w:tcW w:w="1240" w:type="dxa"/>
            <w:vAlign w:val="bottom"/>
            <w:tcBorders>
              <w:bottom w:val="single" w:sz="8" w:color="auto"/>
            </w:tcBorders>
          </w:tcPr>
          <w:p>
            <w:pPr>
              <w:jc w:val="right"/>
              <w:ind w:right="624"/>
              <w:spacing w:after="0" w:line="166"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82"/>
              <w:spacing w:after="0" w:line="166" w:lineRule="exact"/>
              <w:rPr>
                <w:sz w:val="20"/>
                <w:szCs w:val="20"/>
                <w:color w:val="auto"/>
              </w:rPr>
            </w:pPr>
            <w:r>
              <w:rPr>
                <w:rFonts w:ascii="Arial" w:cs="Arial" w:eastAsia="Arial" w:hAnsi="Arial"/>
                <w:sz w:val="16"/>
                <w:szCs w:val="16"/>
                <w:color w:val="auto"/>
              </w:rPr>
              <w:t>85</w:t>
            </w:r>
          </w:p>
        </w:tc>
        <w:tc>
          <w:tcPr>
            <w:tcW w:w="1340" w:type="dxa"/>
            <w:vAlign w:val="bottom"/>
            <w:tcBorders>
              <w:bottom w:val="single" w:sz="8" w:color="auto"/>
            </w:tcBorders>
          </w:tcPr>
          <w:p>
            <w:pPr>
              <w:jc w:val="right"/>
              <w:ind w:right="944"/>
              <w:spacing w:after="0" w:line="166"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41"/>
        </w:trPr>
        <w:tc>
          <w:tcPr>
            <w:tcW w:w="7100" w:type="dxa"/>
            <w:vAlign w:val="bottom"/>
          </w:tcPr>
          <w:p>
            <w:pPr>
              <w:spacing w:after="0" w:line="142" w:lineRule="exact"/>
              <w:rPr>
                <w:sz w:val="20"/>
                <w:szCs w:val="20"/>
                <w:color w:val="auto"/>
              </w:rPr>
            </w:pPr>
            <w:r>
              <w:rPr>
                <w:rFonts w:ascii="Arial" w:cs="Arial" w:eastAsia="Arial" w:hAnsi="Arial"/>
                <w:sz w:val="16"/>
                <w:szCs w:val="16"/>
                <w:color w:val="auto"/>
              </w:rPr>
              <w:t>Change in unrealized gains or losses relating to</w:t>
            </w:r>
          </w:p>
        </w:tc>
        <w:tc>
          <w:tcPr>
            <w:tcW w:w="1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100" w:type="dxa"/>
            <w:vAlign w:val="bottom"/>
          </w:tcPr>
          <w:p>
            <w:pPr>
              <w:ind w:left="180"/>
              <w:spacing w:after="0"/>
              <w:rPr>
                <w:sz w:val="20"/>
                <w:szCs w:val="20"/>
                <w:color w:val="auto"/>
              </w:rPr>
            </w:pPr>
            <w:r>
              <w:rPr>
                <w:rFonts w:ascii="Arial" w:cs="Arial" w:eastAsia="Arial" w:hAnsi="Arial"/>
                <w:sz w:val="16"/>
                <w:szCs w:val="16"/>
                <w:color w:val="auto"/>
              </w:rPr>
              <w:t>instruments still held at June 30</w:t>
            </w:r>
          </w:p>
        </w:tc>
        <w:tc>
          <w:tcPr>
            <w:tcW w:w="1240" w:type="dxa"/>
            <w:vAlign w:val="bottom"/>
          </w:tcPr>
          <w:p>
            <w:pPr>
              <w:jc w:val="right"/>
              <w:ind w:right="624"/>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944"/>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80"/>
        </w:trPr>
        <w:tc>
          <w:tcPr>
            <w:tcW w:w="7100" w:type="dxa"/>
            <w:vAlign w:val="bottom"/>
            <w:shd w:val="clear" w:color="auto" w:fill="C0C0C0"/>
          </w:tcPr>
          <w:p>
            <w:pPr>
              <w:spacing w:after="0"/>
              <w:rPr>
                <w:sz w:val="6"/>
                <w:szCs w:val="6"/>
                <w:color w:val="auto"/>
              </w:rPr>
            </w:pPr>
          </w:p>
        </w:tc>
        <w:tc>
          <w:tcPr>
            <w:tcW w:w="1240" w:type="dxa"/>
            <w:vAlign w:val="bottom"/>
            <w:shd w:val="clear" w:color="auto" w:fill="C0C0C0"/>
          </w:tcPr>
          <w:p>
            <w:pPr>
              <w:spacing w:after="0"/>
              <w:rPr>
                <w:sz w:val="6"/>
                <w:szCs w:val="6"/>
                <w:color w:val="auto"/>
              </w:rPr>
            </w:pPr>
          </w:p>
        </w:tc>
        <w:tc>
          <w:tcPr>
            <w:tcW w:w="1120" w:type="dxa"/>
            <w:vAlign w:val="bottom"/>
            <w:shd w:val="clear" w:color="auto" w:fill="C0C0C0"/>
          </w:tcPr>
          <w:p>
            <w:pPr>
              <w:spacing w:after="0"/>
              <w:rPr>
                <w:sz w:val="6"/>
                <w:szCs w:val="6"/>
                <w:color w:val="auto"/>
              </w:rPr>
            </w:pPr>
          </w:p>
        </w:tc>
        <w:tc>
          <w:tcPr>
            <w:tcW w:w="1340" w:type="dxa"/>
            <w:vAlign w:val="bottom"/>
            <w:shd w:val="clear" w:color="auto" w:fill="C0C0C0"/>
          </w:tcPr>
          <w:p>
            <w:pPr>
              <w:spacing w:after="0"/>
              <w:rPr>
                <w:sz w:val="6"/>
                <w:szCs w:val="6"/>
                <w:color w:val="auto"/>
              </w:rPr>
            </w:pPr>
          </w:p>
        </w:tc>
        <w:tc>
          <w:tcPr>
            <w:tcW w:w="620" w:type="dxa"/>
            <w:vAlign w:val="bottom"/>
            <w:shd w:val="clear" w:color="auto" w:fill="C0C0C0"/>
          </w:tcPr>
          <w:p>
            <w:pPr>
              <w:spacing w:after="0"/>
              <w:rPr>
                <w:sz w:val="6"/>
                <w:szCs w:val="6"/>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SDG&amp;E’s Energy and Fuel Procurement department, in conjunction with SDG&amp;E’s finance group, is responsible for determining the appropriate fair value methodologies used to value and classify CRRs on an ongoing basis. Inputs used to determine the fair value of CRRs are reviewed and compared with market conditions to determine reasonableness. SDG&amp;E expects all costs related to CRRs to be recoverable through customer rates. As such, there is no impact to earnings from changes in the fair value of these instruments.</w:t>
      </w:r>
    </w:p>
    <w:p>
      <w:pPr>
        <w:spacing w:after="0" w:line="18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CRRs are recorded at fair value based almost entirely on the most current auction prices published by the California Independent System Operator (CAISO), an objective source. The impact associated with discounting is negligible. Because auction prices are a less observable input, these instruments are classified as Level 3. At June 30, 2014 the auction prices ranged from $(6) per MWh to $12 per MWh at a given location, and the fair value of these instruments is derived from auction price differences between two locations. At June 30, 2013 the auction prices ranged from $(8) per MWh to $8 per MWh. Positive values between two locations represent expected future reductions in congestion costs, whereas negative values between two locations represent expected future charges. Valuation of our CRRs is sensitive to a change in auction price. If auction prices at one location increase (decrease) relative to another location, this could result in a higher (lower) fair value measurement. We summarize CRR volumes in Note 7. Realized gains and losses associated with CRRs are recorded in Cost of Electric Fuel and Purchased Power, which is recoverable in rates, on the Condensed Consolidated Statements of Operations. Unrealized gains and losses are recorded as regulatory assets and liabilities and therefore also do not affect earnings.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Fair Value of Financial Instruments</w:t>
      </w:r>
    </w:p>
    <w:p>
      <w:pPr>
        <w:spacing w:after="0" w:line="21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fair values of certain of our financial instruments (cash, temporary investments, accounts and notes receivable, dividends and accounts payable, short-term debt and customer deposits) approximate their carrying amounts. Investments in life insurance contracts that we hold in support of our Supplemental Executive Retirement, Cash Balance Restoration and Deferred Compensation Plans are carried at cash surrender values, which represent the amount of cash that could be realized under the contracts. The following table provides the carrying amounts and fair values of certain other financial instruments at June 30, 2014 and December 31, 2013:</w:t>
      </w: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402"/>
              <w:spacing w:after="0" w:line="155" w:lineRule="exact"/>
              <w:rPr>
                <w:sz w:val="20"/>
                <w:szCs w:val="20"/>
                <w:color w:val="auto"/>
              </w:rPr>
            </w:pPr>
            <w:r>
              <w:rPr>
                <w:rFonts w:ascii="Arial" w:cs="Arial" w:eastAsia="Arial" w:hAnsi="Arial"/>
                <w:sz w:val="14"/>
                <w:szCs w:val="14"/>
                <w:color w:val="auto"/>
              </w:rPr>
              <w:t>June 30, 2014</w:t>
            </w: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59"/>
        </w:trPr>
        <w:tc>
          <w:tcPr>
            <w:tcW w:w="4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562"/>
              <w:spacing w:after="0" w:line="159" w:lineRule="exact"/>
              <w:rPr>
                <w:sz w:val="20"/>
                <w:szCs w:val="20"/>
                <w:color w:val="auto"/>
              </w:rPr>
            </w:pPr>
            <w:r>
              <w:rPr>
                <w:rFonts w:ascii="Arial" w:cs="Arial" w:eastAsia="Arial" w:hAnsi="Arial"/>
                <w:sz w:val="14"/>
                <w:szCs w:val="14"/>
                <w:color w:val="auto"/>
              </w:rPr>
              <w:t>Carrying</w:t>
            </w: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2"/>
          </w:tcPr>
          <w:p>
            <w:pPr>
              <w:jc w:val="right"/>
              <w:ind w:right="622"/>
              <w:spacing w:after="0" w:line="159" w:lineRule="exact"/>
              <w:rPr>
                <w:sz w:val="20"/>
                <w:szCs w:val="20"/>
                <w:color w:val="auto"/>
              </w:rPr>
            </w:pPr>
            <w:r>
              <w:rPr>
                <w:rFonts w:ascii="Arial" w:cs="Arial" w:eastAsia="Arial" w:hAnsi="Arial"/>
                <w:sz w:val="14"/>
                <w:szCs w:val="14"/>
                <w:color w:val="auto"/>
              </w:rPr>
              <w:t>Fair Value</w:t>
            </w:r>
          </w:p>
        </w:tc>
        <w:tc>
          <w:tcPr>
            <w:tcW w:w="4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66"/>
        </w:trPr>
        <w:tc>
          <w:tcPr>
            <w:tcW w:w="4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color w:val="auto"/>
              </w:rPr>
              <w:t>Amount</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Total</w:t>
            </w:r>
          </w:p>
        </w:tc>
      </w:tr>
      <w:tr>
        <w:trPr>
          <w:trHeight w:val="135"/>
        </w:trPr>
        <w:tc>
          <w:tcPr>
            <w:tcW w:w="4460" w:type="dxa"/>
            <w:vAlign w:val="bottom"/>
          </w:tcPr>
          <w:p>
            <w:pPr>
              <w:spacing w:after="0" w:line="135" w:lineRule="exact"/>
              <w:rPr>
                <w:sz w:val="20"/>
                <w:szCs w:val="20"/>
                <w:color w:val="auto"/>
              </w:rPr>
            </w:pPr>
            <w:r>
              <w:rPr>
                <w:rFonts w:ascii="Arial" w:cs="Arial" w:eastAsia="Arial" w:hAnsi="Arial"/>
                <w:sz w:val="15"/>
                <w:szCs w:val="15"/>
                <w:b w:val="1"/>
                <w:bCs w:val="1"/>
                <w:color w:val="auto"/>
              </w:rPr>
              <w:t>Sempra Energy Consolidated:</w:t>
            </w: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99"/>
        </w:trPr>
        <w:tc>
          <w:tcPr>
            <w:tcW w:w="4460" w:type="dxa"/>
            <w:vAlign w:val="bottom"/>
          </w:tcPr>
          <w:p>
            <w:pPr>
              <w:spacing w:after="0"/>
              <w:rPr>
                <w:sz w:val="20"/>
                <w:szCs w:val="20"/>
                <w:color w:val="auto"/>
              </w:rPr>
            </w:pPr>
            <w:r>
              <w:rPr>
                <w:rFonts w:ascii="Arial" w:cs="Arial" w:eastAsia="Arial" w:hAnsi="Arial"/>
                <w:sz w:val="16"/>
                <w:szCs w:val="16"/>
                <w:color w:val="auto"/>
              </w:rPr>
              <w:t>Investment in limited partnership</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2"/>
              <w:spacing w:after="0"/>
              <w:rPr>
                <w:sz w:val="20"/>
                <w:szCs w:val="20"/>
                <w:color w:val="auto"/>
              </w:rPr>
            </w:pPr>
            <w:r>
              <w:rPr>
                <w:rFonts w:ascii="Arial" w:cs="Arial" w:eastAsia="Arial" w:hAnsi="Arial"/>
                <w:sz w:val="16"/>
                <w:szCs w:val="16"/>
                <w:color w:val="auto"/>
              </w:rPr>
              <w:t>5</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ind w:left="7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62"/>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73"/>
        </w:trPr>
        <w:tc>
          <w:tcPr>
            <w:tcW w:w="4460" w:type="dxa"/>
            <w:vAlign w:val="bottom"/>
          </w:tcPr>
          <w:p>
            <w:pPr>
              <w:spacing w:after="0" w:line="173" w:lineRule="exact"/>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(1)</w:t>
            </w:r>
          </w:p>
        </w:tc>
        <w:tc>
          <w:tcPr>
            <w:tcW w:w="340" w:type="dxa"/>
            <w:vAlign w:val="bottom"/>
          </w:tcPr>
          <w:p>
            <w:pPr>
              <w:spacing w:after="0"/>
              <w:rPr>
                <w:sz w:val="15"/>
                <w:szCs w:val="15"/>
                <w:color w:val="auto"/>
              </w:rPr>
            </w:pPr>
          </w:p>
        </w:tc>
        <w:tc>
          <w:tcPr>
            <w:tcW w:w="1200" w:type="dxa"/>
            <w:vAlign w:val="bottom"/>
          </w:tcPr>
          <w:p>
            <w:pPr>
              <w:jc w:val="right"/>
              <w:ind w:right="202"/>
              <w:spacing w:after="0" w:line="173" w:lineRule="exact"/>
              <w:rPr>
                <w:sz w:val="20"/>
                <w:szCs w:val="20"/>
                <w:color w:val="auto"/>
              </w:rPr>
            </w:pPr>
            <w:r>
              <w:rPr>
                <w:rFonts w:ascii="Arial" w:cs="Arial" w:eastAsia="Arial" w:hAnsi="Arial"/>
                <w:sz w:val="16"/>
                <w:szCs w:val="16"/>
                <w:color w:val="auto"/>
              </w:rPr>
              <w:t>11,952</w:t>
            </w:r>
          </w:p>
        </w:tc>
        <w:tc>
          <w:tcPr>
            <w:tcW w:w="360" w:type="dxa"/>
            <w:vAlign w:val="bottom"/>
          </w:tcPr>
          <w:p>
            <w:pPr>
              <w:spacing w:after="0"/>
              <w:rPr>
                <w:sz w:val="15"/>
                <w:szCs w:val="15"/>
                <w:color w:val="auto"/>
              </w:rPr>
            </w:pPr>
          </w:p>
        </w:tc>
        <w:tc>
          <w:tcPr>
            <w:tcW w:w="1000" w:type="dxa"/>
            <w:vAlign w:val="bottom"/>
          </w:tcPr>
          <w:p>
            <w:pPr>
              <w:ind w:left="740"/>
              <w:spacing w:after="0" w:line="173"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140" w:type="dxa"/>
            <w:vAlign w:val="bottom"/>
          </w:tcPr>
          <w:p>
            <w:pPr>
              <w:jc w:val="right"/>
              <w:ind w:right="62"/>
              <w:spacing w:after="0" w:line="173" w:lineRule="exact"/>
              <w:rPr>
                <w:sz w:val="20"/>
                <w:szCs w:val="20"/>
                <w:color w:val="auto"/>
              </w:rPr>
            </w:pPr>
            <w:r>
              <w:rPr>
                <w:rFonts w:ascii="Arial" w:cs="Arial" w:eastAsia="Arial" w:hAnsi="Arial"/>
                <w:sz w:val="16"/>
                <w:szCs w:val="16"/>
                <w:color w:val="auto"/>
              </w:rPr>
              <w:t>12,250</w:t>
            </w:r>
          </w:p>
        </w:tc>
        <w:tc>
          <w:tcPr>
            <w:tcW w:w="860" w:type="dxa"/>
            <w:vAlign w:val="bottom"/>
          </w:tcPr>
          <w:p>
            <w:pPr>
              <w:spacing w:after="0"/>
              <w:rPr>
                <w:sz w:val="15"/>
                <w:szCs w:val="15"/>
                <w:color w:val="auto"/>
              </w:rPr>
            </w:pPr>
          </w:p>
        </w:tc>
        <w:tc>
          <w:tcPr>
            <w:tcW w:w="480" w:type="dxa"/>
            <w:vAlign w:val="bottom"/>
          </w:tcPr>
          <w:p>
            <w:pPr>
              <w:jc w:val="right"/>
              <w:ind w:right="60"/>
              <w:spacing w:after="0" w:line="173" w:lineRule="exact"/>
              <w:rPr>
                <w:sz w:val="20"/>
                <w:szCs w:val="20"/>
                <w:color w:val="auto"/>
              </w:rPr>
            </w:pPr>
            <w:r>
              <w:rPr>
                <w:rFonts w:ascii="Arial" w:cs="Arial" w:eastAsia="Arial" w:hAnsi="Arial"/>
                <w:sz w:val="16"/>
                <w:szCs w:val="16"/>
                <w:color w:val="auto"/>
              </w:rPr>
              <w:t>884</w:t>
            </w:r>
          </w:p>
        </w:tc>
        <w:tc>
          <w:tcPr>
            <w:tcW w:w="320" w:type="dxa"/>
            <w:vAlign w:val="bottom"/>
          </w:tcPr>
          <w:p>
            <w:pPr>
              <w:spacing w:after="0"/>
              <w:rPr>
                <w:sz w:val="15"/>
                <w:szCs w:val="15"/>
                <w:color w:val="auto"/>
              </w:rPr>
            </w:pPr>
          </w:p>
        </w:tc>
        <w:tc>
          <w:tcPr>
            <w:tcW w:w="920" w:type="dxa"/>
            <w:vAlign w:val="bottom"/>
          </w:tcPr>
          <w:p>
            <w:pPr>
              <w:jc w:val="right"/>
              <w:spacing w:after="0" w:line="173" w:lineRule="exact"/>
              <w:rPr>
                <w:sz w:val="20"/>
                <w:szCs w:val="20"/>
                <w:color w:val="auto"/>
              </w:rPr>
            </w:pPr>
            <w:r>
              <w:rPr>
                <w:rFonts w:ascii="Arial" w:cs="Arial" w:eastAsia="Arial" w:hAnsi="Arial"/>
                <w:sz w:val="16"/>
                <w:szCs w:val="16"/>
                <w:color w:val="auto"/>
              </w:rPr>
              <w:t>13,134</w:t>
            </w:r>
          </w:p>
        </w:tc>
      </w:tr>
      <w:tr>
        <w:trPr>
          <w:trHeight w:val="204"/>
        </w:trPr>
        <w:tc>
          <w:tcPr>
            <w:tcW w:w="4460" w:type="dxa"/>
            <w:vAlign w:val="bottom"/>
          </w:tcPr>
          <w:p>
            <w:pPr>
              <w:spacing w:after="0"/>
              <w:rPr>
                <w:sz w:val="20"/>
                <w:szCs w:val="20"/>
                <w:color w:val="auto"/>
              </w:rPr>
            </w:pPr>
            <w:r>
              <w:rPr>
                <w:rFonts w:ascii="Arial" w:cs="Arial" w:eastAsia="Arial" w:hAnsi="Arial"/>
                <w:sz w:val="16"/>
                <w:szCs w:val="16"/>
                <w:color w:val="auto"/>
              </w:rPr>
              <w:t>Preferred stock of subsidiary</w:t>
            </w:r>
          </w:p>
        </w:tc>
        <w:tc>
          <w:tcPr>
            <w:tcW w:w="340" w:type="dxa"/>
            <w:vAlign w:val="bottom"/>
          </w:tcPr>
          <w:p>
            <w:pPr>
              <w:spacing w:after="0"/>
              <w:rPr>
                <w:sz w:val="17"/>
                <w:szCs w:val="17"/>
                <w:color w:val="auto"/>
              </w:rPr>
            </w:pPr>
          </w:p>
        </w:tc>
        <w:tc>
          <w:tcPr>
            <w:tcW w:w="1200" w:type="dxa"/>
            <w:vAlign w:val="bottom"/>
          </w:tcPr>
          <w:p>
            <w:pPr>
              <w:jc w:val="right"/>
              <w:ind w:right="202"/>
              <w:spacing w:after="0"/>
              <w:rPr>
                <w:sz w:val="20"/>
                <w:szCs w:val="20"/>
                <w:color w:val="auto"/>
              </w:rPr>
            </w:pPr>
            <w:r>
              <w:rPr>
                <w:rFonts w:ascii="Arial" w:cs="Arial" w:eastAsia="Arial" w:hAnsi="Arial"/>
                <w:sz w:val="16"/>
                <w:szCs w:val="16"/>
                <w:color w:val="auto"/>
              </w:rPr>
              <w:t>20</w:t>
            </w:r>
          </w:p>
        </w:tc>
        <w:tc>
          <w:tcPr>
            <w:tcW w:w="360" w:type="dxa"/>
            <w:vAlign w:val="bottom"/>
          </w:tcPr>
          <w:p>
            <w:pPr>
              <w:spacing w:after="0"/>
              <w:rPr>
                <w:sz w:val="17"/>
                <w:szCs w:val="17"/>
                <w:color w:val="auto"/>
              </w:rPr>
            </w:pPr>
          </w:p>
        </w:tc>
        <w:tc>
          <w:tcPr>
            <w:tcW w:w="1000" w:type="dxa"/>
            <w:vAlign w:val="bottom"/>
          </w:tcPr>
          <w:p>
            <w:pPr>
              <w:ind w:left="7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23</w:t>
            </w:r>
          </w:p>
        </w:tc>
        <w:tc>
          <w:tcPr>
            <w:tcW w:w="860" w:type="dxa"/>
            <w:vAlign w:val="bottom"/>
          </w:tcPr>
          <w:p>
            <w:pPr>
              <w:spacing w:after="0"/>
              <w:rPr>
                <w:sz w:val="17"/>
                <w:szCs w:val="17"/>
                <w:color w:val="auto"/>
              </w:rPr>
            </w:pPr>
          </w:p>
        </w:tc>
        <w:tc>
          <w:tcPr>
            <w:tcW w:w="4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80"/>
        </w:trPr>
        <w:tc>
          <w:tcPr>
            <w:tcW w:w="4460" w:type="dxa"/>
            <w:vAlign w:val="bottom"/>
            <w:shd w:val="clear" w:color="auto" w:fill="ABABAB"/>
          </w:tcPr>
          <w:p>
            <w:pPr>
              <w:spacing w:after="0"/>
              <w:rPr>
                <w:sz w:val="6"/>
                <w:szCs w:val="6"/>
                <w:color w:val="auto"/>
              </w:rPr>
            </w:pPr>
          </w:p>
        </w:tc>
        <w:tc>
          <w:tcPr>
            <w:tcW w:w="340" w:type="dxa"/>
            <w:vAlign w:val="bottom"/>
            <w:shd w:val="clear" w:color="auto" w:fill="ABABAB"/>
          </w:tcPr>
          <w:p>
            <w:pPr>
              <w:spacing w:after="0"/>
              <w:rPr>
                <w:sz w:val="6"/>
                <w:szCs w:val="6"/>
                <w:color w:val="auto"/>
              </w:rPr>
            </w:pPr>
          </w:p>
        </w:tc>
        <w:tc>
          <w:tcPr>
            <w:tcW w:w="1200" w:type="dxa"/>
            <w:vAlign w:val="bottom"/>
            <w:shd w:val="clear" w:color="auto" w:fill="ABABAB"/>
          </w:tcPr>
          <w:p>
            <w:pPr>
              <w:spacing w:after="0"/>
              <w:rPr>
                <w:sz w:val="6"/>
                <w:szCs w:val="6"/>
                <w:color w:val="auto"/>
              </w:rPr>
            </w:pPr>
          </w:p>
        </w:tc>
        <w:tc>
          <w:tcPr>
            <w:tcW w:w="360" w:type="dxa"/>
            <w:vAlign w:val="bottom"/>
            <w:shd w:val="clear" w:color="auto" w:fill="ABABAB"/>
          </w:tcPr>
          <w:p>
            <w:pPr>
              <w:spacing w:after="0"/>
              <w:rPr>
                <w:sz w:val="6"/>
                <w:szCs w:val="6"/>
                <w:color w:val="auto"/>
              </w:rPr>
            </w:pPr>
          </w:p>
        </w:tc>
        <w:tc>
          <w:tcPr>
            <w:tcW w:w="1000" w:type="dxa"/>
            <w:vAlign w:val="bottom"/>
            <w:shd w:val="clear" w:color="auto" w:fill="ABABAB"/>
          </w:tcPr>
          <w:p>
            <w:pPr>
              <w:spacing w:after="0"/>
              <w:rPr>
                <w:sz w:val="6"/>
                <w:szCs w:val="6"/>
                <w:color w:val="auto"/>
              </w:rPr>
            </w:pPr>
          </w:p>
        </w:tc>
        <w:tc>
          <w:tcPr>
            <w:tcW w:w="340" w:type="dxa"/>
            <w:vAlign w:val="bottom"/>
            <w:shd w:val="clear" w:color="auto" w:fill="ABABAB"/>
          </w:tcPr>
          <w:p>
            <w:pPr>
              <w:spacing w:after="0"/>
              <w:rPr>
                <w:sz w:val="6"/>
                <w:szCs w:val="6"/>
                <w:color w:val="auto"/>
              </w:rPr>
            </w:pPr>
          </w:p>
        </w:tc>
        <w:tc>
          <w:tcPr>
            <w:tcW w:w="1140" w:type="dxa"/>
            <w:vAlign w:val="bottom"/>
            <w:shd w:val="clear" w:color="auto" w:fill="ABABAB"/>
          </w:tcPr>
          <w:p>
            <w:pPr>
              <w:spacing w:after="0"/>
              <w:rPr>
                <w:sz w:val="6"/>
                <w:szCs w:val="6"/>
                <w:color w:val="auto"/>
              </w:rPr>
            </w:pPr>
          </w:p>
        </w:tc>
        <w:tc>
          <w:tcPr>
            <w:tcW w:w="860" w:type="dxa"/>
            <w:vAlign w:val="bottom"/>
            <w:shd w:val="clear" w:color="auto" w:fill="ABABAB"/>
          </w:tcPr>
          <w:p>
            <w:pPr>
              <w:spacing w:after="0"/>
              <w:rPr>
                <w:sz w:val="6"/>
                <w:szCs w:val="6"/>
                <w:color w:val="auto"/>
              </w:rPr>
            </w:pPr>
          </w:p>
        </w:tc>
        <w:tc>
          <w:tcPr>
            <w:tcW w:w="480" w:type="dxa"/>
            <w:vAlign w:val="bottom"/>
            <w:shd w:val="clear" w:color="auto" w:fill="ABABAB"/>
          </w:tcPr>
          <w:p>
            <w:pPr>
              <w:spacing w:after="0"/>
              <w:rPr>
                <w:sz w:val="6"/>
                <w:szCs w:val="6"/>
                <w:color w:val="auto"/>
              </w:rPr>
            </w:pPr>
          </w:p>
        </w:tc>
        <w:tc>
          <w:tcPr>
            <w:tcW w:w="320" w:type="dxa"/>
            <w:vAlign w:val="bottom"/>
            <w:shd w:val="clear" w:color="auto" w:fill="ABABAB"/>
          </w:tcPr>
          <w:p>
            <w:pPr>
              <w:spacing w:after="0"/>
              <w:rPr>
                <w:sz w:val="6"/>
                <w:szCs w:val="6"/>
                <w:color w:val="auto"/>
              </w:rPr>
            </w:pPr>
          </w:p>
        </w:tc>
        <w:tc>
          <w:tcPr>
            <w:tcW w:w="920" w:type="dxa"/>
            <w:vAlign w:val="bottom"/>
            <w:shd w:val="clear" w:color="auto" w:fill="ABABAB"/>
          </w:tcPr>
          <w:p>
            <w:pPr>
              <w:spacing w:after="0"/>
              <w:rPr>
                <w:sz w:val="6"/>
                <w:szCs w:val="6"/>
                <w:color w:val="auto"/>
              </w:rPr>
            </w:pPr>
          </w:p>
        </w:tc>
      </w:tr>
      <w:tr>
        <w:trPr>
          <w:trHeight w:val="141"/>
        </w:trPr>
        <w:tc>
          <w:tcPr>
            <w:tcW w:w="4460" w:type="dxa"/>
            <w:vAlign w:val="bottom"/>
          </w:tcPr>
          <w:p>
            <w:pPr>
              <w:spacing w:after="0" w:line="142" w:lineRule="exact"/>
              <w:rPr>
                <w:sz w:val="20"/>
                <w:szCs w:val="20"/>
                <w:color w:val="auto"/>
              </w:rPr>
            </w:pPr>
            <w:r>
              <w:rPr>
                <w:rFonts w:ascii="Arial" w:cs="Arial" w:eastAsia="Arial" w:hAnsi="Arial"/>
                <w:sz w:val="16"/>
                <w:szCs w:val="16"/>
                <w:b w:val="1"/>
                <w:bCs w:val="1"/>
                <w:color w:val="auto"/>
              </w:rPr>
              <w:t>SDG&amp;E:</w:t>
            </w: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04"/>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2"/>
              <w:spacing w:after="0"/>
              <w:rPr>
                <w:sz w:val="20"/>
                <w:szCs w:val="20"/>
                <w:color w:val="auto"/>
              </w:rPr>
            </w:pPr>
            <w:r>
              <w:rPr>
                <w:rFonts w:ascii="Arial" w:cs="Arial" w:eastAsia="Arial" w:hAnsi="Arial"/>
                <w:sz w:val="16"/>
                <w:szCs w:val="16"/>
                <w:color w:val="auto"/>
              </w:rPr>
              <w:t>4,466</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ind w:left="7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4,462</w:t>
            </w:r>
          </w:p>
        </w:tc>
        <w:tc>
          <w:tcPr>
            <w:tcW w:w="860" w:type="dxa"/>
            <w:vAlign w:val="bottom"/>
          </w:tcPr>
          <w:p>
            <w:pPr>
              <w:jc w:val="right"/>
              <w:ind w:right="562"/>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60"/>
              <w:spacing w:after="0"/>
              <w:rPr>
                <w:sz w:val="20"/>
                <w:szCs w:val="20"/>
                <w:color w:val="auto"/>
              </w:rPr>
            </w:pPr>
            <w:r>
              <w:rPr>
                <w:rFonts w:ascii="Arial" w:cs="Arial" w:eastAsia="Arial" w:hAnsi="Arial"/>
                <w:sz w:val="16"/>
                <w:szCs w:val="16"/>
                <w:color w:val="auto"/>
              </w:rPr>
              <w:t>430</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4,892</w:t>
            </w:r>
          </w:p>
        </w:tc>
      </w:tr>
      <w:tr>
        <w:trPr>
          <w:trHeight w:val="80"/>
        </w:trPr>
        <w:tc>
          <w:tcPr>
            <w:tcW w:w="4460" w:type="dxa"/>
            <w:vAlign w:val="bottom"/>
            <w:shd w:val="clear" w:color="auto" w:fill="ABABAB"/>
          </w:tcPr>
          <w:p>
            <w:pPr>
              <w:spacing w:after="0"/>
              <w:rPr>
                <w:sz w:val="6"/>
                <w:szCs w:val="6"/>
                <w:color w:val="auto"/>
              </w:rPr>
            </w:pPr>
          </w:p>
        </w:tc>
        <w:tc>
          <w:tcPr>
            <w:tcW w:w="340" w:type="dxa"/>
            <w:vAlign w:val="bottom"/>
            <w:shd w:val="clear" w:color="auto" w:fill="ABABAB"/>
          </w:tcPr>
          <w:p>
            <w:pPr>
              <w:spacing w:after="0"/>
              <w:rPr>
                <w:sz w:val="6"/>
                <w:szCs w:val="6"/>
                <w:color w:val="auto"/>
              </w:rPr>
            </w:pPr>
          </w:p>
        </w:tc>
        <w:tc>
          <w:tcPr>
            <w:tcW w:w="1200" w:type="dxa"/>
            <w:vAlign w:val="bottom"/>
            <w:shd w:val="clear" w:color="auto" w:fill="ABABAB"/>
          </w:tcPr>
          <w:p>
            <w:pPr>
              <w:spacing w:after="0"/>
              <w:rPr>
                <w:sz w:val="6"/>
                <w:szCs w:val="6"/>
                <w:color w:val="auto"/>
              </w:rPr>
            </w:pPr>
          </w:p>
        </w:tc>
        <w:tc>
          <w:tcPr>
            <w:tcW w:w="360" w:type="dxa"/>
            <w:vAlign w:val="bottom"/>
            <w:shd w:val="clear" w:color="auto" w:fill="ABABAB"/>
          </w:tcPr>
          <w:p>
            <w:pPr>
              <w:spacing w:after="0"/>
              <w:rPr>
                <w:sz w:val="6"/>
                <w:szCs w:val="6"/>
                <w:color w:val="auto"/>
              </w:rPr>
            </w:pPr>
          </w:p>
        </w:tc>
        <w:tc>
          <w:tcPr>
            <w:tcW w:w="1000" w:type="dxa"/>
            <w:vAlign w:val="bottom"/>
            <w:shd w:val="clear" w:color="auto" w:fill="ABABAB"/>
          </w:tcPr>
          <w:p>
            <w:pPr>
              <w:spacing w:after="0"/>
              <w:rPr>
                <w:sz w:val="6"/>
                <w:szCs w:val="6"/>
                <w:color w:val="auto"/>
              </w:rPr>
            </w:pPr>
          </w:p>
        </w:tc>
        <w:tc>
          <w:tcPr>
            <w:tcW w:w="340" w:type="dxa"/>
            <w:vAlign w:val="bottom"/>
            <w:shd w:val="clear" w:color="auto" w:fill="ABABAB"/>
          </w:tcPr>
          <w:p>
            <w:pPr>
              <w:spacing w:after="0"/>
              <w:rPr>
                <w:sz w:val="6"/>
                <w:szCs w:val="6"/>
                <w:color w:val="auto"/>
              </w:rPr>
            </w:pPr>
          </w:p>
        </w:tc>
        <w:tc>
          <w:tcPr>
            <w:tcW w:w="1140" w:type="dxa"/>
            <w:vAlign w:val="bottom"/>
            <w:shd w:val="clear" w:color="auto" w:fill="ABABAB"/>
          </w:tcPr>
          <w:p>
            <w:pPr>
              <w:spacing w:after="0"/>
              <w:rPr>
                <w:sz w:val="6"/>
                <w:szCs w:val="6"/>
                <w:color w:val="auto"/>
              </w:rPr>
            </w:pPr>
          </w:p>
        </w:tc>
        <w:tc>
          <w:tcPr>
            <w:tcW w:w="860" w:type="dxa"/>
            <w:vAlign w:val="bottom"/>
            <w:shd w:val="clear" w:color="auto" w:fill="ABABAB"/>
          </w:tcPr>
          <w:p>
            <w:pPr>
              <w:spacing w:after="0"/>
              <w:rPr>
                <w:sz w:val="6"/>
                <w:szCs w:val="6"/>
                <w:color w:val="auto"/>
              </w:rPr>
            </w:pPr>
          </w:p>
        </w:tc>
        <w:tc>
          <w:tcPr>
            <w:tcW w:w="480" w:type="dxa"/>
            <w:vAlign w:val="bottom"/>
            <w:shd w:val="clear" w:color="auto" w:fill="ABABAB"/>
          </w:tcPr>
          <w:p>
            <w:pPr>
              <w:spacing w:after="0"/>
              <w:rPr>
                <w:sz w:val="6"/>
                <w:szCs w:val="6"/>
                <w:color w:val="auto"/>
              </w:rPr>
            </w:pPr>
          </w:p>
        </w:tc>
        <w:tc>
          <w:tcPr>
            <w:tcW w:w="320" w:type="dxa"/>
            <w:vAlign w:val="bottom"/>
            <w:shd w:val="clear" w:color="auto" w:fill="ABABAB"/>
          </w:tcPr>
          <w:p>
            <w:pPr>
              <w:spacing w:after="0"/>
              <w:rPr>
                <w:sz w:val="6"/>
                <w:szCs w:val="6"/>
                <w:color w:val="auto"/>
              </w:rPr>
            </w:pPr>
          </w:p>
        </w:tc>
        <w:tc>
          <w:tcPr>
            <w:tcW w:w="920" w:type="dxa"/>
            <w:vAlign w:val="bottom"/>
            <w:shd w:val="clear" w:color="auto" w:fill="ABABAB"/>
          </w:tcPr>
          <w:p>
            <w:pPr>
              <w:spacing w:after="0"/>
              <w:rPr>
                <w:sz w:val="6"/>
                <w:szCs w:val="6"/>
                <w:color w:val="auto"/>
              </w:rPr>
            </w:pPr>
          </w:p>
        </w:tc>
      </w:tr>
      <w:tr>
        <w:trPr>
          <w:trHeight w:val="141"/>
        </w:trPr>
        <w:tc>
          <w:tcPr>
            <w:tcW w:w="4460" w:type="dxa"/>
            <w:vAlign w:val="bottom"/>
          </w:tcPr>
          <w:p>
            <w:pPr>
              <w:spacing w:after="0" w:line="142" w:lineRule="exact"/>
              <w:rPr>
                <w:sz w:val="20"/>
                <w:szCs w:val="20"/>
                <w:color w:val="auto"/>
              </w:rPr>
            </w:pPr>
            <w:r>
              <w:rPr>
                <w:rFonts w:ascii="Arial" w:cs="Arial" w:eastAsia="Arial" w:hAnsi="Arial"/>
                <w:sz w:val="16"/>
                <w:szCs w:val="16"/>
                <w:b w:val="1"/>
                <w:bCs w:val="1"/>
                <w:color w:val="auto"/>
              </w:rPr>
              <w:t>SoCalGas:</w:t>
            </w: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3"/>
        </w:trPr>
        <w:tc>
          <w:tcPr>
            <w:tcW w:w="4460" w:type="dxa"/>
            <w:vAlign w:val="bottom"/>
          </w:tcPr>
          <w:p>
            <w:pPr>
              <w:spacing w:after="0" w:line="173" w:lineRule="exact"/>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(3)</w:t>
            </w:r>
          </w:p>
        </w:tc>
        <w:tc>
          <w:tcPr>
            <w:tcW w:w="3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02"/>
              <w:spacing w:after="0" w:line="173" w:lineRule="exact"/>
              <w:rPr>
                <w:sz w:val="20"/>
                <w:szCs w:val="20"/>
                <w:color w:val="auto"/>
              </w:rPr>
            </w:pPr>
            <w:r>
              <w:rPr>
                <w:rFonts w:ascii="Arial" w:cs="Arial" w:eastAsia="Arial" w:hAnsi="Arial"/>
                <w:sz w:val="16"/>
                <w:szCs w:val="16"/>
                <w:color w:val="auto"/>
              </w:rPr>
              <w:t>1,413</w:t>
            </w:r>
          </w:p>
        </w:tc>
        <w:tc>
          <w:tcPr>
            <w:tcW w:w="3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000" w:type="dxa"/>
            <w:vAlign w:val="bottom"/>
          </w:tcPr>
          <w:p>
            <w:pPr>
              <w:ind w:left="740"/>
              <w:spacing w:after="0" w:line="173"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22"/>
              <w:spacing w:after="0" w:line="17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line="173" w:lineRule="exact"/>
              <w:rPr>
                <w:sz w:val="20"/>
                <w:szCs w:val="20"/>
                <w:color w:val="auto"/>
              </w:rPr>
            </w:pPr>
            <w:r>
              <w:rPr>
                <w:rFonts w:ascii="Arial" w:cs="Arial" w:eastAsia="Arial" w:hAnsi="Arial"/>
                <w:sz w:val="16"/>
                <w:szCs w:val="16"/>
                <w:color w:val="auto"/>
              </w:rPr>
              <w:t>1,550</w:t>
            </w:r>
          </w:p>
        </w:tc>
        <w:tc>
          <w:tcPr>
            <w:tcW w:w="860" w:type="dxa"/>
            <w:vAlign w:val="bottom"/>
          </w:tcPr>
          <w:p>
            <w:pPr>
              <w:jc w:val="right"/>
              <w:ind w:right="562"/>
              <w:spacing w:after="0" w:line="173"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320" w:type="dxa"/>
            <w:vAlign w:val="bottom"/>
          </w:tcPr>
          <w:p>
            <w:pPr>
              <w:jc w:val="right"/>
              <w:ind w:right="20"/>
              <w:spacing w:after="0" w:line="173"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73" w:lineRule="exact"/>
              <w:rPr>
                <w:sz w:val="20"/>
                <w:szCs w:val="20"/>
                <w:color w:val="auto"/>
              </w:rPr>
            </w:pPr>
            <w:r>
              <w:rPr>
                <w:rFonts w:ascii="Arial" w:cs="Arial" w:eastAsia="Arial" w:hAnsi="Arial"/>
                <w:sz w:val="16"/>
                <w:szCs w:val="16"/>
                <w:color w:val="auto"/>
              </w:rPr>
              <w:t>1,550</w:t>
            </w:r>
          </w:p>
        </w:tc>
      </w:tr>
      <w:tr>
        <w:trPr>
          <w:trHeight w:val="204"/>
        </w:trPr>
        <w:tc>
          <w:tcPr>
            <w:tcW w:w="4460" w:type="dxa"/>
            <w:vAlign w:val="bottom"/>
          </w:tcPr>
          <w:p>
            <w:pPr>
              <w:spacing w:after="0"/>
              <w:rPr>
                <w:sz w:val="20"/>
                <w:szCs w:val="20"/>
                <w:color w:val="auto"/>
              </w:rPr>
            </w:pPr>
            <w:r>
              <w:rPr>
                <w:rFonts w:ascii="Arial" w:cs="Arial" w:eastAsia="Arial" w:hAnsi="Arial"/>
                <w:sz w:val="16"/>
                <w:szCs w:val="16"/>
                <w:color w:val="auto"/>
              </w:rPr>
              <w:t>Preferred stock</w:t>
            </w:r>
          </w:p>
        </w:tc>
        <w:tc>
          <w:tcPr>
            <w:tcW w:w="340" w:type="dxa"/>
            <w:vAlign w:val="bottom"/>
          </w:tcPr>
          <w:p>
            <w:pPr>
              <w:spacing w:after="0"/>
              <w:rPr>
                <w:sz w:val="17"/>
                <w:szCs w:val="17"/>
                <w:color w:val="auto"/>
              </w:rPr>
            </w:pPr>
          </w:p>
        </w:tc>
        <w:tc>
          <w:tcPr>
            <w:tcW w:w="1200" w:type="dxa"/>
            <w:vAlign w:val="bottom"/>
          </w:tcPr>
          <w:p>
            <w:pPr>
              <w:jc w:val="right"/>
              <w:ind w:right="202"/>
              <w:spacing w:after="0"/>
              <w:rPr>
                <w:sz w:val="20"/>
                <w:szCs w:val="20"/>
                <w:color w:val="auto"/>
              </w:rPr>
            </w:pPr>
            <w:r>
              <w:rPr>
                <w:rFonts w:ascii="Arial" w:cs="Arial" w:eastAsia="Arial" w:hAnsi="Arial"/>
                <w:sz w:val="16"/>
                <w:szCs w:val="16"/>
                <w:color w:val="auto"/>
              </w:rPr>
              <w:t>22</w:t>
            </w:r>
          </w:p>
        </w:tc>
        <w:tc>
          <w:tcPr>
            <w:tcW w:w="360" w:type="dxa"/>
            <w:vAlign w:val="bottom"/>
          </w:tcPr>
          <w:p>
            <w:pPr>
              <w:spacing w:after="0"/>
              <w:rPr>
                <w:sz w:val="17"/>
                <w:szCs w:val="17"/>
                <w:color w:val="auto"/>
              </w:rPr>
            </w:pPr>
          </w:p>
        </w:tc>
        <w:tc>
          <w:tcPr>
            <w:tcW w:w="1000" w:type="dxa"/>
            <w:vAlign w:val="bottom"/>
          </w:tcPr>
          <w:p>
            <w:pPr>
              <w:ind w:left="7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24</w:t>
            </w:r>
          </w:p>
        </w:tc>
        <w:tc>
          <w:tcPr>
            <w:tcW w:w="860" w:type="dxa"/>
            <w:vAlign w:val="bottom"/>
          </w:tcPr>
          <w:p>
            <w:pPr>
              <w:spacing w:after="0"/>
              <w:rPr>
                <w:sz w:val="17"/>
                <w:szCs w:val="17"/>
                <w:color w:val="auto"/>
              </w:rPr>
            </w:pPr>
          </w:p>
        </w:tc>
        <w:tc>
          <w:tcPr>
            <w:tcW w:w="4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80"/>
        </w:trPr>
        <w:tc>
          <w:tcPr>
            <w:tcW w:w="4460" w:type="dxa"/>
            <w:vAlign w:val="bottom"/>
            <w:shd w:val="clear" w:color="auto" w:fill="ABABAB"/>
          </w:tcPr>
          <w:p>
            <w:pPr>
              <w:spacing w:after="0"/>
              <w:rPr>
                <w:sz w:val="6"/>
                <w:szCs w:val="6"/>
                <w:color w:val="auto"/>
              </w:rPr>
            </w:pPr>
          </w:p>
        </w:tc>
        <w:tc>
          <w:tcPr>
            <w:tcW w:w="340" w:type="dxa"/>
            <w:vAlign w:val="bottom"/>
            <w:shd w:val="clear" w:color="auto" w:fill="ABABAB"/>
          </w:tcPr>
          <w:p>
            <w:pPr>
              <w:spacing w:after="0"/>
              <w:rPr>
                <w:sz w:val="6"/>
                <w:szCs w:val="6"/>
                <w:color w:val="auto"/>
              </w:rPr>
            </w:pPr>
          </w:p>
        </w:tc>
        <w:tc>
          <w:tcPr>
            <w:tcW w:w="1200" w:type="dxa"/>
            <w:vAlign w:val="bottom"/>
            <w:shd w:val="clear" w:color="auto" w:fill="ABABAB"/>
          </w:tcPr>
          <w:p>
            <w:pPr>
              <w:spacing w:after="0"/>
              <w:rPr>
                <w:sz w:val="6"/>
                <w:szCs w:val="6"/>
                <w:color w:val="auto"/>
              </w:rPr>
            </w:pPr>
          </w:p>
        </w:tc>
        <w:tc>
          <w:tcPr>
            <w:tcW w:w="360" w:type="dxa"/>
            <w:vAlign w:val="bottom"/>
            <w:shd w:val="clear" w:color="auto" w:fill="ABABAB"/>
          </w:tcPr>
          <w:p>
            <w:pPr>
              <w:spacing w:after="0"/>
              <w:rPr>
                <w:sz w:val="6"/>
                <w:szCs w:val="6"/>
                <w:color w:val="auto"/>
              </w:rPr>
            </w:pPr>
          </w:p>
        </w:tc>
        <w:tc>
          <w:tcPr>
            <w:tcW w:w="1000" w:type="dxa"/>
            <w:vAlign w:val="bottom"/>
            <w:shd w:val="clear" w:color="auto" w:fill="ABABAB"/>
          </w:tcPr>
          <w:p>
            <w:pPr>
              <w:spacing w:after="0"/>
              <w:rPr>
                <w:sz w:val="6"/>
                <w:szCs w:val="6"/>
                <w:color w:val="auto"/>
              </w:rPr>
            </w:pPr>
          </w:p>
        </w:tc>
        <w:tc>
          <w:tcPr>
            <w:tcW w:w="340" w:type="dxa"/>
            <w:vAlign w:val="bottom"/>
            <w:shd w:val="clear" w:color="auto" w:fill="ABABAB"/>
          </w:tcPr>
          <w:p>
            <w:pPr>
              <w:spacing w:after="0"/>
              <w:rPr>
                <w:sz w:val="6"/>
                <w:szCs w:val="6"/>
                <w:color w:val="auto"/>
              </w:rPr>
            </w:pPr>
          </w:p>
        </w:tc>
        <w:tc>
          <w:tcPr>
            <w:tcW w:w="1140" w:type="dxa"/>
            <w:vAlign w:val="bottom"/>
            <w:shd w:val="clear" w:color="auto" w:fill="ABABAB"/>
          </w:tcPr>
          <w:p>
            <w:pPr>
              <w:spacing w:after="0"/>
              <w:rPr>
                <w:sz w:val="6"/>
                <w:szCs w:val="6"/>
                <w:color w:val="auto"/>
              </w:rPr>
            </w:pPr>
          </w:p>
        </w:tc>
        <w:tc>
          <w:tcPr>
            <w:tcW w:w="860" w:type="dxa"/>
            <w:vAlign w:val="bottom"/>
            <w:shd w:val="clear" w:color="auto" w:fill="ABABAB"/>
          </w:tcPr>
          <w:p>
            <w:pPr>
              <w:spacing w:after="0"/>
              <w:rPr>
                <w:sz w:val="6"/>
                <w:szCs w:val="6"/>
                <w:color w:val="auto"/>
              </w:rPr>
            </w:pPr>
          </w:p>
        </w:tc>
        <w:tc>
          <w:tcPr>
            <w:tcW w:w="480" w:type="dxa"/>
            <w:vAlign w:val="bottom"/>
            <w:shd w:val="clear" w:color="auto" w:fill="ABABAB"/>
          </w:tcPr>
          <w:p>
            <w:pPr>
              <w:spacing w:after="0"/>
              <w:rPr>
                <w:sz w:val="6"/>
                <w:szCs w:val="6"/>
                <w:color w:val="auto"/>
              </w:rPr>
            </w:pPr>
          </w:p>
        </w:tc>
        <w:tc>
          <w:tcPr>
            <w:tcW w:w="320" w:type="dxa"/>
            <w:vAlign w:val="bottom"/>
            <w:shd w:val="clear" w:color="auto" w:fill="ABABAB"/>
          </w:tcPr>
          <w:p>
            <w:pPr>
              <w:spacing w:after="0"/>
              <w:rPr>
                <w:sz w:val="6"/>
                <w:szCs w:val="6"/>
                <w:color w:val="auto"/>
              </w:rPr>
            </w:pPr>
          </w:p>
        </w:tc>
        <w:tc>
          <w:tcPr>
            <w:tcW w:w="920" w:type="dxa"/>
            <w:vAlign w:val="bottom"/>
            <w:shd w:val="clear" w:color="auto" w:fill="ABABAB"/>
          </w:tcPr>
          <w:p>
            <w:pPr>
              <w:spacing w:after="0"/>
              <w:rPr>
                <w:sz w:val="6"/>
                <w:szCs w:val="6"/>
                <w:color w:val="auto"/>
              </w:rPr>
            </w:pPr>
          </w:p>
        </w:tc>
      </w:tr>
    </w:tbl>
    <w:p>
      <w:pPr>
        <w:sectPr>
          <w:pgSz w:w="11900" w:h="16838" w:orient="portrait"/>
          <w:cols w:equalWidth="0" w:num="1">
            <w:col w:w="11420"/>
          </w:cols>
          <w:pgMar w:left="240" w:top="126" w:right="2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4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223"/>
              <w:spacing w:after="0"/>
              <w:rPr>
                <w:sz w:val="20"/>
                <w:szCs w:val="20"/>
                <w:color w:val="auto"/>
              </w:rPr>
            </w:pPr>
            <w:r>
              <w:rPr>
                <w:rFonts w:ascii="Arial" w:cs="Arial" w:eastAsia="Arial" w:hAnsi="Arial"/>
                <w:sz w:val="14"/>
                <w:szCs w:val="14"/>
                <w:color w:val="auto"/>
              </w:rPr>
              <w:t>December 31, 2013</w:t>
            </w:r>
          </w:p>
        </w:tc>
        <w:tc>
          <w:tcPr>
            <w:tcW w:w="8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59"/>
        </w:trPr>
        <w:tc>
          <w:tcPr>
            <w:tcW w:w="4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563"/>
              <w:spacing w:after="0" w:line="159" w:lineRule="exact"/>
              <w:rPr>
                <w:sz w:val="20"/>
                <w:szCs w:val="20"/>
                <w:color w:val="auto"/>
              </w:rPr>
            </w:pPr>
            <w:r>
              <w:rPr>
                <w:rFonts w:ascii="Arial" w:cs="Arial" w:eastAsia="Arial" w:hAnsi="Arial"/>
                <w:sz w:val="14"/>
                <w:szCs w:val="14"/>
                <w:color w:val="auto"/>
              </w:rPr>
              <w:t>Carrying</w:t>
            </w: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2"/>
          </w:tcPr>
          <w:p>
            <w:pPr>
              <w:jc w:val="right"/>
              <w:ind w:right="622"/>
              <w:spacing w:after="0" w:line="159" w:lineRule="exact"/>
              <w:rPr>
                <w:sz w:val="20"/>
                <w:szCs w:val="20"/>
                <w:color w:val="auto"/>
              </w:rPr>
            </w:pPr>
            <w:r>
              <w:rPr>
                <w:rFonts w:ascii="Arial" w:cs="Arial" w:eastAsia="Arial" w:hAnsi="Arial"/>
                <w:sz w:val="14"/>
                <w:szCs w:val="14"/>
                <w:color w:val="auto"/>
              </w:rPr>
              <w:t>Fair Value</w:t>
            </w:r>
          </w:p>
        </w:tc>
        <w:tc>
          <w:tcPr>
            <w:tcW w:w="4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66"/>
        </w:trPr>
        <w:tc>
          <w:tcPr>
            <w:tcW w:w="4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color w:val="auto"/>
              </w:rPr>
              <w:t>Amount</w:t>
            </w: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Level 1</w:t>
            </w: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Total</w:t>
            </w:r>
          </w:p>
        </w:tc>
      </w:tr>
      <w:tr>
        <w:trPr>
          <w:trHeight w:val="135"/>
        </w:trPr>
        <w:tc>
          <w:tcPr>
            <w:tcW w:w="4460" w:type="dxa"/>
            <w:vAlign w:val="bottom"/>
          </w:tcPr>
          <w:p>
            <w:pPr>
              <w:spacing w:after="0" w:line="135" w:lineRule="exact"/>
              <w:rPr>
                <w:sz w:val="20"/>
                <w:szCs w:val="20"/>
                <w:color w:val="auto"/>
              </w:rPr>
            </w:pPr>
            <w:r>
              <w:rPr>
                <w:rFonts w:ascii="Arial" w:cs="Arial" w:eastAsia="Arial" w:hAnsi="Arial"/>
                <w:sz w:val="15"/>
                <w:szCs w:val="15"/>
                <w:b w:val="1"/>
                <w:bCs w:val="1"/>
                <w:color w:val="auto"/>
              </w:rPr>
              <w:t>Sempra Energy Consolidated:</w:t>
            </w: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73"/>
        </w:trPr>
        <w:tc>
          <w:tcPr>
            <w:tcW w:w="4460" w:type="dxa"/>
            <w:vAlign w:val="bottom"/>
          </w:tcPr>
          <w:p>
            <w:pPr>
              <w:spacing w:after="0" w:line="173" w:lineRule="exact"/>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(1)</w:t>
            </w:r>
          </w:p>
        </w:tc>
        <w:tc>
          <w:tcPr>
            <w:tcW w:w="3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03"/>
              <w:spacing w:after="0" w:line="173" w:lineRule="exact"/>
              <w:rPr>
                <w:sz w:val="20"/>
                <w:szCs w:val="20"/>
                <w:color w:val="auto"/>
              </w:rPr>
            </w:pPr>
            <w:r>
              <w:rPr>
                <w:rFonts w:ascii="Arial" w:cs="Arial" w:eastAsia="Arial" w:hAnsi="Arial"/>
                <w:sz w:val="16"/>
                <w:szCs w:val="16"/>
                <w:color w:val="auto"/>
              </w:rPr>
              <w:t>12,022</w:t>
            </w:r>
          </w:p>
        </w:tc>
        <w:tc>
          <w:tcPr>
            <w:tcW w:w="3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920" w:type="dxa"/>
            <w:vAlign w:val="bottom"/>
          </w:tcPr>
          <w:p>
            <w:pPr>
              <w:ind w:left="740"/>
              <w:spacing w:after="0" w:line="173" w:lineRule="exact"/>
              <w:rPr>
                <w:sz w:val="20"/>
                <w:szCs w:val="20"/>
                <w:color w:val="auto"/>
              </w:rPr>
            </w:pPr>
            <w:r>
              <w:rPr>
                <w:rFonts w:ascii="Arial" w:cs="Arial" w:eastAsia="Arial" w:hAnsi="Arial"/>
                <w:sz w:val="16"/>
                <w:szCs w:val="16"/>
                <w:color w:val="auto"/>
                <w:w w:val="99"/>
              </w:rPr>
              <w:t>―</w:t>
            </w:r>
          </w:p>
        </w:tc>
        <w:tc>
          <w:tcPr>
            <w:tcW w:w="420" w:type="dxa"/>
            <w:vAlign w:val="bottom"/>
          </w:tcPr>
          <w:p>
            <w:pPr>
              <w:jc w:val="right"/>
              <w:ind w:right="22"/>
              <w:spacing w:after="0" w:line="17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63"/>
              <w:spacing w:after="0" w:line="173" w:lineRule="exact"/>
              <w:rPr>
                <w:sz w:val="20"/>
                <w:szCs w:val="20"/>
                <w:color w:val="auto"/>
              </w:rPr>
            </w:pPr>
            <w:r>
              <w:rPr>
                <w:rFonts w:ascii="Arial" w:cs="Arial" w:eastAsia="Arial" w:hAnsi="Arial"/>
                <w:sz w:val="16"/>
                <w:szCs w:val="16"/>
                <w:color w:val="auto"/>
              </w:rPr>
              <w:t>11,925</w:t>
            </w:r>
          </w:p>
        </w:tc>
        <w:tc>
          <w:tcPr>
            <w:tcW w:w="860" w:type="dxa"/>
            <w:vAlign w:val="bottom"/>
          </w:tcPr>
          <w:p>
            <w:pPr>
              <w:jc w:val="right"/>
              <w:ind w:right="562"/>
              <w:spacing w:after="0" w:line="173"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60"/>
              <w:spacing w:after="0" w:line="173" w:lineRule="exact"/>
              <w:rPr>
                <w:sz w:val="20"/>
                <w:szCs w:val="20"/>
                <w:color w:val="auto"/>
              </w:rPr>
            </w:pPr>
            <w:r>
              <w:rPr>
                <w:rFonts w:ascii="Arial" w:cs="Arial" w:eastAsia="Arial" w:hAnsi="Arial"/>
                <w:sz w:val="16"/>
                <w:szCs w:val="16"/>
                <w:color w:val="auto"/>
              </w:rPr>
              <w:t>751</w:t>
            </w:r>
          </w:p>
        </w:tc>
        <w:tc>
          <w:tcPr>
            <w:tcW w:w="320" w:type="dxa"/>
            <w:vAlign w:val="bottom"/>
          </w:tcPr>
          <w:p>
            <w:pPr>
              <w:jc w:val="right"/>
              <w:ind w:right="20"/>
              <w:spacing w:after="0" w:line="173"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73" w:lineRule="exact"/>
              <w:rPr>
                <w:sz w:val="20"/>
                <w:szCs w:val="20"/>
                <w:color w:val="auto"/>
              </w:rPr>
            </w:pPr>
            <w:r>
              <w:rPr>
                <w:rFonts w:ascii="Arial" w:cs="Arial" w:eastAsia="Arial" w:hAnsi="Arial"/>
                <w:sz w:val="16"/>
                <w:szCs w:val="16"/>
                <w:color w:val="auto"/>
              </w:rPr>
              <w:t>12,676</w:t>
            </w:r>
          </w:p>
        </w:tc>
      </w:tr>
      <w:tr>
        <w:trPr>
          <w:trHeight w:val="204"/>
        </w:trPr>
        <w:tc>
          <w:tcPr>
            <w:tcW w:w="4460" w:type="dxa"/>
            <w:vAlign w:val="bottom"/>
          </w:tcPr>
          <w:p>
            <w:pPr>
              <w:spacing w:after="0"/>
              <w:rPr>
                <w:sz w:val="20"/>
                <w:szCs w:val="20"/>
                <w:color w:val="auto"/>
              </w:rPr>
            </w:pPr>
            <w:r>
              <w:rPr>
                <w:rFonts w:ascii="Arial" w:cs="Arial" w:eastAsia="Arial" w:hAnsi="Arial"/>
                <w:sz w:val="16"/>
                <w:szCs w:val="16"/>
                <w:color w:val="auto"/>
              </w:rPr>
              <w:t>Preferred stock of subsidiary</w:t>
            </w:r>
          </w:p>
        </w:tc>
        <w:tc>
          <w:tcPr>
            <w:tcW w:w="340" w:type="dxa"/>
            <w:vAlign w:val="bottom"/>
          </w:tcPr>
          <w:p>
            <w:pPr>
              <w:spacing w:after="0"/>
              <w:rPr>
                <w:sz w:val="17"/>
                <w:szCs w:val="17"/>
                <w:color w:val="auto"/>
              </w:rPr>
            </w:pPr>
          </w:p>
        </w:tc>
        <w:tc>
          <w:tcPr>
            <w:tcW w:w="1200" w:type="dxa"/>
            <w:vAlign w:val="bottom"/>
          </w:tcPr>
          <w:p>
            <w:pPr>
              <w:jc w:val="right"/>
              <w:ind w:right="203"/>
              <w:spacing w:after="0"/>
              <w:rPr>
                <w:sz w:val="20"/>
                <w:szCs w:val="20"/>
                <w:color w:val="auto"/>
              </w:rPr>
            </w:pPr>
            <w:r>
              <w:rPr>
                <w:rFonts w:ascii="Arial" w:cs="Arial" w:eastAsia="Arial" w:hAnsi="Arial"/>
                <w:sz w:val="16"/>
                <w:szCs w:val="16"/>
                <w:color w:val="auto"/>
              </w:rPr>
              <w:t>20</w:t>
            </w:r>
          </w:p>
        </w:tc>
        <w:tc>
          <w:tcPr>
            <w:tcW w:w="360" w:type="dxa"/>
            <w:vAlign w:val="bottom"/>
          </w:tcPr>
          <w:p>
            <w:pPr>
              <w:spacing w:after="0"/>
              <w:rPr>
                <w:sz w:val="17"/>
                <w:szCs w:val="17"/>
                <w:color w:val="auto"/>
              </w:rPr>
            </w:pPr>
          </w:p>
        </w:tc>
        <w:tc>
          <w:tcPr>
            <w:tcW w:w="920" w:type="dxa"/>
            <w:vAlign w:val="bottom"/>
          </w:tcPr>
          <w:p>
            <w:pPr>
              <w:ind w:left="740"/>
              <w:spacing w:after="0"/>
              <w:rPr>
                <w:sz w:val="20"/>
                <w:szCs w:val="20"/>
                <w:color w:val="auto"/>
              </w:rPr>
            </w:pPr>
            <w:r>
              <w:rPr>
                <w:rFonts w:ascii="Arial" w:cs="Arial" w:eastAsia="Arial" w:hAnsi="Arial"/>
                <w:sz w:val="16"/>
                <w:szCs w:val="16"/>
                <w:color w:val="auto"/>
                <w:w w:val="99"/>
              </w:rPr>
              <w:t>―</w:t>
            </w:r>
          </w:p>
        </w:tc>
        <w:tc>
          <w:tcPr>
            <w:tcW w:w="420" w:type="dxa"/>
            <w:vAlign w:val="bottom"/>
          </w:tcPr>
          <w:p>
            <w:pPr>
              <w:spacing w:after="0"/>
              <w:rPr>
                <w:sz w:val="17"/>
                <w:szCs w:val="17"/>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20</w:t>
            </w:r>
          </w:p>
        </w:tc>
        <w:tc>
          <w:tcPr>
            <w:tcW w:w="860" w:type="dxa"/>
            <w:vAlign w:val="bottom"/>
          </w:tcPr>
          <w:p>
            <w:pPr>
              <w:spacing w:after="0"/>
              <w:rPr>
                <w:sz w:val="17"/>
                <w:szCs w:val="17"/>
                <w:color w:val="auto"/>
              </w:rPr>
            </w:pPr>
          </w:p>
        </w:tc>
        <w:tc>
          <w:tcPr>
            <w:tcW w:w="4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80"/>
        </w:trPr>
        <w:tc>
          <w:tcPr>
            <w:tcW w:w="4460" w:type="dxa"/>
            <w:vAlign w:val="bottom"/>
            <w:shd w:val="clear" w:color="auto" w:fill="ABABAB"/>
          </w:tcPr>
          <w:p>
            <w:pPr>
              <w:spacing w:after="0"/>
              <w:rPr>
                <w:sz w:val="6"/>
                <w:szCs w:val="6"/>
                <w:color w:val="auto"/>
              </w:rPr>
            </w:pPr>
          </w:p>
        </w:tc>
        <w:tc>
          <w:tcPr>
            <w:tcW w:w="340" w:type="dxa"/>
            <w:vAlign w:val="bottom"/>
            <w:shd w:val="clear" w:color="auto" w:fill="ABABAB"/>
          </w:tcPr>
          <w:p>
            <w:pPr>
              <w:spacing w:after="0"/>
              <w:rPr>
                <w:sz w:val="6"/>
                <w:szCs w:val="6"/>
                <w:color w:val="auto"/>
              </w:rPr>
            </w:pPr>
          </w:p>
        </w:tc>
        <w:tc>
          <w:tcPr>
            <w:tcW w:w="1200" w:type="dxa"/>
            <w:vAlign w:val="bottom"/>
            <w:shd w:val="clear" w:color="auto" w:fill="ABABAB"/>
          </w:tcPr>
          <w:p>
            <w:pPr>
              <w:spacing w:after="0"/>
              <w:rPr>
                <w:sz w:val="6"/>
                <w:szCs w:val="6"/>
                <w:color w:val="auto"/>
              </w:rPr>
            </w:pPr>
          </w:p>
        </w:tc>
        <w:tc>
          <w:tcPr>
            <w:tcW w:w="360" w:type="dxa"/>
            <w:vAlign w:val="bottom"/>
            <w:shd w:val="clear" w:color="auto" w:fill="ABABAB"/>
          </w:tcPr>
          <w:p>
            <w:pPr>
              <w:spacing w:after="0"/>
              <w:rPr>
                <w:sz w:val="6"/>
                <w:szCs w:val="6"/>
                <w:color w:val="auto"/>
              </w:rPr>
            </w:pPr>
          </w:p>
        </w:tc>
        <w:tc>
          <w:tcPr>
            <w:tcW w:w="920" w:type="dxa"/>
            <w:vAlign w:val="bottom"/>
            <w:shd w:val="clear" w:color="auto" w:fill="ABABAB"/>
          </w:tcPr>
          <w:p>
            <w:pPr>
              <w:spacing w:after="0"/>
              <w:rPr>
                <w:sz w:val="6"/>
                <w:szCs w:val="6"/>
                <w:color w:val="auto"/>
              </w:rPr>
            </w:pPr>
          </w:p>
        </w:tc>
        <w:tc>
          <w:tcPr>
            <w:tcW w:w="420" w:type="dxa"/>
            <w:vAlign w:val="bottom"/>
            <w:shd w:val="clear" w:color="auto" w:fill="ABABAB"/>
          </w:tcPr>
          <w:p>
            <w:pPr>
              <w:spacing w:after="0"/>
              <w:rPr>
                <w:sz w:val="6"/>
                <w:szCs w:val="6"/>
                <w:color w:val="auto"/>
              </w:rPr>
            </w:pPr>
          </w:p>
        </w:tc>
        <w:tc>
          <w:tcPr>
            <w:tcW w:w="1140" w:type="dxa"/>
            <w:vAlign w:val="bottom"/>
            <w:shd w:val="clear" w:color="auto" w:fill="ABABAB"/>
          </w:tcPr>
          <w:p>
            <w:pPr>
              <w:spacing w:after="0"/>
              <w:rPr>
                <w:sz w:val="6"/>
                <w:szCs w:val="6"/>
                <w:color w:val="auto"/>
              </w:rPr>
            </w:pPr>
          </w:p>
        </w:tc>
        <w:tc>
          <w:tcPr>
            <w:tcW w:w="860" w:type="dxa"/>
            <w:vAlign w:val="bottom"/>
            <w:shd w:val="clear" w:color="auto" w:fill="ABABAB"/>
          </w:tcPr>
          <w:p>
            <w:pPr>
              <w:spacing w:after="0"/>
              <w:rPr>
                <w:sz w:val="6"/>
                <w:szCs w:val="6"/>
                <w:color w:val="auto"/>
              </w:rPr>
            </w:pPr>
          </w:p>
        </w:tc>
        <w:tc>
          <w:tcPr>
            <w:tcW w:w="480" w:type="dxa"/>
            <w:vAlign w:val="bottom"/>
            <w:shd w:val="clear" w:color="auto" w:fill="ABABAB"/>
          </w:tcPr>
          <w:p>
            <w:pPr>
              <w:spacing w:after="0"/>
              <w:rPr>
                <w:sz w:val="6"/>
                <w:szCs w:val="6"/>
                <w:color w:val="auto"/>
              </w:rPr>
            </w:pPr>
          </w:p>
        </w:tc>
        <w:tc>
          <w:tcPr>
            <w:tcW w:w="320" w:type="dxa"/>
            <w:vAlign w:val="bottom"/>
            <w:shd w:val="clear" w:color="auto" w:fill="ABABAB"/>
          </w:tcPr>
          <w:p>
            <w:pPr>
              <w:spacing w:after="0"/>
              <w:rPr>
                <w:sz w:val="6"/>
                <w:szCs w:val="6"/>
                <w:color w:val="auto"/>
              </w:rPr>
            </w:pPr>
          </w:p>
        </w:tc>
        <w:tc>
          <w:tcPr>
            <w:tcW w:w="920" w:type="dxa"/>
            <w:vAlign w:val="bottom"/>
            <w:shd w:val="clear" w:color="auto" w:fill="ABABAB"/>
          </w:tcPr>
          <w:p>
            <w:pPr>
              <w:spacing w:after="0"/>
              <w:rPr>
                <w:sz w:val="6"/>
                <w:szCs w:val="6"/>
                <w:color w:val="auto"/>
              </w:rPr>
            </w:pPr>
          </w:p>
        </w:tc>
      </w:tr>
      <w:tr>
        <w:trPr>
          <w:trHeight w:val="141"/>
        </w:trPr>
        <w:tc>
          <w:tcPr>
            <w:tcW w:w="4460" w:type="dxa"/>
            <w:vAlign w:val="bottom"/>
          </w:tcPr>
          <w:p>
            <w:pPr>
              <w:spacing w:after="0" w:line="142" w:lineRule="exact"/>
              <w:rPr>
                <w:sz w:val="20"/>
                <w:szCs w:val="20"/>
                <w:color w:val="auto"/>
              </w:rPr>
            </w:pPr>
            <w:r>
              <w:rPr>
                <w:rFonts w:ascii="Arial" w:cs="Arial" w:eastAsia="Arial" w:hAnsi="Arial"/>
                <w:sz w:val="16"/>
                <w:szCs w:val="16"/>
                <w:b w:val="1"/>
                <w:bCs w:val="1"/>
                <w:color w:val="auto"/>
              </w:rPr>
              <w:t>SDG&amp;E:</w:t>
            </w: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04"/>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3"/>
              <w:spacing w:after="0"/>
              <w:rPr>
                <w:sz w:val="20"/>
                <w:szCs w:val="20"/>
                <w:color w:val="auto"/>
              </w:rPr>
            </w:pPr>
            <w:r>
              <w:rPr>
                <w:rFonts w:ascii="Arial" w:cs="Arial" w:eastAsia="Arial" w:hAnsi="Arial"/>
                <w:sz w:val="16"/>
                <w:szCs w:val="16"/>
                <w:color w:val="auto"/>
              </w:rPr>
              <w:t>4,386</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740"/>
              <w:spacing w:after="0"/>
              <w:rPr>
                <w:sz w:val="20"/>
                <w:szCs w:val="20"/>
                <w:color w:val="auto"/>
              </w:rPr>
            </w:pPr>
            <w:r>
              <w:rPr>
                <w:rFonts w:ascii="Arial" w:cs="Arial" w:eastAsia="Arial" w:hAnsi="Arial"/>
                <w:sz w:val="16"/>
                <w:szCs w:val="16"/>
                <w:color w:val="auto"/>
                <w:w w:val="99"/>
              </w:rPr>
              <w:t>―</w:t>
            </w:r>
          </w:p>
        </w:tc>
        <w:tc>
          <w:tcPr>
            <w:tcW w:w="4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4,226</w:t>
            </w:r>
          </w:p>
        </w:tc>
        <w:tc>
          <w:tcPr>
            <w:tcW w:w="860" w:type="dxa"/>
            <w:vAlign w:val="bottom"/>
          </w:tcPr>
          <w:p>
            <w:pPr>
              <w:jc w:val="right"/>
              <w:ind w:right="562"/>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60"/>
              <w:spacing w:after="0"/>
              <w:rPr>
                <w:sz w:val="20"/>
                <w:szCs w:val="20"/>
                <w:color w:val="auto"/>
              </w:rPr>
            </w:pPr>
            <w:r>
              <w:rPr>
                <w:rFonts w:ascii="Arial" w:cs="Arial" w:eastAsia="Arial" w:hAnsi="Arial"/>
                <w:sz w:val="16"/>
                <w:szCs w:val="16"/>
                <w:color w:val="auto"/>
              </w:rPr>
              <w:t>335</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4,561</w:t>
            </w:r>
          </w:p>
        </w:tc>
      </w:tr>
      <w:tr>
        <w:trPr>
          <w:trHeight w:val="80"/>
        </w:trPr>
        <w:tc>
          <w:tcPr>
            <w:tcW w:w="4460" w:type="dxa"/>
            <w:vAlign w:val="bottom"/>
            <w:shd w:val="clear" w:color="auto" w:fill="ABABAB"/>
          </w:tcPr>
          <w:p>
            <w:pPr>
              <w:spacing w:after="0"/>
              <w:rPr>
                <w:sz w:val="6"/>
                <w:szCs w:val="6"/>
                <w:color w:val="auto"/>
              </w:rPr>
            </w:pPr>
          </w:p>
        </w:tc>
        <w:tc>
          <w:tcPr>
            <w:tcW w:w="340" w:type="dxa"/>
            <w:vAlign w:val="bottom"/>
            <w:shd w:val="clear" w:color="auto" w:fill="ABABAB"/>
          </w:tcPr>
          <w:p>
            <w:pPr>
              <w:spacing w:after="0"/>
              <w:rPr>
                <w:sz w:val="6"/>
                <w:szCs w:val="6"/>
                <w:color w:val="auto"/>
              </w:rPr>
            </w:pPr>
          </w:p>
        </w:tc>
        <w:tc>
          <w:tcPr>
            <w:tcW w:w="1200" w:type="dxa"/>
            <w:vAlign w:val="bottom"/>
            <w:shd w:val="clear" w:color="auto" w:fill="ABABAB"/>
          </w:tcPr>
          <w:p>
            <w:pPr>
              <w:spacing w:after="0"/>
              <w:rPr>
                <w:sz w:val="6"/>
                <w:szCs w:val="6"/>
                <w:color w:val="auto"/>
              </w:rPr>
            </w:pPr>
          </w:p>
        </w:tc>
        <w:tc>
          <w:tcPr>
            <w:tcW w:w="360" w:type="dxa"/>
            <w:vAlign w:val="bottom"/>
            <w:shd w:val="clear" w:color="auto" w:fill="ABABAB"/>
          </w:tcPr>
          <w:p>
            <w:pPr>
              <w:spacing w:after="0"/>
              <w:rPr>
                <w:sz w:val="6"/>
                <w:szCs w:val="6"/>
                <w:color w:val="auto"/>
              </w:rPr>
            </w:pPr>
          </w:p>
        </w:tc>
        <w:tc>
          <w:tcPr>
            <w:tcW w:w="920" w:type="dxa"/>
            <w:vAlign w:val="bottom"/>
            <w:shd w:val="clear" w:color="auto" w:fill="ABABAB"/>
          </w:tcPr>
          <w:p>
            <w:pPr>
              <w:spacing w:after="0"/>
              <w:rPr>
                <w:sz w:val="6"/>
                <w:szCs w:val="6"/>
                <w:color w:val="auto"/>
              </w:rPr>
            </w:pPr>
          </w:p>
        </w:tc>
        <w:tc>
          <w:tcPr>
            <w:tcW w:w="420" w:type="dxa"/>
            <w:vAlign w:val="bottom"/>
            <w:shd w:val="clear" w:color="auto" w:fill="ABABAB"/>
          </w:tcPr>
          <w:p>
            <w:pPr>
              <w:spacing w:after="0"/>
              <w:rPr>
                <w:sz w:val="6"/>
                <w:szCs w:val="6"/>
                <w:color w:val="auto"/>
              </w:rPr>
            </w:pPr>
          </w:p>
        </w:tc>
        <w:tc>
          <w:tcPr>
            <w:tcW w:w="1140" w:type="dxa"/>
            <w:vAlign w:val="bottom"/>
            <w:shd w:val="clear" w:color="auto" w:fill="ABABAB"/>
          </w:tcPr>
          <w:p>
            <w:pPr>
              <w:spacing w:after="0"/>
              <w:rPr>
                <w:sz w:val="6"/>
                <w:szCs w:val="6"/>
                <w:color w:val="auto"/>
              </w:rPr>
            </w:pPr>
          </w:p>
        </w:tc>
        <w:tc>
          <w:tcPr>
            <w:tcW w:w="860" w:type="dxa"/>
            <w:vAlign w:val="bottom"/>
            <w:shd w:val="clear" w:color="auto" w:fill="ABABAB"/>
          </w:tcPr>
          <w:p>
            <w:pPr>
              <w:spacing w:after="0"/>
              <w:rPr>
                <w:sz w:val="6"/>
                <w:szCs w:val="6"/>
                <w:color w:val="auto"/>
              </w:rPr>
            </w:pPr>
          </w:p>
        </w:tc>
        <w:tc>
          <w:tcPr>
            <w:tcW w:w="480" w:type="dxa"/>
            <w:vAlign w:val="bottom"/>
            <w:shd w:val="clear" w:color="auto" w:fill="ABABAB"/>
          </w:tcPr>
          <w:p>
            <w:pPr>
              <w:spacing w:after="0"/>
              <w:rPr>
                <w:sz w:val="6"/>
                <w:szCs w:val="6"/>
                <w:color w:val="auto"/>
              </w:rPr>
            </w:pPr>
          </w:p>
        </w:tc>
        <w:tc>
          <w:tcPr>
            <w:tcW w:w="320" w:type="dxa"/>
            <w:vAlign w:val="bottom"/>
            <w:shd w:val="clear" w:color="auto" w:fill="ABABAB"/>
          </w:tcPr>
          <w:p>
            <w:pPr>
              <w:spacing w:after="0"/>
              <w:rPr>
                <w:sz w:val="6"/>
                <w:szCs w:val="6"/>
                <w:color w:val="auto"/>
              </w:rPr>
            </w:pPr>
          </w:p>
        </w:tc>
        <w:tc>
          <w:tcPr>
            <w:tcW w:w="920" w:type="dxa"/>
            <w:vAlign w:val="bottom"/>
            <w:shd w:val="clear" w:color="auto" w:fill="ABABAB"/>
          </w:tcPr>
          <w:p>
            <w:pPr>
              <w:spacing w:after="0"/>
              <w:rPr>
                <w:sz w:val="6"/>
                <w:szCs w:val="6"/>
                <w:color w:val="auto"/>
              </w:rPr>
            </w:pPr>
          </w:p>
        </w:tc>
      </w:tr>
      <w:tr>
        <w:trPr>
          <w:trHeight w:val="141"/>
        </w:trPr>
        <w:tc>
          <w:tcPr>
            <w:tcW w:w="4460" w:type="dxa"/>
            <w:vAlign w:val="bottom"/>
          </w:tcPr>
          <w:p>
            <w:pPr>
              <w:spacing w:after="0" w:line="142" w:lineRule="exact"/>
              <w:rPr>
                <w:sz w:val="20"/>
                <w:szCs w:val="20"/>
                <w:color w:val="auto"/>
              </w:rPr>
            </w:pPr>
            <w:r>
              <w:rPr>
                <w:rFonts w:ascii="Arial" w:cs="Arial" w:eastAsia="Arial" w:hAnsi="Arial"/>
                <w:sz w:val="16"/>
                <w:szCs w:val="16"/>
                <w:b w:val="1"/>
                <w:bCs w:val="1"/>
                <w:color w:val="auto"/>
              </w:rPr>
              <w:t>SoCalGas:</w:t>
            </w: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3"/>
        </w:trPr>
        <w:tc>
          <w:tcPr>
            <w:tcW w:w="4460" w:type="dxa"/>
            <w:vAlign w:val="bottom"/>
          </w:tcPr>
          <w:p>
            <w:pPr>
              <w:spacing w:after="0" w:line="173" w:lineRule="exact"/>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(3)</w:t>
            </w:r>
          </w:p>
        </w:tc>
        <w:tc>
          <w:tcPr>
            <w:tcW w:w="3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03"/>
              <w:spacing w:after="0" w:line="173" w:lineRule="exact"/>
              <w:rPr>
                <w:sz w:val="20"/>
                <w:szCs w:val="20"/>
                <w:color w:val="auto"/>
              </w:rPr>
            </w:pPr>
            <w:r>
              <w:rPr>
                <w:rFonts w:ascii="Arial" w:cs="Arial" w:eastAsia="Arial" w:hAnsi="Arial"/>
                <w:sz w:val="16"/>
                <w:szCs w:val="16"/>
                <w:color w:val="auto"/>
              </w:rPr>
              <w:t>1,413</w:t>
            </w:r>
          </w:p>
        </w:tc>
        <w:tc>
          <w:tcPr>
            <w:tcW w:w="3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920" w:type="dxa"/>
            <w:vAlign w:val="bottom"/>
          </w:tcPr>
          <w:p>
            <w:pPr>
              <w:ind w:left="740"/>
              <w:spacing w:after="0" w:line="173" w:lineRule="exact"/>
              <w:rPr>
                <w:sz w:val="20"/>
                <w:szCs w:val="20"/>
                <w:color w:val="auto"/>
              </w:rPr>
            </w:pPr>
            <w:r>
              <w:rPr>
                <w:rFonts w:ascii="Arial" w:cs="Arial" w:eastAsia="Arial" w:hAnsi="Arial"/>
                <w:sz w:val="16"/>
                <w:szCs w:val="16"/>
                <w:color w:val="auto"/>
                <w:w w:val="99"/>
              </w:rPr>
              <w:t>―</w:t>
            </w:r>
          </w:p>
        </w:tc>
        <w:tc>
          <w:tcPr>
            <w:tcW w:w="420" w:type="dxa"/>
            <w:vAlign w:val="bottom"/>
          </w:tcPr>
          <w:p>
            <w:pPr>
              <w:jc w:val="right"/>
              <w:ind w:right="22"/>
              <w:spacing w:after="0" w:line="17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63"/>
              <w:spacing w:after="0" w:line="173" w:lineRule="exact"/>
              <w:rPr>
                <w:sz w:val="20"/>
                <w:szCs w:val="20"/>
                <w:color w:val="auto"/>
              </w:rPr>
            </w:pPr>
            <w:r>
              <w:rPr>
                <w:rFonts w:ascii="Arial" w:cs="Arial" w:eastAsia="Arial" w:hAnsi="Arial"/>
                <w:sz w:val="16"/>
                <w:szCs w:val="16"/>
                <w:color w:val="auto"/>
              </w:rPr>
              <w:t>1,469</w:t>
            </w:r>
          </w:p>
        </w:tc>
        <w:tc>
          <w:tcPr>
            <w:tcW w:w="860" w:type="dxa"/>
            <w:vAlign w:val="bottom"/>
          </w:tcPr>
          <w:p>
            <w:pPr>
              <w:jc w:val="right"/>
              <w:ind w:right="562"/>
              <w:spacing w:after="0" w:line="173"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320" w:type="dxa"/>
            <w:vAlign w:val="bottom"/>
          </w:tcPr>
          <w:p>
            <w:pPr>
              <w:jc w:val="right"/>
              <w:ind w:right="20"/>
              <w:spacing w:after="0" w:line="173"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73" w:lineRule="exact"/>
              <w:rPr>
                <w:sz w:val="20"/>
                <w:szCs w:val="20"/>
                <w:color w:val="auto"/>
              </w:rPr>
            </w:pPr>
            <w:r>
              <w:rPr>
                <w:rFonts w:ascii="Arial" w:cs="Arial" w:eastAsia="Arial" w:hAnsi="Arial"/>
                <w:sz w:val="16"/>
                <w:szCs w:val="16"/>
                <w:color w:val="auto"/>
              </w:rPr>
              <w:t>1,469</w:t>
            </w:r>
          </w:p>
        </w:tc>
      </w:tr>
      <w:tr>
        <w:trPr>
          <w:trHeight w:val="204"/>
        </w:trPr>
        <w:tc>
          <w:tcPr>
            <w:tcW w:w="4460" w:type="dxa"/>
            <w:vAlign w:val="bottom"/>
          </w:tcPr>
          <w:p>
            <w:pPr>
              <w:spacing w:after="0"/>
              <w:rPr>
                <w:sz w:val="20"/>
                <w:szCs w:val="20"/>
                <w:color w:val="auto"/>
              </w:rPr>
            </w:pPr>
            <w:r>
              <w:rPr>
                <w:rFonts w:ascii="Arial" w:cs="Arial" w:eastAsia="Arial" w:hAnsi="Arial"/>
                <w:sz w:val="16"/>
                <w:szCs w:val="16"/>
                <w:color w:val="auto"/>
              </w:rPr>
              <w:t>Preferred stock</w:t>
            </w:r>
          </w:p>
        </w:tc>
        <w:tc>
          <w:tcPr>
            <w:tcW w:w="340" w:type="dxa"/>
            <w:vAlign w:val="bottom"/>
          </w:tcPr>
          <w:p>
            <w:pPr>
              <w:spacing w:after="0"/>
              <w:rPr>
                <w:sz w:val="17"/>
                <w:szCs w:val="17"/>
                <w:color w:val="auto"/>
              </w:rPr>
            </w:pPr>
          </w:p>
        </w:tc>
        <w:tc>
          <w:tcPr>
            <w:tcW w:w="1200" w:type="dxa"/>
            <w:vAlign w:val="bottom"/>
          </w:tcPr>
          <w:p>
            <w:pPr>
              <w:jc w:val="right"/>
              <w:ind w:right="203"/>
              <w:spacing w:after="0"/>
              <w:rPr>
                <w:sz w:val="20"/>
                <w:szCs w:val="20"/>
                <w:color w:val="auto"/>
              </w:rPr>
            </w:pPr>
            <w:r>
              <w:rPr>
                <w:rFonts w:ascii="Arial" w:cs="Arial" w:eastAsia="Arial" w:hAnsi="Arial"/>
                <w:sz w:val="16"/>
                <w:szCs w:val="16"/>
                <w:color w:val="auto"/>
              </w:rPr>
              <w:t>22</w:t>
            </w:r>
          </w:p>
        </w:tc>
        <w:tc>
          <w:tcPr>
            <w:tcW w:w="360" w:type="dxa"/>
            <w:vAlign w:val="bottom"/>
          </w:tcPr>
          <w:p>
            <w:pPr>
              <w:spacing w:after="0"/>
              <w:rPr>
                <w:sz w:val="17"/>
                <w:szCs w:val="17"/>
                <w:color w:val="auto"/>
              </w:rPr>
            </w:pPr>
          </w:p>
        </w:tc>
        <w:tc>
          <w:tcPr>
            <w:tcW w:w="920" w:type="dxa"/>
            <w:vAlign w:val="bottom"/>
          </w:tcPr>
          <w:p>
            <w:pPr>
              <w:ind w:left="740"/>
              <w:spacing w:after="0"/>
              <w:rPr>
                <w:sz w:val="20"/>
                <w:szCs w:val="20"/>
                <w:color w:val="auto"/>
              </w:rPr>
            </w:pPr>
            <w:r>
              <w:rPr>
                <w:rFonts w:ascii="Arial" w:cs="Arial" w:eastAsia="Arial" w:hAnsi="Arial"/>
                <w:sz w:val="16"/>
                <w:szCs w:val="16"/>
                <w:color w:val="auto"/>
                <w:w w:val="99"/>
              </w:rPr>
              <w:t>―</w:t>
            </w:r>
          </w:p>
        </w:tc>
        <w:tc>
          <w:tcPr>
            <w:tcW w:w="420" w:type="dxa"/>
            <w:vAlign w:val="bottom"/>
          </w:tcPr>
          <w:p>
            <w:pPr>
              <w:spacing w:after="0"/>
              <w:rPr>
                <w:sz w:val="17"/>
                <w:szCs w:val="17"/>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22</w:t>
            </w:r>
          </w:p>
        </w:tc>
        <w:tc>
          <w:tcPr>
            <w:tcW w:w="860" w:type="dxa"/>
            <w:vAlign w:val="bottom"/>
          </w:tcPr>
          <w:p>
            <w:pPr>
              <w:spacing w:after="0"/>
              <w:rPr>
                <w:sz w:val="17"/>
                <w:szCs w:val="17"/>
                <w:color w:val="auto"/>
              </w:rPr>
            </w:pPr>
          </w:p>
        </w:tc>
        <w:tc>
          <w:tcPr>
            <w:tcW w:w="4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80"/>
        </w:trPr>
        <w:tc>
          <w:tcPr>
            <w:tcW w:w="4460" w:type="dxa"/>
            <w:vAlign w:val="bottom"/>
            <w:shd w:val="clear" w:color="auto" w:fill="ABABAB"/>
          </w:tcPr>
          <w:p>
            <w:pPr>
              <w:spacing w:after="0"/>
              <w:rPr>
                <w:sz w:val="6"/>
                <w:szCs w:val="6"/>
                <w:color w:val="auto"/>
              </w:rPr>
            </w:pPr>
          </w:p>
        </w:tc>
        <w:tc>
          <w:tcPr>
            <w:tcW w:w="340" w:type="dxa"/>
            <w:vAlign w:val="bottom"/>
            <w:shd w:val="clear" w:color="auto" w:fill="ABABAB"/>
          </w:tcPr>
          <w:p>
            <w:pPr>
              <w:spacing w:after="0"/>
              <w:rPr>
                <w:sz w:val="6"/>
                <w:szCs w:val="6"/>
                <w:color w:val="auto"/>
              </w:rPr>
            </w:pPr>
          </w:p>
        </w:tc>
        <w:tc>
          <w:tcPr>
            <w:tcW w:w="1200" w:type="dxa"/>
            <w:vAlign w:val="bottom"/>
            <w:shd w:val="clear" w:color="auto" w:fill="ABABAB"/>
          </w:tcPr>
          <w:p>
            <w:pPr>
              <w:spacing w:after="0"/>
              <w:rPr>
                <w:sz w:val="6"/>
                <w:szCs w:val="6"/>
                <w:color w:val="auto"/>
              </w:rPr>
            </w:pPr>
          </w:p>
        </w:tc>
        <w:tc>
          <w:tcPr>
            <w:tcW w:w="360" w:type="dxa"/>
            <w:vAlign w:val="bottom"/>
            <w:shd w:val="clear" w:color="auto" w:fill="ABABAB"/>
          </w:tcPr>
          <w:p>
            <w:pPr>
              <w:spacing w:after="0"/>
              <w:rPr>
                <w:sz w:val="6"/>
                <w:szCs w:val="6"/>
                <w:color w:val="auto"/>
              </w:rPr>
            </w:pPr>
          </w:p>
        </w:tc>
        <w:tc>
          <w:tcPr>
            <w:tcW w:w="920" w:type="dxa"/>
            <w:vAlign w:val="bottom"/>
            <w:shd w:val="clear" w:color="auto" w:fill="ABABAB"/>
          </w:tcPr>
          <w:p>
            <w:pPr>
              <w:spacing w:after="0"/>
              <w:rPr>
                <w:sz w:val="6"/>
                <w:szCs w:val="6"/>
                <w:color w:val="auto"/>
              </w:rPr>
            </w:pPr>
          </w:p>
        </w:tc>
        <w:tc>
          <w:tcPr>
            <w:tcW w:w="420" w:type="dxa"/>
            <w:vAlign w:val="bottom"/>
            <w:shd w:val="clear" w:color="auto" w:fill="ABABAB"/>
          </w:tcPr>
          <w:p>
            <w:pPr>
              <w:spacing w:after="0"/>
              <w:rPr>
                <w:sz w:val="6"/>
                <w:szCs w:val="6"/>
                <w:color w:val="auto"/>
              </w:rPr>
            </w:pPr>
          </w:p>
        </w:tc>
        <w:tc>
          <w:tcPr>
            <w:tcW w:w="1140" w:type="dxa"/>
            <w:vAlign w:val="bottom"/>
            <w:shd w:val="clear" w:color="auto" w:fill="ABABAB"/>
          </w:tcPr>
          <w:p>
            <w:pPr>
              <w:spacing w:after="0"/>
              <w:rPr>
                <w:sz w:val="6"/>
                <w:szCs w:val="6"/>
                <w:color w:val="auto"/>
              </w:rPr>
            </w:pPr>
          </w:p>
        </w:tc>
        <w:tc>
          <w:tcPr>
            <w:tcW w:w="860" w:type="dxa"/>
            <w:vAlign w:val="bottom"/>
            <w:shd w:val="clear" w:color="auto" w:fill="ABABAB"/>
          </w:tcPr>
          <w:p>
            <w:pPr>
              <w:spacing w:after="0"/>
              <w:rPr>
                <w:sz w:val="6"/>
                <w:szCs w:val="6"/>
                <w:color w:val="auto"/>
              </w:rPr>
            </w:pPr>
          </w:p>
        </w:tc>
        <w:tc>
          <w:tcPr>
            <w:tcW w:w="480" w:type="dxa"/>
            <w:vAlign w:val="bottom"/>
            <w:shd w:val="clear" w:color="auto" w:fill="ABABAB"/>
          </w:tcPr>
          <w:p>
            <w:pPr>
              <w:spacing w:after="0"/>
              <w:rPr>
                <w:sz w:val="6"/>
                <w:szCs w:val="6"/>
                <w:color w:val="auto"/>
              </w:rPr>
            </w:pPr>
          </w:p>
        </w:tc>
        <w:tc>
          <w:tcPr>
            <w:tcW w:w="320" w:type="dxa"/>
            <w:vAlign w:val="bottom"/>
            <w:shd w:val="clear" w:color="auto" w:fill="ABABAB"/>
          </w:tcPr>
          <w:p>
            <w:pPr>
              <w:spacing w:after="0"/>
              <w:rPr>
                <w:sz w:val="6"/>
                <w:szCs w:val="6"/>
                <w:color w:val="auto"/>
              </w:rPr>
            </w:pPr>
          </w:p>
        </w:tc>
        <w:tc>
          <w:tcPr>
            <w:tcW w:w="920" w:type="dxa"/>
            <w:vAlign w:val="bottom"/>
            <w:shd w:val="clear" w:color="auto" w:fill="ABABAB"/>
          </w:tcPr>
          <w:p>
            <w:pPr>
              <w:spacing w:after="0"/>
              <w:rPr>
                <w:sz w:val="6"/>
                <w:szCs w:val="6"/>
                <w:color w:val="auto"/>
              </w:rPr>
            </w:pPr>
          </w:p>
        </w:tc>
      </w:tr>
    </w:tbl>
    <w:p>
      <w:pPr>
        <w:jc w:val="both"/>
        <w:ind w:left="600" w:right="160" w:hanging="388"/>
        <w:spacing w:after="0" w:line="239" w:lineRule="auto"/>
        <w:tabs>
          <w:tab w:leader="none" w:pos="60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(net of premium) of $19 million and $17 million at June 30, 2014 and December 31, 2013, respectively, and excluding build-to-suit and capital leases of $285 million and $195 million at June 30, 2014 and December 31, 2013, respectively, and commercial paper classified as long-term debt of $300 million and $200 million at June 30, 2014 and December 31, 2013, respectively. We discuss our long-term debt in Note 6 above and in Note 5 of the Notes to Consolidated Financial Statements in the Annual Report.</w:t>
      </w:r>
    </w:p>
    <w:p>
      <w:pPr>
        <w:spacing w:after="0" w:line="1" w:lineRule="exact"/>
        <w:rPr>
          <w:rFonts w:ascii="Arial" w:cs="Arial" w:eastAsia="Arial" w:hAnsi="Arial"/>
          <w:sz w:val="14"/>
          <w:szCs w:val="14"/>
          <w:i w:val="1"/>
          <w:iCs w:val="1"/>
          <w:color w:val="auto"/>
        </w:rPr>
      </w:pPr>
    </w:p>
    <w:p>
      <w:pPr>
        <w:ind w:left="600" w:hanging="388"/>
        <w:spacing w:after="0" w:line="237" w:lineRule="auto"/>
        <w:tabs>
          <w:tab w:leader="none" w:pos="60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$10 million and $11 million at June 30, 2014 and December 31, 2013, respectively, and excluding capital leases of $236 million and $179 million at June 30, 2014 and December 31, 2013, respectively.</w:t>
      </w:r>
    </w:p>
    <w:p>
      <w:pPr>
        <w:ind w:left="600" w:right="40" w:hanging="388"/>
        <w:spacing w:after="0" w:line="254" w:lineRule="auto"/>
        <w:tabs>
          <w:tab w:leader="none" w:pos="60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$5 million and $4 million at June 30, 2014 and December 31, 2013, respectively, and excluding capital leases of $1 million and $2 million at June 30, 2014 and December 31, 2013, respectively.</w:t>
      </w:r>
    </w:p>
    <w:p>
      <w:pPr>
        <w:spacing w:after="0" w:line="394"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We base the fair value of certain long-term debt and preferred stock on a market approach using quoted market prices for identical or similar securities in thinly-traded markets (Level 2). We value other long-term debt using an income approach based on the present value of estimated future cash flows discounted at rates available for similar securities (Level 3). We value our investments in limited partnerships based on the underlying partnership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the fair values for the securities held in the nuclear decommissioning trust funds related to SONGS in Note 9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353060</wp:posOffset>
            </wp:positionV>
            <wp:extent cx="72656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NOTE 9. SAN ONOFRE NUCLEAR GENERATING STATION (SONGS)</w:t>
      </w:r>
    </w:p>
    <w:p>
      <w:pPr>
        <w:spacing w:after="0" w:line="21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SDG&amp;E has a 20-percent ownership interest in SONGS, a nuclear generating facility near San Clemente, California, which ceased operations in June 2013. On June 6, 2013, Southern California Edison Company (Edison), the majority owner and operator of SONGS, notified SDG&amp;E that it had reached a decision to permanently retire SONGS and seek approval from the Nuclear Regulatory Commission (NRC) to start the decommissioning activities for the entire facility. SONGS is subject to the jurisdiction of the NRC and the CPUC.</w:t>
      </w:r>
    </w:p>
    <w:p>
      <w:pPr>
        <w:spacing w:after="0" w:line="18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SDG&amp;E, and each of the other owners, holds its undivided interest as a tenant in common in the property. Each owner is responsible for financing its share of expenses and capital expenditures. SDG&amp;E’s share of operating expenses is included in Sempra Energy’s and SDG&amp;E’s Condensed Consolidated Statements of Operations.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SONGS Outage and Retirement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Background</w:t>
      </w:r>
    </w:p>
    <w:p>
      <w:pPr>
        <w:spacing w:after="0" w:line="213"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As part of the Steam Generator Replacement Project (SGRP), the steam generators were replaced in SONGS Units 2 and 3, and the Units returned to service in 2010 and 2011, respectively. Both Units were shut down in early 2012 after a water leak occurred in the Unit 3 steam generator. Edison concluded that the leak was due to unexpected wear from tube-to-tube contact. At the time the leak was identified, Edison also inspected and tested Unit 2 and subsequently found unexpected tube wear in Unit 2’s steam generators as well. In March 2012, in response to the shutdown of SONGS, the NRC issued a Confirmatory Action Letter (CAL) which, among other things, outlined the requirements for Edison to meet before the NRC would approve a restart of either of the Units.</w:t>
      </w:r>
    </w:p>
    <w:p>
      <w:pPr>
        <w:spacing w:after="0" w:line="16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 October 2012, Edison submitted a restart plan to the NRC proposing to operate Unit 2 at a reduced power level for a period of five months, at which time the Unit would be brought down for further inspection. Edison did not file a restart plan for Unit 3, pending further inspection and analysis of what repairs or modifications would be required to return the Unit to service in a safe manner. The NRC was reviewing the restart plan for Unit 2 proposed by Edison when in May 2013, the Atomic Safety and Licensing Board (ASLB), an adjudicatory arm of the NRC, concluded that the CAL process constituted a de facto license amendment proceeding that was subject to a public hearing. This conclusion by the ASLB resulted in further uncertainty regarding when a final decision might be made on restarting Unit 2.</w:t>
      </w:r>
    </w:p>
    <w:p>
      <w:pPr>
        <w:spacing w:after="0" w:line="1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replacement steam generators were designed and provided by Mitsubishi Heavy Industries, Ltd., Mitsubishi Nuclear Energy Systems, Inc., and Mitsubishi Heavy Industries America, Inc. (collectively MHI). In July 2013, SDG&amp;E filed a lawsuit against MHI seeking to recover damages SDG&amp;E has incurred and will incur related to the design defects in the steam generators. In October 2013, Edison instituted arbitration proceedings against MHI seeking damages as well. We discuss these proceedings in Note 11.</w:t>
      </w:r>
    </w:p>
    <w:p>
      <w:pPr>
        <w:spacing w:after="0" w:line="384" w:lineRule="exact"/>
        <w:rPr>
          <w:sz w:val="20"/>
          <w:szCs w:val="20"/>
          <w:color w:val="auto"/>
        </w:rPr>
      </w:pPr>
    </w:p>
    <w:p>
      <w:pPr>
        <w:ind w:right="860"/>
        <w:spacing w:after="0" w:line="4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Proposed Settlement Agreement to Resolve the CPUC’s Order Instituting Investigation (OII) into the SONGS Outage (SONGS OII) </w:t>
      </w:r>
      <w:r>
        <w:rPr>
          <w:rFonts w:ascii="Times New Roman" w:cs="Times New Roman" w:eastAsia="Times New Roman" w:hAnsi="Times New Roman"/>
          <w:sz w:val="19"/>
          <w:szCs w:val="19"/>
          <w:i w:val="1"/>
          <w:iCs w:val="1"/>
          <w:color w:val="auto"/>
        </w:rPr>
        <w:t>SONGS OII</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In November 2012, in response to the outage, the CPUC issued the SONGS OII, pursuant to California Public Utilities’ Code Section 455.5, which applies to cost recovery issues resulting from long-term outages of operating assets. The SONGS OII consolidated most SONGS outage-related issues into a single proceeding. The SONGS OII, among other things, designated all revenues associated with the investment in, and operation of, SONGS since January 1, 2012 as subject to refund to customers, pending the outcome of all phases of the proceeding. The SONGS OII proceeding is also intended to determine the ultimate recovery of the investment in SONGS and the costs incurred since the commencement of this outage, including purchased replacement power costs, which are typically recovered through the Energy Resource Recovery Account (ERRA) subject only to a reasonableness review by the CPUC. We provide additional information on the SONGS OII in Notes 13 and 15 of the Notes to Consolidated Financial Statements in the Annual Report.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Entry Into Settlement Agreement</w:t>
      </w:r>
    </w:p>
    <w:p>
      <w:pPr>
        <w:sectPr>
          <w:pgSz w:w="11900" w:h="16838" w:orient="portrait"/>
          <w:cols w:equalWidth="0" w:num="1">
            <w:col w:w="11420"/>
          </w:cols>
          <w:pgMar w:left="240" w:top="126" w:right="239" w:bottom="139" w:gutter="0" w:footer="0" w:header="0"/>
        </w:sectPr>
      </w:pPr>
    </w:p>
    <w:bookmarkStart w:id="35" w:name="page36"/>
    <w:bookmarkEnd w:id="35"/>
    <w:p>
      <w:pPr>
        <w:ind w:right="60"/>
        <w:spacing w:after="0" w:line="251" w:lineRule="auto"/>
        <w:rPr>
          <w:sz w:val="20"/>
          <w:szCs w:val="20"/>
          <w:color w:val="auto"/>
        </w:rPr>
      </w:pPr>
      <w:r>
        <w:rPr>
          <w:rFonts w:ascii="Times New Roman" w:cs="Times New Roman" w:eastAsia="Times New Roman" w:hAnsi="Times New Roman"/>
          <w:sz w:val="18"/>
          <w:szCs w:val="18"/>
          <w:color w:val="auto"/>
        </w:rPr>
        <w:t>Pursuant to CPUC rules concerning settlements, SDG&amp;E, Edison, The Utility Reform Network (TURN), and the CPUC Office of Ratepayer Advocates (ORA) gave advance written notice to all parties in the SONGS OII of a conference to discuss the terms to resolve the SONGS OII. The settlement conference was held on March 27, 2014. On April 3, 2014, SDG&amp;E, along with Edison, TURN, ORA and two other intervenors to the SONGS OII proceeding, filed a Settlement Agreement with the CPUC. If approved by the CPUC, the Settlement Agreement will constitute a complete and final resolution of the SONGS OII and related CPUC proceedings regarding the SGRP at SONGS and the related outage and subsequent shutdown of SONGS. The Settlement Agreement does not affect on-going or future proceedings before the NRC, or litigation or arbitration related to potential future recoveries from third parties or proceedings addressing decommissioning activities and costs.</w:t>
      </w:r>
    </w:p>
    <w:p>
      <w:pPr>
        <w:spacing w:after="0" w:line="1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Implementation of the terms of the Settlement Agreement is subject to the approval of the CPUC. The parties to the Settlement Agreement (Settling Parties) have agreed to exercise their best efforts to obtain CPUC approval. While we expect the CPUC to issue a final decision on the Settlement Agreement by the end of 2014, there is no assurance that the CPUC will do so. In addition, the Settlement Agreement is subject to termination by any of the Settling Parties if CPUC approval has not been issued before October 3, 2014, and there is no assurance that one or more of the Settling Parties won’t do so.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Settlement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Disallowances, Refunds and Rate Recoveries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Settlement Agreement is approved as filed with the CPUC, SDG&amp;E will</w:t>
      </w:r>
    </w:p>
    <w:p>
      <w:pPr>
        <w:spacing w:after="0" w:line="218" w:lineRule="exact"/>
        <w:rPr>
          <w:sz w:val="20"/>
          <w:szCs w:val="20"/>
          <w:color w:val="auto"/>
        </w:rPr>
      </w:pPr>
    </w:p>
    <w:p>
      <w:pPr>
        <w:ind w:left="320" w:right="40" w:hanging="172"/>
        <w:spacing w:after="0" w:line="275" w:lineRule="auto"/>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from rate base, as of February 1, 2012, its investment in the SGRP and refund to its customers the amount collected for its investment in and any return on its investment in the SGRP since such date. As of February 1, 2012, SDG&amp;E’s net book value in the SGRP was approximately $160 million;</w:t>
      </w:r>
    </w:p>
    <w:p>
      <w:pPr>
        <w:spacing w:after="0" w:line="190" w:lineRule="exact"/>
        <w:rPr>
          <w:rFonts w:ascii="Times New Roman" w:cs="Times New Roman" w:eastAsia="Times New Roman" w:hAnsi="Times New Roman"/>
          <w:sz w:val="18"/>
          <w:szCs w:val="18"/>
          <w:color w:val="auto"/>
        </w:rPr>
      </w:pPr>
    </w:p>
    <w:p>
      <w:pPr>
        <w:ind w:left="320" w:right="20" w:hanging="172"/>
        <w:spacing w:after="0" w:line="275" w:lineRule="auto"/>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authorized to recover in rates its remaining investment in SONGS, including base plant and construction work in progress (CWIP), generally over a ten-year period commencing February 1, 2012, together with a return on investment at a reduced rate equal to:</w:t>
      </w:r>
    </w:p>
    <w:p>
      <w:pPr>
        <w:spacing w:after="0" w:line="190" w:lineRule="exact"/>
        <w:rPr>
          <w:sz w:val="20"/>
          <w:szCs w:val="20"/>
          <w:color w:val="auto"/>
        </w:rPr>
      </w:pPr>
    </w:p>
    <w:p>
      <w:pPr>
        <w:ind w:left="320" w:hanging="190"/>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SDG&amp;E’s weighted average return on debt, plus</w:t>
      </w:r>
    </w:p>
    <w:p>
      <w:pPr>
        <w:spacing w:after="0" w:line="24" w:lineRule="exact"/>
        <w:rPr>
          <w:rFonts w:ascii="Times New Roman" w:cs="Times New Roman" w:eastAsia="Times New Roman" w:hAnsi="Times New Roman"/>
          <w:sz w:val="18"/>
          <w:szCs w:val="18"/>
          <w:color w:val="auto"/>
        </w:rPr>
      </w:pPr>
    </w:p>
    <w:p>
      <w:pPr>
        <w:ind w:left="320" w:right="20" w:hanging="190"/>
        <w:spacing w:after="0" w:line="253" w:lineRule="auto"/>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percent of SDG&amp;E’s weighted average return on preferred stock, as authorized in the CPUC’s Cost of Capital proceeding then in effect (collectively, SONGS rate of return or SONGS ROR).</w:t>
      </w:r>
    </w:p>
    <w:p>
      <w:pPr>
        <w:spacing w:after="0" w:line="209" w:lineRule="exact"/>
        <w:rPr>
          <w:sz w:val="20"/>
          <w:szCs w:val="20"/>
          <w:color w:val="auto"/>
        </w:rPr>
      </w:pPr>
    </w:p>
    <w:p>
      <w:pPr>
        <w:jc w:val="both"/>
        <w:ind w:left="320" w:right="1320"/>
        <w:spacing w:after="0" w:line="260" w:lineRule="auto"/>
        <w:rPr>
          <w:sz w:val="20"/>
          <w:szCs w:val="20"/>
          <w:color w:val="auto"/>
        </w:rPr>
      </w:pPr>
      <w:r>
        <w:rPr>
          <w:rFonts w:ascii="Times New Roman" w:cs="Times New Roman" w:eastAsia="Times New Roman" w:hAnsi="Times New Roman"/>
          <w:sz w:val="18"/>
          <w:szCs w:val="18"/>
          <w:color w:val="auto"/>
        </w:rPr>
        <w:t>This results in a SONGS ROR of 2.75 percent for the period February 1, 2012 through December 31, 2012 and 2.35 percent for the period January 1, 2013 through December 31, 2014. The SONGS ROR for future periods will fluctuate based on SDG&amp;E’s authorized weighted average returns on debt and preferred stock in effect for those future periods;</w:t>
      </w:r>
    </w:p>
    <w:p>
      <w:pPr>
        <w:spacing w:after="0" w:line="178" w:lineRule="exact"/>
        <w:rPr>
          <w:sz w:val="20"/>
          <w:szCs w:val="20"/>
          <w:color w:val="auto"/>
        </w:rPr>
      </w:pPr>
    </w:p>
    <w:p>
      <w:pPr>
        <w:ind w:left="320" w:right="20" w:hanging="172"/>
        <w:spacing w:after="0" w:line="275" w:lineRule="auto"/>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authorized to recover in rates its recorded operations and maintenance expenses for 2012, 2013 and 2014 as well as the recorded costs for the 2012 refueling outage of Unit 2, subject to customary prudency review;</w:t>
      </w:r>
    </w:p>
    <w:p>
      <w:pPr>
        <w:spacing w:after="0" w:line="190" w:lineRule="exact"/>
        <w:rPr>
          <w:rFonts w:ascii="Times New Roman" w:cs="Times New Roman" w:eastAsia="Times New Roman" w:hAnsi="Times New Roman"/>
          <w:sz w:val="18"/>
          <w:szCs w:val="18"/>
          <w:color w:val="auto"/>
        </w:rPr>
      </w:pPr>
    </w:p>
    <w:p>
      <w:pPr>
        <w:ind w:left="320" w:right="40" w:hanging="172"/>
        <w:spacing w:after="0" w:line="275" w:lineRule="auto"/>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authorized to recover in rates its remaining investment in materials and supplies over a ten-year period commencing February 1, 2012, together with a return on investment at the SONGS ROR;</w:t>
      </w:r>
    </w:p>
    <w:p>
      <w:pPr>
        <w:spacing w:after="0" w:line="190" w:lineRule="exact"/>
        <w:rPr>
          <w:rFonts w:ascii="Times New Roman" w:cs="Times New Roman" w:eastAsia="Times New Roman" w:hAnsi="Times New Roman"/>
          <w:sz w:val="18"/>
          <w:szCs w:val="18"/>
          <w:color w:val="auto"/>
        </w:rPr>
      </w:pPr>
    </w:p>
    <w:p>
      <w:pPr>
        <w:ind w:left="320" w:right="20" w:hanging="172"/>
        <w:spacing w:after="0" w:line="275" w:lineRule="auto"/>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authorized to recover in rates its remaining investment in nuclear fuel inventory and any costs incurred, or to be incurred, associated with nuclear fuel supply contracts over a ten-year period, together with a return equal to SDG&amp;E’s commercial paper borrowing rate; and</w:t>
      </w:r>
    </w:p>
    <w:p>
      <w:pPr>
        <w:spacing w:after="0" w:line="190" w:lineRule="exact"/>
        <w:rPr>
          <w:rFonts w:ascii="Times New Roman" w:cs="Times New Roman" w:eastAsia="Times New Roman" w:hAnsi="Times New Roman"/>
          <w:sz w:val="18"/>
          <w:szCs w:val="18"/>
          <w:color w:val="auto"/>
        </w:rPr>
      </w:pPr>
    </w:p>
    <w:p>
      <w:pPr>
        <w:jc w:val="both"/>
        <w:ind w:left="320" w:right="20" w:hanging="172"/>
        <w:spacing w:after="0" w:line="256" w:lineRule="auto"/>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authorized to recover in rates through its fuel and purchased power balancing account (ERRA) all costs incurred to purchase power in the market to replace the power that would have been generated at SONGS if not for the outage and shutdown of SONGS, and to recover by December 31, 2015 any SONGS-related ERRA undercollections. SDG&amp;E’s market power costs through June 6, 2013 (the date of SONGS’ retirement) were approximately $165 million, using the methodology followed in the SONGS OII.</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Settlement Agreement also provides SDG&amp;E with an incentive in the event proceeds are secured from the sale of materials and supplies and/or nuclear fuel, as well as in the event that nuclear fuel investments are reduced by contract cancellations. This incentive allows SDG&amp;E to retain 5 percent of its proportionate share of any sales proceeds and to recover 5 percent of its proportionate share of the excess of cancelled contract obligations over cancellation costs. The balance of the sale proceeds and cancellation benefits would be credited to ratepayers.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Potential Third Party Recoveries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Settlement Agreement also addresses how potential recoveries from third parties will be allocated between ratepayers and SDG&amp;E.</w:t>
      </w:r>
    </w:p>
    <w:p>
      <w:pPr>
        <w:spacing w:after="0" w:line="2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we discuss in Note 11, SDG&amp;E and the other owners of SONGS carry accidental property damage and accidental outage insurance issued by Nuclear Electric Insurance Limited (NEIL), a mutual insurance company. Edison, on behalf of itself and the other minority owners in SONGS (including SDG&amp;E), has placed NEIL on notice of claims under both policies. Under the Settlement Agreement, recoveries from NEIL, if any, will first be applied to reimburse costs incurred in pursuing such recoveries, including litigation costs. To the extent SDG&amp;E’s share of recoveries from NEIL exceeds such costs, recoveries will be allocated 82.5 percent to ratepayers and 17.5 percent to SDG&amp;E.</w:t>
      </w:r>
    </w:p>
    <w:p>
      <w:pPr>
        <w:spacing w:after="0" w:line="185"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7"/>
          <w:szCs w:val="17"/>
          <w:color w:val="auto"/>
        </w:rPr>
        <w:t>As we discuss in Note 11, SDG&amp;E has filed a lawsuit against MHI, which designed and provided the steam generators that failed. This proceeding was stayed in favor of an arbitration proceeding instituted by Edison. Under the Settlement Agreement, recoveries from MHI, if any, will first be applied to reimburse costs incurred in pursuing such recoveries, including litigation costs. We provide additional information on the proceedings against MHI in Note 11.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SDG&amp;E’s share of recoveries from MHI exceeds such costs, they will be allocated as follows:</w:t>
      </w:r>
    </w:p>
    <w:p>
      <w:pPr>
        <w:spacing w:after="0" w:line="218" w:lineRule="exact"/>
        <w:rPr>
          <w:sz w:val="20"/>
          <w:szCs w:val="20"/>
          <w:color w:val="auto"/>
        </w:rPr>
      </w:pPr>
    </w:p>
    <w:p>
      <w:pPr>
        <w:ind w:left="320" w:hanging="172"/>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percent of the first $25 million to SDG&amp;E, and 15 percent to ratepayers;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66.67 percent of the next $200 million to SDG&amp;E, and 33.33 percent to ratepayers; and</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percent of any additional recoveries to SDG&amp;E, and 75 percent to ratepayers.</w:t>
      </w:r>
    </w:p>
    <w:p>
      <w:pPr>
        <w:sectPr>
          <w:pgSz w:w="11900" w:h="16838" w:orient="portrait"/>
          <w:cols w:equalWidth="0" w:num="1">
            <w:col w:w="11440"/>
          </w:cols>
          <w:pgMar w:left="240" w:top="121" w:right="219" w:bottom="184" w:gutter="0" w:footer="0" w:header="0"/>
        </w:sectPr>
      </w:pPr>
    </w:p>
    <w:bookmarkStart w:id="36" w:name="page37"/>
    <w:bookmarkEnd w:id="36"/>
    <w:p>
      <w:pPr>
        <w:spacing w:after="0" w:line="9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The Settlement Agreement provides for the resolution of the claims with NEIL and the dispute with MHI without requiring CPUC review or approval, but requires that Edison and SDG&amp;E use their best efforts to inform the CPUC of any settlements or resolutions of the issues to the extent possible without compromising any aspect of such settlements or resolutions.</w:t>
      </w:r>
    </w:p>
    <w:p>
      <w:pPr>
        <w:spacing w:after="0" w:line="178"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color w:val="auto"/>
        </w:rPr>
        <w:t>There is no assurance that there will be any recoveries from NEIL or MHI or that if there are recoveries, that they will exceed the costs incurred to pursue them. Were there to be recoveries, SDG&amp;E cannot provide any assurance as to when they would be received or the amount of any such recoveries. SDG&amp;E currently expects that NEIL will make a coverage determination by the end of 2014.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Accounting and Financial Impacts</w:t>
      </w:r>
    </w:p>
    <w:p>
      <w:pPr>
        <w:spacing w:after="0" w:line="213"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As a result of the execution of the Settlement Agreement by the Settling Parties, SDG&amp;E concluded that the probable outcome of the SONGS OII is the approval and implementation of the Settlement Agreement, although such outcome is dependent on approval by the CPUC.</w:t>
      </w:r>
    </w:p>
    <w:p>
      <w:pPr>
        <w:spacing w:after="0" w:line="16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As disclosed in Note 13 of the Notes to Consolidated Financial Statements in the Annual Report, SDG&amp;E reported a pretax loss from plant closure of $200 million ($119 million after-tax) in the second quarter of 2013 as a result of its initial assessment of the financial impact of the outcome of the SONGS OII proceeding. As a result of entering into the Settlement Agreement in the first quarter of 2014, SDG&amp;E recorded a $13 million reduction to the pretax loss from plant closure, but a $9 million increase in the after-tax loss from plant closure. The after-tax loss includes a $17 million charge to reduce certain tax regulatory assets which may no longer be recoverable in rates pursuant to the Settlement Agreement. After adjustment for the Settlement Agreement, the total loss from plant closure, including amounts previously recorded in 2013, is $187 million pretax ($128 million after-tax). A regulatory asset for the expected recovery of SONGS costs, consistent with the Settlement Agreement, is recorded on the Condensed Consolidated Balance Sheets of Sempra Energy and SDG&amp;E in Other Regulatory Assets (long-term). The amount of this regulatory asset is $232 million as of June 30, 2014.</w:t>
      </w:r>
    </w:p>
    <w:p>
      <w:pPr>
        <w:spacing w:after="0" w:line="18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Assuming the Settlement Agreement is approved, and except for the impact of the amount and timing of any potential future recoveries from third parties, which SDG&amp;E cannot estimate at this time, SDG&amp;E does not expect that implementation of the Settlement Agreement will have a material adverse impact on its future results of operations or 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Procedure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Settlement Agreement, the Settling Parties are required to use their best efforts to obtain CPUC approval. In April 2014, the Settling Parties filed 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Motion requesting the CPUC to:</w:t>
      </w:r>
    </w:p>
    <w:p>
      <w:pPr>
        <w:spacing w:after="0" w:line="199" w:lineRule="exact"/>
        <w:rPr>
          <w:sz w:val="20"/>
          <w:szCs w:val="20"/>
          <w:color w:val="auto"/>
        </w:rPr>
      </w:pPr>
    </w:p>
    <w:p>
      <w:pPr>
        <w:ind w:left="320" w:hanging="17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Settlement Agreement without change;</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the Settlement Agreement reasonable;</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the November 19, 2013 Proposed Decision on Phase 1 and Phase 1A issues in the SONGS OII; and</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expedite consideration of the Settlement Agreement in order to provide its benefits to ratepayers as soon as possible.</w:t>
      </w:r>
    </w:p>
    <w:p>
      <w:pPr>
        <w:spacing w:after="0" w:line="245"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Subject to the right of any settling party to terminate the Settlement Agreement if it is not approved by the CPUC by October 3, 2014, during the pendency of proceedings regarding the Settlement Agreement, the Settling Parties are further bound to:</w:t>
      </w:r>
    </w:p>
    <w:p>
      <w:pPr>
        <w:spacing w:after="0" w:line="164" w:lineRule="exact"/>
        <w:rPr>
          <w:sz w:val="20"/>
          <w:szCs w:val="20"/>
          <w:color w:val="auto"/>
        </w:rPr>
      </w:pPr>
    </w:p>
    <w:p>
      <w:pPr>
        <w:ind w:left="320" w:hanging="17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and mutually defend the Settlement Agreement in its entirety;</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oppose any modifications proposed by any non-settling party to the SONGS OII unless all Settling Parties agree; and</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reasonably on all submissions necessary to achieve CPUC approval.</w:t>
      </w:r>
    </w:p>
    <w:p>
      <w:pPr>
        <w:spacing w:after="0" w:line="24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7"/>
          <w:szCs w:val="17"/>
          <w:color w:val="auto"/>
        </w:rPr>
        <w:t>The Settling Parties further agree to review any CPUC orders regarding the Settlement Agreement to determine if the CPUC has changed or modified it, deleted a term or imposed a new term. If any Settling Party is unwilling to accept any such change, modification, deletion or addition of a new term, then the Settling Parties will negotiate in good faith to seek a resolution acceptable to all Settling Parties. If they are unable to resolve the matter to the satisfaction of all Settling Parties, or to obtain prompt CPUC approval of an agreed upon resolution, then any Settling Party can terminate the Settlement Agreement upon prompt notice.</w:t>
      </w:r>
    </w:p>
    <w:p>
      <w:pPr>
        <w:spacing w:after="0" w:line="167"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In May 2014, comments on the Motion and Settlement Agreement were filed, and the CPUC held an evidentiary hearing. The Settling Parties also hosted a community meeting in June 2014.</w:t>
      </w:r>
    </w:p>
    <w:p>
      <w:pPr>
        <w:spacing w:after="0" w:line="164" w:lineRule="exact"/>
        <w:rPr>
          <w:sz w:val="20"/>
          <w:szCs w:val="20"/>
          <w:color w:val="auto"/>
        </w:rPr>
      </w:pPr>
    </w:p>
    <w:p>
      <w:pPr>
        <w:jc w:val="both"/>
        <w:ind w:right="280"/>
        <w:spacing w:after="0" w:line="256" w:lineRule="auto"/>
        <w:rPr>
          <w:sz w:val="20"/>
          <w:szCs w:val="20"/>
          <w:color w:val="auto"/>
        </w:rPr>
      </w:pPr>
      <w:r>
        <w:rPr>
          <w:rFonts w:ascii="Times New Roman" w:cs="Times New Roman" w:eastAsia="Times New Roman" w:hAnsi="Times New Roman"/>
          <w:sz w:val="18"/>
          <w:szCs w:val="18"/>
          <w:color w:val="auto"/>
        </w:rPr>
        <w:t>Pursuant to the CPUC’s rules, no settlement becomes binding unless the CPUC approves the settlement based on a finding that it is reasonable in light of the whole record, consistent with law, and in the public interest. The CPUC has discretion to approve or disapprove a settlement, or to condition its approval on changes to the settlement, which the parties may accept or reject. CPUC rules do not provide for any fixed time period for the CPUC to act on the Settlement Agreement.</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Unless and until the CPUC approves the Settlement Agreement as filed, there can be no assurance that the SONGS OII proceeding will provide for recoveries as currently estimated by SDG&amp;E in accordance with the Settlement Agreement, including the recovery of costs recorded as a regulatory asset, or that the CPUC will not order refunds to customers above those contemplated by the Settlement Agreement. Therefore, the regulatory asset of $232 million in Other Regulatory Assets (long-term) on the Condensed Consolidated Balance Sheets of Sempra Energy and SDG&amp;E at June 30, 2014 related to the SONGS plant closure could be subject to further change based upon future developments and the application of SDG&amp;E’s judgment to those events.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NRC Proceedings</w:t>
      </w:r>
    </w:p>
    <w:p>
      <w:pPr>
        <w:spacing w:after="0" w:line="21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December 2013, Edison received a final NRC Inspection Report that identified a violation for the failure to verify the adequacy of the thermal-hydraulic and flow-induced vibration design of the Unit 3 replacement steam generators. In January 2014, Edison provided a response to the NRC Inspection Report stating that MHI, as contracted by Edison to prepare the SONGS replacement steam generator design, was the party responsible for validating the design of the steam generators.</w:t>
      </w:r>
    </w:p>
    <w:p>
      <w:pPr>
        <w:spacing w:after="0" w:line="180"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In addition, the NRC issued an Inspection Report to MHI containing a Notice of Nonconformance for its flawed computer modeling in the design of the replacement steam generators.</w:t>
      </w:r>
    </w:p>
    <w:p>
      <w:pPr>
        <w:sectPr>
          <w:pgSz w:w="11900" w:h="16929" w:orient="portrait"/>
          <w:cols w:equalWidth="0" w:num="1">
            <w:col w:w="11420"/>
          </w:cols>
          <w:pgMar w:left="240" w:top="121" w:right="239" w:bottom="0" w:gutter="0" w:footer="0" w:header="0"/>
        </w:sectPr>
      </w:pPr>
    </w:p>
    <w:bookmarkStart w:id="37" w:name="page38"/>
    <w:bookmarkEnd w:id="37"/>
    <w:p>
      <w:pPr>
        <w:ind w:right="100"/>
        <w:spacing w:after="0" w:line="256" w:lineRule="auto"/>
        <w:rPr>
          <w:sz w:val="20"/>
          <w:szCs w:val="20"/>
          <w:color w:val="auto"/>
        </w:rPr>
      </w:pPr>
      <w:r>
        <w:rPr>
          <w:rFonts w:ascii="Times New Roman" w:cs="Times New Roman" w:eastAsia="Times New Roman" w:hAnsi="Times New Roman"/>
          <w:sz w:val="18"/>
          <w:szCs w:val="18"/>
          <w:color w:val="auto"/>
        </w:rPr>
        <w:t>Because SONGS has ceased operation, NRC inspection oversight of SONGS will now be continued through the NRC’s Decommissioning Power Reactor Inspection Program to verify that decommissioning activities are being conducted safely, that spent fuel is safely stored onsite or transferred to another licensed location, and that the site operations and licensee termination activities conform to applicable regulatory requirements, licensee commitments and management controls.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Nuclear Decommissioning and Funding</w:t>
      </w:r>
    </w:p>
    <w:p>
      <w:pPr>
        <w:spacing w:after="0" w:line="21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As a result of Edison’s decision to permanently retire SONGS Units 2 and 3, Edison has begun the decommissioning phase of the plant. The process of decommissioning a nuclear power plant is governed by the regulations of various governmental and other agencies, including but not limited to, those of the NRC, the U.S. Department of the Navy (the land owner) and the CPUC. The NRC regulations generally categorize the decommissioning activities into three phases: initial activities, major decommissioning and storage activities, and license termination. Initial activities include providing notice of permanent cessation of operations (provided by Edison to the NRC on June 12, 2013) and notice of permanent removal of fuel from the reactor vessels (provided by Edison on June 28 and July 22, 2013 for Units 3 and 2, respectively). Within two years after the cessation of operations, the licensee (Edison) must submit a post-shutdown decommissioning activities report, an irradiated fuel management plan and a site-specific decommissioning cost estimate. Edison currently estimates that it will provide these documents to the NRC by the end of 2014.</w:t>
      </w:r>
    </w:p>
    <w:p>
      <w:pPr>
        <w:spacing w:after="0" w:line="18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accordance with state and federal requirements and regulations, SDG&amp;E has assets held in trusts, referred to as the Nuclear Decommissioning Trusts (NDT), to fund decommissioning costs for SONGS Units 1, 2 and 3. At June 30, 2014, the fair value of SDG&amp;E’s NDT assets was $1.1 billion. Except for the use of funds for the planning of decommissioning activities, CPUC approval is required for SDG&amp;E to access the NDT assets to fund SONGS decommissioning costs. In February 2014, SDG&amp;E filed a request with the CPUC for such authorization for costs incurred in 2013. Until CPUC approval to access the NDT to pay for such costs is received, SDG&amp;E will use working capital to pay for any SONGS Units 2 and 3 decommissioning costs incurred, and such expenditures will be reimbursed from the NDT upon that approval. The timing of SDG&amp;E’s access to the NDT assets may also depend on the NRC’s approval of an exemption that would permit the monies in the SONGS trust funds to be used to pay for each of the three general categories of decommissioning activities. These activities are as follows:</w:t>
      </w:r>
    </w:p>
    <w:p>
      <w:pPr>
        <w:spacing w:after="0" w:line="189" w:lineRule="exact"/>
        <w:rPr>
          <w:sz w:val="20"/>
          <w:szCs w:val="20"/>
          <w:color w:val="auto"/>
        </w:rPr>
      </w:pPr>
    </w:p>
    <w:p>
      <w:pPr>
        <w:ind w:left="320" w:hanging="17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NRC-jurisdictional radiological decommissioning (also known as “license termination”)</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fuel management and decommissioning at an independent spent fuel storage installation</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non-radiological purposes, i.e., site restoration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SDG&amp;E currently anticipates a decision regarding its ability to use the monies in the NDT by the end of 2014.</w:t>
      </w:r>
    </w:p>
    <w:p>
      <w:pPr>
        <w:spacing w:after="0" w:line="2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SDG&amp;E and Edison have a joint application pending with the CPUC requesting continued rate recovery to fund the NDT to ensure that the NDT has sufficient funding to pay for the estimated cost of decommissioning SONGS. SDG&amp;E is currently authorized to recover $8 million annually to fund additional investments in the NDT to pay for the cost of decommissioning SONGS. In its pending application with the CPUC, SDG&amp;E is requesting to recover $16 million on an annual basis to fund additional investments in the NDT. We expect a decision on this application by the end of 2014.</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Nuclear Decommissioning Trusts</w:t>
      </w:r>
    </w:p>
    <w:p>
      <w:pPr>
        <w:spacing w:after="0" w:line="215"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The amounts collected in rates for SONGS’ decommissioning are invested in externally managed trust funds. Amounts held by the trusts are invested in accordance with CPUC regulations. These trusts are shown on the Sempra Energy and SDG&amp;E Condensed Consolidated Balance Sheets at fair value with the offsetting credits recorded in Regulatory Liabilities Arising from Removal Obligations.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values and gross unrealized gains and losses for the securities held in the trust funds: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NUCLEAR DECOMMISSIONING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center"/>
              <w:ind w:right="209"/>
              <w:spacing w:after="0"/>
              <w:rPr>
                <w:sz w:val="20"/>
                <w:szCs w:val="20"/>
                <w:color w:val="auto"/>
              </w:rPr>
            </w:pPr>
            <w:r>
              <w:rPr>
                <w:rFonts w:ascii="Arial" w:cs="Arial" w:eastAsia="Arial" w:hAnsi="Arial"/>
                <w:sz w:val="14"/>
                <w:szCs w:val="14"/>
                <w:color w:val="auto"/>
              </w:rPr>
              <w:t>Gross</w:t>
            </w:r>
          </w:p>
        </w:tc>
        <w:tc>
          <w:tcPr>
            <w:tcW w:w="400" w:type="dxa"/>
            <w:vAlign w:val="bottom"/>
          </w:tcPr>
          <w:p>
            <w:pPr>
              <w:spacing w:after="0"/>
              <w:rPr>
                <w:sz w:val="16"/>
                <w:szCs w:val="16"/>
                <w:color w:val="auto"/>
              </w:rPr>
            </w:pPr>
          </w:p>
        </w:tc>
        <w:tc>
          <w:tcPr>
            <w:tcW w:w="1280" w:type="dxa"/>
            <w:vAlign w:val="bottom"/>
          </w:tcPr>
          <w:p>
            <w:pPr>
              <w:jc w:val="right"/>
              <w:ind w:right="529"/>
              <w:spacing w:after="0"/>
              <w:rPr>
                <w:sz w:val="20"/>
                <w:szCs w:val="20"/>
                <w:color w:val="auto"/>
              </w:rPr>
            </w:pPr>
            <w:r>
              <w:rPr>
                <w:rFonts w:ascii="Arial" w:cs="Arial" w:eastAsia="Arial" w:hAnsi="Arial"/>
                <w:sz w:val="14"/>
                <w:szCs w:val="14"/>
                <w:color w:val="auto"/>
              </w:rPr>
              <w:t>Gross</w:t>
            </w:r>
          </w:p>
        </w:tc>
        <w:tc>
          <w:tcPr>
            <w:tcW w:w="380" w:type="dxa"/>
            <w:vAlign w:val="bottom"/>
          </w:tcPr>
          <w:p>
            <w:pPr>
              <w:spacing w:after="0"/>
              <w:rPr>
                <w:sz w:val="16"/>
                <w:szCs w:val="16"/>
                <w:color w:val="auto"/>
              </w:rPr>
            </w:pPr>
          </w:p>
        </w:tc>
        <w:tc>
          <w:tcPr>
            <w:tcW w:w="1140" w:type="dxa"/>
            <w:vAlign w:val="bottom"/>
          </w:tcPr>
          <w:p>
            <w:pPr>
              <w:jc w:val="center"/>
              <w:ind w:right="89"/>
              <w:spacing w:after="0"/>
              <w:rPr>
                <w:sz w:val="20"/>
                <w:szCs w:val="20"/>
                <w:color w:val="auto"/>
              </w:rPr>
            </w:pPr>
            <w:r>
              <w:rPr>
                <w:rFonts w:ascii="Arial" w:cs="Arial" w:eastAsia="Arial" w:hAnsi="Arial"/>
                <w:sz w:val="14"/>
                <w:szCs w:val="14"/>
                <w:color w:val="auto"/>
                <w:w w:val="99"/>
              </w:rPr>
              <w:t>Estimated</w:t>
            </w:r>
          </w:p>
        </w:tc>
      </w:tr>
      <w:tr>
        <w:trPr>
          <w:trHeight w:val="199"/>
        </w:trPr>
        <w:tc>
          <w:tcPr>
            <w:tcW w:w="3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center"/>
              <w:ind w:right="189"/>
              <w:spacing w:after="0"/>
              <w:rPr>
                <w:sz w:val="20"/>
                <w:szCs w:val="20"/>
                <w:color w:val="auto"/>
              </w:rPr>
            </w:pPr>
            <w:r>
              <w:rPr>
                <w:rFonts w:ascii="Arial" w:cs="Arial" w:eastAsia="Arial" w:hAnsi="Arial"/>
                <w:sz w:val="14"/>
                <w:szCs w:val="14"/>
                <w:color w:val="auto"/>
              </w:rPr>
              <w:t>Unrealized</w:t>
            </w:r>
          </w:p>
        </w:tc>
        <w:tc>
          <w:tcPr>
            <w:tcW w:w="400" w:type="dxa"/>
            <w:vAlign w:val="bottom"/>
          </w:tcPr>
          <w:p>
            <w:pPr>
              <w:spacing w:after="0"/>
              <w:rPr>
                <w:sz w:val="17"/>
                <w:szCs w:val="17"/>
                <w:color w:val="auto"/>
              </w:rPr>
            </w:pPr>
          </w:p>
        </w:tc>
        <w:tc>
          <w:tcPr>
            <w:tcW w:w="1280" w:type="dxa"/>
            <w:vAlign w:val="bottom"/>
          </w:tcPr>
          <w:p>
            <w:pPr>
              <w:jc w:val="right"/>
              <w:ind w:right="389"/>
              <w:spacing w:after="0"/>
              <w:rPr>
                <w:sz w:val="20"/>
                <w:szCs w:val="20"/>
                <w:color w:val="auto"/>
              </w:rPr>
            </w:pPr>
            <w:r>
              <w:rPr>
                <w:rFonts w:ascii="Arial" w:cs="Arial" w:eastAsia="Arial" w:hAnsi="Arial"/>
                <w:sz w:val="14"/>
                <w:szCs w:val="14"/>
                <w:color w:val="auto"/>
              </w:rPr>
              <w:t>Unrealized</w:t>
            </w:r>
          </w:p>
        </w:tc>
        <w:tc>
          <w:tcPr>
            <w:tcW w:w="380" w:type="dxa"/>
            <w:vAlign w:val="bottom"/>
          </w:tcPr>
          <w:p>
            <w:pPr>
              <w:spacing w:after="0"/>
              <w:rPr>
                <w:sz w:val="17"/>
                <w:szCs w:val="17"/>
                <w:color w:val="auto"/>
              </w:rPr>
            </w:pPr>
          </w:p>
        </w:tc>
        <w:tc>
          <w:tcPr>
            <w:tcW w:w="1140" w:type="dxa"/>
            <w:vAlign w:val="bottom"/>
          </w:tcPr>
          <w:p>
            <w:pPr>
              <w:jc w:val="center"/>
              <w:ind w:right="89"/>
              <w:spacing w:after="0"/>
              <w:rPr>
                <w:sz w:val="20"/>
                <w:szCs w:val="20"/>
                <w:color w:val="auto"/>
              </w:rPr>
            </w:pPr>
            <w:r>
              <w:rPr>
                <w:rFonts w:ascii="Arial" w:cs="Arial" w:eastAsia="Arial" w:hAnsi="Arial"/>
                <w:sz w:val="14"/>
                <w:szCs w:val="14"/>
                <w:color w:val="auto"/>
              </w:rPr>
              <w:t>Fair</w:t>
            </w:r>
          </w:p>
        </w:tc>
      </w:tr>
      <w:tr>
        <w:trPr>
          <w:trHeight w:val="182"/>
        </w:trPr>
        <w:tc>
          <w:tcPr>
            <w:tcW w:w="340" w:type="dxa"/>
            <w:vAlign w:val="bottom"/>
            <w:tcBorders>
              <w:bottom w:val="single" w:sz="8" w:color="auto"/>
            </w:tcBorders>
          </w:tcPr>
          <w:p>
            <w:pPr>
              <w:spacing w:after="0"/>
              <w:rPr>
                <w:sz w:val="15"/>
                <w:szCs w:val="15"/>
                <w:color w:val="auto"/>
              </w:rPr>
            </w:pPr>
          </w:p>
        </w:tc>
        <w:tc>
          <w:tcPr>
            <w:tcW w:w="46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Cost</w:t>
            </w:r>
          </w:p>
        </w:tc>
        <w:tc>
          <w:tcPr>
            <w:tcW w:w="4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color w:val="auto"/>
              </w:rPr>
              <w:t>Gains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Losses</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w w:val="94"/>
              </w:rPr>
              <w:t>Value</w:t>
            </w:r>
          </w:p>
        </w:tc>
      </w:tr>
      <w:tr>
        <w:trPr>
          <w:trHeight w:val="139"/>
        </w:trPr>
        <w:tc>
          <w:tcPr>
            <w:tcW w:w="496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At June 30, 2014:</w:t>
            </w: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9"/>
        </w:trPr>
        <w:tc>
          <w:tcPr>
            <w:tcW w:w="4960" w:type="dxa"/>
            <w:vAlign w:val="bottom"/>
            <w:gridSpan w:val="2"/>
          </w:tcPr>
          <w:p>
            <w:pPr>
              <w:spacing w:after="0" w:line="159" w:lineRule="exact"/>
              <w:rPr>
                <w:sz w:val="20"/>
                <w:szCs w:val="20"/>
                <w:color w:val="auto"/>
              </w:rPr>
            </w:pPr>
            <w:r>
              <w:rPr>
                <w:rFonts w:ascii="Arial" w:cs="Arial" w:eastAsia="Arial" w:hAnsi="Arial"/>
                <w:sz w:val="14"/>
                <w:szCs w:val="14"/>
                <w:color w:val="auto"/>
              </w:rPr>
              <w:t>Debt securities:</w:t>
            </w: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496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Debt securities issued by the U.S. Treasury and other</w:t>
            </w: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340" w:type="dxa"/>
            <w:vAlign w:val="bottom"/>
          </w:tcPr>
          <w:p>
            <w:pPr>
              <w:spacing w:after="0"/>
              <w:rPr>
                <w:sz w:val="13"/>
                <w:szCs w:val="13"/>
                <w:color w:val="auto"/>
              </w:rPr>
            </w:pPr>
          </w:p>
        </w:tc>
        <w:tc>
          <w:tcPr>
            <w:tcW w:w="4620" w:type="dxa"/>
            <w:vAlign w:val="bottom"/>
          </w:tcPr>
          <w:p>
            <w:pPr>
              <w:ind w:left="20"/>
              <w:spacing w:after="0" w:line="159" w:lineRule="exact"/>
              <w:rPr>
                <w:sz w:val="20"/>
                <w:szCs w:val="20"/>
                <w:color w:val="auto"/>
              </w:rPr>
            </w:pPr>
            <w:r>
              <w:rPr>
                <w:rFonts w:ascii="Arial" w:cs="Arial" w:eastAsia="Arial" w:hAnsi="Arial"/>
                <w:sz w:val="14"/>
                <w:szCs w:val="14"/>
                <w:color w:val="auto"/>
              </w:rPr>
              <w:t>U.S. government corporations and agencies(1)</w:t>
            </w:r>
          </w:p>
        </w:tc>
        <w:tc>
          <w:tcPr>
            <w:tcW w:w="1160" w:type="dxa"/>
            <w:vAlign w:val="bottom"/>
          </w:tcPr>
          <w:p>
            <w:pPr>
              <w:jc w:val="right"/>
              <w:ind w:right="729"/>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101</w:t>
            </w:r>
          </w:p>
        </w:tc>
        <w:tc>
          <w:tcPr>
            <w:tcW w:w="38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5</w:t>
            </w:r>
          </w:p>
        </w:tc>
        <w:tc>
          <w:tcPr>
            <w:tcW w:w="4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106</w:t>
            </w:r>
          </w:p>
        </w:tc>
      </w:tr>
      <w:tr>
        <w:trPr>
          <w:trHeight w:val="159"/>
        </w:trPr>
        <w:tc>
          <w:tcPr>
            <w:tcW w:w="496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Municipal bonds(2)</w:t>
            </w:r>
          </w:p>
        </w:tc>
        <w:tc>
          <w:tcPr>
            <w:tcW w:w="1160" w:type="dxa"/>
            <w:vAlign w:val="bottom"/>
          </w:tcPr>
          <w:p>
            <w:pPr>
              <w:spacing w:after="0"/>
              <w:rPr>
                <w:sz w:val="13"/>
                <w:szCs w:val="13"/>
                <w:color w:val="auto"/>
              </w:rPr>
            </w:pPr>
          </w:p>
        </w:tc>
        <w:tc>
          <w:tcPr>
            <w:tcW w:w="4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109</w:t>
            </w:r>
          </w:p>
        </w:tc>
        <w:tc>
          <w:tcPr>
            <w:tcW w:w="380" w:type="dxa"/>
            <w:vAlign w:val="bottom"/>
          </w:tcPr>
          <w:p>
            <w:pPr>
              <w:spacing w:after="0"/>
              <w:rPr>
                <w:sz w:val="13"/>
                <w:szCs w:val="13"/>
                <w:color w:val="auto"/>
              </w:rPr>
            </w:pPr>
          </w:p>
        </w:tc>
        <w:tc>
          <w:tcPr>
            <w:tcW w:w="12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6</w:t>
            </w:r>
          </w:p>
        </w:tc>
        <w:tc>
          <w:tcPr>
            <w:tcW w:w="400" w:type="dxa"/>
            <w:vAlign w:val="bottom"/>
          </w:tcPr>
          <w:p>
            <w:pPr>
              <w:spacing w:after="0"/>
              <w:rPr>
                <w:sz w:val="13"/>
                <w:szCs w:val="13"/>
                <w:color w:val="auto"/>
              </w:rPr>
            </w:pPr>
          </w:p>
        </w:tc>
        <w:tc>
          <w:tcPr>
            <w:tcW w:w="128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w:t>
            </w:r>
          </w:p>
        </w:tc>
        <w:tc>
          <w:tcPr>
            <w:tcW w:w="380" w:type="dxa"/>
            <w:vAlign w:val="bottom"/>
          </w:tcPr>
          <w:p>
            <w:pPr>
              <w:spacing w:after="0"/>
              <w:rPr>
                <w:sz w:val="13"/>
                <w:szCs w:val="13"/>
                <w:color w:val="auto"/>
              </w:rPr>
            </w:pP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114</w:t>
            </w:r>
          </w:p>
        </w:tc>
      </w:tr>
      <w:tr>
        <w:trPr>
          <w:trHeight w:val="173"/>
        </w:trPr>
        <w:tc>
          <w:tcPr>
            <w:tcW w:w="4960" w:type="dxa"/>
            <w:vAlign w:val="bottom"/>
            <w:gridSpan w:val="2"/>
          </w:tcPr>
          <w:p>
            <w:pPr>
              <w:ind w:left="160"/>
              <w:spacing w:after="0"/>
              <w:rPr>
                <w:sz w:val="20"/>
                <w:szCs w:val="20"/>
                <w:color w:val="auto"/>
              </w:rPr>
            </w:pPr>
            <w:r>
              <w:rPr>
                <w:rFonts w:ascii="Arial" w:cs="Arial" w:eastAsia="Arial" w:hAnsi="Arial"/>
                <w:sz w:val="14"/>
                <w:szCs w:val="14"/>
                <w:color w:val="auto"/>
              </w:rPr>
              <w:t>Other securities(3)</w:t>
            </w:r>
          </w:p>
        </w:tc>
        <w:tc>
          <w:tcPr>
            <w:tcW w:w="1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190</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8</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r>
      <w:tr>
        <w:trPr>
          <w:trHeight w:val="139"/>
        </w:trPr>
        <w:tc>
          <w:tcPr>
            <w:tcW w:w="4960" w:type="dxa"/>
            <w:vAlign w:val="bottom"/>
            <w:gridSpan w:val="2"/>
          </w:tcPr>
          <w:p>
            <w:pPr>
              <w:spacing w:after="0" w:line="139" w:lineRule="exact"/>
              <w:rPr>
                <w:sz w:val="20"/>
                <w:szCs w:val="20"/>
                <w:color w:val="auto"/>
              </w:rPr>
            </w:pPr>
            <w:r>
              <w:rPr>
                <w:rFonts w:ascii="Arial" w:cs="Arial" w:eastAsia="Arial" w:hAnsi="Arial"/>
                <w:sz w:val="14"/>
                <w:szCs w:val="14"/>
                <w:color w:val="auto"/>
              </w:rPr>
              <w:t>Total debt securities</w:t>
            </w:r>
          </w:p>
        </w:tc>
        <w:tc>
          <w:tcPr>
            <w:tcW w:w="1160" w:type="dxa"/>
            <w:vAlign w:val="bottom"/>
          </w:tcPr>
          <w:p>
            <w:pPr>
              <w:spacing w:after="0"/>
              <w:rPr>
                <w:sz w:val="12"/>
                <w:szCs w:val="12"/>
                <w:color w:val="auto"/>
              </w:rPr>
            </w:pPr>
          </w:p>
        </w:tc>
        <w:tc>
          <w:tcPr>
            <w:tcW w:w="460" w:type="dxa"/>
            <w:vAlign w:val="bottom"/>
          </w:tcPr>
          <w:p>
            <w:pPr>
              <w:jc w:val="right"/>
              <w:ind w:right="89"/>
              <w:spacing w:after="0" w:line="139" w:lineRule="exact"/>
              <w:rPr>
                <w:sz w:val="20"/>
                <w:szCs w:val="20"/>
                <w:color w:val="auto"/>
              </w:rPr>
            </w:pPr>
            <w:r>
              <w:rPr>
                <w:rFonts w:ascii="Arial" w:cs="Arial" w:eastAsia="Arial" w:hAnsi="Arial"/>
                <w:sz w:val="14"/>
                <w:szCs w:val="14"/>
                <w:color w:val="auto"/>
              </w:rPr>
              <w:t>400</w:t>
            </w:r>
          </w:p>
        </w:tc>
        <w:tc>
          <w:tcPr>
            <w:tcW w:w="380" w:type="dxa"/>
            <w:vAlign w:val="bottom"/>
          </w:tcPr>
          <w:p>
            <w:pPr>
              <w:spacing w:after="0"/>
              <w:rPr>
                <w:sz w:val="12"/>
                <w:szCs w:val="12"/>
                <w:color w:val="auto"/>
              </w:rPr>
            </w:pPr>
          </w:p>
        </w:tc>
        <w:tc>
          <w:tcPr>
            <w:tcW w:w="1260" w:type="dxa"/>
            <w:vAlign w:val="bottom"/>
          </w:tcPr>
          <w:p>
            <w:pPr>
              <w:jc w:val="right"/>
              <w:ind w:right="89"/>
              <w:spacing w:after="0" w:line="139" w:lineRule="exact"/>
              <w:rPr>
                <w:sz w:val="20"/>
                <w:szCs w:val="20"/>
                <w:color w:val="auto"/>
              </w:rPr>
            </w:pPr>
            <w:r>
              <w:rPr>
                <w:rFonts w:ascii="Arial" w:cs="Arial" w:eastAsia="Arial" w:hAnsi="Arial"/>
                <w:sz w:val="14"/>
                <w:szCs w:val="14"/>
                <w:color w:val="auto"/>
              </w:rPr>
              <w:t>19</w:t>
            </w:r>
          </w:p>
        </w:tc>
        <w:tc>
          <w:tcPr>
            <w:tcW w:w="400" w:type="dxa"/>
            <w:vAlign w:val="bottom"/>
          </w:tcPr>
          <w:p>
            <w:pPr>
              <w:spacing w:after="0"/>
              <w:rPr>
                <w:sz w:val="12"/>
                <w:szCs w:val="12"/>
                <w:color w:val="auto"/>
              </w:rPr>
            </w:pPr>
          </w:p>
        </w:tc>
        <w:tc>
          <w:tcPr>
            <w:tcW w:w="1280" w:type="dxa"/>
            <w:vAlign w:val="bottom"/>
          </w:tcPr>
          <w:p>
            <w:pPr>
              <w:jc w:val="right"/>
              <w:ind w:right="89"/>
              <w:spacing w:after="0" w:line="139" w:lineRule="exact"/>
              <w:rPr>
                <w:sz w:val="20"/>
                <w:szCs w:val="20"/>
                <w:color w:val="auto"/>
              </w:rPr>
            </w:pPr>
            <w:r>
              <w:rPr>
                <w:rFonts w:ascii="Arial" w:cs="Arial" w:eastAsia="Arial" w:hAnsi="Arial"/>
                <w:sz w:val="14"/>
                <w:szCs w:val="14"/>
                <w:color w:val="auto"/>
              </w:rPr>
              <w:t>(3)</w:t>
            </w:r>
          </w:p>
        </w:tc>
        <w:tc>
          <w:tcPr>
            <w:tcW w:w="380" w:type="dxa"/>
            <w:vAlign w:val="bottom"/>
          </w:tcPr>
          <w:p>
            <w:pPr>
              <w:spacing w:after="0"/>
              <w:rPr>
                <w:sz w:val="12"/>
                <w:szCs w:val="12"/>
                <w:color w:val="auto"/>
              </w:rPr>
            </w:pPr>
          </w:p>
        </w:tc>
        <w:tc>
          <w:tcPr>
            <w:tcW w:w="1140" w:type="dxa"/>
            <w:vAlign w:val="bottom"/>
          </w:tcPr>
          <w:p>
            <w:pPr>
              <w:jc w:val="right"/>
              <w:spacing w:after="0" w:line="139" w:lineRule="exact"/>
              <w:rPr>
                <w:sz w:val="20"/>
                <w:szCs w:val="20"/>
                <w:color w:val="auto"/>
              </w:rPr>
            </w:pPr>
            <w:r>
              <w:rPr>
                <w:rFonts w:ascii="Arial" w:cs="Arial" w:eastAsia="Arial" w:hAnsi="Arial"/>
                <w:sz w:val="14"/>
                <w:szCs w:val="14"/>
                <w:color w:val="auto"/>
              </w:rPr>
              <w:t>416</w:t>
            </w:r>
          </w:p>
        </w:tc>
      </w:tr>
      <w:tr>
        <w:trPr>
          <w:trHeight w:val="159"/>
        </w:trPr>
        <w:tc>
          <w:tcPr>
            <w:tcW w:w="4960" w:type="dxa"/>
            <w:vAlign w:val="bottom"/>
            <w:gridSpan w:val="2"/>
          </w:tcPr>
          <w:p>
            <w:pPr>
              <w:spacing w:after="0" w:line="159" w:lineRule="exact"/>
              <w:rPr>
                <w:sz w:val="20"/>
                <w:szCs w:val="20"/>
                <w:color w:val="auto"/>
              </w:rPr>
            </w:pPr>
            <w:r>
              <w:rPr>
                <w:rFonts w:ascii="Arial" w:cs="Arial" w:eastAsia="Arial" w:hAnsi="Arial"/>
                <w:sz w:val="14"/>
                <w:szCs w:val="14"/>
                <w:color w:val="auto"/>
              </w:rPr>
              <w:t>Equity securities</w:t>
            </w:r>
          </w:p>
        </w:tc>
        <w:tc>
          <w:tcPr>
            <w:tcW w:w="1160" w:type="dxa"/>
            <w:vAlign w:val="bottom"/>
          </w:tcPr>
          <w:p>
            <w:pPr>
              <w:spacing w:after="0"/>
              <w:rPr>
                <w:sz w:val="13"/>
                <w:szCs w:val="13"/>
                <w:color w:val="auto"/>
              </w:rPr>
            </w:pPr>
          </w:p>
        </w:tc>
        <w:tc>
          <w:tcPr>
            <w:tcW w:w="4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213</w:t>
            </w:r>
          </w:p>
        </w:tc>
        <w:tc>
          <w:tcPr>
            <w:tcW w:w="380" w:type="dxa"/>
            <w:vAlign w:val="bottom"/>
          </w:tcPr>
          <w:p>
            <w:pPr>
              <w:spacing w:after="0"/>
              <w:rPr>
                <w:sz w:val="13"/>
                <w:szCs w:val="13"/>
                <w:color w:val="auto"/>
              </w:rPr>
            </w:pPr>
          </w:p>
        </w:tc>
        <w:tc>
          <w:tcPr>
            <w:tcW w:w="12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440</w:t>
            </w:r>
          </w:p>
        </w:tc>
        <w:tc>
          <w:tcPr>
            <w:tcW w:w="400" w:type="dxa"/>
            <w:vAlign w:val="bottom"/>
          </w:tcPr>
          <w:p>
            <w:pPr>
              <w:spacing w:after="0"/>
              <w:rPr>
                <w:sz w:val="13"/>
                <w:szCs w:val="13"/>
                <w:color w:val="auto"/>
              </w:rPr>
            </w:pPr>
          </w:p>
        </w:tc>
        <w:tc>
          <w:tcPr>
            <w:tcW w:w="128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w:t>
            </w:r>
          </w:p>
        </w:tc>
        <w:tc>
          <w:tcPr>
            <w:tcW w:w="380" w:type="dxa"/>
            <w:vAlign w:val="bottom"/>
          </w:tcPr>
          <w:p>
            <w:pPr>
              <w:spacing w:after="0"/>
              <w:rPr>
                <w:sz w:val="13"/>
                <w:szCs w:val="13"/>
                <w:color w:val="auto"/>
              </w:rPr>
            </w:pP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652</w:t>
            </w:r>
          </w:p>
        </w:tc>
      </w:tr>
      <w:tr>
        <w:trPr>
          <w:trHeight w:val="173"/>
        </w:trPr>
        <w:tc>
          <w:tcPr>
            <w:tcW w:w="496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28</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153"/>
        </w:trPr>
        <w:tc>
          <w:tcPr>
            <w:tcW w:w="340" w:type="dxa"/>
            <w:vAlign w:val="bottom"/>
          </w:tcPr>
          <w:p>
            <w:pPr>
              <w:spacing w:after="0" w:line="153" w:lineRule="exact"/>
              <w:rPr>
                <w:sz w:val="20"/>
                <w:szCs w:val="20"/>
                <w:color w:val="auto"/>
              </w:rPr>
            </w:pPr>
            <w:r>
              <w:rPr>
                <w:rFonts w:ascii="Arial" w:cs="Arial" w:eastAsia="Arial" w:hAnsi="Arial"/>
                <w:sz w:val="14"/>
                <w:szCs w:val="14"/>
                <w:color w:val="auto"/>
              </w:rPr>
              <w:t>Total</w:t>
            </w:r>
          </w:p>
        </w:tc>
        <w:tc>
          <w:tcPr>
            <w:tcW w:w="4620" w:type="dxa"/>
            <w:vAlign w:val="bottom"/>
          </w:tcPr>
          <w:p>
            <w:pPr>
              <w:spacing w:after="0"/>
              <w:rPr>
                <w:sz w:val="13"/>
                <w:szCs w:val="13"/>
                <w:color w:val="auto"/>
              </w:rPr>
            </w:pPr>
          </w:p>
        </w:tc>
        <w:tc>
          <w:tcPr>
            <w:tcW w:w="1160" w:type="dxa"/>
            <w:vAlign w:val="bottom"/>
          </w:tcPr>
          <w:p>
            <w:pPr>
              <w:jc w:val="right"/>
              <w:ind w:right="729"/>
              <w:spacing w:after="0" w:line="153"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89"/>
              <w:spacing w:after="0" w:line="153" w:lineRule="exact"/>
              <w:rPr>
                <w:sz w:val="20"/>
                <w:szCs w:val="20"/>
                <w:color w:val="auto"/>
              </w:rPr>
            </w:pPr>
            <w:r>
              <w:rPr>
                <w:rFonts w:ascii="Arial" w:cs="Arial" w:eastAsia="Arial" w:hAnsi="Arial"/>
                <w:sz w:val="14"/>
                <w:szCs w:val="14"/>
                <w:color w:val="auto"/>
              </w:rPr>
              <w:t>641</w:t>
            </w:r>
          </w:p>
        </w:tc>
        <w:tc>
          <w:tcPr>
            <w:tcW w:w="380" w:type="dxa"/>
            <w:vAlign w:val="bottom"/>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89"/>
              <w:spacing w:after="0" w:line="153" w:lineRule="exact"/>
              <w:rPr>
                <w:sz w:val="20"/>
                <w:szCs w:val="20"/>
                <w:color w:val="auto"/>
              </w:rPr>
            </w:pPr>
            <w:r>
              <w:rPr>
                <w:rFonts w:ascii="Arial" w:cs="Arial" w:eastAsia="Arial" w:hAnsi="Arial"/>
                <w:sz w:val="14"/>
                <w:szCs w:val="14"/>
                <w:color w:val="auto"/>
              </w:rPr>
              <w:t>459</w:t>
            </w:r>
          </w:p>
        </w:tc>
        <w:tc>
          <w:tcPr>
            <w:tcW w:w="400" w:type="dxa"/>
            <w:vAlign w:val="bottom"/>
          </w:tcPr>
          <w:p>
            <w:pPr>
              <w:jc w:val="right"/>
              <w:ind w:right="89"/>
              <w:spacing w:after="0" w:line="153"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89"/>
              <w:spacing w:after="0" w:line="153" w:lineRule="exact"/>
              <w:rPr>
                <w:sz w:val="20"/>
                <w:szCs w:val="20"/>
                <w:color w:val="auto"/>
              </w:rPr>
            </w:pPr>
            <w:r>
              <w:rPr>
                <w:rFonts w:ascii="Arial" w:cs="Arial" w:eastAsia="Arial" w:hAnsi="Arial"/>
                <w:sz w:val="14"/>
                <w:szCs w:val="14"/>
                <w:color w:val="auto"/>
              </w:rPr>
              <w:t>(4)</w:t>
            </w:r>
          </w:p>
        </w:tc>
        <w:tc>
          <w:tcPr>
            <w:tcW w:w="380" w:type="dxa"/>
            <w:vAlign w:val="bottom"/>
          </w:tcPr>
          <w:p>
            <w:pPr>
              <w:jc w:val="right"/>
              <w:ind w:right="89"/>
              <w:spacing w:after="0" w:line="153"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53" w:lineRule="exact"/>
              <w:rPr>
                <w:sz w:val="20"/>
                <w:szCs w:val="20"/>
                <w:color w:val="auto"/>
              </w:rPr>
            </w:pPr>
            <w:r>
              <w:rPr>
                <w:rFonts w:ascii="Arial" w:cs="Arial" w:eastAsia="Arial" w:hAnsi="Arial"/>
                <w:sz w:val="14"/>
                <w:szCs w:val="14"/>
                <w:color w:val="auto"/>
              </w:rPr>
              <w:t>1,096</w:t>
            </w:r>
          </w:p>
        </w:tc>
      </w:tr>
      <w:tr>
        <w:trPr>
          <w:trHeight w:val="80"/>
        </w:trPr>
        <w:tc>
          <w:tcPr>
            <w:tcW w:w="4960" w:type="dxa"/>
            <w:vAlign w:val="bottom"/>
            <w:gridSpan w:val="2"/>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26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128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r>
      <w:tr>
        <w:trPr>
          <w:trHeight w:val="146"/>
        </w:trPr>
        <w:tc>
          <w:tcPr>
            <w:tcW w:w="496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At December 31, 2013:</w:t>
            </w: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9"/>
        </w:trPr>
        <w:tc>
          <w:tcPr>
            <w:tcW w:w="4960" w:type="dxa"/>
            <w:vAlign w:val="bottom"/>
            <w:gridSpan w:val="2"/>
          </w:tcPr>
          <w:p>
            <w:pPr>
              <w:spacing w:after="0" w:line="159" w:lineRule="exact"/>
              <w:rPr>
                <w:sz w:val="20"/>
                <w:szCs w:val="20"/>
                <w:color w:val="auto"/>
              </w:rPr>
            </w:pPr>
            <w:r>
              <w:rPr>
                <w:rFonts w:ascii="Arial" w:cs="Arial" w:eastAsia="Arial" w:hAnsi="Arial"/>
                <w:sz w:val="14"/>
                <w:szCs w:val="14"/>
                <w:color w:val="auto"/>
              </w:rPr>
              <w:t>Debt securities:</w:t>
            </w: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496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Debt securities issued by the U.S. Treasury and other</w:t>
            </w: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340" w:type="dxa"/>
            <w:vAlign w:val="bottom"/>
          </w:tcPr>
          <w:p>
            <w:pPr>
              <w:spacing w:after="0"/>
              <w:rPr>
                <w:sz w:val="13"/>
                <w:szCs w:val="13"/>
                <w:color w:val="auto"/>
              </w:rPr>
            </w:pPr>
          </w:p>
        </w:tc>
        <w:tc>
          <w:tcPr>
            <w:tcW w:w="4620" w:type="dxa"/>
            <w:vAlign w:val="bottom"/>
          </w:tcPr>
          <w:p>
            <w:pPr>
              <w:ind w:left="20"/>
              <w:spacing w:after="0" w:line="159" w:lineRule="exact"/>
              <w:rPr>
                <w:sz w:val="20"/>
                <w:szCs w:val="20"/>
                <w:color w:val="auto"/>
              </w:rPr>
            </w:pPr>
            <w:r>
              <w:rPr>
                <w:rFonts w:ascii="Arial" w:cs="Arial" w:eastAsia="Arial" w:hAnsi="Arial"/>
                <w:sz w:val="14"/>
                <w:szCs w:val="14"/>
                <w:color w:val="auto"/>
              </w:rPr>
              <w:t>U.S. government corporations and agencies</w:t>
            </w:r>
          </w:p>
        </w:tc>
        <w:tc>
          <w:tcPr>
            <w:tcW w:w="1160" w:type="dxa"/>
            <w:vAlign w:val="bottom"/>
          </w:tcPr>
          <w:p>
            <w:pPr>
              <w:jc w:val="right"/>
              <w:ind w:right="729"/>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116</w:t>
            </w:r>
          </w:p>
        </w:tc>
        <w:tc>
          <w:tcPr>
            <w:tcW w:w="380" w:type="dxa"/>
            <w:vAlign w:val="bottom"/>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3</w:t>
            </w:r>
          </w:p>
        </w:tc>
        <w:tc>
          <w:tcPr>
            <w:tcW w:w="4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89"/>
              <w:spacing w:after="0" w:line="159" w:lineRule="exact"/>
              <w:rPr>
                <w:sz w:val="20"/>
                <w:szCs w:val="20"/>
                <w:color w:val="auto"/>
              </w:rPr>
            </w:pPr>
            <w:r>
              <w:rPr>
                <w:rFonts w:ascii="Arial" w:cs="Arial" w:eastAsia="Arial" w:hAnsi="Arial"/>
                <w:sz w:val="14"/>
                <w:szCs w:val="14"/>
                <w:color w:val="auto"/>
              </w:rPr>
              <w:t>(2)</w:t>
            </w:r>
          </w:p>
        </w:tc>
        <w:tc>
          <w:tcPr>
            <w:tcW w:w="380" w:type="dxa"/>
            <w:vAlign w:val="bottom"/>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117</w:t>
            </w:r>
          </w:p>
        </w:tc>
      </w:tr>
      <w:tr>
        <w:trPr>
          <w:trHeight w:val="159"/>
        </w:trPr>
        <w:tc>
          <w:tcPr>
            <w:tcW w:w="496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Municipal bonds</w:t>
            </w:r>
          </w:p>
        </w:tc>
        <w:tc>
          <w:tcPr>
            <w:tcW w:w="1160" w:type="dxa"/>
            <w:vAlign w:val="bottom"/>
          </w:tcPr>
          <w:p>
            <w:pPr>
              <w:spacing w:after="0"/>
              <w:rPr>
                <w:sz w:val="13"/>
                <w:szCs w:val="13"/>
                <w:color w:val="auto"/>
              </w:rPr>
            </w:pPr>
          </w:p>
        </w:tc>
        <w:tc>
          <w:tcPr>
            <w:tcW w:w="4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110</w:t>
            </w:r>
          </w:p>
        </w:tc>
        <w:tc>
          <w:tcPr>
            <w:tcW w:w="380" w:type="dxa"/>
            <w:vAlign w:val="bottom"/>
          </w:tcPr>
          <w:p>
            <w:pPr>
              <w:spacing w:after="0"/>
              <w:rPr>
                <w:sz w:val="13"/>
                <w:szCs w:val="13"/>
                <w:color w:val="auto"/>
              </w:rPr>
            </w:pPr>
          </w:p>
        </w:tc>
        <w:tc>
          <w:tcPr>
            <w:tcW w:w="12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2</w:t>
            </w:r>
          </w:p>
        </w:tc>
        <w:tc>
          <w:tcPr>
            <w:tcW w:w="400" w:type="dxa"/>
            <w:vAlign w:val="bottom"/>
          </w:tcPr>
          <w:p>
            <w:pPr>
              <w:spacing w:after="0"/>
              <w:rPr>
                <w:sz w:val="13"/>
                <w:szCs w:val="13"/>
                <w:color w:val="auto"/>
              </w:rPr>
            </w:pPr>
          </w:p>
        </w:tc>
        <w:tc>
          <w:tcPr>
            <w:tcW w:w="128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w:t>
            </w:r>
          </w:p>
        </w:tc>
        <w:tc>
          <w:tcPr>
            <w:tcW w:w="380" w:type="dxa"/>
            <w:vAlign w:val="bottom"/>
          </w:tcPr>
          <w:p>
            <w:pPr>
              <w:spacing w:after="0"/>
              <w:rPr>
                <w:sz w:val="13"/>
                <w:szCs w:val="13"/>
                <w:color w:val="auto"/>
              </w:rPr>
            </w:pP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111</w:t>
            </w:r>
          </w:p>
        </w:tc>
      </w:tr>
      <w:tr>
        <w:trPr>
          <w:trHeight w:val="173"/>
        </w:trPr>
        <w:tc>
          <w:tcPr>
            <w:tcW w:w="4960" w:type="dxa"/>
            <w:vAlign w:val="bottom"/>
            <w:gridSpan w:val="2"/>
          </w:tcPr>
          <w:p>
            <w:pPr>
              <w:ind w:left="160"/>
              <w:spacing w:after="0"/>
              <w:rPr>
                <w:sz w:val="20"/>
                <w:szCs w:val="20"/>
                <w:color w:val="auto"/>
              </w:rPr>
            </w:pPr>
            <w:r>
              <w:rPr>
                <w:rFonts w:ascii="Arial" w:cs="Arial" w:eastAsia="Arial" w:hAnsi="Arial"/>
                <w:sz w:val="14"/>
                <w:szCs w:val="14"/>
                <w:color w:val="auto"/>
              </w:rPr>
              <w:t>Other securities</w:t>
            </w:r>
          </w:p>
        </w:tc>
        <w:tc>
          <w:tcPr>
            <w:tcW w:w="1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155</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r>
      <w:tr>
        <w:trPr>
          <w:trHeight w:val="139"/>
        </w:trPr>
        <w:tc>
          <w:tcPr>
            <w:tcW w:w="4960" w:type="dxa"/>
            <w:vAlign w:val="bottom"/>
            <w:gridSpan w:val="2"/>
          </w:tcPr>
          <w:p>
            <w:pPr>
              <w:spacing w:after="0" w:line="139" w:lineRule="exact"/>
              <w:rPr>
                <w:sz w:val="20"/>
                <w:szCs w:val="20"/>
                <w:color w:val="auto"/>
              </w:rPr>
            </w:pPr>
            <w:r>
              <w:rPr>
                <w:rFonts w:ascii="Arial" w:cs="Arial" w:eastAsia="Arial" w:hAnsi="Arial"/>
                <w:sz w:val="14"/>
                <w:szCs w:val="14"/>
                <w:color w:val="auto"/>
              </w:rPr>
              <w:t>Total debt securities</w:t>
            </w:r>
          </w:p>
        </w:tc>
        <w:tc>
          <w:tcPr>
            <w:tcW w:w="1160" w:type="dxa"/>
            <w:vAlign w:val="bottom"/>
          </w:tcPr>
          <w:p>
            <w:pPr>
              <w:spacing w:after="0"/>
              <w:rPr>
                <w:sz w:val="12"/>
                <w:szCs w:val="12"/>
                <w:color w:val="auto"/>
              </w:rPr>
            </w:pPr>
          </w:p>
        </w:tc>
        <w:tc>
          <w:tcPr>
            <w:tcW w:w="460" w:type="dxa"/>
            <w:vAlign w:val="bottom"/>
          </w:tcPr>
          <w:p>
            <w:pPr>
              <w:jc w:val="right"/>
              <w:ind w:right="89"/>
              <w:spacing w:after="0" w:line="139" w:lineRule="exact"/>
              <w:rPr>
                <w:sz w:val="20"/>
                <w:szCs w:val="20"/>
                <w:color w:val="auto"/>
              </w:rPr>
            </w:pPr>
            <w:r>
              <w:rPr>
                <w:rFonts w:ascii="Arial" w:cs="Arial" w:eastAsia="Arial" w:hAnsi="Arial"/>
                <w:sz w:val="14"/>
                <w:szCs w:val="14"/>
                <w:color w:val="auto"/>
              </w:rPr>
              <w:t>381</w:t>
            </w:r>
          </w:p>
        </w:tc>
        <w:tc>
          <w:tcPr>
            <w:tcW w:w="380" w:type="dxa"/>
            <w:vAlign w:val="bottom"/>
          </w:tcPr>
          <w:p>
            <w:pPr>
              <w:spacing w:after="0"/>
              <w:rPr>
                <w:sz w:val="12"/>
                <w:szCs w:val="12"/>
                <w:color w:val="auto"/>
              </w:rPr>
            </w:pPr>
          </w:p>
        </w:tc>
        <w:tc>
          <w:tcPr>
            <w:tcW w:w="1260" w:type="dxa"/>
            <w:vAlign w:val="bottom"/>
          </w:tcPr>
          <w:p>
            <w:pPr>
              <w:jc w:val="right"/>
              <w:ind w:right="89"/>
              <w:spacing w:after="0" w:line="139" w:lineRule="exact"/>
              <w:rPr>
                <w:sz w:val="20"/>
                <w:szCs w:val="20"/>
                <w:color w:val="auto"/>
              </w:rPr>
            </w:pPr>
            <w:r>
              <w:rPr>
                <w:rFonts w:ascii="Arial" w:cs="Arial" w:eastAsia="Arial" w:hAnsi="Arial"/>
                <w:sz w:val="14"/>
                <w:szCs w:val="14"/>
                <w:color w:val="auto"/>
              </w:rPr>
              <w:t>8</w:t>
            </w:r>
          </w:p>
        </w:tc>
        <w:tc>
          <w:tcPr>
            <w:tcW w:w="400" w:type="dxa"/>
            <w:vAlign w:val="bottom"/>
          </w:tcPr>
          <w:p>
            <w:pPr>
              <w:spacing w:after="0"/>
              <w:rPr>
                <w:sz w:val="12"/>
                <w:szCs w:val="12"/>
                <w:color w:val="auto"/>
              </w:rPr>
            </w:pPr>
          </w:p>
        </w:tc>
        <w:tc>
          <w:tcPr>
            <w:tcW w:w="1280" w:type="dxa"/>
            <w:vAlign w:val="bottom"/>
          </w:tcPr>
          <w:p>
            <w:pPr>
              <w:jc w:val="right"/>
              <w:ind w:right="89"/>
              <w:spacing w:after="0" w:line="139" w:lineRule="exact"/>
              <w:rPr>
                <w:sz w:val="20"/>
                <w:szCs w:val="20"/>
                <w:color w:val="auto"/>
              </w:rPr>
            </w:pPr>
            <w:r>
              <w:rPr>
                <w:rFonts w:ascii="Arial" w:cs="Arial" w:eastAsia="Arial" w:hAnsi="Arial"/>
                <w:sz w:val="14"/>
                <w:szCs w:val="14"/>
                <w:color w:val="auto"/>
              </w:rPr>
              <w:t>(8)</w:t>
            </w:r>
          </w:p>
        </w:tc>
        <w:tc>
          <w:tcPr>
            <w:tcW w:w="380" w:type="dxa"/>
            <w:vAlign w:val="bottom"/>
          </w:tcPr>
          <w:p>
            <w:pPr>
              <w:spacing w:after="0"/>
              <w:rPr>
                <w:sz w:val="12"/>
                <w:szCs w:val="12"/>
                <w:color w:val="auto"/>
              </w:rPr>
            </w:pPr>
          </w:p>
        </w:tc>
        <w:tc>
          <w:tcPr>
            <w:tcW w:w="1140" w:type="dxa"/>
            <w:vAlign w:val="bottom"/>
          </w:tcPr>
          <w:p>
            <w:pPr>
              <w:jc w:val="right"/>
              <w:spacing w:after="0" w:line="139" w:lineRule="exact"/>
              <w:rPr>
                <w:sz w:val="20"/>
                <w:szCs w:val="20"/>
                <w:color w:val="auto"/>
              </w:rPr>
            </w:pPr>
            <w:r>
              <w:rPr>
                <w:rFonts w:ascii="Arial" w:cs="Arial" w:eastAsia="Arial" w:hAnsi="Arial"/>
                <w:sz w:val="14"/>
                <w:szCs w:val="14"/>
                <w:color w:val="auto"/>
              </w:rPr>
              <w:t>381</w:t>
            </w:r>
          </w:p>
        </w:tc>
      </w:tr>
      <w:tr>
        <w:trPr>
          <w:trHeight w:val="159"/>
        </w:trPr>
        <w:tc>
          <w:tcPr>
            <w:tcW w:w="4960" w:type="dxa"/>
            <w:vAlign w:val="bottom"/>
            <w:gridSpan w:val="2"/>
          </w:tcPr>
          <w:p>
            <w:pPr>
              <w:spacing w:after="0" w:line="159" w:lineRule="exact"/>
              <w:rPr>
                <w:sz w:val="20"/>
                <w:szCs w:val="20"/>
                <w:color w:val="auto"/>
              </w:rPr>
            </w:pPr>
            <w:r>
              <w:rPr>
                <w:rFonts w:ascii="Arial" w:cs="Arial" w:eastAsia="Arial" w:hAnsi="Arial"/>
                <w:sz w:val="14"/>
                <w:szCs w:val="14"/>
                <w:color w:val="auto"/>
              </w:rPr>
              <w:t>Equity securities</w:t>
            </w:r>
          </w:p>
        </w:tc>
        <w:tc>
          <w:tcPr>
            <w:tcW w:w="1160" w:type="dxa"/>
            <w:vAlign w:val="bottom"/>
          </w:tcPr>
          <w:p>
            <w:pPr>
              <w:spacing w:after="0"/>
              <w:rPr>
                <w:sz w:val="13"/>
                <w:szCs w:val="13"/>
                <w:color w:val="auto"/>
              </w:rPr>
            </w:pPr>
          </w:p>
        </w:tc>
        <w:tc>
          <w:tcPr>
            <w:tcW w:w="4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207</w:t>
            </w:r>
          </w:p>
        </w:tc>
        <w:tc>
          <w:tcPr>
            <w:tcW w:w="380" w:type="dxa"/>
            <w:vAlign w:val="bottom"/>
          </w:tcPr>
          <w:p>
            <w:pPr>
              <w:spacing w:after="0"/>
              <w:rPr>
                <w:sz w:val="13"/>
                <w:szCs w:val="13"/>
                <w:color w:val="auto"/>
              </w:rPr>
            </w:pPr>
          </w:p>
        </w:tc>
        <w:tc>
          <w:tcPr>
            <w:tcW w:w="12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409</w:t>
            </w:r>
          </w:p>
        </w:tc>
        <w:tc>
          <w:tcPr>
            <w:tcW w:w="400" w:type="dxa"/>
            <w:vAlign w:val="bottom"/>
          </w:tcPr>
          <w:p>
            <w:pPr>
              <w:spacing w:after="0"/>
              <w:rPr>
                <w:sz w:val="13"/>
                <w:szCs w:val="13"/>
                <w:color w:val="auto"/>
              </w:rPr>
            </w:pPr>
          </w:p>
        </w:tc>
        <w:tc>
          <w:tcPr>
            <w:tcW w:w="1280" w:type="dxa"/>
            <w:vAlign w:val="bottom"/>
          </w:tcPr>
          <w:p>
            <w:pPr>
              <w:jc w:val="right"/>
              <w:ind w:right="89"/>
              <w:spacing w:after="0" w:line="159" w:lineRule="exact"/>
              <w:rPr>
                <w:sz w:val="20"/>
                <w:szCs w:val="20"/>
                <w:color w:val="auto"/>
              </w:rPr>
            </w:pPr>
            <w:r>
              <w:rPr>
                <w:rFonts w:ascii="Arial" w:cs="Arial" w:eastAsia="Arial" w:hAnsi="Arial"/>
                <w:sz w:val="14"/>
                <w:szCs w:val="14"/>
                <w:color w:val="auto"/>
              </w:rPr>
              <w:t>(2)</w:t>
            </w:r>
          </w:p>
        </w:tc>
        <w:tc>
          <w:tcPr>
            <w:tcW w:w="380" w:type="dxa"/>
            <w:vAlign w:val="bottom"/>
          </w:tcPr>
          <w:p>
            <w:pPr>
              <w:spacing w:after="0"/>
              <w:rPr>
                <w:sz w:val="13"/>
                <w:szCs w:val="13"/>
                <w:color w:val="auto"/>
              </w:rPr>
            </w:pP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614</w:t>
            </w:r>
          </w:p>
        </w:tc>
      </w:tr>
      <w:tr>
        <w:trPr>
          <w:trHeight w:val="173"/>
        </w:trPr>
        <w:tc>
          <w:tcPr>
            <w:tcW w:w="496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39</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153"/>
        </w:trPr>
        <w:tc>
          <w:tcPr>
            <w:tcW w:w="340" w:type="dxa"/>
            <w:vAlign w:val="bottom"/>
          </w:tcPr>
          <w:p>
            <w:pPr>
              <w:spacing w:after="0" w:line="153" w:lineRule="exact"/>
              <w:rPr>
                <w:sz w:val="20"/>
                <w:szCs w:val="20"/>
                <w:color w:val="auto"/>
              </w:rPr>
            </w:pPr>
            <w:r>
              <w:rPr>
                <w:rFonts w:ascii="Arial" w:cs="Arial" w:eastAsia="Arial" w:hAnsi="Arial"/>
                <w:sz w:val="14"/>
                <w:szCs w:val="14"/>
                <w:color w:val="auto"/>
              </w:rPr>
              <w:t>Total</w:t>
            </w:r>
          </w:p>
        </w:tc>
        <w:tc>
          <w:tcPr>
            <w:tcW w:w="4620" w:type="dxa"/>
            <w:vAlign w:val="bottom"/>
          </w:tcPr>
          <w:p>
            <w:pPr>
              <w:spacing w:after="0"/>
              <w:rPr>
                <w:sz w:val="13"/>
                <w:szCs w:val="13"/>
                <w:color w:val="auto"/>
              </w:rPr>
            </w:pPr>
          </w:p>
        </w:tc>
        <w:tc>
          <w:tcPr>
            <w:tcW w:w="1160" w:type="dxa"/>
            <w:vAlign w:val="bottom"/>
          </w:tcPr>
          <w:p>
            <w:pPr>
              <w:jc w:val="right"/>
              <w:ind w:right="729"/>
              <w:spacing w:after="0" w:line="153"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89"/>
              <w:spacing w:after="0" w:line="153" w:lineRule="exact"/>
              <w:rPr>
                <w:sz w:val="20"/>
                <w:szCs w:val="20"/>
                <w:color w:val="auto"/>
              </w:rPr>
            </w:pPr>
            <w:r>
              <w:rPr>
                <w:rFonts w:ascii="Arial" w:cs="Arial" w:eastAsia="Arial" w:hAnsi="Arial"/>
                <w:sz w:val="14"/>
                <w:szCs w:val="14"/>
                <w:color w:val="auto"/>
              </w:rPr>
              <w:t>627</w:t>
            </w:r>
          </w:p>
        </w:tc>
        <w:tc>
          <w:tcPr>
            <w:tcW w:w="380" w:type="dxa"/>
            <w:vAlign w:val="bottom"/>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89"/>
              <w:spacing w:after="0" w:line="153" w:lineRule="exact"/>
              <w:rPr>
                <w:sz w:val="20"/>
                <w:szCs w:val="20"/>
                <w:color w:val="auto"/>
              </w:rPr>
            </w:pPr>
            <w:r>
              <w:rPr>
                <w:rFonts w:ascii="Arial" w:cs="Arial" w:eastAsia="Arial" w:hAnsi="Arial"/>
                <w:sz w:val="14"/>
                <w:szCs w:val="14"/>
                <w:color w:val="auto"/>
              </w:rPr>
              <w:t>417</w:t>
            </w:r>
          </w:p>
        </w:tc>
        <w:tc>
          <w:tcPr>
            <w:tcW w:w="400" w:type="dxa"/>
            <w:vAlign w:val="bottom"/>
          </w:tcPr>
          <w:p>
            <w:pPr>
              <w:jc w:val="right"/>
              <w:ind w:right="89"/>
              <w:spacing w:after="0" w:line="153"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89"/>
              <w:spacing w:after="0" w:line="153" w:lineRule="exact"/>
              <w:rPr>
                <w:sz w:val="20"/>
                <w:szCs w:val="20"/>
                <w:color w:val="auto"/>
              </w:rPr>
            </w:pPr>
            <w:r>
              <w:rPr>
                <w:rFonts w:ascii="Arial" w:cs="Arial" w:eastAsia="Arial" w:hAnsi="Arial"/>
                <w:sz w:val="14"/>
                <w:szCs w:val="14"/>
                <w:color w:val="auto"/>
              </w:rPr>
              <w:t>(10)</w:t>
            </w:r>
          </w:p>
        </w:tc>
        <w:tc>
          <w:tcPr>
            <w:tcW w:w="380" w:type="dxa"/>
            <w:vAlign w:val="bottom"/>
          </w:tcPr>
          <w:p>
            <w:pPr>
              <w:jc w:val="right"/>
              <w:ind w:right="89"/>
              <w:spacing w:after="0" w:line="153"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53" w:lineRule="exact"/>
              <w:rPr>
                <w:sz w:val="20"/>
                <w:szCs w:val="20"/>
                <w:color w:val="auto"/>
              </w:rPr>
            </w:pPr>
            <w:r>
              <w:rPr>
                <w:rFonts w:ascii="Arial" w:cs="Arial" w:eastAsia="Arial" w:hAnsi="Arial"/>
                <w:sz w:val="14"/>
                <w:szCs w:val="14"/>
                <w:color w:val="auto"/>
              </w:rPr>
              <w:t>1,034</w:t>
            </w:r>
          </w:p>
        </w:tc>
      </w:tr>
      <w:tr>
        <w:trPr>
          <w:trHeight w:val="80"/>
        </w:trPr>
        <w:tc>
          <w:tcPr>
            <w:tcW w:w="340" w:type="dxa"/>
            <w:vAlign w:val="bottom"/>
            <w:shd w:val="clear" w:color="auto" w:fill="000000"/>
          </w:tcPr>
          <w:p>
            <w:pPr>
              <w:spacing w:after="0"/>
              <w:rPr>
                <w:sz w:val="6"/>
                <w:szCs w:val="6"/>
                <w:color w:val="auto"/>
              </w:rPr>
            </w:pPr>
          </w:p>
        </w:tc>
        <w:tc>
          <w:tcPr>
            <w:tcW w:w="462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26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128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r>
      <w:tr>
        <w:trPr>
          <w:trHeight w:val="148"/>
        </w:trPr>
        <w:tc>
          <w:tcPr>
            <w:tcW w:w="340" w:type="dxa"/>
            <w:vAlign w:val="bottom"/>
          </w:tcPr>
          <w:p>
            <w:pPr>
              <w:spacing w:after="0" w:line="148" w:lineRule="exact"/>
              <w:rPr>
                <w:sz w:val="20"/>
                <w:szCs w:val="20"/>
                <w:color w:val="auto"/>
              </w:rPr>
            </w:pPr>
            <w:r>
              <w:rPr>
                <w:rFonts w:ascii="Arial" w:cs="Arial" w:eastAsia="Arial" w:hAnsi="Arial"/>
                <w:sz w:val="14"/>
                <w:szCs w:val="14"/>
                <w:i w:val="1"/>
                <w:iCs w:val="1"/>
                <w:color w:val="auto"/>
              </w:rPr>
              <w:t>(1)</w:t>
            </w:r>
          </w:p>
        </w:tc>
        <w:tc>
          <w:tcPr>
            <w:tcW w:w="4620" w:type="dxa"/>
            <w:vAlign w:val="bottom"/>
          </w:tcPr>
          <w:p>
            <w:pPr>
              <w:ind w:left="220"/>
              <w:spacing w:after="0" w:line="148" w:lineRule="exact"/>
              <w:rPr>
                <w:sz w:val="20"/>
                <w:szCs w:val="20"/>
                <w:color w:val="auto"/>
              </w:rPr>
            </w:pPr>
            <w:r>
              <w:rPr>
                <w:rFonts w:ascii="Arial" w:cs="Arial" w:eastAsia="Arial" w:hAnsi="Arial"/>
                <w:sz w:val="14"/>
                <w:szCs w:val="14"/>
                <w:i w:val="1"/>
                <w:iCs w:val="1"/>
                <w:color w:val="auto"/>
              </w:rPr>
              <w:t>Maturity dates are 2016-2060</w:t>
            </w: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9"/>
        </w:trPr>
        <w:tc>
          <w:tcPr>
            <w:tcW w:w="340" w:type="dxa"/>
            <w:vAlign w:val="bottom"/>
          </w:tcPr>
          <w:p>
            <w:pPr>
              <w:spacing w:after="0" w:line="159" w:lineRule="exact"/>
              <w:rPr>
                <w:sz w:val="20"/>
                <w:szCs w:val="20"/>
                <w:color w:val="auto"/>
              </w:rPr>
            </w:pPr>
            <w:r>
              <w:rPr>
                <w:rFonts w:ascii="Arial" w:cs="Arial" w:eastAsia="Arial" w:hAnsi="Arial"/>
                <w:sz w:val="14"/>
                <w:szCs w:val="14"/>
                <w:i w:val="1"/>
                <w:iCs w:val="1"/>
                <w:color w:val="auto"/>
              </w:rPr>
              <w:t>(2)</w:t>
            </w:r>
          </w:p>
        </w:tc>
        <w:tc>
          <w:tcPr>
            <w:tcW w:w="4620" w:type="dxa"/>
            <w:vAlign w:val="bottom"/>
          </w:tcPr>
          <w:p>
            <w:pPr>
              <w:ind w:left="220"/>
              <w:spacing w:after="0" w:line="159" w:lineRule="exact"/>
              <w:rPr>
                <w:sz w:val="20"/>
                <w:szCs w:val="20"/>
                <w:color w:val="auto"/>
              </w:rPr>
            </w:pPr>
            <w:r>
              <w:rPr>
                <w:rFonts w:ascii="Arial" w:cs="Arial" w:eastAsia="Arial" w:hAnsi="Arial"/>
                <w:sz w:val="14"/>
                <w:szCs w:val="14"/>
                <w:i w:val="1"/>
                <w:iCs w:val="1"/>
                <w:color w:val="auto"/>
              </w:rPr>
              <w:t>Maturity dates are 2014-2062</w:t>
            </w: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8"/>
        </w:trPr>
        <w:tc>
          <w:tcPr>
            <w:tcW w:w="340" w:type="dxa"/>
            <w:vAlign w:val="bottom"/>
          </w:tcPr>
          <w:p>
            <w:pPr>
              <w:spacing w:after="0"/>
              <w:rPr>
                <w:sz w:val="20"/>
                <w:szCs w:val="20"/>
                <w:color w:val="auto"/>
              </w:rPr>
            </w:pPr>
            <w:r>
              <w:rPr>
                <w:rFonts w:ascii="Arial" w:cs="Arial" w:eastAsia="Arial" w:hAnsi="Arial"/>
                <w:sz w:val="14"/>
                <w:szCs w:val="14"/>
                <w:i w:val="1"/>
                <w:iCs w:val="1"/>
                <w:color w:val="auto"/>
              </w:rPr>
              <w:t>(3)</w:t>
            </w:r>
          </w:p>
        </w:tc>
        <w:tc>
          <w:tcPr>
            <w:tcW w:w="4620" w:type="dxa"/>
            <w:vAlign w:val="bottom"/>
          </w:tcPr>
          <w:p>
            <w:pPr>
              <w:ind w:left="220"/>
              <w:spacing w:after="0"/>
              <w:rPr>
                <w:sz w:val="20"/>
                <w:szCs w:val="20"/>
                <w:color w:val="auto"/>
              </w:rPr>
            </w:pPr>
            <w:r>
              <w:rPr>
                <w:rFonts w:ascii="Arial" w:cs="Arial" w:eastAsia="Arial" w:hAnsi="Arial"/>
                <w:sz w:val="14"/>
                <w:szCs w:val="14"/>
                <w:i w:val="1"/>
                <w:iCs w:val="1"/>
                <w:color w:val="auto"/>
              </w:rPr>
              <w:t>Maturity dates are 2014-2096</w:t>
            </w: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proceeds from sales of securities in the trusts and gross realized gains and losses on those sales:</w:t>
      </w:r>
    </w:p>
    <w:p>
      <w:pPr>
        <w:sectPr>
          <w:pgSz w:w="11900" w:h="16838" w:orient="portrait"/>
          <w:cols w:equalWidth="0" w:num="1">
            <w:col w:w="11420"/>
          </w:cols>
          <w:pgMar w:left="240" w:top="334" w:right="239" w:bottom="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SALES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3380" w:type="dxa"/>
            <w:vAlign w:val="bottom"/>
            <w:gridSpan w:val="3"/>
            <w:vMerge w:val="restart"/>
          </w:tcPr>
          <w:p>
            <w:pPr>
              <w:jc w:val="right"/>
              <w:ind w:right="408"/>
              <w:spacing w:after="0"/>
              <w:rPr>
                <w:sz w:val="20"/>
                <w:szCs w:val="20"/>
                <w:color w:val="auto"/>
              </w:rPr>
            </w:pPr>
            <w:r>
              <w:rPr>
                <w:rFonts w:ascii="Arial" w:cs="Arial" w:eastAsia="Arial" w:hAnsi="Arial"/>
                <w:sz w:val="14"/>
                <w:szCs w:val="14"/>
                <w:color w:val="auto"/>
              </w:rPr>
              <w:t>Three months ended June 30,</w:t>
            </w:r>
          </w:p>
        </w:tc>
        <w:tc>
          <w:tcPr>
            <w:tcW w:w="840" w:type="dxa"/>
            <w:vAlign w:val="bottom"/>
          </w:tcPr>
          <w:p>
            <w:pPr>
              <w:spacing w:after="0"/>
              <w:rPr>
                <w:sz w:val="16"/>
                <w:szCs w:val="16"/>
                <w:color w:val="auto"/>
              </w:rPr>
            </w:pPr>
          </w:p>
        </w:tc>
        <w:tc>
          <w:tcPr>
            <w:tcW w:w="3140" w:type="dxa"/>
            <w:vAlign w:val="bottom"/>
            <w:gridSpan w:val="3"/>
            <w:vMerge w:val="restart"/>
          </w:tcPr>
          <w:p>
            <w:pPr>
              <w:jc w:val="right"/>
              <w:ind w:right="508"/>
              <w:spacing w:after="0"/>
              <w:rPr>
                <w:sz w:val="20"/>
                <w:szCs w:val="20"/>
                <w:color w:val="auto"/>
              </w:rPr>
            </w:pPr>
            <w:r>
              <w:rPr>
                <w:rFonts w:ascii="Arial" w:cs="Arial" w:eastAsia="Arial" w:hAnsi="Arial"/>
                <w:sz w:val="14"/>
                <w:szCs w:val="14"/>
                <w:color w:val="auto"/>
              </w:rPr>
              <w:t>Six months ended June 30,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3380" w:type="dxa"/>
            <w:vAlign w:val="bottom"/>
            <w:tcBorders>
              <w:bottom w:val="single" w:sz="8" w:color="auto"/>
            </w:tcBorders>
            <w:gridSpan w:val="3"/>
            <w:vMerge w:val="continue"/>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140" w:type="dxa"/>
            <w:vAlign w:val="bottom"/>
            <w:tcBorders>
              <w:bottom w:val="single" w:sz="8" w:color="auto"/>
            </w:tcBorders>
            <w:gridSpan w:val="3"/>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4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2014</w:t>
            </w:r>
          </w:p>
        </w:tc>
        <w:tc>
          <w:tcPr>
            <w:tcW w:w="8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2013</w:t>
            </w:r>
          </w:p>
        </w:tc>
        <w:tc>
          <w:tcPr>
            <w:tcW w:w="8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2014</w:t>
            </w:r>
          </w:p>
        </w:tc>
        <w:tc>
          <w:tcPr>
            <w:tcW w:w="8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2013</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5"/>
                <w:szCs w:val="15"/>
                <w:color w:val="auto"/>
              </w:rPr>
              <w:t>Proceeds from sales(1)</w:t>
            </w:r>
          </w:p>
        </w:tc>
        <w:tc>
          <w:tcPr>
            <w:tcW w:w="1400" w:type="dxa"/>
            <w:vAlign w:val="bottom"/>
          </w:tcPr>
          <w:p>
            <w:pPr>
              <w:jc w:val="right"/>
              <w:ind w:right="708"/>
              <w:spacing w:after="0" w:line="135"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222"/>
              <w:spacing w:after="0" w:line="135" w:lineRule="exact"/>
              <w:rPr>
                <w:sz w:val="20"/>
                <w:szCs w:val="20"/>
                <w:color w:val="auto"/>
              </w:rPr>
            </w:pPr>
            <w:r>
              <w:rPr>
                <w:rFonts w:ascii="Arial" w:cs="Arial" w:eastAsia="Arial" w:hAnsi="Arial"/>
                <w:sz w:val="15"/>
                <w:szCs w:val="15"/>
                <w:color w:val="auto"/>
              </w:rPr>
              <w:t>155</w:t>
            </w:r>
          </w:p>
        </w:tc>
        <w:tc>
          <w:tcPr>
            <w:tcW w:w="1140" w:type="dxa"/>
            <w:vAlign w:val="bottom"/>
          </w:tcPr>
          <w:p>
            <w:pPr>
              <w:jc w:val="right"/>
              <w:ind w:right="728"/>
              <w:spacing w:after="0" w:line="135"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222"/>
              <w:spacing w:after="0" w:line="135" w:lineRule="exact"/>
              <w:rPr>
                <w:sz w:val="20"/>
                <w:szCs w:val="20"/>
                <w:color w:val="auto"/>
              </w:rPr>
            </w:pPr>
            <w:r>
              <w:rPr>
                <w:rFonts w:ascii="Arial" w:cs="Arial" w:eastAsia="Arial" w:hAnsi="Arial"/>
                <w:sz w:val="15"/>
                <w:szCs w:val="15"/>
                <w:color w:val="auto"/>
              </w:rPr>
              <w:t>192</w:t>
            </w:r>
          </w:p>
        </w:tc>
        <w:tc>
          <w:tcPr>
            <w:tcW w:w="1140" w:type="dxa"/>
            <w:vAlign w:val="bottom"/>
          </w:tcPr>
          <w:p>
            <w:pPr>
              <w:jc w:val="right"/>
              <w:ind w:right="708"/>
              <w:spacing w:after="0" w:line="135"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242"/>
              <w:spacing w:after="0" w:line="135" w:lineRule="exact"/>
              <w:rPr>
                <w:sz w:val="20"/>
                <w:szCs w:val="20"/>
                <w:color w:val="auto"/>
              </w:rPr>
            </w:pPr>
            <w:r>
              <w:rPr>
                <w:rFonts w:ascii="Arial" w:cs="Arial" w:eastAsia="Arial" w:hAnsi="Arial"/>
                <w:sz w:val="15"/>
                <w:szCs w:val="15"/>
                <w:color w:val="auto"/>
              </w:rPr>
              <w:t>350</w:t>
            </w:r>
          </w:p>
        </w:tc>
        <w:tc>
          <w:tcPr>
            <w:tcW w:w="1140" w:type="dxa"/>
            <w:vAlign w:val="bottom"/>
          </w:tcPr>
          <w:p>
            <w:pPr>
              <w:jc w:val="right"/>
              <w:ind w:right="728"/>
              <w:spacing w:after="0" w:line="135"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5"/>
                <w:szCs w:val="15"/>
                <w:color w:val="auto"/>
              </w:rPr>
              <w:t>326</w:t>
            </w:r>
          </w:p>
        </w:tc>
        <w:tc>
          <w:tcPr>
            <w:tcW w:w="0" w:type="dxa"/>
            <w:vAlign w:val="bottom"/>
          </w:tcPr>
          <w:p>
            <w:pPr>
              <w:spacing w:after="0"/>
              <w:rPr>
                <w:sz w:val="1"/>
                <w:szCs w:val="1"/>
                <w:color w:val="auto"/>
              </w:rPr>
            </w:pPr>
          </w:p>
        </w:tc>
      </w:tr>
      <w:tr>
        <w:trPr>
          <w:trHeight w:val="173"/>
        </w:trPr>
        <w:tc>
          <w:tcPr>
            <w:tcW w:w="3480" w:type="dxa"/>
            <w:vAlign w:val="bottom"/>
          </w:tcPr>
          <w:p>
            <w:pPr>
              <w:spacing w:after="0" w:line="173" w:lineRule="exact"/>
              <w:rPr>
                <w:sz w:val="20"/>
                <w:szCs w:val="20"/>
                <w:color w:val="auto"/>
              </w:rPr>
            </w:pPr>
            <w:r>
              <w:rPr>
                <w:rFonts w:ascii="Arial" w:cs="Arial" w:eastAsia="Arial" w:hAnsi="Arial"/>
                <w:sz w:val="16"/>
                <w:szCs w:val="16"/>
                <w:color w:val="auto"/>
              </w:rPr>
              <w:t>Gross realized gains</w:t>
            </w:r>
          </w:p>
        </w:tc>
        <w:tc>
          <w:tcPr>
            <w:tcW w:w="1400" w:type="dxa"/>
            <w:vAlign w:val="bottom"/>
          </w:tcPr>
          <w:p>
            <w:pPr>
              <w:spacing w:after="0"/>
              <w:rPr>
                <w:sz w:val="15"/>
                <w:szCs w:val="15"/>
                <w:color w:val="auto"/>
              </w:rPr>
            </w:pPr>
          </w:p>
        </w:tc>
        <w:tc>
          <w:tcPr>
            <w:tcW w:w="840" w:type="dxa"/>
            <w:vAlign w:val="bottom"/>
          </w:tcPr>
          <w:p>
            <w:pPr>
              <w:jc w:val="right"/>
              <w:ind w:right="222"/>
              <w:spacing w:after="0" w:line="173" w:lineRule="exact"/>
              <w:rPr>
                <w:sz w:val="20"/>
                <w:szCs w:val="20"/>
                <w:color w:val="auto"/>
              </w:rPr>
            </w:pPr>
            <w:r>
              <w:rPr>
                <w:rFonts w:ascii="Arial" w:cs="Arial" w:eastAsia="Arial" w:hAnsi="Arial"/>
                <w:sz w:val="16"/>
                <w:szCs w:val="16"/>
                <w:color w:val="auto"/>
              </w:rPr>
              <w:t>―</w:t>
            </w:r>
          </w:p>
        </w:tc>
        <w:tc>
          <w:tcPr>
            <w:tcW w:w="1140" w:type="dxa"/>
            <w:vAlign w:val="bottom"/>
          </w:tcPr>
          <w:p>
            <w:pPr>
              <w:spacing w:after="0"/>
              <w:rPr>
                <w:sz w:val="15"/>
                <w:szCs w:val="15"/>
                <w:color w:val="auto"/>
              </w:rPr>
            </w:pPr>
          </w:p>
        </w:tc>
        <w:tc>
          <w:tcPr>
            <w:tcW w:w="840" w:type="dxa"/>
            <w:vAlign w:val="bottom"/>
          </w:tcPr>
          <w:p>
            <w:pPr>
              <w:jc w:val="right"/>
              <w:ind w:right="222"/>
              <w:spacing w:after="0" w:line="173" w:lineRule="exact"/>
              <w:rPr>
                <w:sz w:val="20"/>
                <w:szCs w:val="20"/>
                <w:color w:val="auto"/>
              </w:rPr>
            </w:pPr>
            <w:r>
              <w:rPr>
                <w:rFonts w:ascii="Arial" w:cs="Arial" w:eastAsia="Arial" w:hAnsi="Arial"/>
                <w:sz w:val="16"/>
                <w:szCs w:val="16"/>
                <w:color w:val="auto"/>
              </w:rPr>
              <w:t>6</w:t>
            </w:r>
          </w:p>
        </w:tc>
        <w:tc>
          <w:tcPr>
            <w:tcW w:w="1140" w:type="dxa"/>
            <w:vAlign w:val="bottom"/>
          </w:tcPr>
          <w:p>
            <w:pPr>
              <w:spacing w:after="0"/>
              <w:rPr>
                <w:sz w:val="15"/>
                <w:szCs w:val="15"/>
                <w:color w:val="auto"/>
              </w:rPr>
            </w:pPr>
          </w:p>
        </w:tc>
        <w:tc>
          <w:tcPr>
            <w:tcW w:w="860" w:type="dxa"/>
            <w:vAlign w:val="bottom"/>
          </w:tcPr>
          <w:p>
            <w:pPr>
              <w:jc w:val="right"/>
              <w:ind w:right="242"/>
              <w:spacing w:after="0" w:line="173" w:lineRule="exact"/>
              <w:rPr>
                <w:sz w:val="20"/>
                <w:szCs w:val="20"/>
                <w:color w:val="auto"/>
              </w:rPr>
            </w:pPr>
            <w:r>
              <w:rPr>
                <w:rFonts w:ascii="Arial" w:cs="Arial" w:eastAsia="Arial" w:hAnsi="Arial"/>
                <w:sz w:val="16"/>
                <w:szCs w:val="16"/>
                <w:color w:val="auto"/>
              </w:rPr>
              <w:t>4</w:t>
            </w:r>
          </w:p>
        </w:tc>
        <w:tc>
          <w:tcPr>
            <w:tcW w:w="1140" w:type="dxa"/>
            <w:vAlign w:val="bottom"/>
          </w:tcPr>
          <w:p>
            <w:pPr>
              <w:spacing w:after="0"/>
              <w:rPr>
                <w:sz w:val="15"/>
                <w:szCs w:val="15"/>
                <w:color w:val="auto"/>
              </w:rPr>
            </w:pPr>
          </w:p>
        </w:tc>
        <w:tc>
          <w:tcPr>
            <w:tcW w:w="580" w:type="dxa"/>
            <w:vAlign w:val="bottom"/>
          </w:tcPr>
          <w:p>
            <w:pPr>
              <w:jc w:val="right"/>
              <w:spacing w:after="0" w:line="173"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4"/>
        </w:trPr>
        <w:tc>
          <w:tcPr>
            <w:tcW w:w="3480" w:type="dxa"/>
            <w:vAlign w:val="bottom"/>
          </w:tcPr>
          <w:p>
            <w:pPr>
              <w:spacing w:after="0"/>
              <w:rPr>
                <w:sz w:val="20"/>
                <w:szCs w:val="20"/>
                <w:color w:val="auto"/>
              </w:rPr>
            </w:pPr>
            <w:r>
              <w:rPr>
                <w:rFonts w:ascii="Arial" w:cs="Arial" w:eastAsia="Arial" w:hAnsi="Arial"/>
                <w:sz w:val="16"/>
                <w:szCs w:val="16"/>
                <w:color w:val="auto"/>
              </w:rPr>
              <w:t>Gross realized losses</w:t>
            </w:r>
          </w:p>
        </w:tc>
        <w:tc>
          <w:tcPr>
            <w:tcW w:w="1400" w:type="dxa"/>
            <w:vAlign w:val="bottom"/>
          </w:tcPr>
          <w:p>
            <w:pPr>
              <w:spacing w:after="0"/>
              <w:rPr>
                <w:sz w:val="17"/>
                <w:szCs w:val="17"/>
                <w:color w:val="auto"/>
              </w:rPr>
            </w:pPr>
          </w:p>
        </w:tc>
        <w:tc>
          <w:tcPr>
            <w:tcW w:w="840" w:type="dxa"/>
            <w:vAlign w:val="bottom"/>
          </w:tcPr>
          <w:p>
            <w:pPr>
              <w:jc w:val="right"/>
              <w:ind w:right="182"/>
              <w:spacing w:after="0"/>
              <w:rPr>
                <w:sz w:val="20"/>
                <w:szCs w:val="20"/>
                <w:color w:val="auto"/>
              </w:rPr>
            </w:pPr>
            <w:r>
              <w:rPr>
                <w:rFonts w:ascii="Arial" w:cs="Arial" w:eastAsia="Arial" w:hAnsi="Arial"/>
                <w:sz w:val="16"/>
                <w:szCs w:val="16"/>
                <w:color w:val="auto"/>
              </w:rPr>
              <w:t>(1)</w:t>
            </w:r>
          </w:p>
        </w:tc>
        <w:tc>
          <w:tcPr>
            <w:tcW w:w="1140" w:type="dxa"/>
            <w:vAlign w:val="bottom"/>
          </w:tcPr>
          <w:p>
            <w:pPr>
              <w:spacing w:after="0"/>
              <w:rPr>
                <w:sz w:val="17"/>
                <w:szCs w:val="17"/>
                <w:color w:val="auto"/>
              </w:rPr>
            </w:pPr>
          </w:p>
        </w:tc>
        <w:tc>
          <w:tcPr>
            <w:tcW w:w="840" w:type="dxa"/>
            <w:vAlign w:val="bottom"/>
          </w:tcPr>
          <w:p>
            <w:pPr>
              <w:jc w:val="right"/>
              <w:ind w:right="182"/>
              <w:spacing w:after="0"/>
              <w:rPr>
                <w:sz w:val="20"/>
                <w:szCs w:val="20"/>
                <w:color w:val="auto"/>
              </w:rPr>
            </w:pPr>
            <w:r>
              <w:rPr>
                <w:rFonts w:ascii="Arial" w:cs="Arial" w:eastAsia="Arial" w:hAnsi="Arial"/>
                <w:sz w:val="16"/>
                <w:szCs w:val="16"/>
                <w:color w:val="auto"/>
              </w:rPr>
              <w:t>(4)</w:t>
            </w:r>
          </w:p>
        </w:tc>
        <w:tc>
          <w:tcPr>
            <w:tcW w:w="1140" w:type="dxa"/>
            <w:vAlign w:val="bottom"/>
          </w:tcPr>
          <w:p>
            <w:pPr>
              <w:spacing w:after="0"/>
              <w:rPr>
                <w:sz w:val="17"/>
                <w:szCs w:val="17"/>
                <w:color w:val="auto"/>
              </w:rPr>
            </w:pPr>
          </w:p>
        </w:tc>
        <w:tc>
          <w:tcPr>
            <w:tcW w:w="860" w:type="dxa"/>
            <w:vAlign w:val="bottom"/>
          </w:tcPr>
          <w:p>
            <w:pPr>
              <w:jc w:val="right"/>
              <w:ind w:right="202"/>
              <w:spacing w:after="0"/>
              <w:rPr>
                <w:sz w:val="20"/>
                <w:szCs w:val="20"/>
                <w:color w:val="auto"/>
              </w:rPr>
            </w:pPr>
            <w:r>
              <w:rPr>
                <w:rFonts w:ascii="Arial" w:cs="Arial" w:eastAsia="Arial" w:hAnsi="Arial"/>
                <w:sz w:val="16"/>
                <w:szCs w:val="16"/>
                <w:color w:val="auto"/>
              </w:rPr>
              <w:t>(5)</w:t>
            </w:r>
          </w:p>
        </w:tc>
        <w:tc>
          <w:tcPr>
            <w:tcW w:w="1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80"/>
        </w:trPr>
        <w:tc>
          <w:tcPr>
            <w:tcW w:w="3480" w:type="dxa"/>
            <w:vAlign w:val="bottom"/>
            <w:shd w:val="clear" w:color="auto" w:fill="C0C0C0"/>
          </w:tcPr>
          <w:p>
            <w:pPr>
              <w:spacing w:after="0"/>
              <w:rPr>
                <w:sz w:val="6"/>
                <w:szCs w:val="6"/>
                <w:color w:val="auto"/>
              </w:rPr>
            </w:pPr>
          </w:p>
        </w:tc>
        <w:tc>
          <w:tcPr>
            <w:tcW w:w="1400" w:type="dxa"/>
            <w:vAlign w:val="bottom"/>
            <w:shd w:val="clear" w:color="auto" w:fill="C0C0C0"/>
          </w:tcPr>
          <w:p>
            <w:pPr>
              <w:spacing w:after="0"/>
              <w:rPr>
                <w:sz w:val="6"/>
                <w:szCs w:val="6"/>
                <w:color w:val="auto"/>
              </w:rPr>
            </w:pPr>
          </w:p>
        </w:tc>
        <w:tc>
          <w:tcPr>
            <w:tcW w:w="840" w:type="dxa"/>
            <w:vAlign w:val="bottom"/>
            <w:shd w:val="clear" w:color="auto" w:fill="C0C0C0"/>
          </w:tcPr>
          <w:p>
            <w:pPr>
              <w:spacing w:after="0"/>
              <w:rPr>
                <w:sz w:val="6"/>
                <w:szCs w:val="6"/>
                <w:color w:val="auto"/>
              </w:rPr>
            </w:pPr>
          </w:p>
        </w:tc>
        <w:tc>
          <w:tcPr>
            <w:tcW w:w="1140" w:type="dxa"/>
            <w:vAlign w:val="bottom"/>
            <w:shd w:val="clear" w:color="auto" w:fill="C0C0C0"/>
          </w:tcPr>
          <w:p>
            <w:pPr>
              <w:spacing w:after="0"/>
              <w:rPr>
                <w:sz w:val="6"/>
                <w:szCs w:val="6"/>
                <w:color w:val="auto"/>
              </w:rPr>
            </w:pPr>
          </w:p>
        </w:tc>
        <w:tc>
          <w:tcPr>
            <w:tcW w:w="840" w:type="dxa"/>
            <w:vAlign w:val="bottom"/>
            <w:shd w:val="clear" w:color="auto" w:fill="C0C0C0"/>
          </w:tcPr>
          <w:p>
            <w:pPr>
              <w:spacing w:after="0"/>
              <w:rPr>
                <w:sz w:val="6"/>
                <w:szCs w:val="6"/>
                <w:color w:val="auto"/>
              </w:rPr>
            </w:pPr>
          </w:p>
        </w:tc>
        <w:tc>
          <w:tcPr>
            <w:tcW w:w="1140" w:type="dxa"/>
            <w:vAlign w:val="bottom"/>
            <w:shd w:val="clear" w:color="auto" w:fill="C0C0C0"/>
          </w:tcPr>
          <w:p>
            <w:pPr>
              <w:spacing w:after="0"/>
              <w:rPr>
                <w:sz w:val="6"/>
                <w:szCs w:val="6"/>
                <w:color w:val="auto"/>
              </w:rPr>
            </w:pPr>
          </w:p>
        </w:tc>
        <w:tc>
          <w:tcPr>
            <w:tcW w:w="860" w:type="dxa"/>
            <w:vAlign w:val="bottom"/>
            <w:shd w:val="clear" w:color="auto" w:fill="C0C0C0"/>
          </w:tcPr>
          <w:p>
            <w:pPr>
              <w:spacing w:after="0"/>
              <w:rPr>
                <w:sz w:val="6"/>
                <w:szCs w:val="6"/>
                <w:color w:val="auto"/>
              </w:rPr>
            </w:pPr>
          </w:p>
        </w:tc>
        <w:tc>
          <w:tcPr>
            <w:tcW w:w="1140" w:type="dxa"/>
            <w:vAlign w:val="bottom"/>
            <w:shd w:val="clear" w:color="auto" w:fill="C0C0C0"/>
          </w:tcPr>
          <w:p>
            <w:pPr>
              <w:spacing w:after="0"/>
              <w:rPr>
                <w:sz w:val="6"/>
                <w:szCs w:val="6"/>
                <w:color w:val="auto"/>
              </w:rPr>
            </w:pPr>
          </w:p>
        </w:tc>
        <w:tc>
          <w:tcPr>
            <w:tcW w:w="580" w:type="dxa"/>
            <w:vAlign w:val="bottom"/>
            <w:shd w:val="clear" w:color="auto" w:fill="C0C0C0"/>
          </w:tcPr>
          <w:p>
            <w:pPr>
              <w:spacing w:after="0"/>
              <w:rPr>
                <w:sz w:val="6"/>
                <w:szCs w:val="6"/>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420" w:hanging="414"/>
        <w:spacing w:after="0"/>
        <w:tabs>
          <w:tab w:leader="none" w:pos="420" w:val="left"/>
        </w:tabs>
        <w:numPr>
          <w:ilvl w:val="0"/>
          <w:numId w:val="59"/>
        </w:numPr>
        <w:rPr>
          <w:rFonts w:ascii="Arial" w:cs="Arial" w:eastAsia="Arial" w:hAnsi="Arial"/>
          <w:sz w:val="14"/>
          <w:szCs w:val="14"/>
          <w:i w:val="1"/>
          <w:iCs w:val="1"/>
          <w:color w:val="auto"/>
        </w:rPr>
      </w:pPr>
      <w:r>
        <w:rPr>
          <w:rFonts w:ascii="Arial" w:cs="Arial" w:eastAsia="Arial" w:hAnsi="Arial"/>
          <w:sz w:val="14"/>
          <w:szCs w:val="14"/>
          <w:i w:val="1"/>
          <w:iCs w:val="1"/>
          <w:color w:val="auto"/>
        </w:rPr>
        <w:t>Excludes securities that are held to maturity.</w:t>
      </w:r>
    </w:p>
    <w:p>
      <w:pPr>
        <w:spacing w:after="0" w:line="191" w:lineRule="exact"/>
        <w:rPr>
          <w:sz w:val="20"/>
          <w:szCs w:val="20"/>
          <w:color w:val="auto"/>
        </w:rPr>
      </w:pPr>
    </w:p>
    <w:p>
      <w:pPr>
        <w:ind w:right="800"/>
        <w:spacing w:after="0" w:line="275" w:lineRule="auto"/>
        <w:rPr>
          <w:sz w:val="20"/>
          <w:szCs w:val="20"/>
          <w:color w:val="auto"/>
        </w:rPr>
      </w:pPr>
      <w:r>
        <w:rPr>
          <w:rFonts w:ascii="Times New Roman" w:cs="Times New Roman" w:eastAsia="Times New Roman" w:hAnsi="Times New Roman"/>
          <w:sz w:val="18"/>
          <w:szCs w:val="18"/>
          <w:color w:val="auto"/>
        </w:rPr>
        <w:t>Net unrealized gains (losses) are included in Regulatory Liabilities Arising from Removal Obligations on Sempra Energy’s and SDG&amp;E’s Condensed Consolidated Balance Sheets. We determine the cost of securities in the trusts on the basis of specific identification.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additional information about SONGS in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353060</wp:posOffset>
            </wp:positionV>
            <wp:extent cx="72656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NOTE 10. CALIFORNIA UTILITIES' REGULATORY MATTERS</w:t>
      </w:r>
    </w:p>
    <w:p>
      <w:pPr>
        <w:spacing w:after="0" w:line="21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We discuss regulatory matters affecting our California Utilities in Note 14 of the Notes to Consolidated Financial Statements in the Annual Report, and provide updates to those discussions and details of any new matters below.</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MATTERS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CPUC General Rate Case (GRC)</w:t>
      </w:r>
    </w:p>
    <w:p>
      <w:pPr>
        <w:spacing w:after="0" w:line="21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CPUC uses a general rate case proceeding to prospectively set rates sufficient to allow the California Utilities to recover their reasonable cost of operations and maintenance and to provide the opportunity to realize their authorized rates of return on their investment. In May 2013, the CPUC approved a final decision (Final GRC Decision) in the California Utilities’ 2012 GRC. The Final GRC Decision was effective retroactive to January 1, 2012, and SDG&amp;E and SoCalGas recorded the cumulative earnings effect of the retroactive application of the Final GRC Decision of $69 million and $37 million, respectively, in the second quarter of 2013. For SDG&amp;E and SoCalGas, respectively, these amounts included an incremental earnings impact of $52 million and $25 million related to 2012 and $17 million and $12 million related to the first quarter of 2013.</w:t>
      </w:r>
    </w:p>
    <w:p>
      <w:pPr>
        <w:spacing w:after="0" w:line="184"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The amount of revenue associated with the retroactive period is expected to be recovered in SDG&amp;E’s rates over a 28-month period beginning in September 2013, and in SoCalGas’ rates over a 31-month period beginning in June 2013. At June 30, 2014, SDG&amp;E reported on its Condensed Consolidated Balance Sheet $243 million as a regulatory asset, with $81 million classified as noncurrent, representing the retroactive revenue from the Final GRC Decision to be recovered by SDG&amp;E in rates through December 2015. At June 30, 2014, SoCalGas reported on its Condensed Consolidated Balance Sheet a regulatory asset of $78 million, with $26 million as noncurrent, representing the retroactive revenue from the Final GRC Decision to be recovered in rates through December 2015.</w:t>
      </w:r>
    </w:p>
    <w:p>
      <w:pPr>
        <w:spacing w:after="0" w:line="16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California Utilities filed their Notices of Intent (NOI) for the 2016 General Rate Case (2016 GRC) in July 2014. These NOIs are preliminary applications that propose revenue requirement increases of $168 million and $290 million for SDG&amp;E and SoCalGas, respectively, over their 2015 revenue requirements. As included in the NOI, these proposed increases in revenue requirements would result in a 0.9 percent increase in SDG&amp;E’s system average electric rate and 0.5 percent and 5.5 percent increases in SDG&amp;E’s and SoCalGas’ system average gas rates, respectively. After the CPUC staff completes its review of the NOIs and accepts the proposed filings, SDG&amp;E and SoCalGas expect to file their official applications in the fourth quarter of 2014. The CPUC is scheduled to issue a decision on each of the final applications in late 2015, with changes in rates to become effective on January 1, 2016.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additional information regarding the 2012 GRC in Note 14 of the Notes to Consolidated Financial Statements in the Annual Report.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Natural Gas Pipeline Operations Safety Assessments</w:t>
      </w:r>
    </w:p>
    <w:p>
      <w:pPr>
        <w:spacing w:after="0" w:line="21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Various regulatory agencies, including the CPUC, are evaluating natural gas pipeline safety regulations, practices and procedures. In February 2011, the CPUC opened a forward-looking rulemaking proceeding to examine what changes should be made to existing pipeline safety regulations for California natural gas pipelines. The California Utilities are parties to this proceeding.</w:t>
      </w:r>
    </w:p>
    <w:p>
      <w:pPr>
        <w:spacing w:after="0" w:line="178" w:lineRule="exact"/>
        <w:rPr>
          <w:sz w:val="20"/>
          <w:szCs w:val="20"/>
          <w:color w:val="auto"/>
        </w:rPr>
      </w:pPr>
    </w:p>
    <w:p>
      <w:pPr>
        <w:jc w:val="both"/>
        <w:ind w:right="480"/>
        <w:spacing w:after="0" w:line="260" w:lineRule="auto"/>
        <w:rPr>
          <w:sz w:val="20"/>
          <w:szCs w:val="20"/>
          <w:color w:val="auto"/>
        </w:rPr>
      </w:pPr>
      <w:r>
        <w:rPr>
          <w:rFonts w:ascii="Times New Roman" w:cs="Times New Roman" w:eastAsia="Times New Roman" w:hAnsi="Times New Roman"/>
          <w:sz w:val="18"/>
          <w:szCs w:val="18"/>
          <w:color w:val="auto"/>
        </w:rPr>
        <w:t>In June 2011, the CPUC directed SoCalGas, SDG&amp;E, PG&amp;E and Southwest Gas to file comprehensive implementation plans to test or replace natural gas transmission pipelines located in populated areas that have not been pressure tested. The California Utilities filed their Pipeline Safety Enhancement Plan (PSEP) with the CPUC in August 2011.</w:t>
      </w:r>
    </w:p>
    <w:p>
      <w:pPr>
        <w:spacing w:after="0" w:line="178"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8"/>
          <w:szCs w:val="18"/>
          <w:color w:val="auto"/>
        </w:rPr>
        <w:t>In April 2012, the CPUC transferred the PSEP to the Triennial Cost Allocation Proceeding (TCAP) and authorized SDG&amp;E and SoCalGas to establish regulatory accounts to record the incremental costs of initiating the PSEP prior to a final decision on the PSEP.</w:t>
      </w:r>
    </w:p>
    <w:p>
      <w:pPr>
        <w:spacing w:after="0" w:line="16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Also in April 2012, the CPUC issued a decision expanding the scope of the rulemaking proceeding to incorporate the provisions of California Senate Bill (SB) 705, which requires gas utilities to develop and implement a plan for the safe and reliable operation of their gas pipeline facilities. SDG&amp;E and SoCalGas submitted their pipeline safety plans in June 2012. The CPUC decision also orders the utilities to undergo independent management and financial audits to assure that the utilities are fully meeting their safety responsibilities. The CPUC’s Safety and Enforcement Division will select the independent auditors and will oversee the audits. A schedule for the audits has not been established. In December 2012, the CPUC issued a final decision accepting the utilities’ pipeline safety plans filed pursuant to SB 705.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2014, the CPUC issued a final decision in the TCAP proceeding addressing SDG&amp;E’s and SoCalGas’ PSEP. Specifically, the decision:</w:t>
      </w:r>
    </w:p>
    <w:p>
      <w:pPr>
        <w:spacing w:after="0" w:line="218" w:lineRule="exact"/>
        <w:rPr>
          <w:sz w:val="20"/>
          <w:szCs w:val="20"/>
          <w:color w:val="auto"/>
        </w:rPr>
      </w:pPr>
    </w:p>
    <w:p>
      <w:pPr>
        <w:ind w:left="320" w:hanging="172"/>
        <w:spacing w:after="0"/>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utilities’ model for implementing PSEP;</w:t>
      </w:r>
    </w:p>
    <w:p>
      <w:pPr>
        <w:spacing w:after="0" w:line="244"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 process, including a reasonableness review, to determine the amount that the utilities will be authorized to recover from ratepayers of interim costs incurred to implement PSEP, which are recorded in the regulatory accounts authorized by the CPUC as noted above;</w:t>
      </w:r>
    </w:p>
    <w:p>
      <w:pPr>
        <w:sectPr>
          <w:pgSz w:w="11900" w:h="16838" w:orient="portrait"/>
          <w:cols w:equalWidth="0" w:num="1">
            <w:col w:w="11420"/>
          </w:cols>
          <w:pgMar w:left="240" w:top="319" w:right="239" w:bottom="0" w:gutter="0" w:footer="0" w:header="0"/>
        </w:sectPr>
      </w:pPr>
    </w:p>
    <w:bookmarkStart w:id="39" w:name="page40"/>
    <w:bookmarkEnd w:id="39"/>
    <w:p>
      <w:pPr>
        <w:ind w:left="320" w:hanging="17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balancing account treatment, subject to a reasonableness review, for incremental costs yet to be incurred to implement PSEP; and</w:t>
      </w:r>
    </w:p>
    <w:p>
      <w:pPr>
        <w:spacing w:after="0" w:line="244" w:lineRule="exact"/>
        <w:rPr>
          <w:rFonts w:ascii="Times New Roman" w:cs="Times New Roman" w:eastAsia="Times New Roman" w:hAnsi="Times New Roman"/>
          <w:sz w:val="18"/>
          <w:szCs w:val="18"/>
          <w:color w:val="auto"/>
        </w:rPr>
      </w:pPr>
    </w:p>
    <w:p>
      <w:pPr>
        <w:jc w:val="both"/>
        <w:ind w:left="320" w:hanging="172"/>
        <w:spacing w:after="0" w:line="260" w:lineRule="auto"/>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criteria to determine the amounts that would not be eligible for cost recovery, including certain costs incurred or to be incurred associated with records review, the cost of pressure testing pipelines installed after July 1, 1961 for which the company has not found sufficient records of testing, and any undepreciated balances for pipelines that were replaced as a result of this program.</w:t>
      </w:r>
    </w:p>
    <w:p>
      <w:pPr>
        <w:spacing w:after="0" w:line="20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July 2014, the ORA and TURN filed a joint application for rehearing of the CPUC’s June 2014 final decision. The ORA and TURN allege that the CPUC made a legal error in directing that ratepayers, not shareholders, be responsible for the costs associated with testing or replacing transmission pipelines that were installed between January 1, 1956 and July 1, 1961 for which the California Utilities do not have a record of a pressure test. In early August 2014, the California Utilities filed their response to the application for rehearing objecting to the assertions by the ORA and TURN. The CPUC is not obligated to act on the application for rehearing by a certain date. The California Utilities are continuing to implement PSEP in accordance with the June 2014 decision.</w:t>
      </w:r>
    </w:p>
    <w:p>
      <w:pPr>
        <w:spacing w:after="0" w:line="185"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As a result of this decision, SoCalGas recorded an after-tax earnings charge of $6 million for costs incurred in prior periods for which SoCalGas was disallowed recovery. After taking the amounts disallowed for recovery into consideration, as of June 30, 2014, SDG&amp;E and SoCalGas have recorded PSEP implementation costs of $1 million and $48 million, respectively, in the CPUC-authorized regulatory account. SDG&amp;E and SoCalGas expect to file a request with the CPUC by the end of 2014 for the recovery of these costs from customers.</w:t>
      </w:r>
    </w:p>
    <w:p>
      <w:pPr>
        <w:spacing w:after="0" w:line="180" w:lineRule="exact"/>
        <w:rPr>
          <w:sz w:val="20"/>
          <w:szCs w:val="20"/>
          <w:color w:val="auto"/>
        </w:rPr>
      </w:pPr>
    </w:p>
    <w:p>
      <w:pPr>
        <w:jc w:val="both"/>
        <w:ind w:right="80"/>
        <w:spacing w:after="0" w:line="275" w:lineRule="auto"/>
        <w:rPr>
          <w:sz w:val="20"/>
          <w:szCs w:val="20"/>
          <w:color w:val="auto"/>
        </w:rPr>
      </w:pPr>
      <w:r>
        <w:rPr>
          <w:rFonts w:ascii="Times New Roman" w:cs="Times New Roman" w:eastAsia="Times New Roman" w:hAnsi="Times New Roman"/>
          <w:sz w:val="18"/>
          <w:szCs w:val="18"/>
          <w:color w:val="auto"/>
        </w:rPr>
        <w:t>We provide additional information regarding these rulemaking proceedings and the California Utilities’ PSEP in Note 14 of the Notes to Consolidated Financial Statements in the Annual Report.</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Southern Gas System Reliability Project</w:t>
      </w:r>
    </w:p>
    <w:p>
      <w:pPr>
        <w:spacing w:after="0" w:line="21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 December 2013, SoCalGas and SDG&amp;E filed a joint application with the CPUC seeking authority to recover the full cost of the Southern Gas System Reliability Project. Also known as the North-South Gas Project, the project will enhance reliability on the southern portions of the utilities’ integrated gas transmission system (Southern System). We estimate the cost of the project to be between $800 million to $850 million. Based on the CPUC schedule that provides for a draft decision in mid-2015, we anticipate a final CPUC decision by the end of 2015 and the project to be in service, subject to environmental permitting, by the end of 2019. We provide additional information about the project in Note 14 of the Notes to Consolidated Financial Statements in the Annual Report.</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Utility Incentive Mechanisms</w:t>
      </w:r>
    </w:p>
    <w:p>
      <w:pPr>
        <w:spacing w:after="0" w:line="21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CPUC applies performance-based measures and incentive mechanisms to all California investor-owned utilities, under which the California Utilities have earnings potential above authorized base margins if they achieve or exceed specific performance and operating goals.</w:t>
      </w:r>
    </w:p>
    <w:p>
      <w:pPr>
        <w:spacing w:after="0" w:line="16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We provide additional information regarding these incentive mechanisms in Note 14 of the Notes to Consolidated Financial Statements in the Annual Report, and below.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Natural Gas Procurement</w:t>
      </w:r>
    </w:p>
    <w:p>
      <w:pPr>
        <w:spacing w:after="0" w:line="21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July 2014, the CPUC issued a proposed decision approving SoCalGas’ application for a gas cost incentive mechanism (GCIM) award of $5.8 million for natural gas procured for its core customers during the 12-month period ending March 31, 2013. SoCalGas expects a final decision on this GCIM award in the third quarter of 2014. In June 2014, SoCalGas filed an application with the CPUC for approval of a $13.7 million GCIM award for natural gas procured for its core customers during the 12-month period ending March 31, 2014. SoCalGas expects a final CPUC decision in the first half of 2015.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Energy Efficiency</w:t>
      </w:r>
    </w:p>
    <w:p>
      <w:pPr>
        <w:spacing w:after="0" w:line="21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June 2014, SoCalGas and SDG&amp;E filed advice letters requesting awards of $5.8 million and $7.6 million, respectively, based on their performance on energy efficiency programs during program years 2012 and 2013. Of these amounts, SoCalGas and SDG&amp;E are seeking initial 2013 program awards of $1.5 million and $2.5 million, respectively, and asking that any necessary adjustment to the 2013 awards be made in 2015 after completion of the CPUC’s audit. We expect a resolution in the fourth quarter of 2014.</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SDG&amp;E MATTERS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SONGS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discuss regulatory and other matters related to SONGS in Note 9.</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Power Procurement and Resource Planning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Sycamore-Peñasquitos Transmission Project</w:t>
      </w:r>
    </w:p>
    <w:p>
      <w:pPr>
        <w:spacing w:after="0" w:line="21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March 2014, the CAISO selected SDG&amp;E, as a result of a competitive bid process, to construct the Sycamore-Peñasquitos 230-kilovolt (kV) transmission project, which will provide a 16.7-mile transmission connection between SDG&amp;E’s Sycamore Canyon and Peñasquitos substations. In July 2014, the CPUC notified SDG&amp;E that the application requesting a Certificate of Public Convenience and Necessity (CPCN) to construct the line, which was filed with the CPUC in April 2014, is complete. The estimated $120 million to $150 million project was identified by the CAISO and a state task force as necessary to ensure grid reliability given the closure of SONGS. The project will also serve to strengthen renewable energy infrastructure in the region. SDG&amp;E expects a CPUC decision approving the project in the first half of 2016, with the line expected to be in service in mid-2017.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South Orange County Reliability Enhancement</w:t>
      </w:r>
    </w:p>
    <w:p>
      <w:pPr>
        <w:sectPr>
          <w:pgSz w:w="11900" w:h="16838" w:orient="portrait"/>
          <w:cols w:equalWidth="0" w:num="1">
            <w:col w:w="11420"/>
          </w:cols>
          <w:pgMar w:left="240" w:top="121" w:right="239" w:bottom="0" w:gutter="0" w:footer="0" w:header="0"/>
        </w:sectPr>
      </w:pPr>
    </w:p>
    <w:p>
      <w:pPr>
        <w:spacing w:after="0" w:line="213" w:lineRule="exact"/>
        <w:rPr>
          <w:sz w:val="20"/>
          <w:szCs w:val="20"/>
          <w:color w:val="auto"/>
        </w:rPr>
      </w:pPr>
    </w:p>
    <w:p>
      <w:pPr>
        <w:ind w:right="220"/>
        <w:spacing w:after="0" w:line="305" w:lineRule="auto"/>
        <w:rPr>
          <w:sz w:val="20"/>
          <w:szCs w:val="20"/>
          <w:color w:val="auto"/>
        </w:rPr>
      </w:pPr>
      <w:r>
        <w:rPr>
          <w:rFonts w:ascii="Times New Roman" w:cs="Times New Roman" w:eastAsia="Times New Roman" w:hAnsi="Times New Roman"/>
          <w:sz w:val="17"/>
          <w:szCs w:val="17"/>
          <w:color w:val="auto"/>
        </w:rPr>
        <w:t>SDG&amp;E filed an application with the CPUC in May 2012 for a CPCN to construct the South Orange County Reliability Enhancement project. The purpose of the project is to enhance the capacity and reliability of SDG&amp;E’s electric service to the south Orange County area. The proposed project primarily includes</w:t>
      </w:r>
    </w:p>
    <w:p>
      <w:pPr>
        <w:sectPr>
          <w:pgSz w:w="11900" w:h="16838" w:orient="portrait"/>
          <w:cols w:equalWidth="0" w:num="1">
            <w:col w:w="11420"/>
          </w:cols>
          <w:pgMar w:left="240" w:top="121" w:right="239" w:bottom="0" w:gutter="0" w:footer="0" w:header="0"/>
          <w:type w:val="continuous"/>
        </w:sectPr>
      </w:pPr>
    </w:p>
    <w:bookmarkStart w:id="40" w:name="page41"/>
    <w:bookmarkEnd w:id="40"/>
    <w:p>
      <w:pPr>
        <w:ind w:right="80"/>
        <w:spacing w:after="0" w:line="260" w:lineRule="auto"/>
        <w:rPr>
          <w:sz w:val="20"/>
          <w:szCs w:val="20"/>
          <w:color w:val="auto"/>
        </w:rPr>
      </w:pPr>
      <w:r>
        <w:rPr>
          <w:rFonts w:ascii="Times New Roman" w:cs="Times New Roman" w:eastAsia="Times New Roman" w:hAnsi="Times New Roman"/>
          <w:sz w:val="18"/>
          <w:szCs w:val="18"/>
          <w:color w:val="auto"/>
        </w:rPr>
        <w:t>replacing and upgrading approximately eight miles of transmission lines and rebuilding and upgrading a substation at an existing site. SDG&amp;E expects a final CPUC decision approving the estimated $400 million to $500 million project in 2015. SDG&amp;E obtained approval for the project from the CAISO in May 2011. As the project is planned in phases, SDG&amp;E currently expects the entire project to be in service in 2019.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South Bay Substation</w:t>
      </w:r>
    </w:p>
    <w:p>
      <w:pPr>
        <w:spacing w:after="0" w:line="213"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color w:val="auto"/>
        </w:rPr>
        <w:t>SDG&amp;E filed an application in 2010 with the CPUC for a permit to construct a new substation to replace the aging and obsolete South Bay substation. The existing substation will be demolished when the new substation has been constructed, energized and all transmission lines have been transferred. In October 2013, the CPUC approved SDG&amp;E’s permit to construct the South Bay substation at SDG&amp;E’s proposed site. The project, estimated at $145 million to $175 million, will replace the existing 138/69-kV substation with the new 230/69/12-kV Bay Boulevard substation. In March 2014, the California Coastal Commission approved the project, subject to certain additional environmental enhancements. SDG&amp;E is in the process of obtaining the remaining permits required to begin construction. SDG&amp;E currently expects the project to be in service in 2017.</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Federal Energy Regulatory Commission (FERC) Formulaic Rate Matters</w:t>
      </w:r>
    </w:p>
    <w:p>
      <w:pPr>
        <w:spacing w:after="0" w:line="21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February 2013, SDG&amp;E submitted its Electric Transmission Formula Rate (TO4) filing with the FERC to set the rate making methodology and rate of return for SDG&amp;E’s FERC-regulated electric transmission operations and assets for the period beginning September 1, 2013. The filing proposed a FERC ROE of 11.3 percent and requested: 1) rates to be determined by a base period of historical costs and a forecast of capital investments and 2) a true-up period similar to balancing account treatment that is designed to provide SDG&amp;E earnings of no more and no less than its actual cost of service including its authorized return on investment. In June and July 2013, the FERC issued orders accepting the filing, subject to refund, and established settlement and hearing procedures, with rates being effective as of 2013.</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31, 2014, SDG&amp;E filed an uncontested multi-party settlement at the FERC regarding the TO4 filing. The settlement, approved by FERC in May 2014, will be in effect through December 31, 2018, is subject to a one-time right of termination by any party, and established a 10.05 percent ROE. SDG&amp;E also has the right to seek any ROE incentives that might apply under FERC rules. SDG&amp;E’s debt to equity ratio will be set annually based on the actual ratio at the end of each year.</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Energy Resource Recovery Account (ERRA)</w:t>
      </w:r>
    </w:p>
    <w:p>
      <w:pPr>
        <w:spacing w:after="0" w:line="21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ERRA is the regulatory balancing account that SDG&amp;E uses to recover the electric fuel and purchased power costs it incurs to provide energy to its bundled service customers. SDG&amp;E files an application with the CPUC each year to establish the ERRA revenue requirement needed for the following calendar year. Additionally, to the extent the ERRA balance exceeds a certain tolerance or “ERRA Trigger”, SDG&amp;E must file an application to adjust its rates upward or downward, as applicable, to address the under- or over-collected ERRA balance, respectively. In February 2014, the CPUC issued a decision granting SDG&amp;E authority to increase rates to recover an ERRA Trigger revenue requirement of $221 million, which rate increase was effective on April 1, 2014 and will continue through December 31, 2015. In May 2014, the CPUC issued a final decision approving SDG&amp;E’s proposed 2014 ERRA revenue requirement of $1.23 billion, an increase of $242 million compared to the 2013 ERRA revenue requirement of $988 million. SDG&amp;E expects to implement the increased revenue requirement on August 1, 2014.</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Excess Wildfire Claims Cost Recovery</w:t>
      </w:r>
    </w:p>
    <w:p>
      <w:pPr>
        <w:spacing w:after="0" w:line="21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August 2009, SDG&amp;E and SoCalGas filed an application, along with other related filings, with the CPUC proposing a new framework and mechanism for the future recovery of all wildfire-related expenses for claims, litigation expenses and insurance premiums that are in excess of amounts authorized by the CPUC for recovery in distribution rates. In December 2012, the CPUC issued a final decision that ultimately did not approve the proposed framework for the utilities but allowed SDG&amp;E to maintain its authorized memorandum account so that SDG&amp;E may file applications with the CPUC requesting recovery of amounts properly recorded in the memorandum account at a later time, subject to reasonableness review.</w:t>
      </w:r>
    </w:p>
    <w:p>
      <w:pPr>
        <w:spacing w:after="0" w:line="185"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In February 2014, the Presiding Judge assigned by the FERC to SDG&amp;E’s annual Electric Transmission Formula Rate filing (TO3 Cycle 6) issued an Initial Decision and an Order on Summary Judgment which authorizes SDG&amp;E to recover all of the costs incurred and allocated to SDG&amp;E’s FERC-regulated operations resulting from settlement activities for 2007 wildfire claims for that rate cycle period. This result will stand, subject to any successful appeal by the CPUC. In connection with this proceeding, the CPUC filed an appeal in the Ninth Circuit Court of Appeal of an earlier decision by the FERC denying the CPUC’s request to postpone the FERC proceeding pending CPUC action on cost recovery of the excess wildfire costs. The FERC has sought dismissal of the CPUC’s appeal on procedural grounds. The Court of Appeal has not yet ruled.</w:t>
      </w:r>
    </w:p>
    <w:p>
      <w:pPr>
        <w:spacing w:after="0" w:line="18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7"/>
          <w:szCs w:val="17"/>
          <w:color w:val="auto"/>
        </w:rPr>
        <w:t>SDG&amp;E intends to pursue recovery of the costs it has incurred for settlement activities associated with the 2007 wildfire claims allocated to SDG&amp;E’s CPUC-regulated operations in a future application with the CPUC. SDG&amp;E will continue to assess the potential for recovery of these costs in rates. We discuss the impact should SDG&amp;E conclude that recovery in rates is no longer probable in “Legal Proceedings — SDG&amp;E — 2007 Wildfire Litigation” in Note 11. We discuss how we assess the probability of recovery of our regulatory assets in Note 1 of the Notes to Consolidated Financial Statements in the Annual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additional information about 2007 wildfire litigation costs and their recovery in Note 11.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SOCALGAS MATTER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Advanced Metering Infrastructure</w:t>
      </w:r>
    </w:p>
    <w:p>
      <w:pPr>
        <w:spacing w:after="0" w:line="21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November 2011, the ORA (formerly the Division of Ratepayer Advocates or DRA) and TURN filed a joint petition requesting that the CPUC reconsider its prior approval of SoCalGas’ advanced metering infrastructure (AMI) project and stay AMI deployment while the CPUC considered the request. In June 2014, the CPUC denied the ORA/TURN petition, and SoCalGas is continuing its deployment of AMI pursuant to the April 2010 CPUC decision approving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328295</wp:posOffset>
            </wp:positionV>
            <wp:extent cx="72656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ectPr>
          <w:pgSz w:w="11900" w:h="16838" w:orient="portrait"/>
          <w:cols w:equalWidth="0" w:num="1">
            <w:col w:w="11400"/>
          </w:cols>
          <w:pgMar w:left="240" w:top="12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NOTE 11. COMMITMENTS AND CONTINGENCIES</w:t>
      </w:r>
    </w:p>
    <w:p>
      <w:pPr>
        <w:sectPr>
          <w:pgSz w:w="11900" w:h="16838" w:orient="portrait"/>
          <w:cols w:equalWidth="0" w:num="1">
            <w:col w:w="11400"/>
          </w:cols>
          <w:pgMar w:left="240" w:top="121" w:right="259" w:bottom="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LEGAL PROCEEDINGS</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accrue losses for a legal proceeding when it is probable that a loss has been incurred and the amount of the loss can be reasonably estimated. However, the uncertainties inherent in legal proceedings make it difficult to estimate with reasonable certainty the costs and effects of resolving these matters. Accordingly, actual costs incurred may differ materially from amounts accrued, may exceed applicable insurance coverage and could materially adversely affect our business, cash flows, results of operations, financial condition and prospects. Unless otherwise indicated, we are unable to estimate reasonably possible losses in excess of any amounts accrued.</w:t>
      </w:r>
    </w:p>
    <w:p>
      <w:pPr>
        <w:spacing w:after="0" w:line="185" w:lineRule="exact"/>
        <w:rPr>
          <w:sz w:val="20"/>
          <w:szCs w:val="20"/>
          <w:color w:val="auto"/>
        </w:rPr>
      </w:pPr>
    </w:p>
    <w:p>
      <w:pPr>
        <w:jc w:val="both"/>
        <w:ind w:right="300"/>
        <w:spacing w:after="0" w:line="283" w:lineRule="auto"/>
        <w:rPr>
          <w:sz w:val="20"/>
          <w:szCs w:val="20"/>
          <w:color w:val="auto"/>
        </w:rPr>
      </w:pPr>
      <w:r>
        <w:rPr>
          <w:rFonts w:ascii="Times New Roman" w:cs="Times New Roman" w:eastAsia="Times New Roman" w:hAnsi="Times New Roman"/>
          <w:sz w:val="17"/>
          <w:szCs w:val="17"/>
          <w:color w:val="auto"/>
        </w:rPr>
        <w:t>At June 30, 2014, Sempra Energy’s accrued liabilities for material legal proceedings, including associated legal fees and costs of litigation, on a consolidated basis, were $181 million. At June 30, 2014, accrued liabilities for material legal proceedings for SDG&amp;E and SoCalGas were $157 million and $18 million, respectively. At June 30, 2014, accrued liabilities of $115 million at Sempra Energy and SDG&amp;E were related to wildfire litigation discussed below.</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SDG&amp;E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2007 Wildfire Litigation</w:t>
      </w:r>
    </w:p>
    <w:p>
      <w:pPr>
        <w:spacing w:after="0" w:line="21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October 2007, San Diego County experienced several catastrophic wildfires. Reports issued by the California Department of Forestry and Fire Protection (Cal Fire) concluded that two of these fires (the Witch and Rice fires) were SDG&amp;E “power line caused” and that a third fire (the Guejito fire) occurred when a wire securing a Cox Communications’ (Cox) fiber optic cable came into contact with an SDG&amp;E power line “causing an arc and starting the fire.” Cal Fire reported that the Rice fire burned approximately 9,500 acres and damaged 206 homes and two commercial properties, and the Witch and Guejito fires merged and eventually burned approximately 198,000 acres, resulting in two fatalities, approximately 40 firefighters injured and over 1,000 homes destroyed.</w:t>
      </w:r>
    </w:p>
    <w:p>
      <w:pPr>
        <w:spacing w:after="0" w:line="185"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A September 2008 staff report issued by the CPUC’s Consumer Protection and Safety Division, now known as the Safety and Enforcement Division (CPSD), reached substantially the same conclusions as the Cal Fire reports, but also contended that the power lines involved in the Witch and Rice fires and the lashing wire involved in the Guejito fire were not properly designed, constructed and maintained. In April 2010, proceedings initiated by the CPUC to determine if any of its rules were violated were settled with SDG&amp;E’s payment of $14.75 million.</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Numerous parties have sued SDG&amp;E and Sempra Energy in San Diego County Superior Court seeking recovery of unspecified amounts of damages, including punitive damages, from the three fires. They assert various bases for recovery, including inverse condemnation based upon a California Court of Appeal decision finding that another California investor-owned utility was subject to strict liability, without regard to foreseeability or negligence, for property damages resulting from a wildfire ignited by power lines. SDG&amp;E has resolved almost all of these lawsuits. In February 2014, the Court set a February 2015 trial date for a trial to be comprised of five of the remaining cases involving plaintiffs who claim damages resulting from the Witch fire. In June 2014, the Court continued the trial date for the Witch fire cases to June 2015.</w:t>
      </w:r>
    </w:p>
    <w:p>
      <w:pPr>
        <w:spacing w:after="0" w:line="18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SDG&amp;E filed cross-complaints against Cox and three contractors, seeking indemnification for any liability that SDG&amp;E might incur. SDG&amp;E settled its claims against Cox and the three contractors for an aggregate of $824 million. Among other things, the settlement agreements provide that SDG&amp;E will defend and indemnify Cox and the three contractors against all compensatory damage claims and related costs arising out of the wildfires.</w:t>
      </w:r>
    </w:p>
    <w:p>
      <w:pPr>
        <w:spacing w:after="0" w:line="17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SDG&amp;E’s settled claims and defense costs have exceeded its $1.1 billion of liability insurance coverage for the covered period and the $824 million recovered from third parties. SDG&amp;E has settled all of the approximately 19,000 claims brought by homeowner insurers for damage to insured property relating to the three fires. Under the settlement agreements, SDG&amp;E has paid or will pay 57.5 percent of the approximately $1.6 billion paid or reserved for payment by the insurers to their policyholders and received an assignment of the insurers’ claims against other parties potentially responsible for the fires.</w:t>
      </w:r>
    </w:p>
    <w:p>
      <w:pPr>
        <w:spacing w:after="0" w:line="18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wildfire litigation also includes claims of non-insurer plaintiffs for damage to uninsured and underinsured structures, business interruption, evacuation expenses, agricultural damage, emotional harm, personal injuries and other losses. SDG&amp;E has now settled almost all of these claims of the approximately 6,500 plaintiffs for a total of approximately $1.25 billion. Substantially all of the remaining plaintiffs have submitted settlement demands and damage estimates, which total approximately $230 million. SDG&amp;E does not expect additional plaintiffs to file lawsuits given the applicable statutes of limitation, but does expect to receive additional settlement demands and damage estimates from existing plaintiffs as settlement negotiations continue. SDG&amp;E has established reserves for the wildfire litigation as we discuss below.</w:t>
      </w:r>
    </w:p>
    <w:p>
      <w:pPr>
        <w:spacing w:after="0" w:line="184"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SDG&amp;E has concluded that it is probable that it will be permitted to recover in rates a substantial portion of its reasonably incurred costs of resolving wildfire claims in excess of its liability insurance coverage and the amounts recovered from third parties. Accordingly, although such recovery will require future regulatory approval, at June 30, 2014, Sempra Energy and SDG&amp;E have recorded assets of $373 million in Other Regulatory Assets (long-term) on their Condensed Consolidated Balance Sheets, including $354 million related to CPUC-regulated operations, which represents the amount substantially equal to the aggregate amount it has paid or reserved for payment for the resolution of wildfire claims and related costs in excess of its liability insurance coverage and amounts recovered from third parties.</w:t>
      </w:r>
    </w:p>
    <w:p>
      <w:pPr>
        <w:spacing w:after="0" w:line="18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SDG&amp;E will continue to gather information to evaluate and assess the remaining wildfire claims and the likelihood, amount and timing of related recoveries in rates and will make appropriate adjustments to wildfire reserves and the related regulatory assets as additional information becomes available. Should SDG&amp;E conclude that recovery in rates is no longer probable, SDG&amp;E will record a charge against earnings at the time such conclusion is reached. If SDG&amp;E had concluded that the recovery of regulatory assets related to CPUC-regulated operations was no longer probable or was less than currently estimated at June 30, 2014, the resulting after-tax charge against earnings would have been up to approximately $210 million. In addition, in periods following any such conclusion, SDG&amp;E’s earnings will be adversely impacted by increases in the estimated cost to litigate or settle pending wildfire claims.</w:t>
      </w:r>
    </w:p>
    <w:p>
      <w:pPr>
        <w:spacing w:after="0" w:line="18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SDG&amp;E’s cash flow may be materially adversely affected due to the timing differences between the resolution of claims and the recoveries in rates, which may extend over a number of years. Also, recovery from customers will require future regulatory actions, and a failure to obtain substantial or full recovery, or any negative assessment of the likelihood of recovery, would likely have a material adverse effect on Sempra Energy’s and SDG&amp;E’s businesses, financial condition, cash flows, results of operations and prospects.</w:t>
      </w:r>
    </w:p>
    <w:p>
      <w:pPr>
        <w:spacing w:after="0" w:line="18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7"/>
          <w:szCs w:val="17"/>
          <w:color w:val="auto"/>
        </w:rPr>
        <w:t>Since 2010, as liabilities for wildfire litigation have become reasonably estimable in the form of settlement demands, damage estimates, and other damage information, SDG&amp;E has recorded related reserves as a liability. Most of the impact of this liability at June 30, 2014 is offset by the recognition of regulatory assets, as discussed above, for reserves in excess of the insurance coverage and recoveries from third parties. The impact of the change in these reserves on SDG&amp;E’s and Sempra Energy’s after-tax earnings for the three months and six months ended June 30, 2014 and 2013 were not material. Additionally, through</w:t>
      </w:r>
    </w:p>
    <w:p>
      <w:pPr>
        <w:sectPr>
          <w:pgSz w:w="11900" w:h="16838" w:orient="portrait"/>
          <w:cols w:equalWidth="0" w:num="1">
            <w:col w:w="11420"/>
          </w:cols>
          <w:pgMar w:left="240" w:top="540" w:right="239" w:bottom="0" w:gutter="0" w:footer="0" w:header="0"/>
        </w:sectPr>
      </w:pPr>
    </w:p>
    <w:bookmarkStart w:id="42" w:name="page43"/>
    <w:bookmarkEnd w:id="42"/>
    <w:p>
      <w:pPr>
        <w:ind w:right="740"/>
        <w:spacing w:after="0" w:line="275" w:lineRule="auto"/>
        <w:rPr>
          <w:sz w:val="20"/>
          <w:szCs w:val="20"/>
          <w:color w:val="auto"/>
        </w:rPr>
      </w:pPr>
      <w:r>
        <w:rPr>
          <w:rFonts w:ascii="Times New Roman" w:cs="Times New Roman" w:eastAsia="Times New Roman" w:hAnsi="Times New Roman"/>
          <w:sz w:val="18"/>
          <w:szCs w:val="18"/>
          <w:color w:val="auto"/>
        </w:rPr>
        <w:t>June 30, 2014, SDG&amp;E has expended $391 million in excess of amounts covered by insurance and amounts recovered from third parties to pay for the settlement of wildfire claims and related costs.</w:t>
      </w:r>
    </w:p>
    <w:p>
      <w:pPr>
        <w:spacing w:after="0" w:line="16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We provide additional information about excess wildfire claims cost recovery and related CPUC actions in Note 10 and discuss how we assess the probability of recovery of our regulatory assets in Note 1 of the Notes to Consolidated Financial Statements in the Annual Report.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Sunrise Powerlink Electric Transmission Line</w:t>
      </w:r>
    </w:p>
    <w:p>
      <w:pPr>
        <w:spacing w:after="0" w:line="21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Sunrise Powerlink is a 117-mile, 500-kV electric transmission line between the Imperial Valley and the San Diego region that was energized and placed in service in June 2012. The Sunrise Powerlink project was approved by the CPUC in December 2008, the Bureau of Land Management in January 2009, and the United States Forest Service in July 2010. Numerous administrative appeals and legal challenges have been resolved in favor of the project. Two legal challenges remain pending.</w:t>
      </w:r>
    </w:p>
    <w:p>
      <w:pPr>
        <w:spacing w:after="0" w:line="180"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In February 2011, opponents of the Sunrise Powerlink filed a lawsuit in Sacramento County Superior Court against the State Water Resources Control Board and SDG&amp;E alleging that the water quality certification issued by the Board under the Federal Clean Water Act violated the California Environmental Quality Act. The Superior Court denied the plaintiffs’ petition in July 2012, and the plaintiffs have appealed.</w:t>
      </w:r>
    </w:p>
    <w:p>
      <w:pPr>
        <w:spacing w:after="0" w:line="17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 claim for additional compensation has been submitted by one of SDG&amp;E’s contractors on the Sunrise Powerlink project. The contractor was awarded the transmission line overhead and underground construction contract on a fixed-fee basis of $456 million after agreed-upon amendments. The contractor has asserted that it is owed additional compensation above the fixed-fee portion of the contract. In May 2013, the contractor filed claims totaling $180.3 million, including one in San Diego County for the sum of $99.2 million and the other in Imperial County for the sum of $81.1 million, seeking foreclosure of previously filed mechanics liens. In October 2013, the contractor served a Demand for Arbitration pursuant to contractual provisions. SDG&amp;E has answered the demand and filed a counter claim against the contractor. The arbitration panel has set a June 2015 arbitration hearing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September 2011 Power Outage</w:t>
      </w:r>
    </w:p>
    <w:p>
      <w:pPr>
        <w:spacing w:after="0" w:line="21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September 2011, a power outage lasting approximately 12 hours affected millions of people from Mexico to southern Orange County, California. Within several days of the outage, several SDG&amp;E customers filed a class action lawsuit in Federal District Court in San Diego against Arizona Public Service Company, Pinnacle West Capital Corporation and SDG&amp;E alleging that the companies failed to prevent the outage. The lawsuit seeks recovery of unspecified amounts of damages, including punitive damages. In July 2012, the court granted SDG&amp;E’s motion to dismiss the punitive damages request and dismissed Arizona Public Service Company and Pinnacle West Capital Corporation from the lawsuit. In September 2013, the court granted SDG&amp;E’s motion for summary judgment and dismissed the lawsuit. In October 2013, the plaintiffs appealed the court’s dismissal of their action.</w:t>
      </w:r>
    </w:p>
    <w:p>
      <w:pPr>
        <w:spacing w:after="0" w:line="1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FERC and North American Electric Reliability Corporation (NERC) Staff conducted a joint inquiry to determine the cause of the power failure and issued a report in May 2012 regarding their findings. Following that report, Staff from FERC’s Office of Enforcement (FERC Enforcement Staff) investigated potential violations of FERC’s Reliability Standards associated with the outage. In January 2014, FERC Enforcement Staff issued a Staff Notice of Alleged Violations, in which FERC Enforcement Staff alleged violations of various Reliability Standards by several entities. FERC Enforcement Staff did not allege or find any violations by SDG&amp;E.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Smart Meters Patent Infringement Lawsuit</w:t>
      </w:r>
    </w:p>
    <w:p>
      <w:pPr>
        <w:spacing w:after="0" w:line="21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In October 2011, SDG&amp;E was sued by a Texas design and manufacturing company in Federal District Court, Southern District of California, and later transferred to the Federal District Court, Western District of Oklahoma, alleging that SDG&amp;E’s recently installed smart meters infringed certain patents. The meters were purchased from a third party vendor that has agreed to defend and indemnify SDG&amp;E. The lawsuit seeks injunctive relief and recovery of unspecified amounts of damages.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Lawsuit Against Mitsubishi Heavy Industries, Ltd.</w:t>
      </w:r>
    </w:p>
    <w:p>
      <w:pPr>
        <w:spacing w:after="0" w:line="21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On July 18, 2013, SDG&amp;E filed a lawsuit in the Superior Court of California in the County of San Diego against Mitsubishi Heavy Industries, Ltd., Mitsubishi Nuclear Energy Systems, Inc., and Mitsubishi Heavy Industries America, Inc. (collectively MHI). The lawsuit seeks to recover damages SDG&amp;E has incurred and will incur related to the design defects in the steam generators MHI provided to the SONGS nuclear power plant. The lawsuit asserts a number of causes of action, including fraud, based on the representations MHI made about its qualifications and ability to design generators free from defects of the kind that resulted in the permanent shutdown of the plant and further seeks to set aside the contractual limitation of damages that MHI has asserted. On July 24, 2013, MHI removed the lawsuit to the United States District Court for the Southern District of California and on August 8, 2013, MHI moved to stay the proceeding pending resolution of the dispute resolution process involving MHI and Edison arising from their contract for the purchase and sale of the steam generators. On October 16, 2013, Edison initiated an arbitration proceeding against MHI seeking damages stemming from the failure of the replacement steam generators. In late December 2013, MHI answered and filed a counter-claim against Edison. On March 14, 2014, MHI’s motion to stay the United States District Court proceeding was granted with instructions that require the parties to allow SDG&amp;E to participate in the ongoing Edison/MHI arbitration.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Investment in Wind Farm</w:t>
      </w:r>
    </w:p>
    <w:p>
      <w:pPr>
        <w:spacing w:after="0" w:line="21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In 2011, the CPUC and FERC approved SDG&amp;E’s estimated $285 million tax equity investment in a wind farm project and its purchase of renewable energy credits from that project. SDG&amp;E’s contractual obligations to both invest in the Rim Rock wind farm and to purchase renewable energy credits from the wind farm under the power purchase agreement are subject to the satisfaction of certain conditions which, if not achieved, would allow SDG&amp;E to terminate the power purchase agreement and not make the investment. In December 2013, SDG&amp;E received a closing notice from the project developer indicating that all such conditions had been met. SDG&amp;E responded to the closing notice asserting that the contractual conditions had not been satisfied. On December 19, 2013, SDG&amp;E filed a complaint against the project developer in San Diego Superior Court, asking that the court determine that SDG&amp;E is entitled to terminate both the investment contract and the power purchase agreement due to the project developer’s failure to satisfy certain conditions. The project developer filed a separate complaint against SDG&amp;E in Montana state court asking that court to determine that SDG&amp;E breached the investment contract and the power purchase agreement, and asking for several categories of relief, including requiring SDG&amp;E to invest in the project, requiring SDG&amp;E to continue performing under the power purchase agreement, and payment of damages.</w:t>
      </w:r>
    </w:p>
    <w:p>
      <w:pPr>
        <w:spacing w:after="0" w:line="19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On January 27, 2014, the Montana court ordered SDG&amp;E to continue making payments under the power purchase agreement pending a hearing on the project developer’s preliminary injunction motion. On March 14, 2014, SDG&amp;E notified the project developer that the investment agreement expired by its own terms because a closing had not occurred by that date. The project developer is disputing SDG&amp;E’s position. On March 28, 2014, SDG&amp;E filed an amended complaint against the project developer in San Diego seeking damages and declaratory relief that SDG&amp;E was entitled to terminate the power purchase agreement and to permit the investment agreement to expire. On April 25, 2014, the Montana court granted the project developer’s preliminary injunction motion to prevent</w:t>
      </w:r>
    </w:p>
    <w:p>
      <w:pPr>
        <w:sectPr>
          <w:pgSz w:w="11900" w:h="16838" w:orient="portrait"/>
          <w:cols w:equalWidth="0" w:num="1">
            <w:col w:w="11420"/>
          </w:cols>
          <w:pgMar w:left="240" w:top="121" w:right="239" w:bottom="0" w:gutter="0" w:footer="0" w:header="0"/>
        </w:sectPr>
      </w:pPr>
    </w:p>
    <w:bookmarkStart w:id="43" w:name="page44"/>
    <w:bookmarkEnd w:id="43"/>
    <w:p>
      <w:pPr>
        <w:spacing w:after="0" w:line="253" w:lineRule="auto"/>
        <w:rPr>
          <w:sz w:val="20"/>
          <w:szCs w:val="20"/>
          <w:color w:val="auto"/>
        </w:rPr>
      </w:pPr>
      <w:r>
        <w:rPr>
          <w:rFonts w:ascii="Times New Roman" w:cs="Times New Roman" w:eastAsia="Times New Roman" w:hAnsi="Times New Roman"/>
          <w:sz w:val="18"/>
          <w:szCs w:val="18"/>
          <w:color w:val="auto"/>
        </w:rPr>
        <w:t>SDG&amp;E from terminating the power purchase agreement on the grounds that the project developer would be irreparably harmed if the payments were not made while the parties’ respective rights were being determined in the litigation. The court did not rule on the merits of the parties’ claims. On July 18, 2014, the Montana Supreme Court determined that Montana courts did not have jurisdiction over the parties’ dispute due to their contractual agreement to resolve any disputes in California, and ordered that the Montana action be dismissed. The San Diego court has scheduled a trial for November 2014, and the January 2, 2015 trial scheduled by the Montana court will be vacated.</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SoCalGas</w:t>
      </w:r>
    </w:p>
    <w:p>
      <w:pPr>
        <w:spacing w:after="0" w:line="21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SoCalGas, along with Monsanto Co., Solutia, Inc., Pharmacia Corp. and Pfizer, Inc., are defendants in seven Los Angeles County Superior Court lawsuits filed beginning in April 2011 seeking recovery of unspecified amounts of damages, including punitive damages, as a result of plaintiffs’ exposure to PCBs (polychlorinated biphenyls). The lawsuits allege plaintiffs were exposed to PCBs not only through the food chain and other various sources but from PCB-contaminated natural gas pipelines owned and operated by SoCalGas. This contamination allegedly caused plaintiffs to develop cancer and other serious illnesses. Plaintiffs assert various bases for recovery, including negligence and products liability. SoCalGas has settled two of the seven lawsuits for an amount that is not significant.</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Mexico</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Permit Challenges and Property Disputes</w:t>
      </w:r>
    </w:p>
    <w:p>
      <w:pPr>
        <w:spacing w:after="0" w:line="21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Sempra Mexico has been engaged in a long-running land dispute relating to property adjacent to its Energía Costa Azul LNG terminal near Ensenada, Mexico. Ownership of the adjacent property is not required by any of the environmental or other regulatory permits issued for the operation of the terminal. A claimant to the adjacent property has nonetheless asserted that his health and safety are endangered by the operation of the facility, and filed an action in the Federal Court challenging the permits. In February 2011, based on a complaint by the claimant, the municipality of Ensenada opened an administrative proceeding and sought to temporarily close the terminal based on claims of irregularities in municipal permits issued six years earlier. This attempt was promptly countermanded by Mexican federal and Baja California state authorities. No terminal permits or operations were affected as a result of these proceedings or events and the terminal has continued to operate normally. In May 2014, the municipality of Ensenada dismissed the administrative proceeding. Sempra Mexico expects additional Mexican court proceedings and governmental actions regarding the claimant’s assertions as to whether the terminal’s permits should be modified or revoked in any manner.</w:t>
      </w:r>
    </w:p>
    <w:p>
      <w:pPr>
        <w:spacing w:after="0" w:line="18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claimant filed complaints in the federal Agrarian Court challenging the refusal of the Secretaría Reforma Agraria (now the Secretaría de Desarrollo Agrario, Territorial y Urbano, or SEDATU) in 2006 to issue a title to him for the disputed property. In November 2013, the Agrarian Court ordered that SEDATU issue the requested title and cause it to be registered. Both SEDATU and Sempra Mexico have challenged the rulings. Sempra Mexico expects additional proceedings regarding the claims, although such proceedings are not related to the permit challenges referenced above. The property claimant also filed a lawsuit in July 2010 against Sempra Energy in Federal District Court in San Diego seeking compensatory and punitive damages as well as the earnings from the Energía Costa Azul LNG terminal based on his allegations that he was wrongfully evicted from the adjacent property and that he has been harmed by other allegedly improper actions. Sempra Energy has disputed the claims and allegations in this lawsuit.</w:t>
      </w:r>
    </w:p>
    <w:p>
      <w:pPr>
        <w:spacing w:after="0" w:line="18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Additionally, several administrative challenges are pending in Mexico before the Mexican environmental protection agency (SEMARNAT) and/or the Federal Tax and Administrative Courts seeking revocation of the environmental impact authorization (EIA) issued to Energía Costa Azul in 2003. These cases generally allege that the conditions and mitigation measures in the EIA are inadequate and challenge findings that the activities of the terminal are consistent with regional development guidelines. The Mexican Supreme Court decided to exercise jurisdiction over one such case, and on March 21, 2014, issued a resolution denying the relief sought by the plaintiff on the grounds its action was not timely presented. A similar administrative challenge seeking to revoke the port concession for our marine operations at our Energía Costa Azul LNG terminal, which was filed with and rejected by the Mexican Communications and Transportation Ministry, remains on appeal in Mexican federal court as well.</w:t>
      </w:r>
    </w:p>
    <w:p>
      <w:pPr>
        <w:spacing w:after="0" w:line="18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Two real property cases have been filed against Energía Costa Azul in which the plaintiffs seek to annul the recorded property titles for parcels on which the Energía Costa Azul LNG terminal is situated and to obtain possession of different parcels that allegedly sit in the same place; one of these cases was dismissed in September 2013 at the direction of the state appellate court. A third complaint was served in April 2013 seeking to invalidate the contract by which Energía Costa Azul purchased another of the terminal parcels, on the grounds the purchase price was unfair. Sempra Mexico expects further proceedings on the remaining two matters.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Natural Gas</w:t>
      </w:r>
    </w:p>
    <w:p>
      <w:pPr>
        <w:spacing w:after="0" w:line="21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Liberty Gas Storage, LLC (Liberty) received a demand for arbitration from Williams Midstream Natural Gas Liquids, Inc. (Williams) in February 2011 related to a sublease agreement. Williams alleges that Liberty was negligent in its attempt to convert certain salt caverns to natural gas storage and seeks damages of $56.7 million. Liberty filed a counterclaim alleging breach of contract in the inducement and seeks damages of more than $215 million.</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Litigation</w:t>
      </w:r>
    </w:p>
    <w:p>
      <w:pPr>
        <w:spacing w:after="0" w:line="21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As described in Note 4, Sempra Energy holds a noncontrolling interest in RBS Sempra Commodities, a limited liability partnership in the process of being liquidated. In March 2012, RBS received a letter from the United Kingdom’s Revenue and Customs Department (HMRC) regarding a value-added-tax (VAT) matter related to RBS Sempra Energy Europe (RBS SEE), a former indirect subsidiary of RBS Sempra Commodities that was sold to JP Morgan. The letter states that HMRC is conducting a number of investigations into VAT refund claims made by various businesses related to the purchase and sale of carbon credit allowances. The letter also states that HMRC believes it has grounds to deny RBS the ability to reduce its VAT liability by VAT paid during 2009 because it knew or should have known that certain vendors in the trading chain did not remit their own VAT to HMRC. In September 2012, HMRC issued a protective assessment of £86 million for the VAT paid in connection with these transactions. In January 2014, RBS filed a report responding to the allegations set forth in HMRC’s March 2012 letter. HMRC is currently considering the information provided in the January 2014 report, after which it will either continue its investigation and pursue the assessment, or drop the investigation and the assessment. If the assessment stands, RBS can request an internal independent review by HMRC and if the assessment still stands, appeal to an independent tribunal.</w:t>
      </w:r>
    </w:p>
    <w:p>
      <w:pPr>
        <w:spacing w:after="0" w:line="191"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7"/>
          <w:szCs w:val="17"/>
          <w:color w:val="auto"/>
        </w:rPr>
        <w:t>In August 2007, the U.S. Court of Appeals for the Ninth Circuit issued a decision reversing and remanding certain FERC orders declining to provide refunds regarding short-term bilateral sales up to one month in the Pacific Northwest for the January 2000 to June 2001 time period. In December 2010, the FERC approved a comprehensive settlement previously reached by Sempra Energy and RBS Sempra Commodities with the State of California. The settlement</w:t>
      </w:r>
    </w:p>
    <w:p>
      <w:pPr>
        <w:sectPr>
          <w:pgSz w:w="11900" w:h="16838" w:orient="portrait"/>
          <w:cols w:equalWidth="0" w:num="1">
            <w:col w:w="11400"/>
          </w:cols>
          <w:pgMar w:left="240" w:top="121" w:right="259" w:bottom="0" w:gutter="0" w:footer="0" w:header="0"/>
        </w:sectPr>
      </w:pPr>
    </w:p>
    <w:bookmarkStart w:id="44" w:name="page45"/>
    <w:bookmarkEnd w:id="44"/>
    <w:p>
      <w:pPr>
        <w:spacing w:after="0" w:line="2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resolved all issues with regard to sales between the California Department of Water Resources and Sempra Commodities in the Pacific Northwest, but potential claims may exist regarding sales in the Pacific Northwest between Sempra Commodities and other parties. The FERC is in the process of addressing these potential claims on remand. Pursuant to the agreements related to the formation of RBS Sempra Commodities, we have indemnified RBS should the liability from the final resolution of these matters be greater than the reserves related to Sempra Commodities. Pursuant to our agreement with the Noble Group Ltd., one of the buyers of RBS Sempra Commodities’ businesses, we have also indemnified Noble Americas Gas &amp; Power Corp. and its affiliates for all losses incurred by such parties resulting from these proceedings as related to Sempra Commodities.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also defendants in ordinary routine litigation incidental to our businesses, including personal injury, product liability, property damage and other claims.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juries have demonstrated an increasing willingness to grant large awards, including punitive damages, in these types of cases.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22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We discuss below significant changes in the first six months of 2014 to contractual commitments discussed in Note 15 of the Notes to Consolidated Financial Statements in the Annual Report.</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Natural Gas Contracts</w:t>
      </w:r>
    </w:p>
    <w:p>
      <w:pPr>
        <w:spacing w:after="0" w:line="215"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SoCalGas’ natural gas purchase and pipeline capacity commitments have decreased by $95 million since December 31, 2013, primarily due to fulfillment of payment obligations and changes to forecasted gas prices in the first six months of 2014.</w:t>
      </w:r>
    </w:p>
    <w:p>
      <w:pPr>
        <w:spacing w:after="0" w:line="164"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Sempra Natural Gas’ natural gas purchase and storage capacity commitments have decreased by $61 million since December 31, 2013, primarily due to payments on existing contracts in the first six months of 2014. Net future payments are expected to decrease by $60 million in 2014, increase by a negligible amount in 2015, and decrease by $1 million in 2016 compared to December 31, 2013.</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LNG Purchase Agreements</w:t>
      </w:r>
    </w:p>
    <w:p>
      <w:pPr>
        <w:spacing w:after="0" w:line="21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At June 30, 2014, Sempra Natural Gas has various purchase agreements with major international companies for the supply of LNG to the Energía Costa Azul and Cameron terminals. The agreements range from short-term to multi-year periods and are priced using a predetermined formula based on natural gas market indices. Although these contracts specify a number of cargoes to be delivered, under their terms, customers may divert certain cargoes, which would reduce amounts paid under the contracts by Sempra Natural Gas.</w:t>
      </w:r>
    </w:p>
    <w:p>
      <w:pPr>
        <w:spacing w:after="0" w:line="18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Sempra Natural Gas’ commitments under all LNG purchase agreements, reflecting changes in forward prices since December 31, 2013 and actual transactions for the first six months of 2014, are expected to decrease by $298 million in 2014, and to increase by $22 million in 2015, $33 million in 2016, $57 million in 2017, $78 million in 2018 and $1.3 billion thereafter compared to December 31, 2013. These amounts are based on forward prices of the index applicable to each contract from 2014 to 2023 and an estimated one percent escalation per year beyond 2023. The LNG commitment amounts above are based on Sempra Natural Gas’ commitment to accept the maximum possible delivery of cargoes under the agreements. Actual LNG purchases in the current and prior years have been significantly lower than the maximum amounts possible.</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Purchased-Power Contracts</w:t>
      </w:r>
    </w:p>
    <w:p>
      <w:pPr>
        <w:spacing w:after="0" w:line="21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SDG&amp;E’s commitments under purchased-power contract commitments have increased by $895 million since December 31, 2013. The increase is primarily due to new contracts associated with renewable energy development projects. Net future payments are therefore expected to increase by $6 million in 2014, decrease by $54 million in 2015 and $10 million in 2016, and increase by $15 million in 2017, $46 million in 2018 and $892 million thereafter compared to December 31, 2013.</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Operating Leases</w:t>
      </w:r>
    </w:p>
    <w:p>
      <w:pPr>
        <w:spacing w:after="0" w:line="21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 the first six months of 2014, the change to operating lease commitments at Sempra Renewables was a decrease of $83 million, primarily for the deconsolidation of the Copper Mountain Solar 3 project, as we discuss in Note 3. Net future payments are expected to decrease by $3 million in 2014, $2 million each year in 2015 through 2018 and $72 million thereafter.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Power Purchase Agreements</w:t>
      </w:r>
    </w:p>
    <w:p>
      <w:pPr>
        <w:spacing w:after="0" w:line="215" w:lineRule="exact"/>
        <w:rPr>
          <w:sz w:val="20"/>
          <w:szCs w:val="20"/>
          <w:color w:val="auto"/>
        </w:rPr>
      </w:pPr>
    </w:p>
    <w:p>
      <w:pPr>
        <w:jc w:val="both"/>
        <w:ind w:right="320"/>
        <w:spacing w:after="0" w:line="245" w:lineRule="auto"/>
        <w:rPr>
          <w:sz w:val="20"/>
          <w:szCs w:val="20"/>
          <w:color w:val="auto"/>
        </w:rPr>
      </w:pPr>
      <w:r>
        <w:rPr>
          <w:rFonts w:ascii="Times New Roman" w:cs="Times New Roman" w:eastAsia="Times New Roman" w:hAnsi="Times New Roman"/>
          <w:sz w:val="18"/>
          <w:szCs w:val="18"/>
          <w:color w:val="auto"/>
        </w:rPr>
        <w:t>SDG&amp;E has a 25-year power purchase agreement with a peaker plant facility, which became operational in 2014 and is accounted for as a capital lease. The capital lease obligation was valued at $60 million. Net changes to future minimum lease payments under all power purchase agreements are a decrease of $8 million in 2014, increases of $7 million each year in 2015 through 2018 and $155 million thereafter compared to December 31, 2013.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Construction and Development Projects</w:t>
      </w:r>
    </w:p>
    <w:p>
      <w:pPr>
        <w:spacing w:after="0" w:line="215"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8"/>
          <w:szCs w:val="18"/>
          <w:color w:val="auto"/>
        </w:rPr>
        <w:t>In the first six months of 2014, significant net increases to contractual commitments at SDG&amp;E were $98 million, primarily for Palomar Energy Center and the South Bay Substation project. Net future payments under these contractual commitments are expected to increase by $77 million in 2014, $18 million in 2015, $2 million in 2016, and $1 million in 2017 compared to December 31, 2013.</w:t>
      </w:r>
    </w:p>
    <w:p>
      <w:pPr>
        <w:spacing w:after="0" w:line="178" w:lineRule="exact"/>
        <w:rPr>
          <w:sz w:val="20"/>
          <w:szCs w:val="20"/>
          <w:color w:val="auto"/>
        </w:rPr>
      </w:pPr>
    </w:p>
    <w:p>
      <w:pPr>
        <w:jc w:val="both"/>
        <w:ind w:right="220"/>
        <w:spacing w:after="0" w:line="260" w:lineRule="auto"/>
        <w:rPr>
          <w:sz w:val="20"/>
          <w:szCs w:val="20"/>
          <w:color w:val="auto"/>
        </w:rPr>
      </w:pPr>
      <w:r>
        <w:rPr>
          <w:rFonts w:ascii="Times New Roman" w:cs="Times New Roman" w:eastAsia="Times New Roman" w:hAnsi="Times New Roman"/>
          <w:sz w:val="18"/>
          <w:szCs w:val="18"/>
          <w:color w:val="auto"/>
        </w:rPr>
        <w:t>In the first six months of 2014, significant net increases to contractual commitments at SoCalGas were $156 million, primarily for the Aliso Canyon Turbine Replacement Project and the PSEP. Net future payments under these contractual commitments are expected to increase by $78 million in 2014, $65 million in 2015, and $13 million in 2016 compared to December 31, 2013.</w:t>
      </w:r>
    </w:p>
    <w:p>
      <w:pPr>
        <w:spacing w:after="0" w:line="178"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In the first six months of 2014, significant net increases to contractual commitments at Sempra Mexico were $16 million, all to be expended in 2014, for contracts related to the construction of the first phase of the Sonora Pipeline project, a natural gas transport pipeline network.</w:t>
      </w:r>
    </w:p>
    <w:p>
      <w:pPr>
        <w:spacing w:after="0" w:line="16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In the first six months of 2014, the change to contractual commitments at Sempra Renewables was a decrease of $496 million, primarily for the deconsolidation of the Copper Mountain Solar 3 project. Net future payments under these contractual commitments are expected to decrease by $456 million in 2014 and $40 million in 2015.</w:t>
      </w:r>
    </w:p>
    <w:p>
      <w:pPr>
        <w:sectPr>
          <w:pgSz w:w="11900" w:h="16862" w:orient="portrait"/>
          <w:cols w:equalWidth="0" w:num="1">
            <w:col w:w="11420"/>
          </w:cols>
          <w:pgMar w:left="240" w:top="121" w:right="239" w:bottom="0" w:gutter="0" w:footer="0" w:header="0"/>
        </w:sectPr>
      </w:pPr>
    </w:p>
    <w:bookmarkStart w:id="45" w:name="page46"/>
    <w:bookmarkEnd w:id="45"/>
    <w:p>
      <w:pPr>
        <w:ind w:right="120"/>
        <w:spacing w:after="0" w:line="267" w:lineRule="auto"/>
        <w:rPr>
          <w:sz w:val="20"/>
          <w:szCs w:val="20"/>
          <w:color w:val="auto"/>
        </w:rPr>
      </w:pPr>
      <w:r>
        <w:rPr>
          <w:rFonts w:ascii="Times New Roman" w:cs="Times New Roman" w:eastAsia="Times New Roman" w:hAnsi="Times New Roman"/>
          <w:sz w:val="17"/>
          <w:szCs w:val="17"/>
          <w:color w:val="auto"/>
        </w:rPr>
        <w:t>In March 2014, Cameron LNG entered into an engineering, procurement and construction contract with a joint venture consisting of CB&amp;I Shaw Constructors, Inc., a wholly owned subsidiary of Chicago Bridge &amp; Iron Company N.V., and Chiyoda International Corporation, a wholly owned subsidiary of Chiyoda Corporation, to construct the Cameron liquefaction project in Hackberry, Louisiana. The scope of work under this contract includes the engineering, procurement, construction, commissioning and startup of three liquefaction trains with an aggregate nameplate capacity of approximately 13.5 million tonnes per year of LNG and related infrastructure and facilities necessary for the integration of the liquefaction trains with the existing LNG receipt terminal. The construction contract is a lump-sum, date certain turnkey agreement, with a cost to Cameron LNG of approximately $6 billion as of the execution date. The lump-sum price may be adjusted based on the occurrence of well-defined events, such as change orders issued by Cameron LNG, and the occurrence of other events where an adjustment to the lump-sum price is customary for lump-sum, date certain turnkey engineering, procurement and construction agreements.</w:t>
      </w:r>
    </w:p>
    <w:p>
      <w:pPr>
        <w:spacing w:after="0" w:line="174"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Under the contract, Cameron LNG may, in its discretion, issue a series of three limited notices to proceed to commence certain scopes of work prior to issuance of a full notice to proceed to commence all contemplated work. Each limited notice to proceed authorizes the performance of additional, discrete portions of work and is subject to a firm cancellation cap if the contract is subsequently terminated prior to issuance of the full notice to proceed. As of June 30, 2014, Cameron LNG has issued two of the three limited notices to proceed, authorizing up to $79.8 million of expenditures in the aggregate to undertake certain mobilization and detailed engineering under the contract. Cameron LNG also has the right under the contract, subject to the terms and conditions of the joint venture documents with its partners on the project, to issue at any time the full notice to proceed to commence the full scope of work under the contract.</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NUCLEAR INSURANCE</w:t>
      </w:r>
    </w:p>
    <w:p>
      <w:pPr>
        <w:spacing w:after="0" w:line="22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SDG&amp;E and the other owners of SONGS have insurance to cover claims from nuclear liability incidents arising at SONGS. This insurance provides $375 million in coverage limits, the maximum amount available, including coverage for acts of terrorism. In addition, the Price-Anderson Act provides for up to $13.2 billion of secondary financial protection (SFP). If a nuclear liability loss occurring at any U.S. licensed/commercial reactor exceeds the $375 million insurance limit, all nuclear reactor owners could be required to contribute to the SFP. SDG&amp;E’s contribution would be up to $50.93 million. This amount is subject to an annual maximum of $7.6 million, unless a default occurs by any other SONGS owner. If the SFP is insufficient to cover the liability loss, SDG&amp;E could be subject to an additional assessment.</w:t>
      </w:r>
    </w:p>
    <w:p>
      <w:pPr>
        <w:spacing w:after="0" w:line="18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SONGS owners, including SDG&amp;E, also have $2.75 billion of nuclear property, decontamination, and debris removal insurance, subject to a $2.5 million deductible for “each and every loss.” This insurance coverage is provided through NEIL. The NEIL policies have specific exclusions and limitations that can result in reduced or eliminated coverage. Insured members as a group are subject to retrospective premium assessments to cover losses sustained by NEIL under all issued policies. SDG&amp;E could be assessed up to $9.7 million of retrospective premiums based on overall member claims. Edison, on behalf of itself and the minority owners of SONGS (including SDG&amp;E), has placed NEIL on notice of claims under both the property damage and outage insurance policies as a result of SONGS’ Units 2 and 3 outages in early 2012 and the resultant plant closure in June 2013.</w:t>
      </w:r>
    </w:p>
    <w:p>
      <w:pPr>
        <w:spacing w:after="0" w:line="184"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color w:val="auto"/>
        </w:rPr>
        <w:t>The nuclear property insurance program includes an industry aggregate loss limit for non-certified acts of terrorism (as defined by the Terrorism Risk Insurance Act). The industry aggregate loss limit for property claims arising from non-certified acts of terrorism is $3.24 billion. This is the maximum amount that will be paid to insured members who suffer losses or damages from these non-certified terrorist acts.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DEPARTMENT OF ENERGY (DOE) NUCLEAR FUEL DISPOSAL</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Nuclear Waste Policy Act of 1982 made the DOE responsible for the disposal of spent nuclear fuel. However, it is uncertain when the DOE will begin accepting spent nuclear fuel from SONGS. This delay will lead to increased costs for spent fuel storage. SDG&amp;E will seek recovery for these costs from the appropriate sources, including, but not limited to, SDG&amp;E’s Nuclear Decommissioning Trust. SDG&amp;E will also continue to support Edison in its pursuit of legal claims on behalf of the SONGS co-owners against the DOE for its failure to timely accept the spent nuclear fuel.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additional information about SONGS in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487680</wp:posOffset>
            </wp:positionV>
            <wp:extent cx="72656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NOTE 12. SEGMENT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six separately managed reportable segments, as follows:</w:t>
      </w:r>
    </w:p>
    <w:p>
      <w:pPr>
        <w:spacing w:after="0" w:line="216" w:lineRule="exact"/>
        <w:rPr>
          <w:sz w:val="20"/>
          <w:szCs w:val="20"/>
          <w:color w:val="auto"/>
        </w:rPr>
      </w:pPr>
    </w:p>
    <w:p>
      <w:pPr>
        <w:ind w:left="640" w:hanging="217"/>
        <w:spacing w:after="0"/>
        <w:tabs>
          <w:tab w:leader="none" w:pos="64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SDG&amp;E </w:t>
      </w:r>
      <w:r>
        <w:rPr>
          <w:rFonts w:ascii="Times New Roman" w:cs="Times New Roman" w:eastAsia="Times New Roman" w:hAnsi="Times New Roman"/>
          <w:sz w:val="18"/>
          <w:szCs w:val="18"/>
          <w:color w:val="auto"/>
        </w:rPr>
        <w:t>provides electric service to San Diego and southern Orange counties and natural gas service to San Diego County.</w:t>
      </w:r>
    </w:p>
    <w:p>
      <w:pPr>
        <w:spacing w:after="0" w:line="204" w:lineRule="exact"/>
        <w:rPr>
          <w:rFonts w:ascii="Times New Roman" w:cs="Times New Roman" w:eastAsia="Times New Roman" w:hAnsi="Times New Roman"/>
          <w:sz w:val="18"/>
          <w:szCs w:val="18"/>
          <w:i w:val="1"/>
          <w:iCs w:val="1"/>
          <w:color w:val="auto"/>
        </w:rPr>
      </w:pPr>
    </w:p>
    <w:p>
      <w:pPr>
        <w:ind w:left="640" w:hanging="217"/>
        <w:spacing w:after="0"/>
        <w:tabs>
          <w:tab w:leader="none" w:pos="64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SoCalGas </w:t>
      </w:r>
      <w:r>
        <w:rPr>
          <w:rFonts w:ascii="Times New Roman" w:cs="Times New Roman" w:eastAsia="Times New Roman" w:hAnsi="Times New Roman"/>
          <w:sz w:val="18"/>
          <w:szCs w:val="18"/>
          <w:color w:val="auto"/>
        </w:rPr>
        <w:t>is a natural gas distribution utility, serving customers throughout most of Southern California and part of central California.</w:t>
      </w:r>
    </w:p>
    <w:p>
      <w:pPr>
        <w:spacing w:after="0" w:line="204" w:lineRule="exact"/>
        <w:rPr>
          <w:rFonts w:ascii="Times New Roman" w:cs="Times New Roman" w:eastAsia="Times New Roman" w:hAnsi="Times New Roman"/>
          <w:sz w:val="18"/>
          <w:szCs w:val="18"/>
          <w:i w:val="1"/>
          <w:iCs w:val="1"/>
          <w:color w:val="auto"/>
        </w:rPr>
      </w:pPr>
    </w:p>
    <w:p>
      <w:pPr>
        <w:ind w:left="640" w:hanging="217"/>
        <w:spacing w:after="0" w:line="277" w:lineRule="auto"/>
        <w:tabs>
          <w:tab w:leader="none" w:pos="64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Sempra South American Utilities </w:t>
      </w:r>
      <w:r>
        <w:rPr>
          <w:rFonts w:ascii="Times New Roman" w:cs="Times New Roman" w:eastAsia="Times New Roman" w:hAnsi="Times New Roman"/>
          <w:sz w:val="18"/>
          <w:szCs w:val="18"/>
          <w:color w:val="auto"/>
        </w:rPr>
        <w:t>operates electric transmission and distribution utilities in Chile and Peru. In June 2013, we sold our interests in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Argentine utilities, which we discuss further in Note 4 above.</w:t>
      </w:r>
    </w:p>
    <w:p>
      <w:pPr>
        <w:spacing w:after="0" w:line="146" w:lineRule="exact"/>
        <w:rPr>
          <w:rFonts w:ascii="Times New Roman" w:cs="Times New Roman" w:eastAsia="Times New Roman" w:hAnsi="Times New Roman"/>
          <w:sz w:val="18"/>
          <w:szCs w:val="18"/>
          <w:i w:val="1"/>
          <w:iCs w:val="1"/>
          <w:color w:val="auto"/>
        </w:rPr>
      </w:pPr>
    </w:p>
    <w:p>
      <w:pPr>
        <w:jc w:val="both"/>
        <w:ind w:left="640" w:hanging="217"/>
        <w:spacing w:after="0" w:line="262" w:lineRule="auto"/>
        <w:tabs>
          <w:tab w:leader="none" w:pos="64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Sempra Mexico </w:t>
      </w:r>
      <w:r>
        <w:rPr>
          <w:rFonts w:ascii="Times New Roman" w:cs="Times New Roman" w:eastAsia="Times New Roman" w:hAnsi="Times New Roman"/>
          <w:sz w:val="18"/>
          <w:szCs w:val="18"/>
          <w:color w:val="auto"/>
        </w:rPr>
        <w:t>develops, owns and operates, or holds interests in, natural gas transmission pipelines and propane and ethane systems, a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utility, electric generation facilities (including wind), a terminal for the import of LNG, and marketing operations for the purchase of LNG and the purchase and sale of natural gas in Mexico.</w:t>
      </w:r>
    </w:p>
    <w:p>
      <w:pPr>
        <w:spacing w:after="0" w:line="159" w:lineRule="exact"/>
        <w:rPr>
          <w:rFonts w:ascii="Times New Roman" w:cs="Times New Roman" w:eastAsia="Times New Roman" w:hAnsi="Times New Roman"/>
          <w:sz w:val="18"/>
          <w:szCs w:val="18"/>
          <w:i w:val="1"/>
          <w:iCs w:val="1"/>
          <w:color w:val="auto"/>
        </w:rPr>
      </w:pPr>
    </w:p>
    <w:p>
      <w:pPr>
        <w:ind w:left="640" w:hanging="217"/>
        <w:spacing w:after="0" w:line="277" w:lineRule="auto"/>
        <w:tabs>
          <w:tab w:leader="none" w:pos="64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Sempra Renewables </w:t>
      </w:r>
      <w:r>
        <w:rPr>
          <w:rFonts w:ascii="Times New Roman" w:cs="Times New Roman" w:eastAsia="Times New Roman" w:hAnsi="Times New Roman"/>
          <w:sz w:val="18"/>
          <w:szCs w:val="18"/>
          <w:color w:val="auto"/>
        </w:rPr>
        <w:t>develops, owns and operates, or holds interests in, wind and solar energy projects in Arizona, California, Colorado, Hawaii,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Indiana, Kansas, Nebraska, Nevada and Pennsylvania to serve wholesale electricity markets in the United States.</w:t>
      </w:r>
    </w:p>
    <w:p>
      <w:pPr>
        <w:spacing w:after="0" w:line="186" w:lineRule="exact"/>
        <w:rPr>
          <w:rFonts w:ascii="Times New Roman" w:cs="Times New Roman" w:eastAsia="Times New Roman" w:hAnsi="Times New Roman"/>
          <w:sz w:val="18"/>
          <w:szCs w:val="18"/>
          <w:i w:val="1"/>
          <w:iCs w:val="1"/>
          <w:color w:val="auto"/>
        </w:rPr>
      </w:pPr>
    </w:p>
    <w:p>
      <w:pPr>
        <w:ind w:left="640" w:hanging="217"/>
        <w:spacing w:after="0" w:line="277" w:lineRule="auto"/>
        <w:tabs>
          <w:tab w:leader="none" w:pos="64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Sempra Natural Gas </w:t>
      </w:r>
      <w:r>
        <w:rPr>
          <w:rFonts w:ascii="Times New Roman" w:cs="Times New Roman" w:eastAsia="Times New Roman" w:hAnsi="Times New Roman"/>
          <w:sz w:val="18"/>
          <w:szCs w:val="18"/>
          <w:color w:val="auto"/>
        </w:rPr>
        <w:t>develops, owns and operates, or holds interests in, a natural gas-fired electric generation asset, natural gas pipelines and storage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natural gas distribution utilities and a terminal for the import and export of LNG and sale of natural gas, all within the United States.</w:t>
      </w:r>
    </w:p>
    <w:p>
      <w:pPr>
        <w:spacing w:after="0" w:line="14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Sempra South American Utilities and Sempra Mexico comprise our Sempra International operating unit. Sempra Renewables and Sempra Natural Gas comprise our Sempra U.S. Gas &amp; Power operating unit.</w:t>
      </w:r>
    </w:p>
    <w:p>
      <w:pPr>
        <w:spacing w:after="0" w:line="164" w:lineRule="exact"/>
        <w:rPr>
          <w:sz w:val="20"/>
          <w:szCs w:val="20"/>
          <w:color w:val="auto"/>
        </w:rPr>
      </w:pPr>
    </w:p>
    <w:p>
      <w:pPr>
        <w:ind w:right="80"/>
        <w:spacing w:after="0" w:line="305" w:lineRule="auto"/>
        <w:rPr>
          <w:sz w:val="20"/>
          <w:szCs w:val="20"/>
          <w:color w:val="auto"/>
        </w:rPr>
      </w:pPr>
      <w:r>
        <w:rPr>
          <w:rFonts w:ascii="Times New Roman" w:cs="Times New Roman" w:eastAsia="Times New Roman" w:hAnsi="Times New Roman"/>
          <w:sz w:val="17"/>
          <w:szCs w:val="17"/>
          <w:color w:val="auto"/>
        </w:rPr>
        <w:t>We evaluate each segment’s performance based on its contribution to Sempra Energy’s reported earnings. The California Utilities operate in essentially separate service territories, under separate regulatory frameworks and rate structures set by the CPUC. The California Utilities’ operations are based on rates set by the</w:t>
      </w:r>
    </w:p>
    <w:p>
      <w:pPr>
        <w:sectPr>
          <w:pgSz w:w="11900" w:h="16838" w:orient="portrait"/>
          <w:cols w:equalWidth="0" w:num="1">
            <w:col w:w="11420"/>
          </w:cols>
          <w:pgMar w:left="240" w:top="334" w:right="239" w:bottom="0" w:gutter="0" w:footer="0" w:header="0"/>
        </w:sectPr>
      </w:pPr>
    </w:p>
    <w:bookmarkStart w:id="46" w:name="page47"/>
    <w:bookmarkEnd w:id="46"/>
    <w:p>
      <w:pPr>
        <w:spacing w:after="0" w:line="77"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CPUC and the FERC. We describe the accounting policies of all of our segments in Note 1 of the Notes to Consolidated Financial Statements in the Annual Report.</w:t>
      </w:r>
    </w:p>
    <w:p>
      <w:pPr>
        <w:spacing w:after="0" w:line="164" w:lineRule="exact"/>
        <w:rPr>
          <w:sz w:val="20"/>
          <w:szCs w:val="20"/>
          <w:color w:val="auto"/>
        </w:rPr>
      </w:pPr>
    </w:p>
    <w:p>
      <w:pPr>
        <w:ind w:right="540"/>
        <w:spacing w:after="0" w:line="305" w:lineRule="auto"/>
        <w:rPr>
          <w:sz w:val="20"/>
          <w:szCs w:val="20"/>
          <w:color w:val="auto"/>
        </w:rPr>
      </w:pPr>
      <w:r>
        <w:rPr>
          <w:rFonts w:ascii="Times New Roman" w:cs="Times New Roman" w:eastAsia="Times New Roman" w:hAnsi="Times New Roman"/>
          <w:sz w:val="17"/>
          <w:szCs w:val="17"/>
          <w:color w:val="auto"/>
        </w:rPr>
        <w:t>Common services shared by the business segments are assigned directly or allocated based on various cost factors, depending on the nature of the service provided. Interest income and expense is recorded on intercompany loans. The loan balances and related interest are eliminated in consolidation.</w:t>
      </w:r>
    </w:p>
    <w:p>
      <w:pPr>
        <w:spacing w:after="0" w:line="14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following tables show selected information by segment from our Condensed Consolidated Statements of Operations and Condensed Consolidated Balance Sheets. Amounts labeled as “All other” in the following tables consist primarily of parent organizations.</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440" w:type="dxa"/>
            <w:vAlign w:val="bottom"/>
            <w:shd w:val="clear" w:color="auto" w:fill="C0C0C0"/>
          </w:tcPr>
          <w:p>
            <w:pPr>
              <w:spacing w:after="0"/>
              <w:rPr>
                <w:sz w:val="14"/>
                <w:szCs w:val="14"/>
                <w:color w:val="auto"/>
              </w:rPr>
            </w:pPr>
          </w:p>
        </w:tc>
        <w:tc>
          <w:tcPr>
            <w:tcW w:w="920" w:type="dxa"/>
            <w:vAlign w:val="bottom"/>
            <w:shd w:val="clear" w:color="auto" w:fill="C0C0C0"/>
          </w:tcPr>
          <w:p>
            <w:pPr>
              <w:spacing w:after="0"/>
              <w:rPr>
                <w:sz w:val="14"/>
                <w:szCs w:val="14"/>
                <w:color w:val="auto"/>
              </w:rPr>
            </w:pPr>
          </w:p>
        </w:tc>
        <w:tc>
          <w:tcPr>
            <w:tcW w:w="620" w:type="dxa"/>
            <w:vAlign w:val="bottom"/>
            <w:shd w:val="clear" w:color="auto" w:fill="C0C0C0"/>
          </w:tcPr>
          <w:p>
            <w:pPr>
              <w:spacing w:after="0"/>
              <w:rPr>
                <w:sz w:val="14"/>
                <w:szCs w:val="14"/>
                <w:color w:val="auto"/>
              </w:rPr>
            </w:pPr>
          </w:p>
        </w:tc>
        <w:tc>
          <w:tcPr>
            <w:tcW w:w="500" w:type="dxa"/>
            <w:vAlign w:val="bottom"/>
            <w:shd w:val="clear" w:color="auto" w:fill="C0C0C0"/>
          </w:tcPr>
          <w:p>
            <w:pPr>
              <w:spacing w:after="0"/>
              <w:rPr>
                <w:sz w:val="14"/>
                <w:szCs w:val="14"/>
                <w:color w:val="auto"/>
              </w:rPr>
            </w:pPr>
          </w:p>
        </w:tc>
        <w:tc>
          <w:tcPr>
            <w:tcW w:w="940" w:type="dxa"/>
            <w:vAlign w:val="bottom"/>
            <w:shd w:val="clear" w:color="auto" w:fill="C0C0C0"/>
          </w:tcPr>
          <w:p>
            <w:pPr>
              <w:spacing w:after="0"/>
              <w:rPr>
                <w:sz w:val="14"/>
                <w:szCs w:val="14"/>
                <w:color w:val="auto"/>
              </w:rPr>
            </w:pPr>
          </w:p>
        </w:tc>
        <w:tc>
          <w:tcPr>
            <w:tcW w:w="620" w:type="dxa"/>
            <w:vAlign w:val="bottom"/>
            <w:shd w:val="clear" w:color="auto" w:fill="C0C0C0"/>
          </w:tcPr>
          <w:p>
            <w:pPr>
              <w:spacing w:after="0"/>
              <w:rPr>
                <w:sz w:val="14"/>
                <w:szCs w:val="14"/>
                <w:color w:val="auto"/>
              </w:rPr>
            </w:pPr>
          </w:p>
        </w:tc>
        <w:tc>
          <w:tcPr>
            <w:tcW w:w="500" w:type="dxa"/>
            <w:vAlign w:val="bottom"/>
            <w:shd w:val="clear" w:color="auto" w:fill="C0C0C0"/>
          </w:tcPr>
          <w:p>
            <w:pPr>
              <w:spacing w:after="0"/>
              <w:rPr>
                <w:sz w:val="14"/>
                <w:szCs w:val="14"/>
                <w:color w:val="auto"/>
              </w:rPr>
            </w:pPr>
          </w:p>
        </w:tc>
        <w:tc>
          <w:tcPr>
            <w:tcW w:w="940" w:type="dxa"/>
            <w:vAlign w:val="bottom"/>
            <w:shd w:val="clear" w:color="auto" w:fill="C0C0C0"/>
          </w:tcPr>
          <w:p>
            <w:pPr>
              <w:spacing w:after="0"/>
              <w:rPr>
                <w:sz w:val="14"/>
                <w:szCs w:val="14"/>
                <w:color w:val="auto"/>
              </w:rPr>
            </w:pPr>
          </w:p>
        </w:tc>
        <w:tc>
          <w:tcPr>
            <w:tcW w:w="620" w:type="dxa"/>
            <w:vAlign w:val="bottom"/>
            <w:shd w:val="clear" w:color="auto" w:fill="C0C0C0"/>
          </w:tcPr>
          <w:p>
            <w:pPr>
              <w:spacing w:after="0"/>
              <w:rPr>
                <w:sz w:val="14"/>
                <w:szCs w:val="14"/>
                <w:color w:val="auto"/>
              </w:rPr>
            </w:pPr>
          </w:p>
        </w:tc>
        <w:tc>
          <w:tcPr>
            <w:tcW w:w="500" w:type="dxa"/>
            <w:vAlign w:val="bottom"/>
            <w:shd w:val="clear" w:color="auto" w:fill="C0C0C0"/>
          </w:tcPr>
          <w:p>
            <w:pPr>
              <w:spacing w:after="0"/>
              <w:rPr>
                <w:sz w:val="14"/>
                <w:szCs w:val="14"/>
                <w:color w:val="auto"/>
              </w:rPr>
            </w:pPr>
          </w:p>
        </w:tc>
        <w:tc>
          <w:tcPr>
            <w:tcW w:w="960" w:type="dxa"/>
            <w:vAlign w:val="bottom"/>
            <w:shd w:val="clear" w:color="auto" w:fill="C0C0C0"/>
          </w:tcPr>
          <w:p>
            <w:pPr>
              <w:spacing w:after="0"/>
              <w:rPr>
                <w:sz w:val="14"/>
                <w:szCs w:val="14"/>
                <w:color w:val="auto"/>
              </w:rPr>
            </w:pPr>
          </w:p>
        </w:tc>
        <w:tc>
          <w:tcPr>
            <w:tcW w:w="700" w:type="dxa"/>
            <w:vAlign w:val="bottom"/>
            <w:shd w:val="clear" w:color="auto" w:fill="C0C0C0"/>
          </w:tcPr>
          <w:p>
            <w:pPr>
              <w:spacing w:after="0"/>
              <w:rPr>
                <w:sz w:val="14"/>
                <w:szCs w:val="14"/>
                <w:color w:val="auto"/>
              </w:rPr>
            </w:pPr>
          </w:p>
        </w:tc>
      </w:tr>
      <w:tr>
        <w:trPr>
          <w:trHeight w:val="159"/>
        </w:trPr>
        <w:tc>
          <w:tcPr>
            <w:tcW w:w="31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4"/>
          </w:tcPr>
          <w:p>
            <w:pPr>
              <w:jc w:val="right"/>
              <w:ind w:right="369"/>
              <w:spacing w:after="0" w:line="159" w:lineRule="exact"/>
              <w:rPr>
                <w:sz w:val="20"/>
                <w:szCs w:val="20"/>
                <w:color w:val="auto"/>
              </w:rPr>
            </w:pPr>
            <w:r>
              <w:rPr>
                <w:rFonts w:ascii="Arial" w:cs="Arial" w:eastAsia="Arial" w:hAnsi="Arial"/>
                <w:sz w:val="14"/>
                <w:szCs w:val="14"/>
                <w:color w:val="auto"/>
              </w:rPr>
              <w:t>Three months ended June 30,</w:t>
            </w:r>
          </w:p>
        </w:tc>
        <w:tc>
          <w:tcPr>
            <w:tcW w:w="6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4"/>
          </w:tcPr>
          <w:p>
            <w:pPr>
              <w:jc w:val="right"/>
              <w:ind w:right="469"/>
              <w:spacing w:after="0" w:line="159" w:lineRule="exact"/>
              <w:rPr>
                <w:sz w:val="20"/>
                <w:szCs w:val="20"/>
                <w:color w:val="auto"/>
              </w:rPr>
            </w:pPr>
            <w:r>
              <w:rPr>
                <w:rFonts w:ascii="Arial" w:cs="Arial" w:eastAsia="Arial" w:hAnsi="Arial"/>
                <w:sz w:val="14"/>
                <w:szCs w:val="14"/>
                <w:color w:val="auto"/>
              </w:rPr>
              <w:t>Six months ended June 30,</w:t>
            </w:r>
          </w:p>
        </w:tc>
        <w:tc>
          <w:tcPr>
            <w:tcW w:w="700" w:type="dxa"/>
            <w:vAlign w:val="bottom"/>
            <w:tcBorders>
              <w:bottom w:val="single" w:sz="8" w:color="auto"/>
            </w:tcBorders>
          </w:tcPr>
          <w:p>
            <w:pPr>
              <w:spacing w:after="0"/>
              <w:rPr>
                <w:sz w:val="13"/>
                <w:szCs w:val="13"/>
                <w:color w:val="auto"/>
              </w:rPr>
            </w:pPr>
          </w:p>
        </w:tc>
      </w:tr>
      <w:tr>
        <w:trPr>
          <w:trHeight w:val="166"/>
        </w:trPr>
        <w:tc>
          <w:tcPr>
            <w:tcW w:w="3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2014</w:t>
            </w: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2013</w:t>
            </w: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2014</w:t>
            </w: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2013</w:t>
            </w:r>
          </w:p>
        </w:tc>
        <w:tc>
          <w:tcPr>
            <w:tcW w:w="700" w:type="dxa"/>
            <w:vAlign w:val="bottom"/>
            <w:tcBorders>
              <w:bottom w:val="single" w:sz="8" w:color="auto"/>
            </w:tcBorders>
          </w:tcPr>
          <w:p>
            <w:pPr>
              <w:spacing w:after="0"/>
              <w:rPr>
                <w:sz w:val="14"/>
                <w:szCs w:val="14"/>
                <w:color w:val="auto"/>
              </w:rPr>
            </w:pPr>
          </w:p>
        </w:tc>
      </w:tr>
      <w:tr>
        <w:trPr>
          <w:trHeight w:val="139"/>
        </w:trPr>
        <w:tc>
          <w:tcPr>
            <w:tcW w:w="3160" w:type="dxa"/>
            <w:vAlign w:val="bottom"/>
          </w:tcPr>
          <w:p>
            <w:pPr>
              <w:spacing w:after="0" w:line="139" w:lineRule="exact"/>
              <w:rPr>
                <w:sz w:val="20"/>
                <w:szCs w:val="20"/>
                <w:color w:val="auto"/>
              </w:rPr>
            </w:pPr>
            <w:r>
              <w:rPr>
                <w:rFonts w:ascii="Arial" w:cs="Arial" w:eastAsia="Arial" w:hAnsi="Arial"/>
                <w:sz w:val="14"/>
                <w:szCs w:val="14"/>
                <w:color w:val="auto"/>
              </w:rPr>
              <w:t>REVENUES</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SDG&amp;E</w:t>
            </w:r>
          </w:p>
        </w:tc>
        <w:tc>
          <w:tcPr>
            <w:tcW w:w="440" w:type="dxa"/>
            <w:vAlign w:val="bottom"/>
          </w:tcPr>
          <w:p>
            <w:pPr>
              <w:jc w:val="right"/>
              <w:ind w:right="289"/>
              <w:spacing w:after="0" w:line="15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1,063</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40 %</w:t>
            </w:r>
          </w:p>
        </w:tc>
        <w:tc>
          <w:tcPr>
            <w:tcW w:w="500" w:type="dxa"/>
            <w:vAlign w:val="bottom"/>
          </w:tcPr>
          <w:p>
            <w:pPr>
              <w:jc w:val="right"/>
              <w:ind w:right="289"/>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1,064</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40 %</w:t>
            </w:r>
          </w:p>
        </w:tc>
        <w:tc>
          <w:tcPr>
            <w:tcW w:w="500" w:type="dxa"/>
            <w:vAlign w:val="bottom"/>
          </w:tcPr>
          <w:p>
            <w:pPr>
              <w:jc w:val="right"/>
              <w:ind w:right="309"/>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2,050</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37 %</w:t>
            </w:r>
          </w:p>
        </w:tc>
        <w:tc>
          <w:tcPr>
            <w:tcW w:w="500" w:type="dxa"/>
            <w:vAlign w:val="bottom"/>
          </w:tcPr>
          <w:p>
            <w:pPr>
              <w:jc w:val="right"/>
              <w:ind w:right="309"/>
              <w:spacing w:after="0" w:line="15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2,003</w:t>
            </w:r>
          </w:p>
        </w:tc>
        <w:tc>
          <w:tcPr>
            <w:tcW w:w="700" w:type="dxa"/>
            <w:vAlign w:val="bottom"/>
          </w:tcPr>
          <w:p>
            <w:pPr>
              <w:jc w:val="right"/>
              <w:ind w:right="49"/>
              <w:spacing w:after="0" w:line="159" w:lineRule="exact"/>
              <w:rPr>
                <w:sz w:val="20"/>
                <w:szCs w:val="20"/>
                <w:color w:val="auto"/>
              </w:rPr>
            </w:pPr>
            <w:r>
              <w:rPr>
                <w:rFonts w:ascii="Arial" w:cs="Arial" w:eastAsia="Arial" w:hAnsi="Arial"/>
                <w:sz w:val="14"/>
                <w:szCs w:val="14"/>
                <w:color w:val="auto"/>
              </w:rPr>
              <w:t>38 %</w:t>
            </w: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SoCalGas</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917</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34</w:t>
            </w: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904</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34</w:t>
            </w: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2,002</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37</w:t>
            </w: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1,887</w:t>
            </w:r>
          </w:p>
        </w:tc>
        <w:tc>
          <w:tcPr>
            <w:tcW w:w="70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36</w:t>
            </w: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Sempra South American Utilities</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390</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15</w:t>
            </w: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371</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14</w:t>
            </w: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768</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14</w:t>
            </w: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755</w:t>
            </w:r>
          </w:p>
        </w:tc>
        <w:tc>
          <w:tcPr>
            <w:tcW w:w="70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14</w:t>
            </w: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Sempra Mexico</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186</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7</w:t>
            </w: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163</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6</w:t>
            </w: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387</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7</w:t>
            </w: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331</w:t>
            </w:r>
          </w:p>
        </w:tc>
        <w:tc>
          <w:tcPr>
            <w:tcW w:w="70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6</w:t>
            </w: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Sempra Renewables</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9</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30</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w:t>
            </w: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15</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51</w:t>
            </w:r>
          </w:p>
        </w:tc>
        <w:tc>
          <w:tcPr>
            <w:tcW w:w="70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1</w:t>
            </w: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Sempra Natural Gas</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236</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9</w:t>
            </w: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218</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8</w:t>
            </w: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496</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9</w:t>
            </w: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471</w:t>
            </w:r>
          </w:p>
        </w:tc>
        <w:tc>
          <w:tcPr>
            <w:tcW w:w="70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9</w:t>
            </w: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Adjustments and eliminations</w:t>
            </w:r>
          </w:p>
        </w:tc>
        <w:tc>
          <w:tcPr>
            <w:tcW w:w="440" w:type="dxa"/>
            <w:vAlign w:val="bottom"/>
          </w:tcPr>
          <w:p>
            <w:pPr>
              <w:spacing w:after="0"/>
              <w:rPr>
                <w:sz w:val="13"/>
                <w:szCs w:val="13"/>
                <w:color w:val="auto"/>
              </w:rPr>
            </w:pPr>
          </w:p>
        </w:tc>
        <w:tc>
          <w:tcPr>
            <w:tcW w:w="920" w:type="dxa"/>
            <w:vAlign w:val="bottom"/>
          </w:tcPr>
          <w:p>
            <w:pPr>
              <w:jc w:val="right"/>
              <w:ind w:right="89"/>
              <w:spacing w:after="0" w:line="159" w:lineRule="exact"/>
              <w:rPr>
                <w:sz w:val="20"/>
                <w:szCs w:val="20"/>
                <w:color w:val="auto"/>
              </w:rPr>
            </w:pPr>
            <w:r>
              <w:rPr>
                <w:rFonts w:ascii="Arial" w:cs="Arial" w:eastAsia="Arial" w:hAnsi="Arial"/>
                <w:sz w:val="14"/>
                <w:szCs w:val="14"/>
                <w:color w:val="auto"/>
              </w:rPr>
              <w:t>(2)</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940" w:type="dxa"/>
            <w:vAlign w:val="bottom"/>
          </w:tcPr>
          <w:p>
            <w:pPr>
              <w:jc w:val="right"/>
              <w:ind w:right="89"/>
              <w:spacing w:after="0" w:line="159" w:lineRule="exact"/>
              <w:rPr>
                <w:sz w:val="20"/>
                <w:szCs w:val="20"/>
                <w:color w:val="auto"/>
              </w:rPr>
            </w:pPr>
            <w:r>
              <w:rPr>
                <w:rFonts w:ascii="Arial" w:cs="Arial" w:eastAsia="Arial" w:hAnsi="Arial"/>
                <w:sz w:val="14"/>
                <w:szCs w:val="14"/>
                <w:color w:val="auto"/>
              </w:rPr>
              <w:t>(2)</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940" w:type="dxa"/>
            <w:vAlign w:val="bottom"/>
          </w:tcPr>
          <w:p>
            <w:pPr>
              <w:jc w:val="right"/>
              <w:ind w:right="89"/>
              <w:spacing w:after="0" w:line="159" w:lineRule="exact"/>
              <w:rPr>
                <w:sz w:val="20"/>
                <w:szCs w:val="20"/>
                <w:color w:val="auto"/>
              </w:rPr>
            </w:pPr>
            <w:r>
              <w:rPr>
                <w:rFonts w:ascii="Arial" w:cs="Arial" w:eastAsia="Arial" w:hAnsi="Arial"/>
                <w:sz w:val="14"/>
                <w:szCs w:val="14"/>
                <w:color w:val="auto"/>
              </w:rPr>
              <w:t>(2)</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96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(2)</w:t>
            </w:r>
          </w:p>
        </w:tc>
        <w:tc>
          <w:tcPr>
            <w:tcW w:w="70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w:t>
            </w:r>
          </w:p>
        </w:tc>
      </w:tr>
      <w:tr>
        <w:trPr>
          <w:trHeight w:val="173"/>
        </w:trPr>
        <w:tc>
          <w:tcPr>
            <w:tcW w:w="3160" w:type="dxa"/>
            <w:vAlign w:val="bottom"/>
          </w:tcPr>
          <w:p>
            <w:pPr>
              <w:ind w:left="80"/>
              <w:spacing w:after="0"/>
              <w:rPr>
                <w:sz w:val="20"/>
                <w:szCs w:val="20"/>
                <w:color w:val="auto"/>
              </w:rPr>
            </w:pPr>
            <w:r>
              <w:rPr>
                <w:rFonts w:ascii="Arial" w:cs="Arial" w:eastAsia="Arial" w:hAnsi="Arial"/>
                <w:sz w:val="14"/>
                <w:szCs w:val="14"/>
                <w:color w:val="auto"/>
              </w:rPr>
              <w:t>Intersegment revenues(1)</w:t>
            </w: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(121)</w:t>
            </w:r>
          </w:p>
        </w:tc>
        <w:tc>
          <w:tcPr>
            <w:tcW w:w="6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w:t>
            </w: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(97)</w:t>
            </w:r>
          </w:p>
        </w:tc>
        <w:tc>
          <w:tcPr>
            <w:tcW w:w="6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(3)</w:t>
            </w: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(243)</w:t>
            </w:r>
          </w:p>
        </w:tc>
        <w:tc>
          <w:tcPr>
            <w:tcW w:w="6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(4)</w:t>
            </w: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(195)</w:t>
            </w:r>
          </w:p>
        </w:tc>
        <w:tc>
          <w:tcPr>
            <w:tcW w:w="7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(4)</w:t>
            </w:r>
          </w:p>
        </w:tc>
      </w:tr>
      <w:tr>
        <w:trPr>
          <w:trHeight w:val="153"/>
        </w:trPr>
        <w:tc>
          <w:tcPr>
            <w:tcW w:w="3160" w:type="dxa"/>
            <w:vAlign w:val="bottom"/>
          </w:tcPr>
          <w:p>
            <w:pPr>
              <w:ind w:left="240"/>
              <w:spacing w:after="0" w:line="153" w:lineRule="exact"/>
              <w:rPr>
                <w:sz w:val="20"/>
                <w:szCs w:val="20"/>
                <w:color w:val="auto"/>
              </w:rPr>
            </w:pPr>
            <w:r>
              <w:rPr>
                <w:rFonts w:ascii="Arial" w:cs="Arial" w:eastAsia="Arial" w:hAnsi="Arial"/>
                <w:sz w:val="14"/>
                <w:szCs w:val="14"/>
                <w:color w:val="auto"/>
              </w:rPr>
              <w:t>Total</w:t>
            </w:r>
          </w:p>
        </w:tc>
        <w:tc>
          <w:tcPr>
            <w:tcW w:w="440" w:type="dxa"/>
            <w:vAlign w:val="bottom"/>
          </w:tcPr>
          <w:p>
            <w:pPr>
              <w:jc w:val="right"/>
              <w:ind w:right="289"/>
              <w:spacing w:after="0" w:line="153"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2,678</w:t>
            </w:r>
          </w:p>
        </w:tc>
        <w:tc>
          <w:tcPr>
            <w:tcW w:w="620" w:type="dxa"/>
            <w:vAlign w:val="bottom"/>
          </w:tcPr>
          <w:p>
            <w:pPr>
              <w:jc w:val="right"/>
              <w:spacing w:after="0" w:line="153" w:lineRule="exact"/>
              <w:rPr>
                <w:sz w:val="20"/>
                <w:szCs w:val="20"/>
                <w:color w:val="auto"/>
              </w:rPr>
            </w:pPr>
            <w:r>
              <w:rPr>
                <w:rFonts w:ascii="Arial" w:cs="Arial" w:eastAsia="Arial" w:hAnsi="Arial"/>
                <w:sz w:val="14"/>
                <w:szCs w:val="14"/>
                <w:color w:val="auto"/>
              </w:rPr>
              <w:t>100 %</w:t>
            </w:r>
          </w:p>
        </w:tc>
        <w:tc>
          <w:tcPr>
            <w:tcW w:w="500" w:type="dxa"/>
            <w:vAlign w:val="bottom"/>
          </w:tcPr>
          <w:p>
            <w:pPr>
              <w:jc w:val="right"/>
              <w:ind w:right="289"/>
              <w:spacing w:after="0" w:line="153"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2,651</w:t>
            </w:r>
          </w:p>
        </w:tc>
        <w:tc>
          <w:tcPr>
            <w:tcW w:w="620" w:type="dxa"/>
            <w:vAlign w:val="bottom"/>
          </w:tcPr>
          <w:p>
            <w:pPr>
              <w:jc w:val="right"/>
              <w:spacing w:after="0" w:line="153" w:lineRule="exact"/>
              <w:rPr>
                <w:sz w:val="20"/>
                <w:szCs w:val="20"/>
                <w:color w:val="auto"/>
              </w:rPr>
            </w:pPr>
            <w:r>
              <w:rPr>
                <w:rFonts w:ascii="Arial" w:cs="Arial" w:eastAsia="Arial" w:hAnsi="Arial"/>
                <w:sz w:val="14"/>
                <w:szCs w:val="14"/>
                <w:color w:val="auto"/>
              </w:rPr>
              <w:t>100 %</w:t>
            </w:r>
          </w:p>
        </w:tc>
        <w:tc>
          <w:tcPr>
            <w:tcW w:w="500" w:type="dxa"/>
            <w:vAlign w:val="bottom"/>
          </w:tcPr>
          <w:p>
            <w:pPr>
              <w:jc w:val="right"/>
              <w:ind w:right="309"/>
              <w:spacing w:after="0" w:line="153"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5,473</w:t>
            </w:r>
          </w:p>
        </w:tc>
        <w:tc>
          <w:tcPr>
            <w:tcW w:w="620" w:type="dxa"/>
            <w:vAlign w:val="bottom"/>
          </w:tcPr>
          <w:p>
            <w:pPr>
              <w:jc w:val="right"/>
              <w:spacing w:after="0" w:line="153" w:lineRule="exact"/>
              <w:rPr>
                <w:sz w:val="20"/>
                <w:szCs w:val="20"/>
                <w:color w:val="auto"/>
              </w:rPr>
            </w:pPr>
            <w:r>
              <w:rPr>
                <w:rFonts w:ascii="Arial" w:cs="Arial" w:eastAsia="Arial" w:hAnsi="Arial"/>
                <w:sz w:val="14"/>
                <w:szCs w:val="14"/>
                <w:color w:val="auto"/>
              </w:rPr>
              <w:t>100 %</w:t>
            </w:r>
          </w:p>
        </w:tc>
        <w:tc>
          <w:tcPr>
            <w:tcW w:w="500" w:type="dxa"/>
            <w:vAlign w:val="bottom"/>
          </w:tcPr>
          <w:p>
            <w:pPr>
              <w:jc w:val="right"/>
              <w:ind w:right="309"/>
              <w:spacing w:after="0" w:line="153"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49"/>
              <w:spacing w:after="0" w:line="153" w:lineRule="exact"/>
              <w:rPr>
                <w:sz w:val="20"/>
                <w:szCs w:val="20"/>
                <w:color w:val="auto"/>
              </w:rPr>
            </w:pPr>
            <w:r>
              <w:rPr>
                <w:rFonts w:ascii="Arial" w:cs="Arial" w:eastAsia="Arial" w:hAnsi="Arial"/>
                <w:sz w:val="14"/>
                <w:szCs w:val="14"/>
                <w:color w:val="auto"/>
              </w:rPr>
              <w:t>5,301</w:t>
            </w:r>
          </w:p>
        </w:tc>
        <w:tc>
          <w:tcPr>
            <w:tcW w:w="700" w:type="dxa"/>
            <w:vAlign w:val="bottom"/>
          </w:tcPr>
          <w:p>
            <w:pPr>
              <w:jc w:val="right"/>
              <w:ind w:right="49"/>
              <w:spacing w:after="0" w:line="153" w:lineRule="exact"/>
              <w:rPr>
                <w:sz w:val="20"/>
                <w:szCs w:val="20"/>
                <w:color w:val="auto"/>
              </w:rPr>
            </w:pPr>
            <w:r>
              <w:rPr>
                <w:rFonts w:ascii="Arial" w:cs="Arial" w:eastAsia="Arial" w:hAnsi="Arial"/>
                <w:sz w:val="14"/>
                <w:szCs w:val="14"/>
                <w:color w:val="auto"/>
              </w:rPr>
              <w:t>100 %</w:t>
            </w:r>
          </w:p>
        </w:tc>
      </w:tr>
      <w:tr>
        <w:trPr>
          <w:trHeight w:val="80"/>
        </w:trPr>
        <w:tc>
          <w:tcPr>
            <w:tcW w:w="316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960" w:type="dxa"/>
            <w:vAlign w:val="bottom"/>
            <w:shd w:val="clear" w:color="auto" w:fill="000000"/>
          </w:tcPr>
          <w:p>
            <w:pPr>
              <w:spacing w:after="0"/>
              <w:rPr>
                <w:sz w:val="6"/>
                <w:szCs w:val="6"/>
                <w:color w:val="auto"/>
              </w:rPr>
            </w:pPr>
          </w:p>
        </w:tc>
        <w:tc>
          <w:tcPr>
            <w:tcW w:w="700" w:type="dxa"/>
            <w:vAlign w:val="bottom"/>
            <w:shd w:val="clear" w:color="auto" w:fill="000000"/>
          </w:tcPr>
          <w:p>
            <w:pPr>
              <w:spacing w:after="0"/>
              <w:rPr>
                <w:sz w:val="6"/>
                <w:szCs w:val="6"/>
                <w:color w:val="auto"/>
              </w:rPr>
            </w:pPr>
          </w:p>
        </w:tc>
      </w:tr>
      <w:tr>
        <w:trPr>
          <w:trHeight w:val="146"/>
        </w:trPr>
        <w:tc>
          <w:tcPr>
            <w:tcW w:w="3160" w:type="dxa"/>
            <w:vAlign w:val="bottom"/>
          </w:tcPr>
          <w:p>
            <w:pPr>
              <w:spacing w:after="0" w:line="146" w:lineRule="exact"/>
              <w:rPr>
                <w:sz w:val="20"/>
                <w:szCs w:val="20"/>
                <w:color w:val="auto"/>
              </w:rPr>
            </w:pPr>
            <w:r>
              <w:rPr>
                <w:rFonts w:ascii="Arial" w:cs="Arial" w:eastAsia="Arial" w:hAnsi="Arial"/>
                <w:sz w:val="14"/>
                <w:szCs w:val="14"/>
                <w:color w:val="auto"/>
              </w:rPr>
              <w:t>INTEREST EXPENSE</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SDG&amp;E</w:t>
            </w:r>
          </w:p>
        </w:tc>
        <w:tc>
          <w:tcPr>
            <w:tcW w:w="440" w:type="dxa"/>
            <w:vAlign w:val="bottom"/>
          </w:tcPr>
          <w:p>
            <w:pPr>
              <w:jc w:val="right"/>
              <w:ind w:right="289"/>
              <w:spacing w:after="0" w:line="15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51</w:t>
            </w:r>
          </w:p>
        </w:tc>
        <w:tc>
          <w:tcPr>
            <w:tcW w:w="620" w:type="dxa"/>
            <w:vAlign w:val="bottom"/>
          </w:tcPr>
          <w:p>
            <w:pPr>
              <w:spacing w:after="0"/>
              <w:rPr>
                <w:sz w:val="13"/>
                <w:szCs w:val="13"/>
                <w:color w:val="auto"/>
              </w:rPr>
            </w:pPr>
          </w:p>
        </w:tc>
        <w:tc>
          <w:tcPr>
            <w:tcW w:w="500" w:type="dxa"/>
            <w:vAlign w:val="bottom"/>
          </w:tcPr>
          <w:p>
            <w:pPr>
              <w:jc w:val="right"/>
              <w:ind w:right="289"/>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49</w:t>
            </w:r>
          </w:p>
        </w:tc>
        <w:tc>
          <w:tcPr>
            <w:tcW w:w="620" w:type="dxa"/>
            <w:vAlign w:val="bottom"/>
          </w:tcPr>
          <w:p>
            <w:pPr>
              <w:spacing w:after="0"/>
              <w:rPr>
                <w:sz w:val="13"/>
                <w:szCs w:val="13"/>
                <w:color w:val="auto"/>
              </w:rPr>
            </w:pPr>
          </w:p>
        </w:tc>
        <w:tc>
          <w:tcPr>
            <w:tcW w:w="500" w:type="dxa"/>
            <w:vAlign w:val="bottom"/>
          </w:tcPr>
          <w:p>
            <w:pPr>
              <w:jc w:val="right"/>
              <w:ind w:right="309"/>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101</w:t>
            </w:r>
          </w:p>
        </w:tc>
        <w:tc>
          <w:tcPr>
            <w:tcW w:w="620" w:type="dxa"/>
            <w:vAlign w:val="bottom"/>
          </w:tcPr>
          <w:p>
            <w:pPr>
              <w:spacing w:after="0"/>
              <w:rPr>
                <w:sz w:val="13"/>
                <w:szCs w:val="13"/>
                <w:color w:val="auto"/>
              </w:rPr>
            </w:pPr>
          </w:p>
        </w:tc>
        <w:tc>
          <w:tcPr>
            <w:tcW w:w="500" w:type="dxa"/>
            <w:vAlign w:val="bottom"/>
          </w:tcPr>
          <w:p>
            <w:pPr>
              <w:jc w:val="right"/>
              <w:ind w:right="309"/>
              <w:spacing w:after="0" w:line="15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97</w:t>
            </w:r>
          </w:p>
        </w:tc>
        <w:tc>
          <w:tcPr>
            <w:tcW w:w="700" w:type="dxa"/>
            <w:vAlign w:val="bottom"/>
          </w:tcPr>
          <w:p>
            <w:pPr>
              <w:spacing w:after="0"/>
              <w:rPr>
                <w:sz w:val="13"/>
                <w:szCs w:val="13"/>
                <w:color w:val="auto"/>
              </w:rPr>
            </w:pP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SoCalGas</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16</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18</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33</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35</w:t>
            </w:r>
          </w:p>
        </w:tc>
        <w:tc>
          <w:tcPr>
            <w:tcW w:w="700" w:type="dxa"/>
            <w:vAlign w:val="bottom"/>
          </w:tcPr>
          <w:p>
            <w:pPr>
              <w:spacing w:after="0"/>
              <w:rPr>
                <w:sz w:val="13"/>
                <w:szCs w:val="13"/>
                <w:color w:val="auto"/>
              </w:rPr>
            </w:pP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Sempra South American Utilities</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9</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5</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17</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12</w:t>
            </w:r>
          </w:p>
        </w:tc>
        <w:tc>
          <w:tcPr>
            <w:tcW w:w="700" w:type="dxa"/>
            <w:vAlign w:val="bottom"/>
          </w:tcPr>
          <w:p>
            <w:pPr>
              <w:spacing w:after="0"/>
              <w:rPr>
                <w:sz w:val="13"/>
                <w:szCs w:val="13"/>
                <w:color w:val="auto"/>
              </w:rPr>
            </w:pP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Sempra Mexico</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4</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3</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8</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5</w:t>
            </w:r>
          </w:p>
        </w:tc>
        <w:tc>
          <w:tcPr>
            <w:tcW w:w="700" w:type="dxa"/>
            <w:vAlign w:val="bottom"/>
          </w:tcPr>
          <w:p>
            <w:pPr>
              <w:spacing w:after="0"/>
              <w:rPr>
                <w:sz w:val="13"/>
                <w:szCs w:val="13"/>
                <w:color w:val="auto"/>
              </w:rPr>
            </w:pP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Sempra Renewables</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9</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17</w:t>
            </w:r>
          </w:p>
        </w:tc>
        <w:tc>
          <w:tcPr>
            <w:tcW w:w="700" w:type="dxa"/>
            <w:vAlign w:val="bottom"/>
          </w:tcPr>
          <w:p>
            <w:pPr>
              <w:spacing w:after="0"/>
              <w:rPr>
                <w:sz w:val="13"/>
                <w:szCs w:val="13"/>
                <w:color w:val="auto"/>
              </w:rPr>
            </w:pP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Sempra Natural Gas</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33</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23</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65</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46</w:t>
            </w:r>
          </w:p>
        </w:tc>
        <w:tc>
          <w:tcPr>
            <w:tcW w:w="700" w:type="dxa"/>
            <w:vAlign w:val="bottom"/>
          </w:tcPr>
          <w:p>
            <w:pPr>
              <w:spacing w:after="0"/>
              <w:rPr>
                <w:sz w:val="13"/>
                <w:szCs w:val="13"/>
                <w:color w:val="auto"/>
              </w:rPr>
            </w:pP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All other</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57</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59</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115</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122</w:t>
            </w:r>
          </w:p>
        </w:tc>
        <w:tc>
          <w:tcPr>
            <w:tcW w:w="700" w:type="dxa"/>
            <w:vAlign w:val="bottom"/>
          </w:tcPr>
          <w:p>
            <w:pPr>
              <w:spacing w:after="0"/>
              <w:rPr>
                <w:sz w:val="13"/>
                <w:szCs w:val="13"/>
                <w:color w:val="auto"/>
              </w:rPr>
            </w:pPr>
          </w:p>
        </w:tc>
      </w:tr>
      <w:tr>
        <w:trPr>
          <w:trHeight w:val="173"/>
        </w:trPr>
        <w:tc>
          <w:tcPr>
            <w:tcW w:w="3160" w:type="dxa"/>
            <w:vAlign w:val="bottom"/>
          </w:tcPr>
          <w:p>
            <w:pPr>
              <w:ind w:left="80"/>
              <w:spacing w:after="0"/>
              <w:rPr>
                <w:sz w:val="20"/>
                <w:szCs w:val="20"/>
                <w:color w:val="auto"/>
              </w:rPr>
            </w:pPr>
            <w:r>
              <w:rPr>
                <w:rFonts w:ascii="Arial" w:cs="Arial" w:eastAsia="Arial" w:hAnsi="Arial"/>
                <w:sz w:val="14"/>
                <w:szCs w:val="14"/>
                <w:color w:val="auto"/>
              </w:rPr>
              <w:t>Intercompany eliminations</w:t>
            </w: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(33)</w:t>
            </w:r>
          </w:p>
        </w:tc>
        <w:tc>
          <w:tcPr>
            <w:tcW w:w="6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(28)</w:t>
            </w:r>
          </w:p>
        </w:tc>
        <w:tc>
          <w:tcPr>
            <w:tcW w:w="6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(66)</w:t>
            </w:r>
          </w:p>
        </w:tc>
        <w:tc>
          <w:tcPr>
            <w:tcW w:w="6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(58)</w:t>
            </w:r>
          </w:p>
        </w:tc>
        <w:tc>
          <w:tcPr>
            <w:tcW w:w="700" w:type="dxa"/>
            <w:vAlign w:val="bottom"/>
            <w:tcBorders>
              <w:bottom w:val="single" w:sz="8" w:color="auto"/>
            </w:tcBorders>
          </w:tcPr>
          <w:p>
            <w:pPr>
              <w:spacing w:after="0"/>
              <w:rPr>
                <w:sz w:val="15"/>
                <w:szCs w:val="15"/>
                <w:color w:val="auto"/>
              </w:rPr>
            </w:pPr>
          </w:p>
        </w:tc>
      </w:tr>
      <w:tr>
        <w:trPr>
          <w:trHeight w:val="153"/>
        </w:trPr>
        <w:tc>
          <w:tcPr>
            <w:tcW w:w="3160" w:type="dxa"/>
            <w:vAlign w:val="bottom"/>
          </w:tcPr>
          <w:p>
            <w:pPr>
              <w:ind w:left="240"/>
              <w:spacing w:after="0" w:line="153" w:lineRule="exact"/>
              <w:rPr>
                <w:sz w:val="20"/>
                <w:szCs w:val="20"/>
                <w:color w:val="auto"/>
              </w:rPr>
            </w:pPr>
            <w:r>
              <w:rPr>
                <w:rFonts w:ascii="Arial" w:cs="Arial" w:eastAsia="Arial" w:hAnsi="Arial"/>
                <w:sz w:val="14"/>
                <w:szCs w:val="14"/>
                <w:color w:val="auto"/>
              </w:rPr>
              <w:t>Total</w:t>
            </w:r>
          </w:p>
        </w:tc>
        <w:tc>
          <w:tcPr>
            <w:tcW w:w="440" w:type="dxa"/>
            <w:vAlign w:val="bottom"/>
          </w:tcPr>
          <w:p>
            <w:pPr>
              <w:jc w:val="right"/>
              <w:ind w:right="289"/>
              <w:spacing w:after="0" w:line="153"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138</w:t>
            </w:r>
          </w:p>
        </w:tc>
        <w:tc>
          <w:tcPr>
            <w:tcW w:w="620" w:type="dxa"/>
            <w:vAlign w:val="bottom"/>
          </w:tcPr>
          <w:p>
            <w:pPr>
              <w:spacing w:after="0"/>
              <w:rPr>
                <w:sz w:val="13"/>
                <w:szCs w:val="13"/>
                <w:color w:val="auto"/>
              </w:rPr>
            </w:pPr>
          </w:p>
        </w:tc>
        <w:tc>
          <w:tcPr>
            <w:tcW w:w="500" w:type="dxa"/>
            <w:vAlign w:val="bottom"/>
          </w:tcPr>
          <w:p>
            <w:pPr>
              <w:jc w:val="right"/>
              <w:ind w:right="289"/>
              <w:spacing w:after="0" w:line="153"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138</w:t>
            </w:r>
          </w:p>
        </w:tc>
        <w:tc>
          <w:tcPr>
            <w:tcW w:w="620" w:type="dxa"/>
            <w:vAlign w:val="bottom"/>
          </w:tcPr>
          <w:p>
            <w:pPr>
              <w:spacing w:after="0"/>
              <w:rPr>
                <w:sz w:val="13"/>
                <w:szCs w:val="13"/>
                <w:color w:val="auto"/>
              </w:rPr>
            </w:pPr>
          </w:p>
        </w:tc>
        <w:tc>
          <w:tcPr>
            <w:tcW w:w="500" w:type="dxa"/>
            <w:vAlign w:val="bottom"/>
          </w:tcPr>
          <w:p>
            <w:pPr>
              <w:jc w:val="right"/>
              <w:ind w:right="309"/>
              <w:spacing w:after="0" w:line="153"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274</w:t>
            </w:r>
          </w:p>
        </w:tc>
        <w:tc>
          <w:tcPr>
            <w:tcW w:w="620" w:type="dxa"/>
            <w:vAlign w:val="bottom"/>
          </w:tcPr>
          <w:p>
            <w:pPr>
              <w:spacing w:after="0"/>
              <w:rPr>
                <w:sz w:val="13"/>
                <w:szCs w:val="13"/>
                <w:color w:val="auto"/>
              </w:rPr>
            </w:pPr>
          </w:p>
        </w:tc>
        <w:tc>
          <w:tcPr>
            <w:tcW w:w="500" w:type="dxa"/>
            <w:vAlign w:val="bottom"/>
          </w:tcPr>
          <w:p>
            <w:pPr>
              <w:jc w:val="right"/>
              <w:ind w:right="309"/>
              <w:spacing w:after="0" w:line="153"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49"/>
              <w:spacing w:after="0" w:line="153" w:lineRule="exact"/>
              <w:rPr>
                <w:sz w:val="20"/>
                <w:szCs w:val="20"/>
                <w:color w:val="auto"/>
              </w:rPr>
            </w:pPr>
            <w:r>
              <w:rPr>
                <w:rFonts w:ascii="Arial" w:cs="Arial" w:eastAsia="Arial" w:hAnsi="Arial"/>
                <w:sz w:val="14"/>
                <w:szCs w:val="14"/>
                <w:color w:val="auto"/>
              </w:rPr>
              <w:t>276</w:t>
            </w:r>
          </w:p>
        </w:tc>
        <w:tc>
          <w:tcPr>
            <w:tcW w:w="700" w:type="dxa"/>
            <w:vAlign w:val="bottom"/>
          </w:tcPr>
          <w:p>
            <w:pPr>
              <w:spacing w:after="0"/>
              <w:rPr>
                <w:sz w:val="13"/>
                <w:szCs w:val="13"/>
                <w:color w:val="auto"/>
              </w:rPr>
            </w:pPr>
          </w:p>
        </w:tc>
      </w:tr>
      <w:tr>
        <w:trPr>
          <w:trHeight w:val="80"/>
        </w:trPr>
        <w:tc>
          <w:tcPr>
            <w:tcW w:w="316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960" w:type="dxa"/>
            <w:vAlign w:val="bottom"/>
            <w:shd w:val="clear" w:color="auto" w:fill="000000"/>
          </w:tcPr>
          <w:p>
            <w:pPr>
              <w:spacing w:after="0"/>
              <w:rPr>
                <w:sz w:val="6"/>
                <w:szCs w:val="6"/>
                <w:color w:val="auto"/>
              </w:rPr>
            </w:pPr>
          </w:p>
        </w:tc>
        <w:tc>
          <w:tcPr>
            <w:tcW w:w="700" w:type="dxa"/>
            <w:vAlign w:val="bottom"/>
            <w:shd w:val="clear" w:color="auto" w:fill="000000"/>
          </w:tcPr>
          <w:p>
            <w:pPr>
              <w:spacing w:after="0"/>
              <w:rPr>
                <w:sz w:val="6"/>
                <w:szCs w:val="6"/>
                <w:color w:val="auto"/>
              </w:rPr>
            </w:pPr>
          </w:p>
        </w:tc>
      </w:tr>
      <w:tr>
        <w:trPr>
          <w:trHeight w:val="146"/>
        </w:trPr>
        <w:tc>
          <w:tcPr>
            <w:tcW w:w="3160" w:type="dxa"/>
            <w:vAlign w:val="bottom"/>
          </w:tcPr>
          <w:p>
            <w:pPr>
              <w:spacing w:after="0" w:line="146" w:lineRule="exact"/>
              <w:rPr>
                <w:sz w:val="20"/>
                <w:szCs w:val="20"/>
                <w:color w:val="auto"/>
              </w:rPr>
            </w:pPr>
            <w:r>
              <w:rPr>
                <w:rFonts w:ascii="Arial" w:cs="Arial" w:eastAsia="Arial" w:hAnsi="Arial"/>
                <w:sz w:val="14"/>
                <w:szCs w:val="14"/>
                <w:color w:val="auto"/>
              </w:rPr>
              <w:t>INTEREST INCOME</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SDG&amp;E</w:t>
            </w:r>
          </w:p>
        </w:tc>
        <w:tc>
          <w:tcPr>
            <w:tcW w:w="440" w:type="dxa"/>
            <w:vAlign w:val="bottom"/>
          </w:tcPr>
          <w:p>
            <w:pPr>
              <w:jc w:val="right"/>
              <w:ind w:right="289"/>
              <w:spacing w:after="0" w:line="15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500" w:type="dxa"/>
            <w:vAlign w:val="bottom"/>
          </w:tcPr>
          <w:p>
            <w:pPr>
              <w:jc w:val="right"/>
              <w:ind w:right="289"/>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500" w:type="dxa"/>
            <w:vAlign w:val="bottom"/>
          </w:tcPr>
          <w:p>
            <w:pPr>
              <w:jc w:val="right"/>
              <w:ind w:right="309"/>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500" w:type="dxa"/>
            <w:vAlign w:val="bottom"/>
          </w:tcPr>
          <w:p>
            <w:pPr>
              <w:jc w:val="right"/>
              <w:ind w:right="309"/>
              <w:spacing w:after="0" w:line="15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w:t>
            </w:r>
          </w:p>
        </w:tc>
        <w:tc>
          <w:tcPr>
            <w:tcW w:w="700" w:type="dxa"/>
            <w:vAlign w:val="bottom"/>
          </w:tcPr>
          <w:p>
            <w:pPr>
              <w:spacing w:after="0"/>
              <w:rPr>
                <w:sz w:val="13"/>
                <w:szCs w:val="13"/>
                <w:color w:val="auto"/>
              </w:rPr>
            </w:pP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Sempra South American Utilities</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3</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3</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6</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8</w:t>
            </w:r>
          </w:p>
        </w:tc>
        <w:tc>
          <w:tcPr>
            <w:tcW w:w="700" w:type="dxa"/>
            <w:vAlign w:val="bottom"/>
          </w:tcPr>
          <w:p>
            <w:pPr>
              <w:spacing w:after="0"/>
              <w:rPr>
                <w:sz w:val="13"/>
                <w:szCs w:val="13"/>
                <w:color w:val="auto"/>
              </w:rPr>
            </w:pP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Sempra Mexico</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w:t>
            </w:r>
          </w:p>
        </w:tc>
        <w:tc>
          <w:tcPr>
            <w:tcW w:w="700" w:type="dxa"/>
            <w:vAlign w:val="bottom"/>
          </w:tcPr>
          <w:p>
            <w:pPr>
              <w:spacing w:after="0"/>
              <w:rPr>
                <w:sz w:val="13"/>
                <w:szCs w:val="13"/>
                <w:color w:val="auto"/>
              </w:rPr>
            </w:pP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Sempra Renewables</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4</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7</w:t>
            </w:r>
          </w:p>
        </w:tc>
        <w:tc>
          <w:tcPr>
            <w:tcW w:w="700" w:type="dxa"/>
            <w:vAlign w:val="bottom"/>
          </w:tcPr>
          <w:p>
            <w:pPr>
              <w:spacing w:after="0"/>
              <w:rPr>
                <w:sz w:val="13"/>
                <w:szCs w:val="13"/>
                <w:color w:val="auto"/>
              </w:rPr>
            </w:pP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Sempra Natural Gas</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32</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20</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63</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31</w:t>
            </w:r>
          </w:p>
        </w:tc>
        <w:tc>
          <w:tcPr>
            <w:tcW w:w="700" w:type="dxa"/>
            <w:vAlign w:val="bottom"/>
          </w:tcPr>
          <w:p>
            <w:pPr>
              <w:spacing w:after="0"/>
              <w:rPr>
                <w:sz w:val="13"/>
                <w:szCs w:val="13"/>
                <w:color w:val="auto"/>
              </w:rPr>
            </w:pP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All other</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(1)</w:t>
            </w:r>
          </w:p>
        </w:tc>
        <w:tc>
          <w:tcPr>
            <w:tcW w:w="700" w:type="dxa"/>
            <w:vAlign w:val="bottom"/>
          </w:tcPr>
          <w:p>
            <w:pPr>
              <w:spacing w:after="0"/>
              <w:rPr>
                <w:sz w:val="13"/>
                <w:szCs w:val="13"/>
                <w:color w:val="auto"/>
              </w:rPr>
            </w:pPr>
          </w:p>
        </w:tc>
      </w:tr>
      <w:tr>
        <w:trPr>
          <w:trHeight w:val="173"/>
        </w:trPr>
        <w:tc>
          <w:tcPr>
            <w:tcW w:w="3160" w:type="dxa"/>
            <w:vAlign w:val="bottom"/>
          </w:tcPr>
          <w:p>
            <w:pPr>
              <w:ind w:left="80"/>
              <w:spacing w:after="0"/>
              <w:rPr>
                <w:sz w:val="20"/>
                <w:szCs w:val="20"/>
                <w:color w:val="auto"/>
              </w:rPr>
            </w:pPr>
            <w:r>
              <w:rPr>
                <w:rFonts w:ascii="Arial" w:cs="Arial" w:eastAsia="Arial" w:hAnsi="Arial"/>
                <w:sz w:val="14"/>
                <w:szCs w:val="14"/>
                <w:color w:val="auto"/>
              </w:rPr>
              <w:t>Intercompany eliminations</w:t>
            </w: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(32)</w:t>
            </w:r>
          </w:p>
        </w:tc>
        <w:tc>
          <w:tcPr>
            <w:tcW w:w="6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(23)</w:t>
            </w:r>
          </w:p>
        </w:tc>
        <w:tc>
          <w:tcPr>
            <w:tcW w:w="6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(62)</w:t>
            </w:r>
          </w:p>
        </w:tc>
        <w:tc>
          <w:tcPr>
            <w:tcW w:w="6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(37)</w:t>
            </w:r>
          </w:p>
        </w:tc>
        <w:tc>
          <w:tcPr>
            <w:tcW w:w="700" w:type="dxa"/>
            <w:vAlign w:val="bottom"/>
            <w:tcBorders>
              <w:bottom w:val="single" w:sz="8" w:color="auto"/>
            </w:tcBorders>
          </w:tcPr>
          <w:p>
            <w:pPr>
              <w:spacing w:after="0"/>
              <w:rPr>
                <w:sz w:val="15"/>
                <w:szCs w:val="15"/>
                <w:color w:val="auto"/>
              </w:rPr>
            </w:pPr>
          </w:p>
        </w:tc>
      </w:tr>
      <w:tr>
        <w:trPr>
          <w:trHeight w:val="153"/>
        </w:trPr>
        <w:tc>
          <w:tcPr>
            <w:tcW w:w="3160" w:type="dxa"/>
            <w:vAlign w:val="bottom"/>
          </w:tcPr>
          <w:p>
            <w:pPr>
              <w:ind w:left="240"/>
              <w:spacing w:after="0" w:line="153" w:lineRule="exact"/>
              <w:rPr>
                <w:sz w:val="20"/>
                <w:szCs w:val="20"/>
                <w:color w:val="auto"/>
              </w:rPr>
            </w:pPr>
            <w:r>
              <w:rPr>
                <w:rFonts w:ascii="Arial" w:cs="Arial" w:eastAsia="Arial" w:hAnsi="Arial"/>
                <w:sz w:val="14"/>
                <w:szCs w:val="14"/>
                <w:color w:val="auto"/>
              </w:rPr>
              <w:t>Total</w:t>
            </w:r>
          </w:p>
        </w:tc>
        <w:tc>
          <w:tcPr>
            <w:tcW w:w="440" w:type="dxa"/>
            <w:vAlign w:val="bottom"/>
          </w:tcPr>
          <w:p>
            <w:pPr>
              <w:jc w:val="right"/>
              <w:ind w:right="289"/>
              <w:spacing w:after="0" w:line="153"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5</w:t>
            </w:r>
          </w:p>
        </w:tc>
        <w:tc>
          <w:tcPr>
            <w:tcW w:w="620" w:type="dxa"/>
            <w:vAlign w:val="bottom"/>
          </w:tcPr>
          <w:p>
            <w:pPr>
              <w:spacing w:after="0"/>
              <w:rPr>
                <w:sz w:val="13"/>
                <w:szCs w:val="13"/>
                <w:color w:val="auto"/>
              </w:rPr>
            </w:pPr>
          </w:p>
        </w:tc>
        <w:tc>
          <w:tcPr>
            <w:tcW w:w="500" w:type="dxa"/>
            <w:vAlign w:val="bottom"/>
          </w:tcPr>
          <w:p>
            <w:pPr>
              <w:jc w:val="right"/>
              <w:ind w:right="289"/>
              <w:spacing w:after="0" w:line="153"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4</w:t>
            </w:r>
          </w:p>
        </w:tc>
        <w:tc>
          <w:tcPr>
            <w:tcW w:w="620" w:type="dxa"/>
            <w:vAlign w:val="bottom"/>
          </w:tcPr>
          <w:p>
            <w:pPr>
              <w:spacing w:after="0"/>
              <w:rPr>
                <w:sz w:val="13"/>
                <w:szCs w:val="13"/>
                <w:color w:val="auto"/>
              </w:rPr>
            </w:pPr>
          </w:p>
        </w:tc>
        <w:tc>
          <w:tcPr>
            <w:tcW w:w="500" w:type="dxa"/>
            <w:vAlign w:val="bottom"/>
          </w:tcPr>
          <w:p>
            <w:pPr>
              <w:jc w:val="right"/>
              <w:ind w:right="309"/>
              <w:spacing w:after="0" w:line="153"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9</w:t>
            </w:r>
          </w:p>
        </w:tc>
        <w:tc>
          <w:tcPr>
            <w:tcW w:w="620" w:type="dxa"/>
            <w:vAlign w:val="bottom"/>
          </w:tcPr>
          <w:p>
            <w:pPr>
              <w:spacing w:after="0"/>
              <w:rPr>
                <w:sz w:val="13"/>
                <w:szCs w:val="13"/>
                <w:color w:val="auto"/>
              </w:rPr>
            </w:pPr>
          </w:p>
        </w:tc>
        <w:tc>
          <w:tcPr>
            <w:tcW w:w="500" w:type="dxa"/>
            <w:vAlign w:val="bottom"/>
          </w:tcPr>
          <w:p>
            <w:pPr>
              <w:jc w:val="right"/>
              <w:ind w:right="309"/>
              <w:spacing w:after="0" w:line="153"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49"/>
              <w:spacing w:after="0" w:line="153" w:lineRule="exact"/>
              <w:rPr>
                <w:sz w:val="20"/>
                <w:szCs w:val="20"/>
                <w:color w:val="auto"/>
              </w:rPr>
            </w:pPr>
            <w:r>
              <w:rPr>
                <w:rFonts w:ascii="Arial" w:cs="Arial" w:eastAsia="Arial" w:hAnsi="Arial"/>
                <w:sz w:val="14"/>
                <w:szCs w:val="14"/>
                <w:color w:val="auto"/>
              </w:rPr>
              <w:t>10</w:t>
            </w:r>
          </w:p>
        </w:tc>
        <w:tc>
          <w:tcPr>
            <w:tcW w:w="700" w:type="dxa"/>
            <w:vAlign w:val="bottom"/>
          </w:tcPr>
          <w:p>
            <w:pPr>
              <w:spacing w:after="0"/>
              <w:rPr>
                <w:sz w:val="13"/>
                <w:szCs w:val="13"/>
                <w:color w:val="auto"/>
              </w:rPr>
            </w:pPr>
          </w:p>
        </w:tc>
      </w:tr>
      <w:tr>
        <w:trPr>
          <w:trHeight w:val="80"/>
        </w:trPr>
        <w:tc>
          <w:tcPr>
            <w:tcW w:w="316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960" w:type="dxa"/>
            <w:vAlign w:val="bottom"/>
            <w:shd w:val="clear" w:color="auto" w:fill="000000"/>
          </w:tcPr>
          <w:p>
            <w:pPr>
              <w:spacing w:after="0"/>
              <w:rPr>
                <w:sz w:val="6"/>
                <w:szCs w:val="6"/>
                <w:color w:val="auto"/>
              </w:rPr>
            </w:pPr>
          </w:p>
        </w:tc>
        <w:tc>
          <w:tcPr>
            <w:tcW w:w="700" w:type="dxa"/>
            <w:vAlign w:val="bottom"/>
            <w:shd w:val="clear" w:color="auto" w:fill="000000"/>
          </w:tcPr>
          <w:p>
            <w:pPr>
              <w:spacing w:after="0"/>
              <w:rPr>
                <w:sz w:val="6"/>
                <w:szCs w:val="6"/>
                <w:color w:val="auto"/>
              </w:rPr>
            </w:pPr>
          </w:p>
        </w:tc>
      </w:tr>
      <w:tr>
        <w:trPr>
          <w:trHeight w:val="146"/>
        </w:trPr>
        <w:tc>
          <w:tcPr>
            <w:tcW w:w="3160" w:type="dxa"/>
            <w:vAlign w:val="bottom"/>
          </w:tcPr>
          <w:p>
            <w:pPr>
              <w:spacing w:after="0" w:line="146" w:lineRule="exact"/>
              <w:rPr>
                <w:sz w:val="20"/>
                <w:szCs w:val="20"/>
                <w:color w:val="auto"/>
              </w:rPr>
            </w:pPr>
            <w:r>
              <w:rPr>
                <w:rFonts w:ascii="Arial" w:cs="Arial" w:eastAsia="Arial" w:hAnsi="Arial"/>
                <w:sz w:val="14"/>
                <w:szCs w:val="14"/>
                <w:color w:val="auto"/>
              </w:rPr>
              <w:t>DEPRECIATION AND AMORTIZATION</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SDG&amp;E</w:t>
            </w:r>
          </w:p>
        </w:tc>
        <w:tc>
          <w:tcPr>
            <w:tcW w:w="440" w:type="dxa"/>
            <w:vAlign w:val="bottom"/>
          </w:tcPr>
          <w:p>
            <w:pPr>
              <w:jc w:val="right"/>
              <w:ind w:right="289"/>
              <w:spacing w:after="0" w:line="15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131</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45 %</w:t>
            </w:r>
          </w:p>
        </w:tc>
        <w:tc>
          <w:tcPr>
            <w:tcW w:w="500" w:type="dxa"/>
            <w:vAlign w:val="bottom"/>
          </w:tcPr>
          <w:p>
            <w:pPr>
              <w:jc w:val="right"/>
              <w:ind w:right="289"/>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107</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43 %</w:t>
            </w:r>
          </w:p>
        </w:tc>
        <w:tc>
          <w:tcPr>
            <w:tcW w:w="500" w:type="dxa"/>
            <w:vAlign w:val="bottom"/>
          </w:tcPr>
          <w:p>
            <w:pPr>
              <w:jc w:val="right"/>
              <w:ind w:right="309"/>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261</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45 %</w:t>
            </w:r>
          </w:p>
        </w:tc>
        <w:tc>
          <w:tcPr>
            <w:tcW w:w="500" w:type="dxa"/>
            <w:vAlign w:val="bottom"/>
          </w:tcPr>
          <w:p>
            <w:pPr>
              <w:jc w:val="right"/>
              <w:ind w:right="309"/>
              <w:spacing w:after="0" w:line="15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241</w:t>
            </w:r>
          </w:p>
        </w:tc>
        <w:tc>
          <w:tcPr>
            <w:tcW w:w="700" w:type="dxa"/>
            <w:vAlign w:val="bottom"/>
          </w:tcPr>
          <w:p>
            <w:pPr>
              <w:jc w:val="right"/>
              <w:ind w:right="49"/>
              <w:spacing w:after="0" w:line="159" w:lineRule="exact"/>
              <w:rPr>
                <w:sz w:val="20"/>
                <w:szCs w:val="20"/>
                <w:color w:val="auto"/>
              </w:rPr>
            </w:pPr>
            <w:r>
              <w:rPr>
                <w:rFonts w:ascii="Arial" w:cs="Arial" w:eastAsia="Arial" w:hAnsi="Arial"/>
                <w:sz w:val="14"/>
                <w:szCs w:val="14"/>
                <w:color w:val="auto"/>
              </w:rPr>
              <w:t>44 %</w:t>
            </w: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SoCalGas</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107</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37</w:t>
            </w: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80</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33</w:t>
            </w: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212</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37</w:t>
            </w: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180</w:t>
            </w:r>
          </w:p>
        </w:tc>
        <w:tc>
          <w:tcPr>
            <w:tcW w:w="70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33</w:t>
            </w: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Sempra South American Utilities</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13</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5</w:t>
            </w: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15</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6</w:t>
            </w: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27</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5</w:t>
            </w: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30</w:t>
            </w:r>
          </w:p>
        </w:tc>
        <w:tc>
          <w:tcPr>
            <w:tcW w:w="70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6</w:t>
            </w: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Sempra Mexico</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15</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5</w:t>
            </w: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15</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6</w:t>
            </w: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31</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5</w:t>
            </w: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31</w:t>
            </w:r>
          </w:p>
        </w:tc>
        <w:tc>
          <w:tcPr>
            <w:tcW w:w="70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6</w:t>
            </w: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Sempra Renewables</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2</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w:t>
            </w: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7</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3</w:t>
            </w: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3</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w:t>
            </w: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15</w:t>
            </w:r>
          </w:p>
        </w:tc>
        <w:tc>
          <w:tcPr>
            <w:tcW w:w="70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3</w:t>
            </w: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Sempra Natural Gas</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16</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6</w:t>
            </w: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20</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8</w:t>
            </w: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33</w:t>
            </w:r>
          </w:p>
        </w:tc>
        <w:tc>
          <w:tcPr>
            <w:tcW w:w="62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6</w:t>
            </w: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40</w:t>
            </w:r>
          </w:p>
        </w:tc>
        <w:tc>
          <w:tcPr>
            <w:tcW w:w="70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7</w:t>
            </w:r>
          </w:p>
        </w:tc>
      </w:tr>
      <w:tr>
        <w:trPr>
          <w:trHeight w:val="173"/>
        </w:trPr>
        <w:tc>
          <w:tcPr>
            <w:tcW w:w="3160" w:type="dxa"/>
            <w:vAlign w:val="bottom"/>
          </w:tcPr>
          <w:p>
            <w:pPr>
              <w:ind w:left="80"/>
              <w:spacing w:after="0"/>
              <w:rPr>
                <w:sz w:val="20"/>
                <w:szCs w:val="20"/>
                <w:color w:val="auto"/>
              </w:rPr>
            </w:pPr>
            <w:r>
              <w:rPr>
                <w:rFonts w:ascii="Arial" w:cs="Arial" w:eastAsia="Arial" w:hAnsi="Arial"/>
                <w:sz w:val="14"/>
                <w:szCs w:val="14"/>
                <w:color w:val="auto"/>
              </w:rPr>
              <w:t>All other</w:t>
            </w: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4</w:t>
            </w:r>
          </w:p>
        </w:tc>
        <w:tc>
          <w:tcPr>
            <w:tcW w:w="6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w:t>
            </w: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3</w:t>
            </w:r>
          </w:p>
        </w:tc>
        <w:tc>
          <w:tcPr>
            <w:tcW w:w="6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w:t>
            </w: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7</w:t>
            </w:r>
          </w:p>
        </w:tc>
        <w:tc>
          <w:tcPr>
            <w:tcW w:w="6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w:t>
            </w: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5</w:t>
            </w:r>
          </w:p>
        </w:tc>
        <w:tc>
          <w:tcPr>
            <w:tcW w:w="7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w:t>
            </w:r>
          </w:p>
        </w:tc>
      </w:tr>
      <w:tr>
        <w:trPr>
          <w:trHeight w:val="153"/>
        </w:trPr>
        <w:tc>
          <w:tcPr>
            <w:tcW w:w="3160" w:type="dxa"/>
            <w:vAlign w:val="bottom"/>
          </w:tcPr>
          <w:p>
            <w:pPr>
              <w:ind w:left="240"/>
              <w:spacing w:after="0" w:line="153" w:lineRule="exact"/>
              <w:rPr>
                <w:sz w:val="20"/>
                <w:szCs w:val="20"/>
                <w:color w:val="auto"/>
              </w:rPr>
            </w:pPr>
            <w:r>
              <w:rPr>
                <w:rFonts w:ascii="Arial" w:cs="Arial" w:eastAsia="Arial" w:hAnsi="Arial"/>
                <w:sz w:val="14"/>
                <w:szCs w:val="14"/>
                <w:color w:val="auto"/>
              </w:rPr>
              <w:t>Total</w:t>
            </w:r>
          </w:p>
        </w:tc>
        <w:tc>
          <w:tcPr>
            <w:tcW w:w="440" w:type="dxa"/>
            <w:vAlign w:val="bottom"/>
          </w:tcPr>
          <w:p>
            <w:pPr>
              <w:jc w:val="right"/>
              <w:ind w:right="289"/>
              <w:spacing w:after="0" w:line="153"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288</w:t>
            </w:r>
          </w:p>
        </w:tc>
        <w:tc>
          <w:tcPr>
            <w:tcW w:w="620" w:type="dxa"/>
            <w:vAlign w:val="bottom"/>
          </w:tcPr>
          <w:p>
            <w:pPr>
              <w:jc w:val="right"/>
              <w:spacing w:after="0" w:line="153" w:lineRule="exact"/>
              <w:rPr>
                <w:sz w:val="20"/>
                <w:szCs w:val="20"/>
                <w:color w:val="auto"/>
              </w:rPr>
            </w:pPr>
            <w:r>
              <w:rPr>
                <w:rFonts w:ascii="Arial" w:cs="Arial" w:eastAsia="Arial" w:hAnsi="Arial"/>
                <w:sz w:val="14"/>
                <w:szCs w:val="14"/>
                <w:color w:val="auto"/>
              </w:rPr>
              <w:t>100 %</w:t>
            </w:r>
          </w:p>
        </w:tc>
        <w:tc>
          <w:tcPr>
            <w:tcW w:w="500" w:type="dxa"/>
            <w:vAlign w:val="bottom"/>
          </w:tcPr>
          <w:p>
            <w:pPr>
              <w:jc w:val="right"/>
              <w:ind w:right="289"/>
              <w:spacing w:after="0" w:line="153"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247</w:t>
            </w:r>
          </w:p>
        </w:tc>
        <w:tc>
          <w:tcPr>
            <w:tcW w:w="620" w:type="dxa"/>
            <w:vAlign w:val="bottom"/>
          </w:tcPr>
          <w:p>
            <w:pPr>
              <w:jc w:val="right"/>
              <w:spacing w:after="0" w:line="153" w:lineRule="exact"/>
              <w:rPr>
                <w:sz w:val="20"/>
                <w:szCs w:val="20"/>
                <w:color w:val="auto"/>
              </w:rPr>
            </w:pPr>
            <w:r>
              <w:rPr>
                <w:rFonts w:ascii="Arial" w:cs="Arial" w:eastAsia="Arial" w:hAnsi="Arial"/>
                <w:sz w:val="14"/>
                <w:szCs w:val="14"/>
                <w:color w:val="auto"/>
              </w:rPr>
              <w:t>100 %</w:t>
            </w:r>
          </w:p>
        </w:tc>
        <w:tc>
          <w:tcPr>
            <w:tcW w:w="500" w:type="dxa"/>
            <w:vAlign w:val="bottom"/>
          </w:tcPr>
          <w:p>
            <w:pPr>
              <w:jc w:val="right"/>
              <w:ind w:right="309"/>
              <w:spacing w:after="0" w:line="153"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574</w:t>
            </w:r>
          </w:p>
        </w:tc>
        <w:tc>
          <w:tcPr>
            <w:tcW w:w="620" w:type="dxa"/>
            <w:vAlign w:val="bottom"/>
          </w:tcPr>
          <w:p>
            <w:pPr>
              <w:jc w:val="right"/>
              <w:spacing w:after="0" w:line="153" w:lineRule="exact"/>
              <w:rPr>
                <w:sz w:val="20"/>
                <w:szCs w:val="20"/>
                <w:color w:val="auto"/>
              </w:rPr>
            </w:pPr>
            <w:r>
              <w:rPr>
                <w:rFonts w:ascii="Arial" w:cs="Arial" w:eastAsia="Arial" w:hAnsi="Arial"/>
                <w:sz w:val="14"/>
                <w:szCs w:val="14"/>
                <w:color w:val="auto"/>
              </w:rPr>
              <w:t>100 %</w:t>
            </w:r>
          </w:p>
        </w:tc>
        <w:tc>
          <w:tcPr>
            <w:tcW w:w="500" w:type="dxa"/>
            <w:vAlign w:val="bottom"/>
          </w:tcPr>
          <w:p>
            <w:pPr>
              <w:jc w:val="right"/>
              <w:ind w:right="309"/>
              <w:spacing w:after="0" w:line="153"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49"/>
              <w:spacing w:after="0" w:line="153" w:lineRule="exact"/>
              <w:rPr>
                <w:sz w:val="20"/>
                <w:szCs w:val="20"/>
                <w:color w:val="auto"/>
              </w:rPr>
            </w:pPr>
            <w:r>
              <w:rPr>
                <w:rFonts w:ascii="Arial" w:cs="Arial" w:eastAsia="Arial" w:hAnsi="Arial"/>
                <w:sz w:val="14"/>
                <w:szCs w:val="14"/>
                <w:color w:val="auto"/>
              </w:rPr>
              <w:t>542</w:t>
            </w:r>
          </w:p>
        </w:tc>
        <w:tc>
          <w:tcPr>
            <w:tcW w:w="700" w:type="dxa"/>
            <w:vAlign w:val="bottom"/>
          </w:tcPr>
          <w:p>
            <w:pPr>
              <w:jc w:val="right"/>
              <w:ind w:right="49"/>
              <w:spacing w:after="0" w:line="153" w:lineRule="exact"/>
              <w:rPr>
                <w:sz w:val="20"/>
                <w:szCs w:val="20"/>
                <w:color w:val="auto"/>
              </w:rPr>
            </w:pPr>
            <w:r>
              <w:rPr>
                <w:rFonts w:ascii="Arial" w:cs="Arial" w:eastAsia="Arial" w:hAnsi="Arial"/>
                <w:sz w:val="14"/>
                <w:szCs w:val="14"/>
                <w:color w:val="auto"/>
              </w:rPr>
              <w:t>100 %</w:t>
            </w:r>
          </w:p>
        </w:tc>
      </w:tr>
      <w:tr>
        <w:trPr>
          <w:trHeight w:val="80"/>
        </w:trPr>
        <w:tc>
          <w:tcPr>
            <w:tcW w:w="316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960" w:type="dxa"/>
            <w:vAlign w:val="bottom"/>
            <w:shd w:val="clear" w:color="auto" w:fill="000000"/>
          </w:tcPr>
          <w:p>
            <w:pPr>
              <w:spacing w:after="0"/>
              <w:rPr>
                <w:sz w:val="6"/>
                <w:szCs w:val="6"/>
                <w:color w:val="auto"/>
              </w:rPr>
            </w:pPr>
          </w:p>
        </w:tc>
        <w:tc>
          <w:tcPr>
            <w:tcW w:w="700" w:type="dxa"/>
            <w:vAlign w:val="bottom"/>
            <w:shd w:val="clear" w:color="auto" w:fill="000000"/>
          </w:tcPr>
          <w:p>
            <w:pPr>
              <w:spacing w:after="0"/>
              <w:rPr>
                <w:sz w:val="6"/>
                <w:szCs w:val="6"/>
                <w:color w:val="auto"/>
              </w:rPr>
            </w:pPr>
          </w:p>
        </w:tc>
      </w:tr>
      <w:tr>
        <w:trPr>
          <w:trHeight w:val="146"/>
        </w:trPr>
        <w:tc>
          <w:tcPr>
            <w:tcW w:w="3160" w:type="dxa"/>
            <w:vAlign w:val="bottom"/>
          </w:tcPr>
          <w:p>
            <w:pPr>
              <w:spacing w:after="0" w:line="146" w:lineRule="exact"/>
              <w:rPr>
                <w:sz w:val="20"/>
                <w:szCs w:val="20"/>
                <w:color w:val="auto"/>
              </w:rPr>
            </w:pPr>
            <w:r>
              <w:rPr>
                <w:rFonts w:ascii="Arial" w:cs="Arial" w:eastAsia="Arial" w:hAnsi="Arial"/>
                <w:sz w:val="14"/>
                <w:szCs w:val="14"/>
                <w:color w:val="auto"/>
              </w:rPr>
              <w:t>INCOME TAX EXPENSE (BENEFIT)</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SDG&amp;E</w:t>
            </w:r>
          </w:p>
        </w:tc>
        <w:tc>
          <w:tcPr>
            <w:tcW w:w="440" w:type="dxa"/>
            <w:vAlign w:val="bottom"/>
          </w:tcPr>
          <w:p>
            <w:pPr>
              <w:jc w:val="right"/>
              <w:ind w:right="289"/>
              <w:spacing w:after="0" w:line="15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69</w:t>
            </w:r>
          </w:p>
        </w:tc>
        <w:tc>
          <w:tcPr>
            <w:tcW w:w="620" w:type="dxa"/>
            <w:vAlign w:val="bottom"/>
          </w:tcPr>
          <w:p>
            <w:pPr>
              <w:spacing w:after="0"/>
              <w:rPr>
                <w:sz w:val="13"/>
                <w:szCs w:val="13"/>
                <w:color w:val="auto"/>
              </w:rPr>
            </w:pPr>
          </w:p>
        </w:tc>
        <w:tc>
          <w:tcPr>
            <w:tcW w:w="500" w:type="dxa"/>
            <w:vAlign w:val="bottom"/>
          </w:tcPr>
          <w:p>
            <w:pPr>
              <w:jc w:val="right"/>
              <w:ind w:right="289"/>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12</w:t>
            </w:r>
          </w:p>
        </w:tc>
        <w:tc>
          <w:tcPr>
            <w:tcW w:w="620" w:type="dxa"/>
            <w:vAlign w:val="bottom"/>
          </w:tcPr>
          <w:p>
            <w:pPr>
              <w:spacing w:after="0"/>
              <w:rPr>
                <w:sz w:val="13"/>
                <w:szCs w:val="13"/>
                <w:color w:val="auto"/>
              </w:rPr>
            </w:pPr>
          </w:p>
        </w:tc>
        <w:tc>
          <w:tcPr>
            <w:tcW w:w="500" w:type="dxa"/>
            <w:vAlign w:val="bottom"/>
          </w:tcPr>
          <w:p>
            <w:pPr>
              <w:jc w:val="right"/>
              <w:ind w:right="309"/>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152</w:t>
            </w:r>
          </w:p>
        </w:tc>
        <w:tc>
          <w:tcPr>
            <w:tcW w:w="620" w:type="dxa"/>
            <w:vAlign w:val="bottom"/>
          </w:tcPr>
          <w:p>
            <w:pPr>
              <w:spacing w:after="0"/>
              <w:rPr>
                <w:sz w:val="13"/>
                <w:szCs w:val="13"/>
                <w:color w:val="auto"/>
              </w:rPr>
            </w:pPr>
          </w:p>
        </w:tc>
        <w:tc>
          <w:tcPr>
            <w:tcW w:w="500" w:type="dxa"/>
            <w:vAlign w:val="bottom"/>
          </w:tcPr>
          <w:p>
            <w:pPr>
              <w:jc w:val="right"/>
              <w:ind w:right="309"/>
              <w:spacing w:after="0" w:line="15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63</w:t>
            </w:r>
          </w:p>
        </w:tc>
        <w:tc>
          <w:tcPr>
            <w:tcW w:w="700" w:type="dxa"/>
            <w:vAlign w:val="bottom"/>
          </w:tcPr>
          <w:p>
            <w:pPr>
              <w:spacing w:after="0"/>
              <w:rPr>
                <w:sz w:val="13"/>
                <w:szCs w:val="13"/>
                <w:color w:val="auto"/>
              </w:rPr>
            </w:pP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SoCalGas</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28</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45</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66</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69</w:t>
            </w:r>
          </w:p>
        </w:tc>
        <w:tc>
          <w:tcPr>
            <w:tcW w:w="700" w:type="dxa"/>
            <w:vAlign w:val="bottom"/>
          </w:tcPr>
          <w:p>
            <w:pPr>
              <w:spacing w:after="0"/>
              <w:rPr>
                <w:sz w:val="13"/>
                <w:szCs w:val="13"/>
                <w:color w:val="auto"/>
              </w:rPr>
            </w:pP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Sempra South American Utilities</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18</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17</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33</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34</w:t>
            </w:r>
          </w:p>
        </w:tc>
        <w:tc>
          <w:tcPr>
            <w:tcW w:w="700" w:type="dxa"/>
            <w:vAlign w:val="bottom"/>
          </w:tcPr>
          <w:p>
            <w:pPr>
              <w:spacing w:after="0"/>
              <w:rPr>
                <w:sz w:val="13"/>
                <w:szCs w:val="13"/>
                <w:color w:val="auto"/>
              </w:rPr>
            </w:pP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Sempra Mexico</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12</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2</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24</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28</w:t>
            </w:r>
          </w:p>
        </w:tc>
        <w:tc>
          <w:tcPr>
            <w:tcW w:w="700" w:type="dxa"/>
            <w:vAlign w:val="bottom"/>
          </w:tcPr>
          <w:p>
            <w:pPr>
              <w:spacing w:after="0"/>
              <w:rPr>
                <w:sz w:val="13"/>
                <w:szCs w:val="13"/>
                <w:color w:val="auto"/>
              </w:rPr>
            </w:pP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Sempra Renewables</w:t>
            </w:r>
          </w:p>
        </w:tc>
        <w:tc>
          <w:tcPr>
            <w:tcW w:w="440" w:type="dxa"/>
            <w:vAlign w:val="bottom"/>
          </w:tcPr>
          <w:p>
            <w:pPr>
              <w:spacing w:after="0"/>
              <w:rPr>
                <w:sz w:val="13"/>
                <w:szCs w:val="13"/>
                <w:color w:val="auto"/>
              </w:rPr>
            </w:pPr>
          </w:p>
        </w:tc>
        <w:tc>
          <w:tcPr>
            <w:tcW w:w="92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(13)</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89"/>
              <w:spacing w:after="0" w:line="159" w:lineRule="exact"/>
              <w:rPr>
                <w:sz w:val="20"/>
                <w:szCs w:val="20"/>
                <w:color w:val="auto"/>
              </w:rPr>
            </w:pPr>
            <w:r>
              <w:rPr>
                <w:rFonts w:ascii="Arial" w:cs="Arial" w:eastAsia="Arial" w:hAnsi="Arial"/>
                <w:sz w:val="14"/>
                <w:szCs w:val="14"/>
                <w:color w:val="auto"/>
              </w:rPr>
              <w:t>(9)</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(19)</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(17)</w:t>
            </w:r>
          </w:p>
        </w:tc>
        <w:tc>
          <w:tcPr>
            <w:tcW w:w="700" w:type="dxa"/>
            <w:vAlign w:val="bottom"/>
          </w:tcPr>
          <w:p>
            <w:pPr>
              <w:spacing w:after="0"/>
              <w:rPr>
                <w:sz w:val="13"/>
                <w:szCs w:val="13"/>
                <w:color w:val="auto"/>
              </w:rPr>
            </w:pPr>
          </w:p>
        </w:tc>
      </w:tr>
      <w:tr>
        <w:trPr>
          <w:trHeight w:val="159"/>
        </w:trPr>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Sempra Natural Gas</w:t>
            </w:r>
          </w:p>
        </w:tc>
        <w:tc>
          <w:tcPr>
            <w:tcW w:w="440" w:type="dxa"/>
            <w:vAlign w:val="bottom"/>
          </w:tcPr>
          <w:p>
            <w:pPr>
              <w:spacing w:after="0"/>
              <w:rPr>
                <w:sz w:val="13"/>
                <w:szCs w:val="13"/>
                <w:color w:val="auto"/>
              </w:rPr>
            </w:pP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3</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6</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9</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39</w:t>
            </w:r>
          </w:p>
        </w:tc>
        <w:tc>
          <w:tcPr>
            <w:tcW w:w="700" w:type="dxa"/>
            <w:vAlign w:val="bottom"/>
          </w:tcPr>
          <w:p>
            <w:pPr>
              <w:spacing w:after="0"/>
              <w:rPr>
                <w:sz w:val="13"/>
                <w:szCs w:val="13"/>
                <w:color w:val="auto"/>
              </w:rPr>
            </w:pPr>
          </w:p>
        </w:tc>
      </w:tr>
      <w:tr>
        <w:trPr>
          <w:trHeight w:val="173"/>
        </w:trPr>
        <w:tc>
          <w:tcPr>
            <w:tcW w:w="3160" w:type="dxa"/>
            <w:vAlign w:val="bottom"/>
          </w:tcPr>
          <w:p>
            <w:pPr>
              <w:ind w:left="80"/>
              <w:spacing w:after="0"/>
              <w:rPr>
                <w:sz w:val="20"/>
                <w:szCs w:val="20"/>
                <w:color w:val="auto"/>
              </w:rPr>
            </w:pPr>
            <w:r>
              <w:rPr>
                <w:rFonts w:ascii="Arial" w:cs="Arial" w:eastAsia="Arial" w:hAnsi="Arial"/>
                <w:sz w:val="14"/>
                <w:szCs w:val="14"/>
                <w:color w:val="auto"/>
              </w:rPr>
              <w:t>All other</w:t>
            </w: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(24)</w:t>
            </w:r>
          </w:p>
        </w:tc>
        <w:tc>
          <w:tcPr>
            <w:tcW w:w="6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(41)</w:t>
            </w:r>
          </w:p>
        </w:tc>
        <w:tc>
          <w:tcPr>
            <w:tcW w:w="6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(45)</w:t>
            </w:r>
          </w:p>
        </w:tc>
        <w:tc>
          <w:tcPr>
            <w:tcW w:w="6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w:t>
            </w:r>
          </w:p>
        </w:tc>
        <w:tc>
          <w:tcPr>
            <w:tcW w:w="700" w:type="dxa"/>
            <w:vAlign w:val="bottom"/>
            <w:tcBorders>
              <w:bottom w:val="single" w:sz="8" w:color="auto"/>
            </w:tcBorders>
          </w:tcPr>
          <w:p>
            <w:pPr>
              <w:spacing w:after="0"/>
              <w:rPr>
                <w:sz w:val="15"/>
                <w:szCs w:val="15"/>
                <w:color w:val="auto"/>
              </w:rPr>
            </w:pPr>
          </w:p>
        </w:tc>
      </w:tr>
      <w:tr>
        <w:trPr>
          <w:trHeight w:val="153"/>
        </w:trPr>
        <w:tc>
          <w:tcPr>
            <w:tcW w:w="3160" w:type="dxa"/>
            <w:vAlign w:val="bottom"/>
          </w:tcPr>
          <w:p>
            <w:pPr>
              <w:ind w:left="240"/>
              <w:spacing w:after="0" w:line="153" w:lineRule="exact"/>
              <w:rPr>
                <w:sz w:val="20"/>
                <w:szCs w:val="20"/>
                <w:color w:val="auto"/>
              </w:rPr>
            </w:pPr>
            <w:r>
              <w:rPr>
                <w:rFonts w:ascii="Arial" w:cs="Arial" w:eastAsia="Arial" w:hAnsi="Arial"/>
                <w:sz w:val="14"/>
                <w:szCs w:val="14"/>
                <w:color w:val="auto"/>
              </w:rPr>
              <w:t>Total</w:t>
            </w:r>
          </w:p>
        </w:tc>
        <w:tc>
          <w:tcPr>
            <w:tcW w:w="440" w:type="dxa"/>
            <w:vAlign w:val="bottom"/>
          </w:tcPr>
          <w:p>
            <w:pPr>
              <w:jc w:val="right"/>
              <w:ind w:right="289"/>
              <w:spacing w:after="0" w:line="153"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93</w:t>
            </w:r>
          </w:p>
        </w:tc>
        <w:tc>
          <w:tcPr>
            <w:tcW w:w="620" w:type="dxa"/>
            <w:vAlign w:val="bottom"/>
          </w:tcPr>
          <w:p>
            <w:pPr>
              <w:spacing w:after="0"/>
              <w:rPr>
                <w:sz w:val="13"/>
                <w:szCs w:val="13"/>
                <w:color w:val="auto"/>
              </w:rPr>
            </w:pPr>
          </w:p>
        </w:tc>
        <w:tc>
          <w:tcPr>
            <w:tcW w:w="500" w:type="dxa"/>
            <w:vAlign w:val="bottom"/>
          </w:tcPr>
          <w:p>
            <w:pPr>
              <w:jc w:val="right"/>
              <w:ind w:right="289"/>
              <w:spacing w:after="0" w:line="153"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32</w:t>
            </w:r>
          </w:p>
        </w:tc>
        <w:tc>
          <w:tcPr>
            <w:tcW w:w="620" w:type="dxa"/>
            <w:vAlign w:val="bottom"/>
          </w:tcPr>
          <w:p>
            <w:pPr>
              <w:spacing w:after="0"/>
              <w:rPr>
                <w:sz w:val="13"/>
                <w:szCs w:val="13"/>
                <w:color w:val="auto"/>
              </w:rPr>
            </w:pPr>
          </w:p>
        </w:tc>
        <w:tc>
          <w:tcPr>
            <w:tcW w:w="500" w:type="dxa"/>
            <w:vAlign w:val="bottom"/>
          </w:tcPr>
          <w:p>
            <w:pPr>
              <w:jc w:val="right"/>
              <w:ind w:right="309"/>
              <w:spacing w:after="0" w:line="153"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220</w:t>
            </w:r>
          </w:p>
        </w:tc>
        <w:tc>
          <w:tcPr>
            <w:tcW w:w="620" w:type="dxa"/>
            <w:vAlign w:val="bottom"/>
          </w:tcPr>
          <w:p>
            <w:pPr>
              <w:spacing w:after="0"/>
              <w:rPr>
                <w:sz w:val="13"/>
                <w:szCs w:val="13"/>
                <w:color w:val="auto"/>
              </w:rPr>
            </w:pPr>
          </w:p>
        </w:tc>
        <w:tc>
          <w:tcPr>
            <w:tcW w:w="500" w:type="dxa"/>
            <w:vAlign w:val="bottom"/>
          </w:tcPr>
          <w:p>
            <w:pPr>
              <w:jc w:val="right"/>
              <w:ind w:right="309"/>
              <w:spacing w:after="0" w:line="153"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49"/>
              <w:spacing w:after="0" w:line="153" w:lineRule="exact"/>
              <w:rPr>
                <w:sz w:val="20"/>
                <w:szCs w:val="20"/>
                <w:color w:val="auto"/>
              </w:rPr>
            </w:pPr>
            <w:r>
              <w:rPr>
                <w:rFonts w:ascii="Arial" w:cs="Arial" w:eastAsia="Arial" w:hAnsi="Arial"/>
                <w:sz w:val="14"/>
                <w:szCs w:val="14"/>
                <w:color w:val="auto"/>
              </w:rPr>
              <w:t>210</w:t>
            </w:r>
          </w:p>
        </w:tc>
        <w:tc>
          <w:tcPr>
            <w:tcW w:w="700" w:type="dxa"/>
            <w:vAlign w:val="bottom"/>
          </w:tcPr>
          <w:p>
            <w:pPr>
              <w:spacing w:after="0"/>
              <w:rPr>
                <w:sz w:val="13"/>
                <w:szCs w:val="13"/>
                <w:color w:val="auto"/>
              </w:rPr>
            </w:pPr>
          </w:p>
        </w:tc>
      </w:tr>
      <w:tr>
        <w:trPr>
          <w:trHeight w:val="80"/>
        </w:trPr>
        <w:tc>
          <w:tcPr>
            <w:tcW w:w="316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960" w:type="dxa"/>
            <w:vAlign w:val="bottom"/>
            <w:shd w:val="clear" w:color="auto" w:fill="000000"/>
          </w:tcPr>
          <w:p>
            <w:pPr>
              <w:spacing w:after="0"/>
              <w:rPr>
                <w:sz w:val="6"/>
                <w:szCs w:val="6"/>
                <w:color w:val="auto"/>
              </w:rPr>
            </w:pPr>
          </w:p>
        </w:tc>
        <w:tc>
          <w:tcPr>
            <w:tcW w:w="700" w:type="dxa"/>
            <w:vAlign w:val="bottom"/>
            <w:shd w:val="clear" w:color="auto" w:fill="000000"/>
          </w:tcPr>
          <w:p>
            <w:pPr>
              <w:spacing w:after="0"/>
              <w:rPr>
                <w:sz w:val="6"/>
                <w:szCs w:val="6"/>
                <w:color w:val="auto"/>
              </w:rPr>
            </w:pPr>
          </w:p>
        </w:tc>
      </w:tr>
    </w:tbl>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780" w:type="dxa"/>
            <w:vAlign w:val="bottom"/>
          </w:tcPr>
          <w:p>
            <w:pPr>
              <w:spacing w:after="0"/>
              <w:rPr>
                <w:sz w:val="16"/>
                <w:szCs w:val="16"/>
                <w:color w:val="auto"/>
              </w:rPr>
            </w:pPr>
          </w:p>
        </w:tc>
        <w:tc>
          <w:tcPr>
            <w:tcW w:w="2660" w:type="dxa"/>
            <w:vAlign w:val="bottom"/>
            <w:gridSpan w:val="3"/>
            <w:vMerge w:val="restart"/>
          </w:tcPr>
          <w:p>
            <w:pPr>
              <w:jc w:val="right"/>
              <w:ind w:right="389"/>
              <w:spacing w:after="0"/>
              <w:rPr>
                <w:sz w:val="20"/>
                <w:szCs w:val="20"/>
                <w:color w:val="auto"/>
              </w:rPr>
            </w:pPr>
            <w:r>
              <w:rPr>
                <w:rFonts w:ascii="Arial" w:cs="Arial" w:eastAsia="Arial" w:hAnsi="Arial"/>
                <w:sz w:val="14"/>
                <w:szCs w:val="14"/>
                <w:color w:val="auto"/>
              </w:rPr>
              <w:t>Three months ended June 30,</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80" w:type="dxa"/>
            <w:vAlign w:val="bottom"/>
            <w:gridSpan w:val="3"/>
            <w:vMerge w:val="restart"/>
          </w:tcPr>
          <w:p>
            <w:pPr>
              <w:jc w:val="right"/>
              <w:spacing w:after="0"/>
              <w:rPr>
                <w:sz w:val="20"/>
                <w:szCs w:val="20"/>
                <w:color w:val="auto"/>
              </w:rPr>
            </w:pPr>
            <w:r>
              <w:rPr>
                <w:rFonts w:ascii="Arial" w:cs="Arial" w:eastAsia="Arial" w:hAnsi="Arial"/>
                <w:sz w:val="14"/>
                <w:szCs w:val="14"/>
                <w:color w:val="auto"/>
              </w:rPr>
              <w:t>Six months ended June 30,</w:t>
            </w: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0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gridSpan w:val="3"/>
            <w:vMerge w:val="continue"/>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gridSpan w:val="3"/>
            <w:vMerge w:val="continue"/>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0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2014</w:t>
            </w:r>
          </w:p>
        </w:tc>
        <w:tc>
          <w:tcPr>
            <w:tcW w:w="1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2014</w:t>
            </w: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080" w:type="dxa"/>
            <w:vAlign w:val="bottom"/>
          </w:tcPr>
          <w:p>
            <w:pPr>
              <w:spacing w:after="0" w:line="139" w:lineRule="exact"/>
              <w:rPr>
                <w:sz w:val="20"/>
                <w:szCs w:val="20"/>
                <w:color w:val="auto"/>
              </w:rPr>
            </w:pPr>
            <w:r>
              <w:rPr>
                <w:rFonts w:ascii="Arial" w:cs="Arial" w:eastAsia="Arial" w:hAnsi="Arial"/>
                <w:sz w:val="14"/>
                <w:szCs w:val="14"/>
                <w:color w:val="auto"/>
              </w:rPr>
              <w:t>EQUITY EARNINGS (LOSSES)</w:t>
            </w: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80" w:type="dxa"/>
            <w:vAlign w:val="bottom"/>
          </w:tcPr>
          <w:p>
            <w:pPr>
              <w:ind w:left="40"/>
              <w:spacing w:after="0" w:line="159" w:lineRule="exact"/>
              <w:rPr>
                <w:sz w:val="20"/>
                <w:szCs w:val="20"/>
                <w:color w:val="auto"/>
              </w:rPr>
            </w:pPr>
            <w:r>
              <w:rPr>
                <w:rFonts w:ascii="Arial" w:cs="Arial" w:eastAsia="Arial" w:hAnsi="Arial"/>
                <w:sz w:val="14"/>
                <w:szCs w:val="14"/>
                <w:color w:val="auto"/>
              </w:rPr>
              <w:t>Earnings (losses) recorded before tax:</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080" w:type="dxa"/>
            <w:vAlign w:val="bottom"/>
          </w:tcPr>
          <w:p>
            <w:pPr>
              <w:ind w:left="120"/>
              <w:spacing w:after="0" w:line="159" w:lineRule="exact"/>
              <w:rPr>
                <w:sz w:val="20"/>
                <w:szCs w:val="20"/>
                <w:color w:val="auto"/>
              </w:rPr>
            </w:pPr>
            <w:r>
              <w:rPr>
                <w:rFonts w:ascii="Arial" w:cs="Arial" w:eastAsia="Arial" w:hAnsi="Arial"/>
                <w:sz w:val="14"/>
                <w:szCs w:val="14"/>
                <w:color w:val="auto"/>
              </w:rPr>
              <w:t>Sempra Renewables</w:t>
            </w:r>
          </w:p>
        </w:tc>
        <w:tc>
          <w:tcPr>
            <w:tcW w:w="780" w:type="dxa"/>
            <w:vAlign w:val="bottom"/>
          </w:tcPr>
          <w:p>
            <w:pPr>
              <w:jc w:val="right"/>
              <w:ind w:right="629"/>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9</w:t>
            </w:r>
          </w:p>
        </w:tc>
        <w:tc>
          <w:tcPr>
            <w:tcW w:w="1140" w:type="dxa"/>
            <w:vAlign w:val="bottom"/>
          </w:tcPr>
          <w:p>
            <w:pPr>
              <w:jc w:val="right"/>
              <w:ind w:right="309"/>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line="159" w:lineRule="exact"/>
              <w:rPr>
                <w:sz w:val="20"/>
                <w:szCs w:val="20"/>
                <w:color w:val="auto"/>
              </w:rPr>
            </w:pPr>
            <w:r>
              <w:rPr>
                <w:rFonts w:ascii="Arial" w:cs="Arial" w:eastAsia="Arial" w:hAnsi="Arial"/>
                <w:sz w:val="14"/>
                <w:szCs w:val="14"/>
                <w:color w:val="auto"/>
              </w:rPr>
              <w:t>(3)</w:t>
            </w:r>
          </w:p>
        </w:tc>
        <w:tc>
          <w:tcPr>
            <w:tcW w:w="480" w:type="dxa"/>
            <w:vAlign w:val="bottom"/>
          </w:tcPr>
          <w:p>
            <w:pPr>
              <w:spacing w:after="0"/>
              <w:rPr>
                <w:sz w:val="13"/>
                <w:szCs w:val="13"/>
                <w:color w:val="auto"/>
              </w:rPr>
            </w:pPr>
          </w:p>
        </w:tc>
        <w:tc>
          <w:tcPr>
            <w:tcW w:w="6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11</w:t>
            </w:r>
          </w:p>
        </w:tc>
        <w:tc>
          <w:tcPr>
            <w:tcW w:w="460" w:type="dxa"/>
            <w:vAlign w:val="bottom"/>
          </w:tcPr>
          <w:p>
            <w:pPr>
              <w:spacing w:after="0"/>
              <w:rPr>
                <w:sz w:val="13"/>
                <w:szCs w:val="13"/>
                <w:color w:val="auto"/>
              </w:rPr>
            </w:pPr>
          </w:p>
        </w:tc>
        <w:tc>
          <w:tcPr>
            <w:tcW w:w="1080" w:type="dxa"/>
            <w:vAlign w:val="bottom"/>
          </w:tcPr>
          <w:p>
            <w:pPr>
              <w:jc w:val="right"/>
              <w:ind w:right="709"/>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(2)</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080" w:type="dxa"/>
            <w:vAlign w:val="bottom"/>
          </w:tcPr>
          <w:p>
            <w:pPr>
              <w:ind w:left="120"/>
              <w:spacing w:after="0" w:line="153" w:lineRule="exact"/>
              <w:rPr>
                <w:sz w:val="20"/>
                <w:szCs w:val="20"/>
                <w:color w:val="auto"/>
              </w:rPr>
            </w:pPr>
            <w:r>
              <w:rPr>
                <w:rFonts w:ascii="Arial" w:cs="Arial" w:eastAsia="Arial" w:hAnsi="Arial"/>
                <w:sz w:val="14"/>
                <w:szCs w:val="14"/>
                <w:color w:val="auto"/>
              </w:rPr>
              <w:t>Sempra Natural Gas</w:t>
            </w:r>
          </w:p>
        </w:tc>
        <w:tc>
          <w:tcPr>
            <w:tcW w:w="7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9"/>
              <w:spacing w:after="0" w:line="153" w:lineRule="exact"/>
              <w:rPr>
                <w:sz w:val="20"/>
                <w:szCs w:val="20"/>
                <w:color w:val="auto"/>
              </w:rPr>
            </w:pPr>
            <w:r>
              <w:rPr>
                <w:rFonts w:ascii="Arial" w:cs="Arial" w:eastAsia="Arial" w:hAnsi="Arial"/>
                <w:sz w:val="14"/>
                <w:szCs w:val="14"/>
                <w:color w:val="auto"/>
              </w:rPr>
              <w:t>14</w:t>
            </w:r>
          </w:p>
        </w:tc>
        <w:tc>
          <w:tcPr>
            <w:tcW w:w="1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9"/>
              <w:spacing w:after="0" w:line="153" w:lineRule="exact"/>
              <w:rPr>
                <w:sz w:val="20"/>
                <w:szCs w:val="20"/>
                <w:color w:val="auto"/>
              </w:rPr>
            </w:pPr>
            <w:r>
              <w:rPr>
                <w:rFonts w:ascii="Arial" w:cs="Arial" w:eastAsia="Arial" w:hAnsi="Arial"/>
                <w:sz w:val="14"/>
                <w:szCs w:val="14"/>
                <w:color w:val="auto"/>
              </w:rPr>
              <w:t>11</w:t>
            </w: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49"/>
              <w:spacing w:after="0" w:line="153" w:lineRule="exact"/>
              <w:rPr>
                <w:sz w:val="20"/>
                <w:szCs w:val="20"/>
                <w:color w:val="auto"/>
              </w:rPr>
            </w:pPr>
            <w:r>
              <w:rPr>
                <w:rFonts w:ascii="Arial" w:cs="Arial" w:eastAsia="Arial" w:hAnsi="Arial"/>
                <w:sz w:val="14"/>
                <w:szCs w:val="14"/>
                <w:color w:val="auto"/>
              </w:rPr>
              <w:t>29</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49"/>
              <w:spacing w:after="0" w:line="153" w:lineRule="exact"/>
              <w:rPr>
                <w:sz w:val="20"/>
                <w:szCs w:val="20"/>
                <w:color w:val="auto"/>
              </w:rPr>
            </w:pPr>
            <w:r>
              <w:rPr>
                <w:rFonts w:ascii="Arial" w:cs="Arial" w:eastAsia="Arial" w:hAnsi="Arial"/>
                <w:sz w:val="14"/>
                <w:szCs w:val="14"/>
                <w:color w:val="auto"/>
              </w:rPr>
              <w:t>20</w:t>
            </w: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080" w:type="dxa"/>
            <w:vAlign w:val="bottom"/>
            <w:vMerge w:val="restart"/>
          </w:tcPr>
          <w:p>
            <w:pPr>
              <w:ind w:left="280"/>
              <w:spacing w:after="0"/>
              <w:rPr>
                <w:sz w:val="20"/>
                <w:szCs w:val="20"/>
                <w:color w:val="auto"/>
              </w:rPr>
            </w:pPr>
            <w:r>
              <w:rPr>
                <w:rFonts w:ascii="Arial" w:cs="Arial" w:eastAsia="Arial" w:hAnsi="Arial"/>
                <w:sz w:val="14"/>
                <w:szCs w:val="14"/>
                <w:color w:val="auto"/>
              </w:rPr>
              <w:t>Total</w:t>
            </w:r>
          </w:p>
        </w:tc>
        <w:tc>
          <w:tcPr>
            <w:tcW w:w="780" w:type="dxa"/>
            <w:vAlign w:val="bottom"/>
          </w:tcPr>
          <w:p>
            <w:pPr>
              <w:jc w:val="right"/>
              <w:ind w:right="629"/>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23</w:t>
            </w:r>
          </w:p>
        </w:tc>
        <w:tc>
          <w:tcPr>
            <w:tcW w:w="1140" w:type="dxa"/>
            <w:vAlign w:val="bottom"/>
          </w:tcPr>
          <w:p>
            <w:pPr>
              <w:jc w:val="right"/>
              <w:ind w:right="309"/>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8</w:t>
            </w:r>
          </w:p>
        </w:tc>
        <w:tc>
          <w:tcPr>
            <w:tcW w:w="480" w:type="dxa"/>
            <w:vAlign w:val="bottom"/>
          </w:tcPr>
          <w:p>
            <w:pPr>
              <w:spacing w:after="0"/>
              <w:rPr>
                <w:sz w:val="13"/>
                <w:szCs w:val="13"/>
                <w:color w:val="auto"/>
              </w:rPr>
            </w:pPr>
          </w:p>
        </w:tc>
        <w:tc>
          <w:tcPr>
            <w:tcW w:w="6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40</w:t>
            </w:r>
          </w:p>
        </w:tc>
        <w:tc>
          <w:tcPr>
            <w:tcW w:w="460" w:type="dxa"/>
            <w:vAlign w:val="bottom"/>
          </w:tcPr>
          <w:p>
            <w:pPr>
              <w:spacing w:after="0"/>
              <w:rPr>
                <w:sz w:val="13"/>
                <w:szCs w:val="13"/>
                <w:color w:val="auto"/>
              </w:rPr>
            </w:pPr>
          </w:p>
        </w:tc>
        <w:tc>
          <w:tcPr>
            <w:tcW w:w="1080" w:type="dxa"/>
            <w:vAlign w:val="bottom"/>
          </w:tcPr>
          <w:p>
            <w:pPr>
              <w:jc w:val="right"/>
              <w:ind w:right="709"/>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18</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3080" w:type="dxa"/>
            <w:vAlign w:val="bottom"/>
            <w:vMerge w:val="continue"/>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3080" w:type="dxa"/>
            <w:vAlign w:val="bottom"/>
          </w:tcPr>
          <w:p>
            <w:pPr>
              <w:spacing w:after="0" w:line="146" w:lineRule="exact"/>
              <w:rPr>
                <w:sz w:val="20"/>
                <w:szCs w:val="20"/>
                <w:color w:val="auto"/>
              </w:rPr>
            </w:pPr>
            <w:r>
              <w:rPr>
                <w:rFonts w:ascii="Arial" w:cs="Arial" w:eastAsia="Arial" w:hAnsi="Arial"/>
                <w:sz w:val="14"/>
                <w:szCs w:val="14"/>
                <w:color w:val="auto"/>
              </w:rPr>
              <w:t>Earnings (losses) recorded net of tax:</w:t>
            </w: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80" w:type="dxa"/>
            <w:vAlign w:val="bottom"/>
          </w:tcPr>
          <w:p>
            <w:pPr>
              <w:ind w:left="120"/>
              <w:spacing w:after="0" w:line="159" w:lineRule="exact"/>
              <w:rPr>
                <w:sz w:val="20"/>
                <w:szCs w:val="20"/>
                <w:color w:val="auto"/>
              </w:rPr>
            </w:pPr>
            <w:r>
              <w:rPr>
                <w:rFonts w:ascii="Arial" w:cs="Arial" w:eastAsia="Arial" w:hAnsi="Arial"/>
                <w:sz w:val="14"/>
                <w:szCs w:val="14"/>
                <w:color w:val="auto"/>
              </w:rPr>
              <w:t>Sempra South American Utilities</w:t>
            </w:r>
          </w:p>
        </w:tc>
        <w:tc>
          <w:tcPr>
            <w:tcW w:w="780" w:type="dxa"/>
            <w:vAlign w:val="bottom"/>
          </w:tcPr>
          <w:p>
            <w:pPr>
              <w:jc w:val="right"/>
              <w:ind w:right="629"/>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309"/>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line="159" w:lineRule="exact"/>
              <w:rPr>
                <w:sz w:val="20"/>
                <w:szCs w:val="20"/>
                <w:color w:val="auto"/>
              </w:rPr>
            </w:pPr>
            <w:r>
              <w:rPr>
                <w:rFonts w:ascii="Arial" w:cs="Arial" w:eastAsia="Arial" w:hAnsi="Arial"/>
                <w:sz w:val="14"/>
                <w:szCs w:val="14"/>
                <w:color w:val="auto"/>
              </w:rPr>
              <w:t>(7)</w:t>
            </w:r>
          </w:p>
        </w:tc>
        <w:tc>
          <w:tcPr>
            <w:tcW w:w="480" w:type="dxa"/>
            <w:vAlign w:val="bottom"/>
          </w:tcPr>
          <w:p>
            <w:pPr>
              <w:spacing w:after="0"/>
              <w:rPr>
                <w:sz w:val="13"/>
                <w:szCs w:val="13"/>
                <w:color w:val="auto"/>
              </w:rPr>
            </w:pPr>
          </w:p>
        </w:tc>
        <w:tc>
          <w:tcPr>
            <w:tcW w:w="6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(2)</w:t>
            </w:r>
          </w:p>
        </w:tc>
        <w:tc>
          <w:tcPr>
            <w:tcW w:w="460" w:type="dxa"/>
            <w:vAlign w:val="bottom"/>
          </w:tcPr>
          <w:p>
            <w:pPr>
              <w:spacing w:after="0"/>
              <w:rPr>
                <w:sz w:val="13"/>
                <w:szCs w:val="13"/>
                <w:color w:val="auto"/>
              </w:rPr>
            </w:pPr>
          </w:p>
        </w:tc>
        <w:tc>
          <w:tcPr>
            <w:tcW w:w="1080" w:type="dxa"/>
            <w:vAlign w:val="bottom"/>
          </w:tcPr>
          <w:p>
            <w:pPr>
              <w:jc w:val="right"/>
              <w:ind w:right="709"/>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(14)</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080" w:type="dxa"/>
            <w:vAlign w:val="bottom"/>
          </w:tcPr>
          <w:p>
            <w:pPr>
              <w:ind w:left="120"/>
              <w:spacing w:after="0" w:line="153" w:lineRule="exact"/>
              <w:rPr>
                <w:sz w:val="20"/>
                <w:szCs w:val="20"/>
                <w:color w:val="auto"/>
              </w:rPr>
            </w:pPr>
            <w:r>
              <w:rPr>
                <w:rFonts w:ascii="Arial" w:cs="Arial" w:eastAsia="Arial" w:hAnsi="Arial"/>
                <w:sz w:val="14"/>
                <w:szCs w:val="14"/>
                <w:color w:val="auto"/>
              </w:rPr>
              <w:t>Sempra Mexico</w:t>
            </w:r>
          </w:p>
        </w:tc>
        <w:tc>
          <w:tcPr>
            <w:tcW w:w="7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9"/>
              <w:spacing w:after="0" w:line="153" w:lineRule="exact"/>
              <w:rPr>
                <w:sz w:val="20"/>
                <w:szCs w:val="20"/>
                <w:color w:val="auto"/>
              </w:rPr>
            </w:pPr>
            <w:r>
              <w:rPr>
                <w:rFonts w:ascii="Arial" w:cs="Arial" w:eastAsia="Arial" w:hAnsi="Arial"/>
                <w:sz w:val="14"/>
                <w:szCs w:val="14"/>
                <w:color w:val="auto"/>
              </w:rPr>
              <w:t>9</w:t>
            </w:r>
          </w:p>
        </w:tc>
        <w:tc>
          <w:tcPr>
            <w:tcW w:w="1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9"/>
              <w:spacing w:after="0" w:line="153" w:lineRule="exact"/>
              <w:rPr>
                <w:sz w:val="20"/>
                <w:szCs w:val="20"/>
                <w:color w:val="auto"/>
              </w:rPr>
            </w:pPr>
            <w:r>
              <w:rPr>
                <w:rFonts w:ascii="Arial" w:cs="Arial" w:eastAsia="Arial" w:hAnsi="Arial"/>
                <w:sz w:val="14"/>
                <w:szCs w:val="14"/>
                <w:color w:val="auto"/>
              </w:rPr>
              <w:t>8</w:t>
            </w: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49"/>
              <w:spacing w:after="0" w:line="153" w:lineRule="exact"/>
              <w:rPr>
                <w:sz w:val="20"/>
                <w:szCs w:val="20"/>
                <w:color w:val="auto"/>
              </w:rPr>
            </w:pPr>
            <w:r>
              <w:rPr>
                <w:rFonts w:ascii="Arial" w:cs="Arial" w:eastAsia="Arial" w:hAnsi="Arial"/>
                <w:sz w:val="14"/>
                <w:szCs w:val="14"/>
                <w:color w:val="auto"/>
              </w:rPr>
              <w:t>17</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49"/>
              <w:spacing w:after="0" w:line="153" w:lineRule="exact"/>
              <w:rPr>
                <w:sz w:val="20"/>
                <w:szCs w:val="20"/>
                <w:color w:val="auto"/>
              </w:rPr>
            </w:pPr>
            <w:r>
              <w:rPr>
                <w:rFonts w:ascii="Arial" w:cs="Arial" w:eastAsia="Arial" w:hAnsi="Arial"/>
                <w:sz w:val="14"/>
                <w:szCs w:val="14"/>
                <w:color w:val="auto"/>
              </w:rPr>
              <w:t>19</w:t>
            </w: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080" w:type="dxa"/>
            <w:vAlign w:val="bottom"/>
          </w:tcPr>
          <w:p>
            <w:pPr>
              <w:ind w:left="280"/>
              <w:spacing w:after="0" w:line="159" w:lineRule="exact"/>
              <w:rPr>
                <w:sz w:val="20"/>
                <w:szCs w:val="20"/>
                <w:color w:val="auto"/>
              </w:rPr>
            </w:pPr>
            <w:r>
              <w:rPr>
                <w:rFonts w:ascii="Arial" w:cs="Arial" w:eastAsia="Arial" w:hAnsi="Arial"/>
                <w:sz w:val="14"/>
                <w:szCs w:val="14"/>
                <w:color w:val="auto"/>
              </w:rPr>
              <w:t>Total</w:t>
            </w:r>
          </w:p>
        </w:tc>
        <w:tc>
          <w:tcPr>
            <w:tcW w:w="780" w:type="dxa"/>
            <w:vAlign w:val="bottom"/>
          </w:tcPr>
          <w:p>
            <w:pPr>
              <w:jc w:val="right"/>
              <w:ind w:right="629"/>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9</w:t>
            </w:r>
          </w:p>
        </w:tc>
        <w:tc>
          <w:tcPr>
            <w:tcW w:w="1140" w:type="dxa"/>
            <w:vAlign w:val="bottom"/>
          </w:tcPr>
          <w:p>
            <w:pPr>
              <w:jc w:val="right"/>
              <w:ind w:right="309"/>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w:t>
            </w:r>
          </w:p>
        </w:tc>
        <w:tc>
          <w:tcPr>
            <w:tcW w:w="480" w:type="dxa"/>
            <w:vAlign w:val="bottom"/>
          </w:tcPr>
          <w:p>
            <w:pPr>
              <w:spacing w:after="0"/>
              <w:rPr>
                <w:sz w:val="13"/>
                <w:szCs w:val="13"/>
                <w:color w:val="auto"/>
              </w:rPr>
            </w:pPr>
          </w:p>
        </w:tc>
        <w:tc>
          <w:tcPr>
            <w:tcW w:w="6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15</w:t>
            </w:r>
          </w:p>
        </w:tc>
        <w:tc>
          <w:tcPr>
            <w:tcW w:w="460" w:type="dxa"/>
            <w:vAlign w:val="bottom"/>
          </w:tcPr>
          <w:p>
            <w:pPr>
              <w:spacing w:after="0"/>
              <w:rPr>
                <w:sz w:val="13"/>
                <w:szCs w:val="13"/>
                <w:color w:val="auto"/>
              </w:rPr>
            </w:pPr>
          </w:p>
        </w:tc>
        <w:tc>
          <w:tcPr>
            <w:tcW w:w="1080" w:type="dxa"/>
            <w:vAlign w:val="bottom"/>
          </w:tcPr>
          <w:p>
            <w:pPr>
              <w:jc w:val="right"/>
              <w:ind w:right="709"/>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5</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308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94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3080" w:type="dxa"/>
            <w:vAlign w:val="bottom"/>
          </w:tcPr>
          <w:p>
            <w:pPr>
              <w:spacing w:after="0" w:line="146" w:lineRule="exact"/>
              <w:rPr>
                <w:sz w:val="20"/>
                <w:szCs w:val="20"/>
                <w:color w:val="auto"/>
              </w:rPr>
            </w:pPr>
            <w:r>
              <w:rPr>
                <w:rFonts w:ascii="Arial" w:cs="Arial" w:eastAsia="Arial" w:hAnsi="Arial"/>
                <w:sz w:val="14"/>
                <w:szCs w:val="14"/>
                <w:color w:val="auto"/>
              </w:rPr>
              <w:t>EARNINGS (LOSSES)</w:t>
            </w: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80" w:type="dxa"/>
            <w:vAlign w:val="bottom"/>
          </w:tcPr>
          <w:p>
            <w:pPr>
              <w:ind w:left="120"/>
              <w:spacing w:after="0" w:line="159" w:lineRule="exact"/>
              <w:rPr>
                <w:sz w:val="20"/>
                <w:szCs w:val="20"/>
                <w:color w:val="auto"/>
              </w:rPr>
            </w:pPr>
            <w:r>
              <w:rPr>
                <w:rFonts w:ascii="Arial" w:cs="Arial" w:eastAsia="Arial" w:hAnsi="Arial"/>
                <w:sz w:val="14"/>
                <w:szCs w:val="14"/>
                <w:color w:val="auto"/>
              </w:rPr>
              <w:t>SDG&amp;E(2)</w:t>
            </w:r>
          </w:p>
        </w:tc>
        <w:tc>
          <w:tcPr>
            <w:tcW w:w="780" w:type="dxa"/>
            <w:vAlign w:val="bottom"/>
          </w:tcPr>
          <w:p>
            <w:pPr>
              <w:jc w:val="right"/>
              <w:ind w:right="629"/>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123</w:t>
            </w:r>
          </w:p>
        </w:tc>
        <w:tc>
          <w:tcPr>
            <w:tcW w:w="1140" w:type="dxa"/>
            <w:vAlign w:val="bottom"/>
          </w:tcPr>
          <w:p>
            <w:pPr>
              <w:jc w:val="right"/>
              <w:ind w:right="309"/>
              <w:spacing w:after="0" w:line="159" w:lineRule="exact"/>
              <w:rPr>
                <w:sz w:val="20"/>
                <w:szCs w:val="20"/>
                <w:color w:val="auto"/>
              </w:rPr>
            </w:pPr>
            <w:r>
              <w:rPr>
                <w:rFonts w:ascii="Arial" w:cs="Arial" w:eastAsia="Arial" w:hAnsi="Arial"/>
                <w:sz w:val="14"/>
                <w:szCs w:val="14"/>
                <w:color w:val="auto"/>
              </w:rPr>
              <w:t>46 % $</w:t>
            </w: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65</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26</w:t>
            </w:r>
          </w:p>
        </w:tc>
        <w:tc>
          <w:tcPr>
            <w:tcW w:w="6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 $</w:t>
            </w:r>
          </w:p>
        </w:tc>
        <w:tc>
          <w:tcPr>
            <w:tcW w:w="94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222</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43</w:t>
            </w:r>
          </w:p>
        </w:tc>
        <w:tc>
          <w:tcPr>
            <w:tcW w:w="1080" w:type="dxa"/>
            <w:vAlign w:val="bottom"/>
          </w:tcPr>
          <w:p>
            <w:pPr>
              <w:jc w:val="right"/>
              <w:ind w:right="709"/>
              <w:spacing w:after="0" w:line="159" w:lineRule="exact"/>
              <w:rPr>
                <w:sz w:val="20"/>
                <w:szCs w:val="20"/>
                <w:color w:val="auto"/>
              </w:rPr>
            </w:pPr>
            <w:r>
              <w:rPr>
                <w:rFonts w:ascii="Arial" w:cs="Arial" w:eastAsia="Arial" w:hAnsi="Arial"/>
                <w:sz w:val="14"/>
                <w:szCs w:val="14"/>
                <w:color w:val="auto"/>
              </w:rPr>
              <w:t>% $</w:t>
            </w:r>
          </w:p>
        </w:tc>
        <w:tc>
          <w:tcPr>
            <w:tcW w:w="5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156</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37</w:t>
            </w: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080" w:type="dxa"/>
            <w:vAlign w:val="bottom"/>
          </w:tcPr>
          <w:p>
            <w:pPr>
              <w:ind w:left="120"/>
              <w:spacing w:after="0" w:line="159" w:lineRule="exact"/>
              <w:rPr>
                <w:sz w:val="20"/>
                <w:szCs w:val="20"/>
                <w:color w:val="auto"/>
              </w:rPr>
            </w:pPr>
            <w:r>
              <w:rPr>
                <w:rFonts w:ascii="Arial" w:cs="Arial" w:eastAsia="Arial" w:hAnsi="Arial"/>
                <w:sz w:val="14"/>
                <w:szCs w:val="14"/>
                <w:color w:val="auto"/>
              </w:rPr>
              <w:t>SoCalGas(3)</w:t>
            </w:r>
          </w:p>
        </w:tc>
        <w:tc>
          <w:tcPr>
            <w:tcW w:w="780" w:type="dxa"/>
            <w:vAlign w:val="bottom"/>
          </w:tcPr>
          <w:p>
            <w:pPr>
              <w:spacing w:after="0"/>
              <w:rPr>
                <w:sz w:val="13"/>
                <w:szCs w:val="13"/>
                <w:color w:val="auto"/>
              </w:rPr>
            </w:pPr>
          </w:p>
        </w:tc>
        <w:tc>
          <w:tcPr>
            <w:tcW w:w="6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80</w:t>
            </w:r>
          </w:p>
        </w:tc>
        <w:tc>
          <w:tcPr>
            <w:tcW w:w="1140" w:type="dxa"/>
            <w:vAlign w:val="bottom"/>
          </w:tcPr>
          <w:p>
            <w:pPr>
              <w:jc w:val="right"/>
              <w:ind w:right="669"/>
              <w:spacing w:after="0" w:line="159" w:lineRule="exact"/>
              <w:rPr>
                <w:sz w:val="20"/>
                <w:szCs w:val="20"/>
                <w:color w:val="auto"/>
              </w:rPr>
            </w:pPr>
            <w:r>
              <w:rPr>
                <w:rFonts w:ascii="Arial" w:cs="Arial" w:eastAsia="Arial" w:hAnsi="Arial"/>
                <w:sz w:val="14"/>
                <w:szCs w:val="14"/>
                <w:color w:val="auto"/>
              </w:rPr>
              <w:t>30</w:t>
            </w: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118</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48</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158</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31</w:t>
            </w:r>
          </w:p>
        </w:tc>
        <w:tc>
          <w:tcPr>
            <w:tcW w:w="1080" w:type="dxa"/>
            <w:vAlign w:val="bottom"/>
          </w:tcPr>
          <w:p>
            <w:pPr>
              <w:spacing w:after="0"/>
              <w:rPr>
                <w:sz w:val="13"/>
                <w:szCs w:val="13"/>
                <w:color w:val="auto"/>
              </w:rPr>
            </w:pPr>
          </w:p>
        </w:tc>
        <w:tc>
          <w:tcPr>
            <w:tcW w:w="5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164</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39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080" w:type="dxa"/>
            <w:vAlign w:val="bottom"/>
          </w:tcPr>
          <w:p>
            <w:pPr>
              <w:ind w:left="120"/>
              <w:spacing w:after="0" w:line="159" w:lineRule="exact"/>
              <w:rPr>
                <w:sz w:val="20"/>
                <w:szCs w:val="20"/>
                <w:color w:val="auto"/>
              </w:rPr>
            </w:pPr>
            <w:r>
              <w:rPr>
                <w:rFonts w:ascii="Arial" w:cs="Arial" w:eastAsia="Arial" w:hAnsi="Arial"/>
                <w:sz w:val="14"/>
                <w:szCs w:val="14"/>
                <w:color w:val="auto"/>
              </w:rPr>
              <w:t>Sempra South American Utilities</w:t>
            </w:r>
          </w:p>
        </w:tc>
        <w:tc>
          <w:tcPr>
            <w:tcW w:w="780" w:type="dxa"/>
            <w:vAlign w:val="bottom"/>
          </w:tcPr>
          <w:p>
            <w:pPr>
              <w:spacing w:after="0"/>
              <w:rPr>
                <w:sz w:val="13"/>
                <w:szCs w:val="13"/>
                <w:color w:val="auto"/>
              </w:rPr>
            </w:pPr>
          </w:p>
        </w:tc>
        <w:tc>
          <w:tcPr>
            <w:tcW w:w="6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42</w:t>
            </w:r>
          </w:p>
        </w:tc>
        <w:tc>
          <w:tcPr>
            <w:tcW w:w="1140" w:type="dxa"/>
            <w:vAlign w:val="bottom"/>
          </w:tcPr>
          <w:p>
            <w:pPr>
              <w:jc w:val="right"/>
              <w:ind w:right="669"/>
              <w:spacing w:after="0" w:line="159" w:lineRule="exact"/>
              <w:rPr>
                <w:sz w:val="20"/>
                <w:szCs w:val="20"/>
                <w:color w:val="auto"/>
              </w:rPr>
            </w:pPr>
            <w:r>
              <w:rPr>
                <w:rFonts w:ascii="Arial" w:cs="Arial" w:eastAsia="Arial" w:hAnsi="Arial"/>
                <w:sz w:val="14"/>
                <w:szCs w:val="14"/>
                <w:color w:val="auto"/>
              </w:rPr>
              <w:t>15</w:t>
            </w: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34</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77</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15</w:t>
            </w:r>
          </w:p>
        </w:tc>
        <w:tc>
          <w:tcPr>
            <w:tcW w:w="1080" w:type="dxa"/>
            <w:vAlign w:val="bottom"/>
          </w:tcPr>
          <w:p>
            <w:pPr>
              <w:spacing w:after="0"/>
              <w:rPr>
                <w:sz w:val="13"/>
                <w:szCs w:val="13"/>
                <w:color w:val="auto"/>
              </w:rPr>
            </w:pPr>
          </w:p>
        </w:tc>
        <w:tc>
          <w:tcPr>
            <w:tcW w:w="5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71</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080" w:type="dxa"/>
            <w:vAlign w:val="bottom"/>
          </w:tcPr>
          <w:p>
            <w:pPr>
              <w:ind w:left="120"/>
              <w:spacing w:after="0" w:line="159" w:lineRule="exact"/>
              <w:rPr>
                <w:sz w:val="20"/>
                <w:szCs w:val="20"/>
                <w:color w:val="auto"/>
              </w:rPr>
            </w:pPr>
            <w:r>
              <w:rPr>
                <w:rFonts w:ascii="Arial" w:cs="Arial" w:eastAsia="Arial" w:hAnsi="Arial"/>
                <w:sz w:val="14"/>
                <w:szCs w:val="14"/>
                <w:color w:val="auto"/>
              </w:rPr>
              <w:t>Sempra Mexico</w:t>
            </w:r>
          </w:p>
        </w:tc>
        <w:tc>
          <w:tcPr>
            <w:tcW w:w="780" w:type="dxa"/>
            <w:vAlign w:val="bottom"/>
          </w:tcPr>
          <w:p>
            <w:pPr>
              <w:spacing w:after="0"/>
              <w:rPr>
                <w:sz w:val="13"/>
                <w:szCs w:val="13"/>
                <w:color w:val="auto"/>
              </w:rPr>
            </w:pPr>
          </w:p>
        </w:tc>
        <w:tc>
          <w:tcPr>
            <w:tcW w:w="6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34</w:t>
            </w:r>
          </w:p>
        </w:tc>
        <w:tc>
          <w:tcPr>
            <w:tcW w:w="1140" w:type="dxa"/>
            <w:vAlign w:val="bottom"/>
          </w:tcPr>
          <w:p>
            <w:pPr>
              <w:jc w:val="right"/>
              <w:ind w:right="669"/>
              <w:spacing w:after="0" w:line="159" w:lineRule="exact"/>
              <w:rPr>
                <w:sz w:val="20"/>
                <w:szCs w:val="20"/>
                <w:color w:val="auto"/>
              </w:rPr>
            </w:pPr>
            <w:r>
              <w:rPr>
                <w:rFonts w:ascii="Arial" w:cs="Arial" w:eastAsia="Arial" w:hAnsi="Arial"/>
                <w:sz w:val="14"/>
                <w:szCs w:val="14"/>
                <w:color w:val="auto"/>
              </w:rPr>
              <w:t>13</w:t>
            </w: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26</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11</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76</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15</w:t>
            </w:r>
          </w:p>
        </w:tc>
        <w:tc>
          <w:tcPr>
            <w:tcW w:w="1080" w:type="dxa"/>
            <w:vAlign w:val="bottom"/>
          </w:tcPr>
          <w:p>
            <w:pPr>
              <w:spacing w:after="0"/>
              <w:rPr>
                <w:sz w:val="13"/>
                <w:szCs w:val="13"/>
                <w:color w:val="auto"/>
              </w:rPr>
            </w:pPr>
          </w:p>
        </w:tc>
        <w:tc>
          <w:tcPr>
            <w:tcW w:w="5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57</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080" w:type="dxa"/>
            <w:vAlign w:val="bottom"/>
          </w:tcPr>
          <w:p>
            <w:pPr>
              <w:ind w:left="120"/>
              <w:spacing w:after="0" w:line="159" w:lineRule="exact"/>
              <w:rPr>
                <w:sz w:val="20"/>
                <w:szCs w:val="20"/>
                <w:color w:val="auto"/>
              </w:rPr>
            </w:pPr>
            <w:r>
              <w:rPr>
                <w:rFonts w:ascii="Arial" w:cs="Arial" w:eastAsia="Arial" w:hAnsi="Arial"/>
                <w:sz w:val="14"/>
                <w:szCs w:val="14"/>
                <w:color w:val="auto"/>
              </w:rPr>
              <w:t>Sempra Renewables</w:t>
            </w:r>
          </w:p>
        </w:tc>
        <w:tc>
          <w:tcPr>
            <w:tcW w:w="780" w:type="dxa"/>
            <w:vAlign w:val="bottom"/>
          </w:tcPr>
          <w:p>
            <w:pPr>
              <w:spacing w:after="0"/>
              <w:rPr>
                <w:sz w:val="13"/>
                <w:szCs w:val="13"/>
                <w:color w:val="auto"/>
              </w:rPr>
            </w:pPr>
          </w:p>
        </w:tc>
        <w:tc>
          <w:tcPr>
            <w:tcW w:w="6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18</w:t>
            </w:r>
          </w:p>
        </w:tc>
        <w:tc>
          <w:tcPr>
            <w:tcW w:w="1140" w:type="dxa"/>
            <w:vAlign w:val="bottom"/>
          </w:tcPr>
          <w:p>
            <w:pPr>
              <w:jc w:val="right"/>
              <w:ind w:right="669"/>
              <w:spacing w:after="0" w:line="159" w:lineRule="exact"/>
              <w:rPr>
                <w:sz w:val="20"/>
                <w:szCs w:val="20"/>
                <w:color w:val="auto"/>
              </w:rPr>
            </w:pPr>
            <w:r>
              <w:rPr>
                <w:rFonts w:ascii="Arial" w:cs="Arial" w:eastAsia="Arial" w:hAnsi="Arial"/>
                <w:sz w:val="14"/>
                <w:szCs w:val="14"/>
                <w:color w:val="auto"/>
              </w:rPr>
              <w:t>7</w:t>
            </w: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15</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6</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46</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9</w:t>
            </w:r>
          </w:p>
        </w:tc>
        <w:tc>
          <w:tcPr>
            <w:tcW w:w="1080" w:type="dxa"/>
            <w:vAlign w:val="bottom"/>
          </w:tcPr>
          <w:p>
            <w:pPr>
              <w:spacing w:after="0"/>
              <w:rPr>
                <w:sz w:val="13"/>
                <w:szCs w:val="13"/>
                <w:color w:val="auto"/>
              </w:rPr>
            </w:pPr>
          </w:p>
        </w:tc>
        <w:tc>
          <w:tcPr>
            <w:tcW w:w="5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19</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080" w:type="dxa"/>
            <w:vAlign w:val="bottom"/>
          </w:tcPr>
          <w:p>
            <w:pPr>
              <w:ind w:left="120"/>
              <w:spacing w:after="0" w:line="159" w:lineRule="exact"/>
              <w:rPr>
                <w:sz w:val="20"/>
                <w:szCs w:val="20"/>
                <w:color w:val="auto"/>
              </w:rPr>
            </w:pPr>
            <w:r>
              <w:rPr>
                <w:rFonts w:ascii="Arial" w:cs="Arial" w:eastAsia="Arial" w:hAnsi="Arial"/>
                <w:sz w:val="14"/>
                <w:szCs w:val="14"/>
                <w:color w:val="auto"/>
              </w:rPr>
              <w:t>Sempra Natural Gas</w:t>
            </w:r>
          </w:p>
        </w:tc>
        <w:tc>
          <w:tcPr>
            <w:tcW w:w="780" w:type="dxa"/>
            <w:vAlign w:val="bottom"/>
          </w:tcPr>
          <w:p>
            <w:pPr>
              <w:spacing w:after="0"/>
              <w:rPr>
                <w:sz w:val="13"/>
                <w:szCs w:val="13"/>
                <w:color w:val="auto"/>
              </w:rPr>
            </w:pPr>
          </w:p>
        </w:tc>
        <w:tc>
          <w:tcPr>
            <w:tcW w:w="6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4</w:t>
            </w:r>
          </w:p>
        </w:tc>
        <w:tc>
          <w:tcPr>
            <w:tcW w:w="1140" w:type="dxa"/>
            <w:vAlign w:val="bottom"/>
          </w:tcPr>
          <w:p>
            <w:pPr>
              <w:jc w:val="right"/>
              <w:ind w:right="669"/>
              <w:spacing w:after="0" w:line="159" w:lineRule="exact"/>
              <w:rPr>
                <w:sz w:val="20"/>
                <w:szCs w:val="20"/>
                <w:color w:val="auto"/>
              </w:rPr>
            </w:pPr>
            <w:r>
              <w:rPr>
                <w:rFonts w:ascii="Arial" w:cs="Arial" w:eastAsia="Arial" w:hAnsi="Arial"/>
                <w:sz w:val="14"/>
                <w:szCs w:val="14"/>
                <w:color w:val="auto"/>
              </w:rPr>
              <w:t>1</w:t>
            </w:r>
          </w:p>
        </w:tc>
        <w:tc>
          <w:tcPr>
            <w:tcW w:w="92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9</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13</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1080" w:type="dxa"/>
            <w:vAlign w:val="bottom"/>
          </w:tcPr>
          <w:p>
            <w:pPr>
              <w:spacing w:after="0"/>
              <w:rPr>
                <w:sz w:val="13"/>
                <w:szCs w:val="13"/>
                <w:color w:val="auto"/>
              </w:rPr>
            </w:pPr>
          </w:p>
        </w:tc>
        <w:tc>
          <w:tcPr>
            <w:tcW w:w="5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62</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80" w:type="dxa"/>
            <w:vAlign w:val="bottom"/>
          </w:tcPr>
          <w:p>
            <w:pPr>
              <w:ind w:left="120"/>
              <w:spacing w:after="0"/>
              <w:rPr>
                <w:sz w:val="20"/>
                <w:szCs w:val="20"/>
                <w:color w:val="auto"/>
              </w:rPr>
            </w:pPr>
            <w:r>
              <w:rPr>
                <w:rFonts w:ascii="Arial" w:cs="Arial" w:eastAsia="Arial" w:hAnsi="Arial"/>
                <w:sz w:val="14"/>
                <w:szCs w:val="14"/>
                <w:color w:val="auto"/>
              </w:rPr>
              <w:t>All other</w:t>
            </w:r>
          </w:p>
        </w:tc>
        <w:tc>
          <w:tcPr>
            <w:tcW w:w="7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(32)</w:t>
            </w:r>
          </w:p>
        </w:tc>
        <w:tc>
          <w:tcPr>
            <w:tcW w:w="114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color w:val="auto"/>
              </w:rPr>
              <w:t>(12)</w:t>
            </w: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(76)</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(106)</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80"/>
              <w:spacing w:after="0" w:line="153" w:lineRule="exact"/>
              <w:rPr>
                <w:sz w:val="20"/>
                <w:szCs w:val="20"/>
                <w:color w:val="auto"/>
              </w:rPr>
            </w:pPr>
            <w:r>
              <w:rPr>
                <w:rFonts w:ascii="Arial" w:cs="Arial" w:eastAsia="Arial" w:hAnsi="Arial"/>
                <w:sz w:val="14"/>
                <w:szCs w:val="14"/>
                <w:color w:val="auto"/>
              </w:rPr>
              <w:t>Total</w:t>
            </w:r>
          </w:p>
        </w:tc>
        <w:tc>
          <w:tcPr>
            <w:tcW w:w="780" w:type="dxa"/>
            <w:vAlign w:val="bottom"/>
          </w:tcPr>
          <w:p>
            <w:pPr>
              <w:jc w:val="right"/>
              <w:ind w:right="629"/>
              <w:spacing w:after="0" w:line="153"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269</w:t>
            </w:r>
          </w:p>
        </w:tc>
        <w:tc>
          <w:tcPr>
            <w:tcW w:w="1140" w:type="dxa"/>
            <w:vAlign w:val="bottom"/>
          </w:tcPr>
          <w:p>
            <w:pPr>
              <w:jc w:val="right"/>
              <w:ind w:right="309"/>
              <w:spacing w:after="0" w:line="153" w:lineRule="exact"/>
              <w:rPr>
                <w:sz w:val="20"/>
                <w:szCs w:val="20"/>
                <w:color w:val="auto"/>
              </w:rPr>
            </w:pPr>
            <w:r>
              <w:rPr>
                <w:rFonts w:ascii="Arial" w:cs="Arial" w:eastAsia="Arial" w:hAnsi="Arial"/>
                <w:sz w:val="14"/>
                <w:szCs w:val="14"/>
                <w:color w:val="auto"/>
              </w:rPr>
              <w:t>100 %  $</w:t>
            </w:r>
          </w:p>
        </w:tc>
        <w:tc>
          <w:tcPr>
            <w:tcW w:w="92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245</w:t>
            </w:r>
          </w:p>
        </w:tc>
        <w:tc>
          <w:tcPr>
            <w:tcW w:w="480" w:type="dxa"/>
            <w:vAlign w:val="bottom"/>
          </w:tcPr>
          <w:p>
            <w:pPr>
              <w:jc w:val="right"/>
              <w:spacing w:after="0" w:line="153" w:lineRule="exact"/>
              <w:rPr>
                <w:sz w:val="20"/>
                <w:szCs w:val="20"/>
                <w:color w:val="auto"/>
              </w:rPr>
            </w:pPr>
            <w:r>
              <w:rPr>
                <w:rFonts w:ascii="Arial" w:cs="Arial" w:eastAsia="Arial" w:hAnsi="Arial"/>
                <w:sz w:val="14"/>
                <w:szCs w:val="14"/>
                <w:color w:val="auto"/>
              </w:rPr>
              <w:t>100</w:t>
            </w:r>
          </w:p>
        </w:tc>
        <w:tc>
          <w:tcPr>
            <w:tcW w:w="680" w:type="dxa"/>
            <w:vAlign w:val="bottom"/>
            <w:gridSpan w:val="2"/>
          </w:tcPr>
          <w:p>
            <w:pPr>
              <w:jc w:val="right"/>
              <w:ind w:right="400"/>
              <w:spacing w:after="0" w:line="153" w:lineRule="exact"/>
              <w:rPr>
                <w:sz w:val="20"/>
                <w:szCs w:val="20"/>
                <w:color w:val="auto"/>
              </w:rPr>
            </w:pPr>
            <w:r>
              <w:rPr>
                <w:rFonts w:ascii="Arial" w:cs="Arial" w:eastAsia="Arial" w:hAnsi="Arial"/>
                <w:sz w:val="14"/>
                <w:szCs w:val="14"/>
                <w:color w:val="auto"/>
              </w:rPr>
              <w:t>% $</w:t>
            </w:r>
          </w:p>
        </w:tc>
        <w:tc>
          <w:tcPr>
            <w:tcW w:w="940" w:type="dxa"/>
            <w:vAlign w:val="bottom"/>
          </w:tcPr>
          <w:p>
            <w:pPr>
              <w:jc w:val="right"/>
              <w:ind w:right="149"/>
              <w:spacing w:after="0" w:line="153" w:lineRule="exact"/>
              <w:rPr>
                <w:sz w:val="20"/>
                <w:szCs w:val="20"/>
                <w:color w:val="auto"/>
              </w:rPr>
            </w:pPr>
            <w:r>
              <w:rPr>
                <w:rFonts w:ascii="Arial" w:cs="Arial" w:eastAsia="Arial" w:hAnsi="Arial"/>
                <w:sz w:val="14"/>
                <w:szCs w:val="14"/>
                <w:color w:val="auto"/>
              </w:rPr>
              <w:t>516</w:t>
            </w:r>
          </w:p>
        </w:tc>
        <w:tc>
          <w:tcPr>
            <w:tcW w:w="1540" w:type="dxa"/>
            <w:vAlign w:val="bottom"/>
            <w:gridSpan w:val="2"/>
          </w:tcPr>
          <w:p>
            <w:pPr>
              <w:jc w:val="right"/>
              <w:ind w:right="709"/>
              <w:spacing w:after="0" w:line="153" w:lineRule="exact"/>
              <w:rPr>
                <w:sz w:val="20"/>
                <w:szCs w:val="20"/>
                <w:color w:val="auto"/>
              </w:rPr>
            </w:pPr>
            <w:r>
              <w:rPr>
                <w:rFonts w:ascii="Arial" w:cs="Arial" w:eastAsia="Arial" w:hAnsi="Arial"/>
                <w:sz w:val="14"/>
                <w:szCs w:val="14"/>
                <w:color w:val="auto"/>
              </w:rPr>
              <w:t>100 %  $</w:t>
            </w:r>
          </w:p>
        </w:tc>
        <w:tc>
          <w:tcPr>
            <w:tcW w:w="560" w:type="dxa"/>
            <w:vAlign w:val="bottom"/>
          </w:tcPr>
          <w:p>
            <w:pPr>
              <w:jc w:val="right"/>
              <w:ind w:right="149"/>
              <w:spacing w:after="0" w:line="153" w:lineRule="exact"/>
              <w:rPr>
                <w:sz w:val="20"/>
                <w:szCs w:val="20"/>
                <w:color w:val="auto"/>
              </w:rPr>
            </w:pPr>
            <w:r>
              <w:rPr>
                <w:rFonts w:ascii="Arial" w:cs="Arial" w:eastAsia="Arial" w:hAnsi="Arial"/>
                <w:sz w:val="14"/>
                <w:szCs w:val="14"/>
                <w:color w:val="auto"/>
              </w:rPr>
              <w:t>423</w:t>
            </w:r>
          </w:p>
        </w:tc>
        <w:tc>
          <w:tcPr>
            <w:tcW w:w="700" w:type="dxa"/>
            <w:vAlign w:val="bottom"/>
            <w:gridSpan w:val="2"/>
          </w:tcPr>
          <w:p>
            <w:pPr>
              <w:jc w:val="right"/>
              <w:ind w:right="49"/>
              <w:spacing w:after="0" w:line="153" w:lineRule="exact"/>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80"/>
        </w:trPr>
        <w:tc>
          <w:tcPr>
            <w:tcW w:w="308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2480" w:type="dxa"/>
            <w:vAlign w:val="bottom"/>
            <w:gridSpan w:val="3"/>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3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Six months ended June 30,</w:t>
            </w:r>
          </w:p>
        </w:tc>
        <w:tc>
          <w:tcPr>
            <w:tcW w:w="5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49"/>
              <w:spacing w:after="0" w:line="153" w:lineRule="exact"/>
              <w:rPr>
                <w:sz w:val="20"/>
                <w:szCs w:val="20"/>
                <w:color w:val="auto"/>
              </w:rPr>
            </w:pPr>
            <w:r>
              <w:rPr>
                <w:rFonts w:ascii="Arial" w:cs="Arial" w:eastAsia="Arial" w:hAnsi="Arial"/>
                <w:sz w:val="14"/>
                <w:szCs w:val="14"/>
                <w:color w:val="auto"/>
              </w:rPr>
              <w:t>2014</w:t>
            </w:r>
          </w:p>
        </w:tc>
        <w:tc>
          <w:tcPr>
            <w:tcW w:w="4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9"/>
              <w:spacing w:after="0" w:line="153" w:lineRule="exact"/>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860" w:type="dxa"/>
            <w:vAlign w:val="bottom"/>
            <w:gridSpan w:val="2"/>
          </w:tcPr>
          <w:p>
            <w:pPr>
              <w:spacing w:after="0" w:line="139" w:lineRule="exact"/>
              <w:rPr>
                <w:sz w:val="20"/>
                <w:szCs w:val="20"/>
                <w:color w:val="auto"/>
              </w:rPr>
            </w:pPr>
            <w:r>
              <w:rPr>
                <w:rFonts w:ascii="Arial" w:cs="Arial" w:eastAsia="Arial" w:hAnsi="Arial"/>
                <w:sz w:val="14"/>
                <w:szCs w:val="14"/>
                <w:color w:val="auto"/>
              </w:rPr>
              <w:t>EXPENDITURES FOR PROPERTY, PLANT &amp; EQUIPMENT</w:t>
            </w: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80" w:type="dxa"/>
            <w:vAlign w:val="bottom"/>
          </w:tcPr>
          <w:p>
            <w:pPr>
              <w:ind w:left="120"/>
              <w:spacing w:after="0" w:line="159" w:lineRule="exact"/>
              <w:rPr>
                <w:sz w:val="20"/>
                <w:szCs w:val="20"/>
                <w:color w:val="auto"/>
              </w:rPr>
            </w:pPr>
            <w:r>
              <w:rPr>
                <w:rFonts w:ascii="Arial" w:cs="Arial" w:eastAsia="Arial" w:hAnsi="Arial"/>
                <w:sz w:val="14"/>
                <w:szCs w:val="14"/>
                <w:color w:val="auto"/>
              </w:rPr>
              <w:t>SDG&amp;E</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543</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36</w:t>
            </w:r>
          </w:p>
        </w:tc>
        <w:tc>
          <w:tcPr>
            <w:tcW w:w="1080" w:type="dxa"/>
            <w:vAlign w:val="bottom"/>
          </w:tcPr>
          <w:p>
            <w:pPr>
              <w:jc w:val="right"/>
              <w:ind w:right="709"/>
              <w:spacing w:after="0" w:line="159" w:lineRule="exact"/>
              <w:rPr>
                <w:sz w:val="20"/>
                <w:szCs w:val="20"/>
                <w:color w:val="auto"/>
              </w:rPr>
            </w:pPr>
            <w:r>
              <w:rPr>
                <w:rFonts w:ascii="Arial" w:cs="Arial" w:eastAsia="Arial" w:hAnsi="Arial"/>
                <w:sz w:val="14"/>
                <w:szCs w:val="14"/>
                <w:color w:val="auto"/>
              </w:rPr>
              <w:t>% $</w:t>
            </w:r>
          </w:p>
        </w:tc>
        <w:tc>
          <w:tcPr>
            <w:tcW w:w="5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446</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40</w:t>
            </w: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080" w:type="dxa"/>
            <w:vAlign w:val="bottom"/>
          </w:tcPr>
          <w:p>
            <w:pPr>
              <w:ind w:left="120"/>
              <w:spacing w:after="0" w:line="159" w:lineRule="exact"/>
              <w:rPr>
                <w:sz w:val="20"/>
                <w:szCs w:val="20"/>
                <w:color w:val="auto"/>
              </w:rPr>
            </w:pPr>
            <w:r>
              <w:rPr>
                <w:rFonts w:ascii="Arial" w:cs="Arial" w:eastAsia="Arial" w:hAnsi="Arial"/>
                <w:sz w:val="14"/>
                <w:szCs w:val="14"/>
                <w:color w:val="auto"/>
              </w:rPr>
              <w:t>SoCalGas</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500</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33</w:t>
            </w:r>
          </w:p>
        </w:tc>
        <w:tc>
          <w:tcPr>
            <w:tcW w:w="1080" w:type="dxa"/>
            <w:vAlign w:val="bottom"/>
          </w:tcPr>
          <w:p>
            <w:pPr>
              <w:spacing w:after="0"/>
              <w:rPr>
                <w:sz w:val="13"/>
                <w:szCs w:val="13"/>
                <w:color w:val="auto"/>
              </w:rPr>
            </w:pPr>
          </w:p>
        </w:tc>
        <w:tc>
          <w:tcPr>
            <w:tcW w:w="5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340</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30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080" w:type="dxa"/>
            <w:vAlign w:val="bottom"/>
          </w:tcPr>
          <w:p>
            <w:pPr>
              <w:ind w:left="120"/>
              <w:spacing w:after="0" w:line="159" w:lineRule="exact"/>
              <w:rPr>
                <w:sz w:val="20"/>
                <w:szCs w:val="20"/>
                <w:color w:val="auto"/>
              </w:rPr>
            </w:pPr>
            <w:r>
              <w:rPr>
                <w:rFonts w:ascii="Arial" w:cs="Arial" w:eastAsia="Arial" w:hAnsi="Arial"/>
                <w:sz w:val="14"/>
                <w:szCs w:val="14"/>
                <w:color w:val="auto"/>
              </w:rPr>
              <w:t>Sempra South American Utilities</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89</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6</w:t>
            </w:r>
          </w:p>
        </w:tc>
        <w:tc>
          <w:tcPr>
            <w:tcW w:w="1080" w:type="dxa"/>
            <w:vAlign w:val="bottom"/>
          </w:tcPr>
          <w:p>
            <w:pPr>
              <w:spacing w:after="0"/>
              <w:rPr>
                <w:sz w:val="13"/>
                <w:szCs w:val="13"/>
                <w:color w:val="auto"/>
              </w:rPr>
            </w:pPr>
          </w:p>
        </w:tc>
        <w:tc>
          <w:tcPr>
            <w:tcW w:w="5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66</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080" w:type="dxa"/>
            <w:vAlign w:val="bottom"/>
          </w:tcPr>
          <w:p>
            <w:pPr>
              <w:ind w:left="120"/>
              <w:spacing w:after="0" w:line="159" w:lineRule="exact"/>
              <w:rPr>
                <w:sz w:val="20"/>
                <w:szCs w:val="20"/>
                <w:color w:val="auto"/>
              </w:rPr>
            </w:pPr>
            <w:r>
              <w:rPr>
                <w:rFonts w:ascii="Arial" w:cs="Arial" w:eastAsia="Arial" w:hAnsi="Arial"/>
                <w:sz w:val="14"/>
                <w:szCs w:val="14"/>
                <w:color w:val="auto"/>
              </w:rPr>
              <w:t>Sempra Mexico</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189</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13</w:t>
            </w:r>
          </w:p>
        </w:tc>
        <w:tc>
          <w:tcPr>
            <w:tcW w:w="1080" w:type="dxa"/>
            <w:vAlign w:val="bottom"/>
          </w:tcPr>
          <w:p>
            <w:pPr>
              <w:spacing w:after="0"/>
              <w:rPr>
                <w:sz w:val="13"/>
                <w:szCs w:val="13"/>
                <w:color w:val="auto"/>
              </w:rPr>
            </w:pPr>
          </w:p>
        </w:tc>
        <w:tc>
          <w:tcPr>
            <w:tcW w:w="56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161</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080" w:type="dxa"/>
            <w:vAlign w:val="bottom"/>
          </w:tcPr>
          <w:p>
            <w:pPr>
              <w:ind w:left="120"/>
              <w:spacing w:after="0"/>
              <w:rPr>
                <w:sz w:val="20"/>
                <w:szCs w:val="20"/>
                <w:color w:val="auto"/>
              </w:rPr>
            </w:pPr>
            <w:r>
              <w:rPr>
                <w:rFonts w:ascii="Arial" w:cs="Arial" w:eastAsia="Arial" w:hAnsi="Arial"/>
                <w:sz w:val="14"/>
                <w:szCs w:val="14"/>
                <w:color w:val="auto"/>
              </w:rPr>
              <w:t>Sempra Renewables</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149"/>
              <w:spacing w:after="0"/>
              <w:rPr>
                <w:sz w:val="20"/>
                <w:szCs w:val="20"/>
                <w:color w:val="auto"/>
              </w:rPr>
            </w:pPr>
            <w:r>
              <w:rPr>
                <w:rFonts w:ascii="Arial" w:cs="Arial" w:eastAsia="Arial" w:hAnsi="Arial"/>
                <w:sz w:val="14"/>
                <w:szCs w:val="14"/>
                <w:color w:val="auto"/>
              </w:rPr>
              <w:t>122</w:t>
            </w:r>
          </w:p>
        </w:tc>
        <w:tc>
          <w:tcPr>
            <w:tcW w:w="460" w:type="dxa"/>
            <w:vAlign w:val="bottom"/>
          </w:tcPr>
          <w:p>
            <w:pPr>
              <w:jc w:val="right"/>
              <w:spacing w:after="0"/>
              <w:rPr>
                <w:sz w:val="20"/>
                <w:szCs w:val="20"/>
                <w:color w:val="auto"/>
              </w:rPr>
            </w:pPr>
            <w:r>
              <w:rPr>
                <w:rFonts w:ascii="Arial" w:cs="Arial" w:eastAsia="Arial" w:hAnsi="Arial"/>
                <w:sz w:val="14"/>
                <w:szCs w:val="14"/>
                <w:color w:val="auto"/>
              </w:rPr>
              <w:t>8</w:t>
            </w:r>
          </w:p>
        </w:tc>
        <w:tc>
          <w:tcPr>
            <w:tcW w:w="1080" w:type="dxa"/>
            <w:vAlign w:val="bottom"/>
          </w:tcPr>
          <w:p>
            <w:pPr>
              <w:spacing w:after="0"/>
              <w:rPr>
                <w:sz w:val="16"/>
                <w:szCs w:val="16"/>
                <w:color w:val="auto"/>
              </w:rPr>
            </w:pPr>
          </w:p>
        </w:tc>
        <w:tc>
          <w:tcPr>
            <w:tcW w:w="560" w:type="dxa"/>
            <w:vAlign w:val="bottom"/>
          </w:tcPr>
          <w:p>
            <w:pPr>
              <w:jc w:val="right"/>
              <w:ind w:right="149"/>
              <w:spacing w:after="0"/>
              <w:rPr>
                <w:sz w:val="20"/>
                <w:szCs w:val="20"/>
                <w:color w:val="auto"/>
              </w:rPr>
            </w:pPr>
            <w:r>
              <w:rPr>
                <w:rFonts w:ascii="Arial" w:cs="Arial" w:eastAsia="Arial" w:hAnsi="Arial"/>
                <w:sz w:val="14"/>
                <w:szCs w:val="14"/>
                <w:color w:val="auto"/>
              </w:rPr>
              <w:t>61</w:t>
            </w:r>
          </w:p>
        </w:tc>
        <w:tc>
          <w:tcPr>
            <w:tcW w:w="48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916" w:orient="portrait"/>
          <w:cols w:equalWidth="0" w:num="1">
            <w:col w:w="11420"/>
          </w:cols>
          <w:pgMar w:left="240" w:top="121" w:right="239" w:bottom="0" w:gutter="0" w:footer="0" w:header="0"/>
        </w:sectPr>
      </w:pPr>
    </w:p>
    <w:bookmarkStart w:id="47" w:name="page48"/>
    <w:bookmarkEnd w:id="47"/>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ind w:left="120"/>
              <w:spacing w:after="0"/>
              <w:rPr>
                <w:sz w:val="20"/>
                <w:szCs w:val="20"/>
                <w:color w:val="auto"/>
              </w:rPr>
            </w:pPr>
            <w:r>
              <w:rPr>
                <w:rFonts w:ascii="Arial" w:cs="Arial" w:eastAsia="Arial" w:hAnsi="Arial"/>
                <w:sz w:val="14"/>
                <w:szCs w:val="14"/>
                <w:color w:val="auto"/>
              </w:rPr>
              <w:t>Sempra Natural Gas</w:t>
            </w:r>
          </w:p>
        </w:tc>
        <w:tc>
          <w:tcPr>
            <w:tcW w:w="1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269"/>
              <w:spacing w:after="0"/>
              <w:rPr>
                <w:sz w:val="20"/>
                <w:szCs w:val="20"/>
                <w:color w:val="auto"/>
              </w:rPr>
            </w:pPr>
            <w:r>
              <w:rPr>
                <w:rFonts w:ascii="Arial" w:cs="Arial" w:eastAsia="Arial" w:hAnsi="Arial"/>
                <w:sz w:val="14"/>
                <w:szCs w:val="14"/>
                <w:color w:val="auto"/>
              </w:rPr>
              <w:t>67</w:t>
            </w:r>
          </w:p>
        </w:tc>
        <w:tc>
          <w:tcPr>
            <w:tcW w:w="34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55</w:t>
            </w:r>
          </w:p>
        </w:tc>
        <w:tc>
          <w:tcPr>
            <w:tcW w:w="48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4"/>
                <w:szCs w:val="14"/>
                <w:color w:val="auto"/>
              </w:rPr>
            </w:pPr>
          </w:p>
        </w:tc>
      </w:tr>
      <w:tr>
        <w:trPr>
          <w:trHeight w:val="173"/>
        </w:trPr>
        <w:tc>
          <w:tcPr>
            <w:tcW w:w="5220" w:type="dxa"/>
            <w:vAlign w:val="bottom"/>
          </w:tcPr>
          <w:p>
            <w:pPr>
              <w:ind w:left="120"/>
              <w:spacing w:after="0"/>
              <w:rPr>
                <w:sz w:val="20"/>
                <w:szCs w:val="20"/>
                <w:color w:val="auto"/>
              </w:rPr>
            </w:pPr>
            <w:r>
              <w:rPr>
                <w:rFonts w:ascii="Arial" w:cs="Arial" w:eastAsia="Arial" w:hAnsi="Arial"/>
                <w:sz w:val="14"/>
                <w:szCs w:val="14"/>
                <w:color w:val="auto"/>
              </w:rPr>
              <w:t>All other</w:t>
            </w:r>
          </w:p>
        </w:tc>
        <w:tc>
          <w:tcPr>
            <w:tcW w:w="19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r>
      <w:tr>
        <w:trPr>
          <w:trHeight w:val="153"/>
        </w:trPr>
        <w:tc>
          <w:tcPr>
            <w:tcW w:w="5220" w:type="dxa"/>
            <w:vAlign w:val="bottom"/>
          </w:tcPr>
          <w:p>
            <w:pPr>
              <w:ind w:left="280"/>
              <w:spacing w:after="0" w:line="153" w:lineRule="exact"/>
              <w:rPr>
                <w:sz w:val="20"/>
                <w:szCs w:val="20"/>
                <w:color w:val="auto"/>
              </w:rPr>
            </w:pPr>
            <w:r>
              <w:rPr>
                <w:rFonts w:ascii="Arial" w:cs="Arial" w:eastAsia="Arial" w:hAnsi="Arial"/>
                <w:sz w:val="14"/>
                <w:szCs w:val="14"/>
                <w:color w:val="auto"/>
              </w:rPr>
              <w:t>Total</w:t>
            </w:r>
          </w:p>
        </w:tc>
        <w:tc>
          <w:tcPr>
            <w:tcW w:w="1980" w:type="dxa"/>
            <w:vAlign w:val="bottom"/>
          </w:tcPr>
          <w:p>
            <w:pPr>
              <w:spacing w:after="0"/>
              <w:rPr>
                <w:sz w:val="13"/>
                <w:szCs w:val="13"/>
                <w:color w:val="auto"/>
              </w:rPr>
            </w:pPr>
          </w:p>
        </w:tc>
        <w:tc>
          <w:tcPr>
            <w:tcW w:w="340" w:type="dxa"/>
            <w:vAlign w:val="bottom"/>
          </w:tcPr>
          <w:p>
            <w:pPr>
              <w:jc w:val="right"/>
              <w:ind w:right="189"/>
              <w:spacing w:after="0" w:line="153" w:lineRule="exact"/>
              <w:rPr>
                <w:sz w:val="20"/>
                <w:szCs w:val="20"/>
                <w:color w:val="auto"/>
              </w:rPr>
            </w:pPr>
            <w:r>
              <w:rPr>
                <w:rFonts w:ascii="Arial" w:cs="Arial" w:eastAsia="Arial" w:hAnsi="Arial"/>
                <w:sz w:val="14"/>
                <w:szCs w:val="14"/>
                <w:color w:val="auto"/>
                <w:w w:val="76"/>
              </w:rPr>
              <w:t>$</w:t>
            </w:r>
          </w:p>
        </w:tc>
        <w:tc>
          <w:tcPr>
            <w:tcW w:w="1200" w:type="dxa"/>
            <w:vAlign w:val="bottom"/>
          </w:tcPr>
          <w:p>
            <w:pPr>
              <w:jc w:val="right"/>
              <w:ind w:right="269"/>
              <w:spacing w:after="0" w:line="153" w:lineRule="exact"/>
              <w:rPr>
                <w:sz w:val="20"/>
                <w:szCs w:val="20"/>
                <w:color w:val="auto"/>
              </w:rPr>
            </w:pPr>
            <w:r>
              <w:rPr>
                <w:rFonts w:ascii="Arial" w:cs="Arial" w:eastAsia="Arial" w:hAnsi="Arial"/>
                <w:sz w:val="14"/>
                <w:szCs w:val="14"/>
                <w:color w:val="auto"/>
              </w:rPr>
              <w:t>1,513</w:t>
            </w:r>
          </w:p>
        </w:tc>
        <w:tc>
          <w:tcPr>
            <w:tcW w:w="340" w:type="dxa"/>
            <w:vAlign w:val="bottom"/>
          </w:tcPr>
          <w:p>
            <w:pPr>
              <w:jc w:val="right"/>
              <w:spacing w:after="0" w:line="153" w:lineRule="exact"/>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69"/>
              <w:spacing w:after="0" w:line="153" w:lineRule="exact"/>
              <w:rPr>
                <w:sz w:val="20"/>
                <w:szCs w:val="20"/>
                <w:color w:val="auto"/>
              </w:rPr>
            </w:pPr>
            <w:r>
              <w:rPr>
                <w:rFonts w:ascii="Arial" w:cs="Arial" w:eastAsia="Arial" w:hAnsi="Arial"/>
                <w:sz w:val="14"/>
                <w:szCs w:val="14"/>
                <w:color w:val="auto"/>
              </w:rPr>
              <w:t>% $</w:t>
            </w:r>
          </w:p>
        </w:tc>
        <w:tc>
          <w:tcPr>
            <w:tcW w:w="1100" w:type="dxa"/>
            <w:vAlign w:val="bottom"/>
          </w:tcPr>
          <w:p>
            <w:pPr>
              <w:jc w:val="right"/>
              <w:ind w:right="149"/>
              <w:spacing w:after="0" w:line="153" w:lineRule="exact"/>
              <w:rPr>
                <w:sz w:val="20"/>
                <w:szCs w:val="20"/>
                <w:color w:val="auto"/>
              </w:rPr>
            </w:pPr>
            <w:r>
              <w:rPr>
                <w:rFonts w:ascii="Arial" w:cs="Arial" w:eastAsia="Arial" w:hAnsi="Arial"/>
                <w:sz w:val="14"/>
                <w:szCs w:val="14"/>
                <w:color w:val="auto"/>
              </w:rPr>
              <w:t>1,130</w:t>
            </w:r>
          </w:p>
        </w:tc>
        <w:tc>
          <w:tcPr>
            <w:tcW w:w="480" w:type="dxa"/>
            <w:vAlign w:val="bottom"/>
          </w:tcPr>
          <w:p>
            <w:pPr>
              <w:jc w:val="right"/>
              <w:spacing w:after="0" w:line="153" w:lineRule="exact"/>
              <w:rPr>
                <w:sz w:val="20"/>
                <w:szCs w:val="20"/>
                <w:color w:val="auto"/>
              </w:rPr>
            </w:pPr>
            <w:r>
              <w:rPr>
                <w:rFonts w:ascii="Arial" w:cs="Arial" w:eastAsia="Arial" w:hAnsi="Arial"/>
                <w:sz w:val="14"/>
                <w:szCs w:val="14"/>
                <w:color w:val="auto"/>
              </w:rPr>
              <w:t>100</w:t>
            </w:r>
          </w:p>
        </w:tc>
        <w:tc>
          <w:tcPr>
            <w:tcW w:w="2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r>
      <w:tr>
        <w:trPr>
          <w:trHeight w:val="80"/>
        </w:trPr>
        <w:tc>
          <w:tcPr>
            <w:tcW w:w="5220" w:type="dxa"/>
            <w:vAlign w:val="bottom"/>
            <w:shd w:val="clear" w:color="auto" w:fill="000000"/>
          </w:tcPr>
          <w:p>
            <w:pPr>
              <w:spacing w:after="0"/>
              <w:rPr>
                <w:sz w:val="6"/>
                <w:szCs w:val="6"/>
                <w:color w:val="auto"/>
              </w:rPr>
            </w:pPr>
          </w:p>
        </w:tc>
        <w:tc>
          <w:tcPr>
            <w:tcW w:w="198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2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580" w:type="dxa"/>
            <w:vAlign w:val="bottom"/>
            <w:gridSpan w:val="2"/>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r>
      <w:tr>
        <w:trPr>
          <w:trHeight w:val="166"/>
        </w:trPr>
        <w:tc>
          <w:tcPr>
            <w:tcW w:w="52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 2014</w:t>
            </w: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149"/>
              <w:spacing w:after="0" w:line="159" w:lineRule="exact"/>
              <w:rPr>
                <w:sz w:val="20"/>
                <w:szCs w:val="20"/>
                <w:color w:val="auto"/>
              </w:rPr>
            </w:pPr>
            <w:r>
              <w:rPr>
                <w:rFonts w:ascii="Arial" w:cs="Arial" w:eastAsia="Arial" w:hAnsi="Arial"/>
                <w:sz w:val="14"/>
                <w:szCs w:val="14"/>
                <w:color w:val="auto"/>
              </w:rPr>
              <w:t>December 31, 2013</w:t>
            </w:r>
          </w:p>
        </w:tc>
        <w:tc>
          <w:tcPr>
            <w:tcW w:w="220" w:type="dxa"/>
            <w:vAlign w:val="bottom"/>
            <w:tcBorders>
              <w:bottom w:val="single" w:sz="8" w:color="auto"/>
            </w:tcBorders>
          </w:tcPr>
          <w:p>
            <w:pPr>
              <w:spacing w:after="0"/>
              <w:rPr>
                <w:sz w:val="14"/>
                <w:szCs w:val="14"/>
                <w:color w:val="auto"/>
              </w:rPr>
            </w:pPr>
          </w:p>
        </w:tc>
      </w:tr>
      <w:tr>
        <w:trPr>
          <w:trHeight w:val="146"/>
        </w:trPr>
        <w:tc>
          <w:tcPr>
            <w:tcW w:w="5220" w:type="dxa"/>
            <w:vAlign w:val="bottom"/>
          </w:tcPr>
          <w:p>
            <w:pPr>
              <w:spacing w:after="0" w:line="146" w:lineRule="exact"/>
              <w:rPr>
                <w:sz w:val="20"/>
                <w:szCs w:val="20"/>
                <w:color w:val="auto"/>
              </w:rPr>
            </w:pPr>
            <w:r>
              <w:rPr>
                <w:rFonts w:ascii="Arial" w:cs="Arial" w:eastAsia="Arial" w:hAnsi="Arial"/>
                <w:sz w:val="14"/>
                <w:szCs w:val="14"/>
                <w:color w:val="auto"/>
              </w:rPr>
              <w:t>ASSETS</w:t>
            </w:r>
          </w:p>
        </w:tc>
        <w:tc>
          <w:tcPr>
            <w:tcW w:w="1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59"/>
        </w:trPr>
        <w:tc>
          <w:tcPr>
            <w:tcW w:w="5220" w:type="dxa"/>
            <w:vAlign w:val="bottom"/>
          </w:tcPr>
          <w:p>
            <w:pPr>
              <w:ind w:left="120"/>
              <w:spacing w:after="0" w:line="159" w:lineRule="exact"/>
              <w:rPr>
                <w:sz w:val="20"/>
                <w:szCs w:val="20"/>
                <w:color w:val="auto"/>
              </w:rPr>
            </w:pPr>
            <w:r>
              <w:rPr>
                <w:rFonts w:ascii="Arial" w:cs="Arial" w:eastAsia="Arial" w:hAnsi="Arial"/>
                <w:sz w:val="14"/>
                <w:szCs w:val="14"/>
                <w:color w:val="auto"/>
              </w:rPr>
              <w:t>SDG&amp;E</w:t>
            </w:r>
          </w:p>
        </w:tc>
        <w:tc>
          <w:tcPr>
            <w:tcW w:w="2320" w:type="dxa"/>
            <w:vAlign w:val="bottom"/>
            <w:gridSpan w:val="2"/>
          </w:tcPr>
          <w:p>
            <w:pPr>
              <w:jc w:val="right"/>
              <w:ind w:right="189"/>
              <w:spacing w:after="0" w:line="15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269"/>
              <w:spacing w:after="0" w:line="159" w:lineRule="exact"/>
              <w:rPr>
                <w:sz w:val="20"/>
                <w:szCs w:val="20"/>
                <w:color w:val="auto"/>
              </w:rPr>
            </w:pPr>
            <w:r>
              <w:rPr>
                <w:rFonts w:ascii="Arial" w:cs="Arial" w:eastAsia="Arial" w:hAnsi="Arial"/>
                <w:sz w:val="14"/>
                <w:szCs w:val="14"/>
                <w:color w:val="auto"/>
              </w:rPr>
              <w:t>15,767</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41</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15,377</w:t>
            </w:r>
          </w:p>
        </w:tc>
        <w:tc>
          <w:tcPr>
            <w:tcW w:w="700" w:type="dxa"/>
            <w:vAlign w:val="bottom"/>
            <w:gridSpan w:val="2"/>
          </w:tcPr>
          <w:p>
            <w:pPr>
              <w:jc w:val="right"/>
              <w:ind w:right="49"/>
              <w:spacing w:after="0" w:line="159" w:lineRule="exact"/>
              <w:rPr>
                <w:sz w:val="20"/>
                <w:szCs w:val="20"/>
                <w:color w:val="auto"/>
              </w:rPr>
            </w:pPr>
            <w:r>
              <w:rPr>
                <w:rFonts w:ascii="Arial" w:cs="Arial" w:eastAsia="Arial" w:hAnsi="Arial"/>
                <w:sz w:val="14"/>
                <w:szCs w:val="14"/>
                <w:color w:val="auto"/>
              </w:rPr>
              <w:t>41 %</w:t>
            </w:r>
          </w:p>
        </w:tc>
      </w:tr>
      <w:tr>
        <w:trPr>
          <w:trHeight w:val="159"/>
        </w:trPr>
        <w:tc>
          <w:tcPr>
            <w:tcW w:w="5220" w:type="dxa"/>
            <w:vAlign w:val="bottom"/>
          </w:tcPr>
          <w:p>
            <w:pPr>
              <w:ind w:left="120"/>
              <w:spacing w:after="0" w:line="159" w:lineRule="exact"/>
              <w:rPr>
                <w:sz w:val="20"/>
                <w:szCs w:val="20"/>
                <w:color w:val="auto"/>
              </w:rPr>
            </w:pPr>
            <w:r>
              <w:rPr>
                <w:rFonts w:ascii="Arial" w:cs="Arial" w:eastAsia="Arial" w:hAnsi="Arial"/>
                <w:sz w:val="14"/>
                <w:szCs w:val="14"/>
                <w:color w:val="auto"/>
              </w:rPr>
              <w:t>SoCalGas</w:t>
            </w: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269"/>
              <w:spacing w:after="0" w:line="159" w:lineRule="exact"/>
              <w:rPr>
                <w:sz w:val="20"/>
                <w:szCs w:val="20"/>
                <w:color w:val="auto"/>
              </w:rPr>
            </w:pPr>
            <w:r>
              <w:rPr>
                <w:rFonts w:ascii="Arial" w:cs="Arial" w:eastAsia="Arial" w:hAnsi="Arial"/>
                <w:sz w:val="14"/>
                <w:szCs w:val="14"/>
                <w:color w:val="auto"/>
              </w:rPr>
              <w:t>9,294</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24</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9,147</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25</w:t>
            </w:r>
          </w:p>
        </w:tc>
        <w:tc>
          <w:tcPr>
            <w:tcW w:w="220" w:type="dxa"/>
            <w:vAlign w:val="bottom"/>
          </w:tcPr>
          <w:p>
            <w:pPr>
              <w:spacing w:after="0"/>
              <w:rPr>
                <w:sz w:val="13"/>
                <w:szCs w:val="13"/>
                <w:color w:val="auto"/>
              </w:rPr>
            </w:pPr>
          </w:p>
        </w:tc>
      </w:tr>
      <w:tr>
        <w:trPr>
          <w:trHeight w:val="159"/>
        </w:trPr>
        <w:tc>
          <w:tcPr>
            <w:tcW w:w="5220" w:type="dxa"/>
            <w:vAlign w:val="bottom"/>
          </w:tcPr>
          <w:p>
            <w:pPr>
              <w:ind w:left="120"/>
              <w:spacing w:after="0" w:line="159" w:lineRule="exact"/>
              <w:rPr>
                <w:sz w:val="20"/>
                <w:szCs w:val="20"/>
                <w:color w:val="auto"/>
              </w:rPr>
            </w:pPr>
            <w:r>
              <w:rPr>
                <w:rFonts w:ascii="Arial" w:cs="Arial" w:eastAsia="Arial" w:hAnsi="Arial"/>
                <w:sz w:val="14"/>
                <w:szCs w:val="14"/>
                <w:color w:val="auto"/>
              </w:rPr>
              <w:t>Sempra South American Utilities</w:t>
            </w: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269"/>
              <w:spacing w:after="0" w:line="159" w:lineRule="exact"/>
              <w:rPr>
                <w:sz w:val="20"/>
                <w:szCs w:val="20"/>
                <w:color w:val="auto"/>
              </w:rPr>
            </w:pPr>
            <w:r>
              <w:rPr>
                <w:rFonts w:ascii="Arial" w:cs="Arial" w:eastAsia="Arial" w:hAnsi="Arial"/>
                <w:sz w:val="14"/>
                <w:szCs w:val="14"/>
                <w:color w:val="auto"/>
              </w:rPr>
              <w:t>3,546</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9</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3,531</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3"/>
                <w:szCs w:val="13"/>
                <w:color w:val="auto"/>
              </w:rPr>
            </w:pPr>
          </w:p>
        </w:tc>
      </w:tr>
      <w:tr>
        <w:trPr>
          <w:trHeight w:val="159"/>
        </w:trPr>
        <w:tc>
          <w:tcPr>
            <w:tcW w:w="5220" w:type="dxa"/>
            <w:vAlign w:val="bottom"/>
          </w:tcPr>
          <w:p>
            <w:pPr>
              <w:ind w:left="120"/>
              <w:spacing w:after="0" w:line="159" w:lineRule="exact"/>
              <w:rPr>
                <w:sz w:val="20"/>
                <w:szCs w:val="20"/>
                <w:color w:val="auto"/>
              </w:rPr>
            </w:pPr>
            <w:r>
              <w:rPr>
                <w:rFonts w:ascii="Arial" w:cs="Arial" w:eastAsia="Arial" w:hAnsi="Arial"/>
                <w:sz w:val="14"/>
                <w:szCs w:val="14"/>
                <w:color w:val="auto"/>
              </w:rPr>
              <w:t>Sempra Mexico</w:t>
            </w: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269"/>
              <w:spacing w:after="0" w:line="159" w:lineRule="exact"/>
              <w:rPr>
                <w:sz w:val="20"/>
                <w:szCs w:val="20"/>
                <w:color w:val="auto"/>
              </w:rPr>
            </w:pPr>
            <w:r>
              <w:rPr>
                <w:rFonts w:ascii="Arial" w:cs="Arial" w:eastAsia="Arial" w:hAnsi="Arial"/>
                <w:sz w:val="14"/>
                <w:szCs w:val="14"/>
                <w:color w:val="auto"/>
              </w:rPr>
              <w:t>3,441</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9</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3,246</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9</w:t>
            </w:r>
          </w:p>
        </w:tc>
        <w:tc>
          <w:tcPr>
            <w:tcW w:w="220" w:type="dxa"/>
            <w:vAlign w:val="bottom"/>
          </w:tcPr>
          <w:p>
            <w:pPr>
              <w:spacing w:after="0"/>
              <w:rPr>
                <w:sz w:val="13"/>
                <w:szCs w:val="13"/>
                <w:color w:val="auto"/>
              </w:rPr>
            </w:pPr>
          </w:p>
        </w:tc>
      </w:tr>
      <w:tr>
        <w:trPr>
          <w:trHeight w:val="159"/>
        </w:trPr>
        <w:tc>
          <w:tcPr>
            <w:tcW w:w="5220" w:type="dxa"/>
            <w:vAlign w:val="bottom"/>
          </w:tcPr>
          <w:p>
            <w:pPr>
              <w:ind w:left="120"/>
              <w:spacing w:after="0" w:line="159" w:lineRule="exact"/>
              <w:rPr>
                <w:sz w:val="20"/>
                <w:szCs w:val="20"/>
                <w:color w:val="auto"/>
              </w:rPr>
            </w:pPr>
            <w:r>
              <w:rPr>
                <w:rFonts w:ascii="Arial" w:cs="Arial" w:eastAsia="Arial" w:hAnsi="Arial"/>
                <w:sz w:val="14"/>
                <w:szCs w:val="14"/>
                <w:color w:val="auto"/>
              </w:rPr>
              <w:t>Sempra Renewables</w:t>
            </w: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269"/>
              <w:spacing w:after="0" w:line="159" w:lineRule="exact"/>
              <w:rPr>
                <w:sz w:val="20"/>
                <w:szCs w:val="20"/>
                <w:color w:val="auto"/>
              </w:rPr>
            </w:pPr>
            <w:r>
              <w:rPr>
                <w:rFonts w:ascii="Arial" w:cs="Arial" w:eastAsia="Arial" w:hAnsi="Arial"/>
                <w:sz w:val="14"/>
                <w:szCs w:val="14"/>
                <w:color w:val="auto"/>
              </w:rPr>
              <w:t>1,293</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1,219</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220" w:type="dxa"/>
            <w:vAlign w:val="bottom"/>
          </w:tcPr>
          <w:p>
            <w:pPr>
              <w:spacing w:after="0"/>
              <w:rPr>
                <w:sz w:val="13"/>
                <w:szCs w:val="13"/>
                <w:color w:val="auto"/>
              </w:rPr>
            </w:pPr>
          </w:p>
        </w:tc>
      </w:tr>
      <w:tr>
        <w:trPr>
          <w:trHeight w:val="159"/>
        </w:trPr>
        <w:tc>
          <w:tcPr>
            <w:tcW w:w="5220" w:type="dxa"/>
            <w:vAlign w:val="bottom"/>
          </w:tcPr>
          <w:p>
            <w:pPr>
              <w:ind w:left="120"/>
              <w:spacing w:after="0" w:line="159" w:lineRule="exact"/>
              <w:rPr>
                <w:sz w:val="20"/>
                <w:szCs w:val="20"/>
                <w:color w:val="auto"/>
              </w:rPr>
            </w:pPr>
            <w:r>
              <w:rPr>
                <w:rFonts w:ascii="Arial" w:cs="Arial" w:eastAsia="Arial" w:hAnsi="Arial"/>
                <w:sz w:val="14"/>
                <w:szCs w:val="14"/>
                <w:color w:val="auto"/>
              </w:rPr>
              <w:t>Sempra Natural Gas</w:t>
            </w: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269"/>
              <w:spacing w:after="0" w:line="159" w:lineRule="exact"/>
              <w:rPr>
                <w:sz w:val="20"/>
                <w:szCs w:val="20"/>
                <w:color w:val="auto"/>
              </w:rPr>
            </w:pPr>
            <w:r>
              <w:rPr>
                <w:rFonts w:ascii="Arial" w:cs="Arial" w:eastAsia="Arial" w:hAnsi="Arial"/>
                <w:sz w:val="14"/>
                <w:szCs w:val="14"/>
                <w:color w:val="auto"/>
              </w:rPr>
              <w:t>6,252</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16</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7,200</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19</w:t>
            </w:r>
          </w:p>
        </w:tc>
        <w:tc>
          <w:tcPr>
            <w:tcW w:w="220" w:type="dxa"/>
            <w:vAlign w:val="bottom"/>
          </w:tcPr>
          <w:p>
            <w:pPr>
              <w:spacing w:after="0"/>
              <w:rPr>
                <w:sz w:val="13"/>
                <w:szCs w:val="13"/>
                <w:color w:val="auto"/>
              </w:rPr>
            </w:pPr>
          </w:p>
        </w:tc>
      </w:tr>
      <w:tr>
        <w:trPr>
          <w:trHeight w:val="159"/>
        </w:trPr>
        <w:tc>
          <w:tcPr>
            <w:tcW w:w="5220" w:type="dxa"/>
            <w:vAlign w:val="bottom"/>
          </w:tcPr>
          <w:p>
            <w:pPr>
              <w:ind w:left="120"/>
              <w:spacing w:after="0" w:line="159" w:lineRule="exact"/>
              <w:rPr>
                <w:sz w:val="20"/>
                <w:szCs w:val="20"/>
                <w:color w:val="auto"/>
              </w:rPr>
            </w:pPr>
            <w:r>
              <w:rPr>
                <w:rFonts w:ascii="Arial" w:cs="Arial" w:eastAsia="Arial" w:hAnsi="Arial"/>
                <w:sz w:val="14"/>
                <w:szCs w:val="14"/>
                <w:color w:val="auto"/>
              </w:rPr>
              <w:t>All other</w:t>
            </w: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269"/>
              <w:spacing w:after="0" w:line="159" w:lineRule="exact"/>
              <w:rPr>
                <w:sz w:val="20"/>
                <w:szCs w:val="20"/>
                <w:color w:val="auto"/>
              </w:rPr>
            </w:pPr>
            <w:r>
              <w:rPr>
                <w:rFonts w:ascii="Arial" w:cs="Arial" w:eastAsia="Arial" w:hAnsi="Arial"/>
                <w:sz w:val="14"/>
                <w:szCs w:val="14"/>
                <w:color w:val="auto"/>
              </w:rPr>
              <w:t>1,174</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838</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3"/>
                <w:szCs w:val="13"/>
                <w:color w:val="auto"/>
              </w:rPr>
            </w:pPr>
          </w:p>
        </w:tc>
      </w:tr>
      <w:tr>
        <w:trPr>
          <w:trHeight w:val="173"/>
        </w:trPr>
        <w:tc>
          <w:tcPr>
            <w:tcW w:w="5220" w:type="dxa"/>
            <w:vAlign w:val="bottom"/>
          </w:tcPr>
          <w:p>
            <w:pPr>
              <w:ind w:left="120"/>
              <w:spacing w:after="0"/>
              <w:rPr>
                <w:sz w:val="20"/>
                <w:szCs w:val="20"/>
                <w:color w:val="auto"/>
              </w:rPr>
            </w:pPr>
            <w:r>
              <w:rPr>
                <w:rFonts w:ascii="Arial" w:cs="Arial" w:eastAsia="Arial" w:hAnsi="Arial"/>
                <w:sz w:val="14"/>
                <w:szCs w:val="14"/>
                <w:color w:val="auto"/>
              </w:rPr>
              <w:t>Intersegment receivables</w:t>
            </w:r>
          </w:p>
        </w:tc>
        <w:tc>
          <w:tcPr>
            <w:tcW w:w="19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(2,460)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(3,314)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auto"/>
            </w:tcBorders>
          </w:tcPr>
          <w:p>
            <w:pPr>
              <w:spacing w:after="0"/>
              <w:rPr>
                <w:sz w:val="15"/>
                <w:szCs w:val="15"/>
                <w:color w:val="auto"/>
              </w:rPr>
            </w:pPr>
          </w:p>
        </w:tc>
      </w:tr>
      <w:tr>
        <w:trPr>
          <w:trHeight w:val="153"/>
        </w:trPr>
        <w:tc>
          <w:tcPr>
            <w:tcW w:w="5220" w:type="dxa"/>
            <w:vAlign w:val="bottom"/>
          </w:tcPr>
          <w:p>
            <w:pPr>
              <w:ind w:left="280"/>
              <w:spacing w:after="0" w:line="153" w:lineRule="exact"/>
              <w:rPr>
                <w:sz w:val="20"/>
                <w:szCs w:val="20"/>
                <w:color w:val="auto"/>
              </w:rPr>
            </w:pPr>
            <w:r>
              <w:rPr>
                <w:rFonts w:ascii="Arial" w:cs="Arial" w:eastAsia="Arial" w:hAnsi="Arial"/>
                <w:sz w:val="14"/>
                <w:szCs w:val="14"/>
                <w:color w:val="auto"/>
              </w:rPr>
              <w:t>Total</w:t>
            </w:r>
          </w:p>
        </w:tc>
        <w:tc>
          <w:tcPr>
            <w:tcW w:w="1980" w:type="dxa"/>
            <w:vAlign w:val="bottom"/>
          </w:tcPr>
          <w:p>
            <w:pPr>
              <w:spacing w:after="0"/>
              <w:rPr>
                <w:sz w:val="13"/>
                <w:szCs w:val="13"/>
                <w:color w:val="auto"/>
              </w:rPr>
            </w:pPr>
          </w:p>
        </w:tc>
        <w:tc>
          <w:tcPr>
            <w:tcW w:w="340" w:type="dxa"/>
            <w:vAlign w:val="bottom"/>
          </w:tcPr>
          <w:p>
            <w:pPr>
              <w:jc w:val="right"/>
              <w:ind w:right="189"/>
              <w:spacing w:after="0" w:line="153" w:lineRule="exact"/>
              <w:rPr>
                <w:sz w:val="20"/>
                <w:szCs w:val="20"/>
                <w:color w:val="auto"/>
              </w:rPr>
            </w:pPr>
            <w:r>
              <w:rPr>
                <w:rFonts w:ascii="Arial" w:cs="Arial" w:eastAsia="Arial" w:hAnsi="Arial"/>
                <w:sz w:val="14"/>
                <w:szCs w:val="14"/>
                <w:color w:val="auto"/>
                <w:w w:val="76"/>
              </w:rPr>
              <w:t>$</w:t>
            </w:r>
          </w:p>
        </w:tc>
        <w:tc>
          <w:tcPr>
            <w:tcW w:w="1200" w:type="dxa"/>
            <w:vAlign w:val="bottom"/>
          </w:tcPr>
          <w:p>
            <w:pPr>
              <w:jc w:val="right"/>
              <w:ind w:right="269"/>
              <w:spacing w:after="0" w:line="153" w:lineRule="exact"/>
              <w:rPr>
                <w:sz w:val="20"/>
                <w:szCs w:val="20"/>
                <w:color w:val="auto"/>
              </w:rPr>
            </w:pPr>
            <w:r>
              <w:rPr>
                <w:rFonts w:ascii="Arial" w:cs="Arial" w:eastAsia="Arial" w:hAnsi="Arial"/>
                <w:sz w:val="14"/>
                <w:szCs w:val="14"/>
                <w:color w:val="auto"/>
              </w:rPr>
              <w:t>38,307</w:t>
            </w:r>
          </w:p>
        </w:tc>
        <w:tc>
          <w:tcPr>
            <w:tcW w:w="520" w:type="dxa"/>
            <w:vAlign w:val="bottom"/>
            <w:gridSpan w:val="2"/>
          </w:tcPr>
          <w:p>
            <w:pPr>
              <w:jc w:val="right"/>
              <w:ind w:right="9"/>
              <w:spacing w:after="0" w:line="153" w:lineRule="exact"/>
              <w:rPr>
                <w:sz w:val="20"/>
                <w:szCs w:val="20"/>
                <w:color w:val="auto"/>
              </w:rPr>
            </w:pPr>
            <w:r>
              <w:rPr>
                <w:rFonts w:ascii="Arial" w:cs="Arial" w:eastAsia="Arial" w:hAnsi="Arial"/>
                <w:sz w:val="14"/>
                <w:szCs w:val="14"/>
                <w:color w:val="auto"/>
              </w:rPr>
              <w:t>100 %</w:t>
            </w:r>
          </w:p>
        </w:tc>
        <w:tc>
          <w:tcPr>
            <w:tcW w:w="360" w:type="dxa"/>
            <w:vAlign w:val="bottom"/>
          </w:tcPr>
          <w:p>
            <w:pPr>
              <w:jc w:val="right"/>
              <w:ind w:right="169"/>
              <w:spacing w:after="0" w:line="153"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49"/>
              <w:spacing w:after="0" w:line="153" w:lineRule="exact"/>
              <w:rPr>
                <w:sz w:val="20"/>
                <w:szCs w:val="20"/>
                <w:color w:val="auto"/>
              </w:rPr>
            </w:pPr>
            <w:r>
              <w:rPr>
                <w:rFonts w:ascii="Arial" w:cs="Arial" w:eastAsia="Arial" w:hAnsi="Arial"/>
                <w:sz w:val="14"/>
                <w:szCs w:val="14"/>
                <w:color w:val="auto"/>
              </w:rPr>
              <w:t>37,244</w:t>
            </w:r>
          </w:p>
        </w:tc>
        <w:tc>
          <w:tcPr>
            <w:tcW w:w="700" w:type="dxa"/>
            <w:vAlign w:val="bottom"/>
            <w:gridSpan w:val="2"/>
          </w:tcPr>
          <w:p>
            <w:pPr>
              <w:jc w:val="right"/>
              <w:ind w:right="49"/>
              <w:spacing w:after="0" w:line="153" w:lineRule="exact"/>
              <w:rPr>
                <w:sz w:val="20"/>
                <w:szCs w:val="20"/>
                <w:color w:val="auto"/>
              </w:rPr>
            </w:pPr>
            <w:r>
              <w:rPr>
                <w:rFonts w:ascii="Arial" w:cs="Arial" w:eastAsia="Arial" w:hAnsi="Arial"/>
                <w:sz w:val="14"/>
                <w:szCs w:val="14"/>
                <w:color w:val="auto"/>
              </w:rPr>
              <w:t>100 %</w:t>
            </w:r>
          </w:p>
        </w:tc>
      </w:tr>
      <w:tr>
        <w:trPr>
          <w:trHeight w:val="80"/>
        </w:trPr>
        <w:tc>
          <w:tcPr>
            <w:tcW w:w="5220" w:type="dxa"/>
            <w:vAlign w:val="bottom"/>
            <w:shd w:val="clear" w:color="auto" w:fill="000000"/>
          </w:tcPr>
          <w:p>
            <w:pPr>
              <w:spacing w:after="0"/>
              <w:rPr>
                <w:sz w:val="6"/>
                <w:szCs w:val="6"/>
                <w:color w:val="auto"/>
              </w:rPr>
            </w:pPr>
          </w:p>
        </w:tc>
        <w:tc>
          <w:tcPr>
            <w:tcW w:w="198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2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r>
      <w:tr>
        <w:trPr>
          <w:trHeight w:val="146"/>
        </w:trPr>
        <w:tc>
          <w:tcPr>
            <w:tcW w:w="5220" w:type="dxa"/>
            <w:vAlign w:val="bottom"/>
          </w:tcPr>
          <w:p>
            <w:pPr>
              <w:spacing w:after="0" w:line="146" w:lineRule="exact"/>
              <w:rPr>
                <w:sz w:val="20"/>
                <w:szCs w:val="20"/>
                <w:color w:val="auto"/>
              </w:rPr>
            </w:pPr>
            <w:r>
              <w:rPr>
                <w:rFonts w:ascii="Arial" w:cs="Arial" w:eastAsia="Arial" w:hAnsi="Arial"/>
                <w:sz w:val="14"/>
                <w:szCs w:val="14"/>
                <w:color w:val="auto"/>
              </w:rPr>
              <w:t>INVESTMENTS IN EQUITY METHOD INVESTEES</w:t>
            </w:r>
          </w:p>
        </w:tc>
        <w:tc>
          <w:tcPr>
            <w:tcW w:w="1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59"/>
        </w:trPr>
        <w:tc>
          <w:tcPr>
            <w:tcW w:w="5220" w:type="dxa"/>
            <w:vAlign w:val="bottom"/>
          </w:tcPr>
          <w:p>
            <w:pPr>
              <w:ind w:left="120"/>
              <w:spacing w:after="0" w:line="159" w:lineRule="exact"/>
              <w:rPr>
                <w:sz w:val="20"/>
                <w:szCs w:val="20"/>
                <w:color w:val="auto"/>
              </w:rPr>
            </w:pPr>
            <w:r>
              <w:rPr>
                <w:rFonts w:ascii="Arial" w:cs="Arial" w:eastAsia="Arial" w:hAnsi="Arial"/>
                <w:sz w:val="14"/>
                <w:szCs w:val="14"/>
                <w:color w:val="auto"/>
              </w:rPr>
              <w:t>Sempra South American Utilities</w:t>
            </w:r>
          </w:p>
        </w:tc>
        <w:tc>
          <w:tcPr>
            <w:tcW w:w="2320" w:type="dxa"/>
            <w:vAlign w:val="bottom"/>
            <w:gridSpan w:val="2"/>
          </w:tcPr>
          <w:p>
            <w:pPr>
              <w:jc w:val="right"/>
              <w:ind w:right="189"/>
              <w:spacing w:after="0" w:line="15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229"/>
              <w:spacing w:after="0" w:line="159" w:lineRule="exact"/>
              <w:rPr>
                <w:sz w:val="20"/>
                <w:szCs w:val="20"/>
                <w:color w:val="auto"/>
              </w:rPr>
            </w:pPr>
            <w:r>
              <w:rPr>
                <w:rFonts w:ascii="Arial" w:cs="Arial" w:eastAsia="Arial" w:hAnsi="Arial"/>
                <w:sz w:val="14"/>
                <w:szCs w:val="14"/>
                <w:color w:val="auto"/>
              </w:rPr>
              <w:t>(5)</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jc w:val="right"/>
              <w:ind w:right="169"/>
              <w:spacing w:after="0" w:line="15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(3)</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9"/>
        </w:trPr>
        <w:tc>
          <w:tcPr>
            <w:tcW w:w="5220" w:type="dxa"/>
            <w:vAlign w:val="bottom"/>
          </w:tcPr>
          <w:p>
            <w:pPr>
              <w:ind w:left="120"/>
              <w:spacing w:after="0" w:line="159" w:lineRule="exact"/>
              <w:rPr>
                <w:sz w:val="20"/>
                <w:szCs w:val="20"/>
                <w:color w:val="auto"/>
              </w:rPr>
            </w:pPr>
            <w:r>
              <w:rPr>
                <w:rFonts w:ascii="Arial" w:cs="Arial" w:eastAsia="Arial" w:hAnsi="Arial"/>
                <w:sz w:val="14"/>
                <w:szCs w:val="14"/>
                <w:color w:val="auto"/>
              </w:rPr>
              <w:t>Sempra Mexico</w:t>
            </w: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269"/>
              <w:spacing w:after="0" w:line="159" w:lineRule="exact"/>
              <w:rPr>
                <w:sz w:val="20"/>
                <w:szCs w:val="20"/>
                <w:color w:val="auto"/>
              </w:rPr>
            </w:pPr>
            <w:r>
              <w:rPr>
                <w:rFonts w:ascii="Arial" w:cs="Arial" w:eastAsia="Arial" w:hAnsi="Arial"/>
                <w:sz w:val="14"/>
                <w:szCs w:val="14"/>
                <w:color w:val="auto"/>
              </w:rPr>
              <w:t>392</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379</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9"/>
        </w:trPr>
        <w:tc>
          <w:tcPr>
            <w:tcW w:w="5220" w:type="dxa"/>
            <w:vAlign w:val="bottom"/>
          </w:tcPr>
          <w:p>
            <w:pPr>
              <w:ind w:left="120"/>
              <w:spacing w:after="0" w:line="159" w:lineRule="exact"/>
              <w:rPr>
                <w:sz w:val="20"/>
                <w:szCs w:val="20"/>
                <w:color w:val="auto"/>
              </w:rPr>
            </w:pPr>
            <w:r>
              <w:rPr>
                <w:rFonts w:ascii="Arial" w:cs="Arial" w:eastAsia="Arial" w:hAnsi="Arial"/>
                <w:sz w:val="14"/>
                <w:szCs w:val="14"/>
                <w:color w:val="auto"/>
              </w:rPr>
              <w:t>Sempra Renewables</w:t>
            </w: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269"/>
              <w:spacing w:after="0" w:line="159" w:lineRule="exact"/>
              <w:rPr>
                <w:sz w:val="20"/>
                <w:szCs w:val="20"/>
                <w:color w:val="auto"/>
              </w:rPr>
            </w:pPr>
            <w:r>
              <w:rPr>
                <w:rFonts w:ascii="Arial" w:cs="Arial" w:eastAsia="Arial" w:hAnsi="Arial"/>
                <w:sz w:val="14"/>
                <w:szCs w:val="14"/>
                <w:color w:val="auto"/>
              </w:rPr>
              <w:t>874</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707</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9"/>
        </w:trPr>
        <w:tc>
          <w:tcPr>
            <w:tcW w:w="5220" w:type="dxa"/>
            <w:vAlign w:val="bottom"/>
          </w:tcPr>
          <w:p>
            <w:pPr>
              <w:ind w:left="120"/>
              <w:spacing w:after="0" w:line="159" w:lineRule="exact"/>
              <w:rPr>
                <w:sz w:val="20"/>
                <w:szCs w:val="20"/>
                <w:color w:val="auto"/>
              </w:rPr>
            </w:pPr>
            <w:r>
              <w:rPr>
                <w:rFonts w:ascii="Arial" w:cs="Arial" w:eastAsia="Arial" w:hAnsi="Arial"/>
                <w:sz w:val="14"/>
                <w:szCs w:val="14"/>
                <w:color w:val="auto"/>
              </w:rPr>
              <w:t>Sempra Natural Gas</w:t>
            </w: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269"/>
              <w:spacing w:after="0" w:line="159" w:lineRule="exact"/>
              <w:rPr>
                <w:sz w:val="20"/>
                <w:szCs w:val="20"/>
                <w:color w:val="auto"/>
              </w:rPr>
            </w:pPr>
            <w:r>
              <w:rPr>
                <w:rFonts w:ascii="Arial" w:cs="Arial" w:eastAsia="Arial" w:hAnsi="Arial"/>
                <w:sz w:val="14"/>
                <w:szCs w:val="14"/>
                <w:color w:val="auto"/>
              </w:rPr>
              <w:t>343</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329</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3"/>
        </w:trPr>
        <w:tc>
          <w:tcPr>
            <w:tcW w:w="5220" w:type="dxa"/>
            <w:vAlign w:val="bottom"/>
          </w:tcPr>
          <w:p>
            <w:pPr>
              <w:ind w:left="120"/>
              <w:spacing w:after="0"/>
              <w:rPr>
                <w:sz w:val="20"/>
                <w:szCs w:val="20"/>
                <w:color w:val="auto"/>
              </w:rPr>
            </w:pPr>
            <w:r>
              <w:rPr>
                <w:rFonts w:ascii="Arial" w:cs="Arial" w:eastAsia="Arial" w:hAnsi="Arial"/>
                <w:sz w:val="14"/>
                <w:szCs w:val="14"/>
                <w:color w:val="auto"/>
              </w:rPr>
              <w:t>All other</w:t>
            </w:r>
          </w:p>
        </w:tc>
        <w:tc>
          <w:tcPr>
            <w:tcW w:w="19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73</w:t>
            </w: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73</w:t>
            </w: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r>
      <w:tr>
        <w:trPr>
          <w:trHeight w:val="153"/>
        </w:trPr>
        <w:tc>
          <w:tcPr>
            <w:tcW w:w="5220" w:type="dxa"/>
            <w:vAlign w:val="bottom"/>
          </w:tcPr>
          <w:p>
            <w:pPr>
              <w:ind w:left="280"/>
              <w:spacing w:after="0" w:line="153" w:lineRule="exact"/>
              <w:rPr>
                <w:sz w:val="20"/>
                <w:szCs w:val="20"/>
                <w:color w:val="auto"/>
              </w:rPr>
            </w:pPr>
            <w:r>
              <w:rPr>
                <w:rFonts w:ascii="Arial" w:cs="Arial" w:eastAsia="Arial" w:hAnsi="Arial"/>
                <w:sz w:val="14"/>
                <w:szCs w:val="14"/>
                <w:color w:val="auto"/>
              </w:rPr>
              <w:t>Total</w:t>
            </w:r>
          </w:p>
        </w:tc>
        <w:tc>
          <w:tcPr>
            <w:tcW w:w="1980" w:type="dxa"/>
            <w:vAlign w:val="bottom"/>
          </w:tcPr>
          <w:p>
            <w:pPr>
              <w:spacing w:after="0"/>
              <w:rPr>
                <w:sz w:val="13"/>
                <w:szCs w:val="13"/>
                <w:color w:val="auto"/>
              </w:rPr>
            </w:pPr>
          </w:p>
        </w:tc>
        <w:tc>
          <w:tcPr>
            <w:tcW w:w="340" w:type="dxa"/>
            <w:vAlign w:val="bottom"/>
          </w:tcPr>
          <w:p>
            <w:pPr>
              <w:jc w:val="right"/>
              <w:ind w:right="189"/>
              <w:spacing w:after="0" w:line="153" w:lineRule="exact"/>
              <w:rPr>
                <w:sz w:val="20"/>
                <w:szCs w:val="20"/>
                <w:color w:val="auto"/>
              </w:rPr>
            </w:pPr>
            <w:r>
              <w:rPr>
                <w:rFonts w:ascii="Arial" w:cs="Arial" w:eastAsia="Arial" w:hAnsi="Arial"/>
                <w:sz w:val="14"/>
                <w:szCs w:val="14"/>
                <w:color w:val="auto"/>
                <w:w w:val="76"/>
              </w:rPr>
              <w:t>$</w:t>
            </w:r>
          </w:p>
        </w:tc>
        <w:tc>
          <w:tcPr>
            <w:tcW w:w="1200" w:type="dxa"/>
            <w:vAlign w:val="bottom"/>
          </w:tcPr>
          <w:p>
            <w:pPr>
              <w:jc w:val="right"/>
              <w:ind w:right="269"/>
              <w:spacing w:after="0" w:line="153" w:lineRule="exact"/>
              <w:rPr>
                <w:sz w:val="20"/>
                <w:szCs w:val="20"/>
                <w:color w:val="auto"/>
              </w:rPr>
            </w:pPr>
            <w:r>
              <w:rPr>
                <w:rFonts w:ascii="Arial" w:cs="Arial" w:eastAsia="Arial" w:hAnsi="Arial"/>
                <w:sz w:val="14"/>
                <w:szCs w:val="14"/>
                <w:color w:val="auto"/>
              </w:rPr>
              <w:t>1,677</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jc w:val="right"/>
              <w:ind w:right="169"/>
              <w:spacing w:after="0" w:line="153"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49"/>
              <w:spacing w:after="0" w:line="153" w:lineRule="exact"/>
              <w:rPr>
                <w:sz w:val="20"/>
                <w:szCs w:val="20"/>
                <w:color w:val="auto"/>
              </w:rPr>
            </w:pPr>
            <w:r>
              <w:rPr>
                <w:rFonts w:ascii="Arial" w:cs="Arial" w:eastAsia="Arial" w:hAnsi="Arial"/>
                <w:sz w:val="14"/>
                <w:szCs w:val="14"/>
                <w:color w:val="auto"/>
              </w:rPr>
              <w:t>1,485</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80"/>
        </w:trPr>
        <w:tc>
          <w:tcPr>
            <w:tcW w:w="5220" w:type="dxa"/>
            <w:vAlign w:val="bottom"/>
            <w:shd w:val="clear" w:color="auto" w:fill="000000"/>
          </w:tcPr>
          <w:p>
            <w:pPr>
              <w:spacing w:after="0"/>
              <w:rPr>
                <w:sz w:val="6"/>
                <w:szCs w:val="6"/>
                <w:color w:val="auto"/>
              </w:rPr>
            </w:pPr>
          </w:p>
        </w:tc>
        <w:tc>
          <w:tcPr>
            <w:tcW w:w="198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20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r>
    </w:tbl>
    <w:p>
      <w:pPr>
        <w:ind w:left="480" w:hanging="474"/>
        <w:spacing w:after="0"/>
        <w:tabs>
          <w:tab w:leader="none" w:pos="480" w:val="left"/>
        </w:tabs>
        <w:numPr>
          <w:ilvl w:val="0"/>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Revenues for reportable segments include intersegment revenues of:</w:t>
      </w:r>
    </w:p>
    <w:p>
      <w:pPr>
        <w:spacing w:after="0" w:line="3" w:lineRule="exact"/>
        <w:rPr>
          <w:rFonts w:ascii="Arial" w:cs="Arial" w:eastAsia="Arial" w:hAnsi="Arial"/>
          <w:sz w:val="14"/>
          <w:szCs w:val="14"/>
          <w:i w:val="1"/>
          <w:iCs w:val="1"/>
          <w:color w:val="auto"/>
        </w:rPr>
      </w:pPr>
    </w:p>
    <w:p>
      <w:pPr>
        <w:ind w:left="480"/>
        <w:spacing w:after="0" w:line="246" w:lineRule="auto"/>
        <w:rPr>
          <w:rFonts w:ascii="Arial" w:cs="Arial" w:eastAsia="Arial" w:hAnsi="Arial"/>
          <w:sz w:val="14"/>
          <w:szCs w:val="14"/>
          <w:i w:val="1"/>
          <w:iCs w:val="1"/>
          <w:color w:val="auto"/>
        </w:rPr>
      </w:pPr>
      <w:r>
        <w:rPr>
          <w:rFonts w:ascii="Arial" w:cs="Arial" w:eastAsia="Arial" w:hAnsi="Arial"/>
          <w:sz w:val="14"/>
          <w:szCs w:val="14"/>
          <w:i w:val="1"/>
          <w:iCs w:val="1"/>
          <w:color w:val="auto"/>
        </w:rPr>
        <w:t>$2 million, $16 million, $23 million and $80 million for the three months ended June 30, 2014; $5 million, $34 million, $45 million and $159 million for the six months ended June 30, 2014; $2 million, $16 million, $23 million and $56 million for the three months ended June 30, 2013; and $4 million, $31 million, $45 million and $115 million for the six months ended June 30, 2013 for SDG&amp;E, SoCalGas, Sempra Mexico and Sempra Natural Gas, respectively.</w:t>
      </w:r>
    </w:p>
    <w:p>
      <w:pPr>
        <w:spacing w:after="0" w:line="7" w:lineRule="exact"/>
        <w:rPr>
          <w:rFonts w:ascii="Arial" w:cs="Arial" w:eastAsia="Arial" w:hAnsi="Arial"/>
          <w:sz w:val="14"/>
          <w:szCs w:val="14"/>
          <w:i w:val="1"/>
          <w:iCs w:val="1"/>
          <w:color w:val="auto"/>
        </w:rPr>
      </w:pPr>
    </w:p>
    <w:p>
      <w:pPr>
        <w:ind w:left="480" w:hanging="474"/>
        <w:spacing w:after="0"/>
        <w:tabs>
          <w:tab w:leader="none" w:pos="480" w:val="left"/>
        </w:tabs>
        <w:numPr>
          <w:ilvl w:val="0"/>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 for 2013.</w:t>
      </w:r>
    </w:p>
    <w:p>
      <w:pPr>
        <w:spacing w:after="0" w:line="14" w:lineRule="exact"/>
        <w:rPr>
          <w:rFonts w:ascii="Arial" w:cs="Arial" w:eastAsia="Arial" w:hAnsi="Arial"/>
          <w:sz w:val="14"/>
          <w:szCs w:val="14"/>
          <w:i w:val="1"/>
          <w:iCs w:val="1"/>
          <w:color w:val="auto"/>
        </w:rPr>
      </w:pPr>
    </w:p>
    <w:p>
      <w:pPr>
        <w:ind w:left="480" w:hanging="474"/>
        <w:spacing w:after="0"/>
        <w:tabs>
          <w:tab w:leader="none" w:pos="480" w:val="left"/>
        </w:tabs>
        <w:numPr>
          <w:ilvl w:val="0"/>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420"/>
        <w:spacing w:after="0" w:line="284" w:lineRule="auto"/>
        <w:rPr>
          <w:sz w:val="20"/>
          <w:szCs w:val="20"/>
          <w:color w:val="auto"/>
        </w:rPr>
      </w:pPr>
      <w:r>
        <w:rPr>
          <w:rFonts w:ascii="Arial" w:cs="Arial" w:eastAsia="Arial" w:hAnsi="Arial"/>
          <w:sz w:val="23"/>
          <w:szCs w:val="23"/>
          <w:color w:val="auto"/>
        </w:rPr>
        <w:t>ITEM 2. MANAGEMENT’S DISCUSSION AND ANALYSIS OF FINANCIAL CONDITION AND RESULTS OF OPERATIONS</w:t>
      </w:r>
    </w:p>
    <w:p>
      <w:pPr>
        <w:spacing w:after="0" w:line="179"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You should read the following discussion in conjunction with the Condensed Consolidated Financial Statements and the Notes thereto contained in this Form 10-Q, “Management’s Discussion and Analysis of Financial Condition and Results of Operations” and the Consolidated Financial Statements and the Notes thereto contained in our 2013 Annual Report on Form 10-K (Annual Report) and “Risk Factors” contained in our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327025</wp:posOffset>
            </wp:positionV>
            <wp:extent cx="72656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color w:val="auto"/>
        </w:rPr>
        <w:t>OVERVIEW</w:t>
      </w:r>
    </w:p>
    <w:p>
      <w:pPr>
        <w:spacing w:after="0" w:line="216"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Sempra Energy is a Fortune 500 energy-services holding company whose operating units develop energy infrastructure, operate utilities and provide related services to their customers. Our operations are divided principally between our California Utilities, which are San Diego Gas &amp; Electric Company (SDG&amp;E) and Southern California Gas Company (SoCalGas), and Sempra International and Sempra U.S. Gas &amp; Power. SDG&amp;E and SoCalGas are separate, reportable segments. Sempra International includes two reportable segments – Sempra South American Utilities and Sempra Mexico. Sempra U.S. Gas &amp; Power also includes two reportable segments – Sempra Renewables and Sempra Natural Gas.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includes information for the following separate registrants:</w:t>
      </w:r>
    </w:p>
    <w:p>
      <w:pPr>
        <w:spacing w:after="0" w:line="218" w:lineRule="exact"/>
        <w:rPr>
          <w:sz w:val="20"/>
          <w:szCs w:val="20"/>
          <w:color w:val="auto"/>
        </w:rPr>
      </w:pPr>
    </w:p>
    <w:p>
      <w:pPr>
        <w:ind w:left="320" w:hanging="172"/>
        <w:spacing w:after="0"/>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Sempra Energy and its consolidated entities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SDG&amp;E</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SoCalGas</w:t>
      </w:r>
    </w:p>
    <w:p>
      <w:pPr>
        <w:spacing w:after="0" w:line="24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References to “we,” “our” and “Sempra Energy Consolidated” are to Sempra Energy and its consolidated entities, collectively, unless otherwise indicated by the context. All references to “Sempra International” and “Sempra U.S. Gas &amp; Power,” and to their respective principal segments, are not intended to refer to any legal entity with the same or similar name.</w:t>
      </w:r>
    </w:p>
    <w:p>
      <w:pPr>
        <w:spacing w:after="0" w:line="17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the first quarter of 2013, a Sempra Energy subsidiary, Infraestructura Energética Nova, S.A.B. de C.V. (IEnova), completed a private offering in the U.S. and outside of Mexico and concurrent public offering in Mexico of common stock. IEnova is a separate legal entity, formerly known as Sempra México, S.A. de C.V., comprised primarily of Sempra Energy’s operations in Mexico. IEnova is included within our Sempra Mexico reportable segment, but is not the same in its entirety as the reportable segment. In addition to the IEnova operating companies, the Sempra Mexico segment includes, among other things, certain holding companies and risk management activity. Also, IEnova’s financial results are reported in Mexico under International Financial Reporting Standards (IFRS), as required by the Mexican Stock Exchange (La Bolsa Mexicana de Valores, S.A.B. de C.V., or BMV) where the shares are traded under the symbol IENOVA. We discuss the offerings and IEnova further in Note 5 of the Notes to Condensed Consolidated Financial Statements herein.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summary descriptions of our operating units and their reportable segments.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OPERATING UNITS AND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306070</wp:posOffset>
            </wp:positionV>
            <wp:extent cx="7248525" cy="135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CALIFORNIA UTILITIES</w:t>
      </w:r>
    </w:p>
    <w:p>
      <w:pPr>
        <w:spacing w:after="0" w:line="40" w:lineRule="exact"/>
        <w:rPr>
          <w:sz w:val="20"/>
          <w:szCs w:val="20"/>
          <w:color w:val="auto"/>
        </w:rPr>
      </w:pPr>
    </w:p>
    <w:p>
      <w:pPr>
        <w:ind w:left="5400"/>
        <w:spacing w:after="0"/>
        <w:tabs>
          <w:tab w:leader="none" w:pos="8760" w:val="left"/>
        </w:tabs>
        <w:rPr>
          <w:sz w:val="20"/>
          <w:szCs w:val="20"/>
          <w:color w:val="auto"/>
        </w:rPr>
      </w:pPr>
      <w:r>
        <w:rPr>
          <w:rFonts w:ascii="Arial" w:cs="Arial" w:eastAsia="Arial" w:hAnsi="Arial"/>
          <w:sz w:val="14"/>
          <w:szCs w:val="14"/>
          <w:b w:val="1"/>
          <w:bCs w:val="1"/>
          <w:color w:val="auto"/>
        </w:rPr>
        <w:t>MARKET</w:t>
      </w:r>
      <w:r>
        <w:rPr>
          <w:sz w:val="20"/>
          <w:szCs w:val="20"/>
          <w:color w:val="auto"/>
        </w:rPr>
        <w:tab/>
      </w:r>
      <w:r>
        <w:rPr>
          <w:rFonts w:ascii="Arial" w:cs="Arial" w:eastAsia="Arial" w:hAnsi="Arial"/>
          <w:sz w:val="14"/>
          <w:szCs w:val="14"/>
          <w:b w:val="1"/>
          <w:bCs w:val="1"/>
          <w:color w:val="auto"/>
        </w:rPr>
        <w:t>SERVICE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248525" cy="6927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8525" cy="692785"/>
                    </a:xfrm>
                    <a:prstGeom prst="rect">
                      <a:avLst/>
                    </a:prstGeom>
                    <a:noFill/>
                  </pic:spPr>
                </pic:pic>
              </a:graphicData>
            </a:graphic>
          </wp:anchor>
        </w:drawing>
      </w:r>
    </w:p>
    <w:p>
      <w:pPr>
        <w:sectPr>
          <w:pgSz w:w="11900" w:h="16909" w:orient="portrait"/>
          <w:cols w:equalWidth="0" w:num="1">
            <w:col w:w="11420"/>
          </w:cols>
          <w:pgMar w:left="240" w:top="125" w:right="239" w:bottom="0" w:gutter="0" w:footer="0" w:header="0"/>
        </w:sectPr>
      </w:pPr>
    </w:p>
    <w:p>
      <w:pPr>
        <w:spacing w:after="0" w:line="22" w:lineRule="exact"/>
        <w:rPr>
          <w:sz w:val="20"/>
          <w:szCs w:val="20"/>
          <w:color w:val="auto"/>
        </w:rPr>
      </w:pPr>
    </w:p>
    <w:p>
      <w:pPr>
        <w:ind w:right="640"/>
        <w:spacing w:after="0" w:line="225" w:lineRule="auto"/>
        <w:rPr>
          <w:sz w:val="20"/>
          <w:szCs w:val="20"/>
          <w:color w:val="auto"/>
        </w:rPr>
      </w:pPr>
      <w:r>
        <w:rPr>
          <w:rFonts w:ascii="Arial" w:cs="Arial" w:eastAsia="Arial" w:hAnsi="Arial"/>
          <w:sz w:val="16"/>
          <w:szCs w:val="16"/>
          <w:b w:val="1"/>
          <w:bCs w:val="1"/>
          <w:color w:val="auto"/>
        </w:rPr>
        <w:t>SAN DIEGO GAS &amp; ELECTRIC COMPANY (SDG&amp;E)</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A regulated public utility; infrastructure supports electric generation, transmission and distribution, and natural gas distribution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 w:hanging="10"/>
        <w:spacing w:after="0" w:line="298" w:lineRule="auto"/>
        <w:tabs>
          <w:tab w:leader="none" w:pos="293"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Provides electricity to 3.4 million consumers (1.4 million meters)</w:t>
      </w:r>
    </w:p>
    <w:p>
      <w:pPr>
        <w:spacing w:after="0" w:line="153" w:lineRule="exact"/>
        <w:rPr>
          <w:rFonts w:ascii="Times New Roman" w:cs="Times New Roman" w:eastAsia="Times New Roman" w:hAnsi="Times New Roman"/>
          <w:sz w:val="16"/>
          <w:szCs w:val="16"/>
          <w:color w:val="auto"/>
        </w:rPr>
      </w:pPr>
    </w:p>
    <w:p>
      <w:pPr>
        <w:ind w:left="10" w:right="700" w:hanging="10"/>
        <w:spacing w:after="0" w:line="334" w:lineRule="auto"/>
        <w:tabs>
          <w:tab w:leader="none" w:pos="293" w:val="left"/>
        </w:tabs>
        <w:numPr>
          <w:ilvl w:val="0"/>
          <w:numId w:val="65"/>
        </w:numPr>
        <w:rPr>
          <w:rFonts w:ascii="Times New Roman" w:cs="Times New Roman" w:eastAsia="Times New Roman" w:hAnsi="Times New Roman"/>
          <w:sz w:val="15"/>
          <w:szCs w:val="15"/>
          <w:color w:val="auto"/>
        </w:rPr>
      </w:pPr>
      <w:r>
        <w:rPr>
          <w:rFonts w:ascii="Arial" w:cs="Arial" w:eastAsia="Arial" w:hAnsi="Arial"/>
          <w:sz w:val="15"/>
          <w:szCs w:val="15"/>
          <w:color w:val="auto"/>
        </w:rPr>
        <w:t>Provides natural gas to 3.2 million consumers (0.9 million meters)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Serves the county of San Diego, California and an adjacent portion of southern Orange County covering 4,100 square miles</w:t>
      </w:r>
    </w:p>
    <w:p>
      <w:pPr>
        <w:sectPr>
          <w:pgSz w:w="11900" w:h="16909" w:orient="portrait"/>
          <w:cols w:equalWidth="0" w:num="3">
            <w:col w:w="3780" w:space="350"/>
            <w:col w:w="3370" w:space="120"/>
            <w:col w:w="3800"/>
          </w:cols>
          <w:pgMar w:left="240" w:top="125" w:right="239" w:bottom="0" w:gutter="0" w:footer="0" w:header="0"/>
          <w:type w:val="continuous"/>
        </w:sectPr>
      </w:pPr>
    </w:p>
    <w:bookmarkStart w:id="48" w:name="page49"/>
    <w:bookmarkEnd w:id="48"/>
    <w:p>
      <w:pPr>
        <w:ind w:right="320"/>
        <w:spacing w:after="0" w:line="239" w:lineRule="auto"/>
        <w:rPr>
          <w:sz w:val="20"/>
          <w:szCs w:val="20"/>
          <w:color w:val="auto"/>
        </w:rPr>
      </w:pPr>
      <w:r>
        <w:rPr>
          <w:rFonts w:ascii="Arial" w:cs="Arial" w:eastAsia="Arial" w:hAnsi="Arial"/>
          <w:sz w:val="16"/>
          <w:szCs w:val="16"/>
          <w:b w:val="1"/>
          <w:bCs w:val="1"/>
          <w:color w:val="auto"/>
        </w:rPr>
        <w:t>SOUTHERN CALIFORNIA GAS COMPANY (SOCALGAS)</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A regulated public utility; infrastructure supports natural gas distribution, transmission and storage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ind w:left="10" w:hanging="10"/>
        <w:spacing w:after="0" w:line="334" w:lineRule="auto"/>
        <w:tabs>
          <w:tab w:leader="none" w:pos="293" w:val="left"/>
        </w:tabs>
        <w:numPr>
          <w:ilvl w:val="0"/>
          <w:numId w:val="66"/>
        </w:numPr>
        <w:rPr>
          <w:rFonts w:ascii="Times New Roman" w:cs="Times New Roman" w:eastAsia="Times New Roman" w:hAnsi="Times New Roman"/>
          <w:sz w:val="15"/>
          <w:szCs w:val="15"/>
          <w:color w:val="auto"/>
        </w:rPr>
      </w:pPr>
      <w:r>
        <w:rPr>
          <w:rFonts w:ascii="Arial" w:cs="Arial" w:eastAsia="Arial" w:hAnsi="Arial"/>
          <w:sz w:val="15"/>
          <w:szCs w:val="15"/>
          <w:color w:val="auto"/>
        </w:rPr>
        <w:t>Residential, commercial, industrial, utility electric generation and wholesale customers</w:t>
      </w:r>
    </w:p>
    <w:p>
      <w:pPr>
        <w:spacing w:after="0" w:line="130" w:lineRule="exact"/>
        <w:rPr>
          <w:rFonts w:ascii="Times New Roman" w:cs="Times New Roman" w:eastAsia="Times New Roman" w:hAnsi="Times New Roman"/>
          <w:sz w:val="15"/>
          <w:szCs w:val="15"/>
          <w:color w:val="auto"/>
        </w:rPr>
      </w:pPr>
    </w:p>
    <w:p>
      <w:pPr>
        <w:ind w:left="10" w:right="100" w:hanging="10"/>
        <w:spacing w:after="0" w:line="298" w:lineRule="auto"/>
        <w:tabs>
          <w:tab w:leader="none" w:pos="293"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Covers a population of 21.3 million (5.8 million 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-2618105</wp:posOffset>
            </wp:positionH>
            <wp:positionV relativeFrom="paragraph">
              <wp:posOffset>-810260</wp:posOffset>
            </wp:positionV>
            <wp:extent cx="7248525" cy="9575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8525" cy="957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38" w:lineRule="auto"/>
        <w:rPr>
          <w:sz w:val="20"/>
          <w:szCs w:val="20"/>
          <w:color w:val="auto"/>
        </w:rPr>
      </w:pPr>
      <w:r>
        <w:rPr>
          <w:rFonts w:ascii="Arial" w:cs="Arial" w:eastAsia="Arial" w:hAnsi="Arial"/>
          <w:sz w:val="16"/>
          <w:szCs w:val="16"/>
          <w:color w:val="auto"/>
        </w:rPr>
        <w:t>Southern California and portions of central California (excluding San Diego County, the city of Long Beach and the desert area of San Bernardino County) covering 20,000 square miles</w:t>
      </w:r>
    </w:p>
    <w:p>
      <w:pPr>
        <w:spacing w:after="0" w:line="565" w:lineRule="exact"/>
        <w:rPr>
          <w:sz w:val="20"/>
          <w:szCs w:val="20"/>
          <w:color w:val="auto"/>
        </w:rPr>
      </w:pPr>
    </w:p>
    <w:p>
      <w:pPr>
        <w:sectPr>
          <w:pgSz w:w="11900" w:h="16838" w:orient="portrait"/>
          <w:cols w:equalWidth="0" w:num="3">
            <w:col w:w="3480" w:space="650"/>
            <w:col w:w="3150" w:space="340"/>
            <w:col w:w="3800"/>
          </w:cols>
          <w:pgMar w:left="240" w:top="319" w:right="239" w:bottom="0" w:gutter="0" w:footer="0" w:header="0"/>
        </w:sectPr>
      </w:pPr>
    </w:p>
    <w:p>
      <w:pPr>
        <w:spacing w:after="0" w:line="200" w:lineRule="exact"/>
        <w:rPr>
          <w:sz w:val="20"/>
          <w:szCs w:val="20"/>
          <w:color w:val="auto"/>
        </w:rPr>
      </w:pPr>
    </w:p>
    <w:p>
      <w:pPr>
        <w:spacing w:after="0" w:line="218"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We refer to SDG&amp;E and SoCalGas collectively as the California Utilities, which do not include the utilities in our Sempra International or Sempra U.S. Gas &amp; Power operating units described below.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summary descriptions of our Sempra International and Sempra U.S. Gas &amp; Power businesses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555625</wp:posOffset>
            </wp:positionV>
            <wp:extent cx="7248525" cy="135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INTERNATIONAL</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MARKET</w:t>
            </w:r>
          </w:p>
        </w:tc>
        <w:tc>
          <w:tcPr>
            <w:tcW w:w="50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GEOGRAPHIC REGION</w:t>
            </w:r>
          </w:p>
        </w:tc>
        <w:tc>
          <w:tcPr>
            <w:tcW w:w="0" w:type="dxa"/>
            <w:vAlign w:val="bottom"/>
          </w:tcPr>
          <w:p>
            <w:pPr>
              <w:spacing w:after="0"/>
              <w:rPr>
                <w:sz w:val="1"/>
                <w:szCs w:val="1"/>
                <w:color w:val="auto"/>
              </w:rPr>
            </w:pPr>
          </w:p>
        </w:tc>
      </w:tr>
      <w:tr>
        <w:trPr>
          <w:trHeight w:val="153"/>
        </w:trPr>
        <w:tc>
          <w:tcPr>
            <w:tcW w:w="382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b w:val="1"/>
                <w:bCs w:val="1"/>
                <w:color w:val="auto"/>
              </w:rPr>
              <w:t>SEMPRA SOUTH AMERICAN UTILITIES</w:t>
            </w:r>
          </w:p>
        </w:tc>
        <w:tc>
          <w:tcPr>
            <w:tcW w:w="500" w:type="dxa"/>
            <w:vAlign w:val="bottom"/>
          </w:tcPr>
          <w:p>
            <w:pPr>
              <w:ind w:left="320"/>
              <w:spacing w:after="0" w:line="153" w:lineRule="exact"/>
              <w:rPr>
                <w:sz w:val="20"/>
                <w:szCs w:val="20"/>
                <w:color w:val="auto"/>
              </w:rPr>
            </w:pPr>
            <w:r>
              <w:rPr>
                <w:rFonts w:ascii="Times New Roman" w:cs="Times New Roman" w:eastAsia="Times New Roman" w:hAnsi="Times New Roman"/>
                <w:sz w:val="16"/>
                <w:szCs w:val="16"/>
                <w:color w:val="auto"/>
              </w:rPr>
              <w:t>§</w:t>
            </w:r>
          </w:p>
        </w:tc>
        <w:tc>
          <w:tcPr>
            <w:tcW w:w="3300" w:type="dxa"/>
            <w:vAlign w:val="bottom"/>
            <w:tcBorders>
              <w:right w:val="single" w:sz="8" w:color="auto"/>
            </w:tcBorders>
          </w:tcPr>
          <w:p>
            <w:pPr>
              <w:ind w:left="100"/>
              <w:spacing w:after="0" w:line="153" w:lineRule="exact"/>
              <w:rPr>
                <w:sz w:val="20"/>
                <w:szCs w:val="20"/>
                <w:color w:val="auto"/>
              </w:rPr>
            </w:pPr>
            <w:r>
              <w:rPr>
                <w:rFonts w:ascii="Arial" w:cs="Arial" w:eastAsia="Arial" w:hAnsi="Arial"/>
                <w:sz w:val="16"/>
                <w:szCs w:val="16"/>
                <w:color w:val="auto"/>
                <w:w w:val="99"/>
              </w:rPr>
              <w:t>Provides electricity to approximately 640,000</w:t>
            </w:r>
          </w:p>
        </w:tc>
        <w:tc>
          <w:tcPr>
            <w:tcW w:w="500" w:type="dxa"/>
            <w:vAlign w:val="bottom"/>
          </w:tcPr>
          <w:p>
            <w:pPr>
              <w:jc w:val="right"/>
              <w:ind w:right="20"/>
              <w:spacing w:after="0" w:line="153" w:lineRule="exact"/>
              <w:rPr>
                <w:sz w:val="20"/>
                <w:szCs w:val="20"/>
                <w:color w:val="auto"/>
              </w:rPr>
            </w:pPr>
            <w:r>
              <w:rPr>
                <w:rFonts w:ascii="Times New Roman" w:cs="Times New Roman" w:eastAsia="Times New Roman" w:hAnsi="Times New Roman"/>
                <w:sz w:val="16"/>
                <w:szCs w:val="16"/>
                <w:color w:val="auto"/>
              </w:rPr>
              <w:t>§</w:t>
            </w:r>
          </w:p>
        </w:tc>
        <w:tc>
          <w:tcPr>
            <w:tcW w:w="3300" w:type="dxa"/>
            <w:vAlign w:val="bottom"/>
          </w:tcPr>
          <w:p>
            <w:pPr>
              <w:ind w:left="100"/>
              <w:spacing w:after="0" w:line="153" w:lineRule="exact"/>
              <w:rPr>
                <w:sz w:val="20"/>
                <w:szCs w:val="20"/>
                <w:color w:val="auto"/>
              </w:rPr>
            </w:pPr>
            <w:r>
              <w:rPr>
                <w:rFonts w:ascii="Arial" w:cs="Arial" w:eastAsia="Arial" w:hAnsi="Arial"/>
                <w:sz w:val="16"/>
                <w:szCs w:val="16"/>
                <w:color w:val="auto"/>
              </w:rPr>
              <w:t>Chile</w:t>
            </w:r>
          </w:p>
        </w:tc>
        <w:tc>
          <w:tcPr>
            <w:tcW w:w="0" w:type="dxa"/>
            <w:vAlign w:val="bottom"/>
          </w:tcPr>
          <w:p>
            <w:pPr>
              <w:spacing w:after="0"/>
              <w:rPr>
                <w:sz w:val="1"/>
                <w:szCs w:val="1"/>
                <w:color w:val="auto"/>
              </w:rPr>
            </w:pPr>
          </w:p>
        </w:tc>
      </w:tr>
      <w:tr>
        <w:trPr>
          <w:trHeight w:val="199"/>
        </w:trPr>
        <w:tc>
          <w:tcPr>
            <w:tcW w:w="38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Infrastructure supports electric transmission and</w:t>
            </w:r>
          </w:p>
        </w:tc>
        <w:tc>
          <w:tcPr>
            <w:tcW w:w="3800" w:type="dxa"/>
            <w:vAlign w:val="bottom"/>
            <w:tcBorders>
              <w:right w:val="single" w:sz="8" w:color="auto"/>
            </w:tcBorders>
            <w:gridSpan w:val="2"/>
          </w:tcPr>
          <w:p>
            <w:pPr>
              <w:ind w:left="320"/>
              <w:spacing w:after="0"/>
              <w:rPr>
                <w:sz w:val="20"/>
                <w:szCs w:val="20"/>
                <w:color w:val="auto"/>
              </w:rPr>
            </w:pPr>
            <w:r>
              <w:rPr>
                <w:rFonts w:ascii="Arial" w:cs="Arial" w:eastAsia="Arial" w:hAnsi="Arial"/>
                <w:sz w:val="16"/>
                <w:szCs w:val="16"/>
                <w:color w:val="auto"/>
              </w:rPr>
              <w:t>customers in Chile and 996,000 customers in</w:t>
            </w:r>
          </w:p>
        </w:tc>
        <w:tc>
          <w:tcPr>
            <w:tcW w:w="5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distribution</w:t>
            </w:r>
          </w:p>
        </w:tc>
        <w:tc>
          <w:tcPr>
            <w:tcW w:w="380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6"/>
                <w:szCs w:val="16"/>
                <w:color w:val="auto"/>
              </w:rPr>
              <w:t>Peru</w:t>
            </w:r>
          </w:p>
        </w:tc>
        <w:tc>
          <w:tcPr>
            <w:tcW w:w="5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300" w:type="dxa"/>
            <w:vAlign w:val="bottom"/>
            <w:vMerge w:val="restart"/>
          </w:tcPr>
          <w:p>
            <w:pPr>
              <w:ind w:left="100"/>
              <w:spacing w:after="0"/>
              <w:rPr>
                <w:sz w:val="20"/>
                <w:szCs w:val="20"/>
                <w:color w:val="auto"/>
              </w:rPr>
            </w:pPr>
            <w:r>
              <w:rPr>
                <w:rFonts w:ascii="Arial" w:cs="Arial" w:eastAsia="Arial" w:hAnsi="Arial"/>
                <w:sz w:val="16"/>
                <w:szCs w:val="16"/>
                <w:color w:val="auto"/>
              </w:rPr>
              <w:t>Peru</w:t>
            </w:r>
          </w:p>
        </w:tc>
        <w:tc>
          <w:tcPr>
            <w:tcW w:w="0" w:type="dxa"/>
            <w:vAlign w:val="bottom"/>
          </w:tcPr>
          <w:p>
            <w:pPr>
              <w:spacing w:after="0"/>
              <w:rPr>
                <w:sz w:val="1"/>
                <w:szCs w:val="1"/>
                <w:color w:val="auto"/>
              </w:rPr>
            </w:pPr>
          </w:p>
        </w:tc>
      </w:tr>
      <w:tr>
        <w:trPr>
          <w:trHeight w:val="62"/>
        </w:trPr>
        <w:tc>
          <w:tcPr>
            <w:tcW w:w="3820" w:type="dxa"/>
            <w:vAlign w:val="bottom"/>
            <w:tcBorders>
              <w:right w:val="single" w:sz="8" w:color="auto"/>
            </w:tcBorders>
          </w:tcPr>
          <w:p>
            <w:pPr>
              <w:spacing w:after="0"/>
              <w:rPr>
                <w:sz w:val="5"/>
                <w:szCs w:val="5"/>
                <w:color w:val="auto"/>
              </w:rPr>
            </w:pPr>
          </w:p>
        </w:tc>
        <w:tc>
          <w:tcPr>
            <w:tcW w:w="3800" w:type="dxa"/>
            <w:vAlign w:val="bottom"/>
            <w:tcBorders>
              <w:right w:val="single" w:sz="8" w:color="auto"/>
            </w:tcBorders>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5"/>
        </w:trPr>
        <w:tc>
          <w:tcPr>
            <w:tcW w:w="382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820" w:type="dxa"/>
            <w:vAlign w:val="bottom"/>
          </w:tcPr>
          <w:p>
            <w:pPr>
              <w:spacing w:after="0" w:line="153" w:lineRule="exact"/>
              <w:rPr>
                <w:sz w:val="20"/>
                <w:szCs w:val="20"/>
                <w:color w:val="auto"/>
              </w:rPr>
            </w:pPr>
            <w:r>
              <w:rPr>
                <w:rFonts w:ascii="Arial" w:cs="Arial" w:eastAsia="Arial" w:hAnsi="Arial"/>
                <w:sz w:val="16"/>
                <w:szCs w:val="16"/>
                <w:b w:val="1"/>
                <w:bCs w:val="1"/>
                <w:color w:val="auto"/>
              </w:rPr>
              <w:t>SEMPRA MEXICO</w:t>
            </w:r>
          </w:p>
        </w:tc>
        <w:tc>
          <w:tcPr>
            <w:tcW w:w="500" w:type="dxa"/>
            <w:vAlign w:val="bottom"/>
          </w:tcPr>
          <w:p>
            <w:pPr>
              <w:ind w:left="320"/>
              <w:spacing w:after="0" w:line="153" w:lineRule="exact"/>
              <w:rPr>
                <w:sz w:val="20"/>
                <w:szCs w:val="20"/>
                <w:color w:val="auto"/>
              </w:rPr>
            </w:pPr>
            <w:r>
              <w:rPr>
                <w:rFonts w:ascii="Times New Roman" w:cs="Times New Roman" w:eastAsia="Times New Roman" w:hAnsi="Times New Roman"/>
                <w:sz w:val="16"/>
                <w:szCs w:val="16"/>
                <w:color w:val="auto"/>
              </w:rPr>
              <w:t>§</w:t>
            </w:r>
          </w:p>
        </w:tc>
        <w:tc>
          <w:tcPr>
            <w:tcW w:w="3300" w:type="dxa"/>
            <w:vAlign w:val="bottom"/>
          </w:tcPr>
          <w:p>
            <w:pPr>
              <w:ind w:left="100"/>
              <w:spacing w:after="0" w:line="153" w:lineRule="exact"/>
              <w:rPr>
                <w:sz w:val="20"/>
                <w:szCs w:val="20"/>
                <w:color w:val="auto"/>
              </w:rPr>
            </w:pPr>
            <w:r>
              <w:rPr>
                <w:rFonts w:ascii="Arial" w:cs="Arial" w:eastAsia="Arial" w:hAnsi="Arial"/>
                <w:sz w:val="16"/>
                <w:szCs w:val="16"/>
                <w:color w:val="auto"/>
              </w:rPr>
              <w:t>Natural gas</w:t>
            </w:r>
          </w:p>
        </w:tc>
        <w:tc>
          <w:tcPr>
            <w:tcW w:w="500" w:type="dxa"/>
            <w:vAlign w:val="bottom"/>
          </w:tcPr>
          <w:p>
            <w:pPr>
              <w:jc w:val="right"/>
              <w:ind w:right="20"/>
              <w:spacing w:after="0" w:line="153" w:lineRule="exact"/>
              <w:rPr>
                <w:sz w:val="20"/>
                <w:szCs w:val="20"/>
                <w:color w:val="auto"/>
              </w:rPr>
            </w:pPr>
            <w:r>
              <w:rPr>
                <w:rFonts w:ascii="Times New Roman" w:cs="Times New Roman" w:eastAsia="Times New Roman" w:hAnsi="Times New Roman"/>
                <w:sz w:val="16"/>
                <w:szCs w:val="16"/>
                <w:color w:val="auto"/>
              </w:rPr>
              <w:t>§</w:t>
            </w:r>
          </w:p>
        </w:tc>
        <w:tc>
          <w:tcPr>
            <w:tcW w:w="3300" w:type="dxa"/>
            <w:vAlign w:val="bottom"/>
          </w:tcPr>
          <w:p>
            <w:pPr>
              <w:ind w:left="100"/>
              <w:spacing w:after="0" w:line="153" w:lineRule="exact"/>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181"/>
        </w:trPr>
        <w:tc>
          <w:tcPr>
            <w:tcW w:w="3820" w:type="dxa"/>
            <w:vAlign w:val="bottom"/>
          </w:tcPr>
          <w:p>
            <w:pPr>
              <w:spacing w:after="0" w:line="181" w:lineRule="exact"/>
              <w:rPr>
                <w:sz w:val="20"/>
                <w:szCs w:val="20"/>
                <w:color w:val="auto"/>
              </w:rPr>
            </w:pPr>
            <w:r>
              <w:rPr>
                <w:rFonts w:ascii="Arial" w:cs="Arial" w:eastAsia="Arial" w:hAnsi="Arial"/>
                <w:sz w:val="16"/>
                <w:szCs w:val="16"/>
                <w:color w:val="auto"/>
              </w:rPr>
              <w:t>Develops, owns and operates, or holds interests in:</w:t>
            </w:r>
          </w:p>
        </w:tc>
        <w:tc>
          <w:tcPr>
            <w:tcW w:w="5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natural gas transmission pipelines and</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3300" w:type="dxa"/>
            <w:vAlign w:val="bottom"/>
            <w:vMerge w:val="restart"/>
          </w:tcPr>
          <w:p>
            <w:pPr>
              <w:ind w:left="100"/>
              <w:spacing w:after="0"/>
              <w:rPr>
                <w:sz w:val="20"/>
                <w:szCs w:val="20"/>
                <w:color w:val="auto"/>
              </w:rPr>
            </w:pPr>
            <w:r>
              <w:rPr>
                <w:rFonts w:ascii="Arial" w:cs="Arial" w:eastAsia="Arial" w:hAnsi="Arial"/>
                <w:sz w:val="16"/>
                <w:szCs w:val="16"/>
                <w:color w:val="auto"/>
              </w:rPr>
              <w:t>Wholesale electricity</w:t>
            </w:r>
          </w:p>
        </w:tc>
        <w:tc>
          <w:tcPr>
            <w:tcW w:w="5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3820" w:type="dxa"/>
            <w:vAlign w:val="bottom"/>
            <w:vMerge w:val="restart"/>
          </w:tcPr>
          <w:p>
            <w:pPr>
              <w:ind w:left="320"/>
              <w:spacing w:after="0"/>
              <w:rPr>
                <w:sz w:val="20"/>
                <w:szCs w:val="20"/>
                <w:color w:val="auto"/>
              </w:rPr>
            </w:pPr>
            <w:r>
              <w:rPr>
                <w:rFonts w:ascii="Arial" w:cs="Arial" w:eastAsia="Arial" w:hAnsi="Arial"/>
                <w:sz w:val="16"/>
                <w:szCs w:val="16"/>
                <w:color w:val="auto"/>
              </w:rPr>
              <w:t>propane and ethane systems</w:t>
            </w:r>
          </w:p>
        </w:tc>
        <w:tc>
          <w:tcPr>
            <w:tcW w:w="500" w:type="dxa"/>
            <w:vAlign w:val="bottom"/>
            <w:vMerge w:val="continue"/>
          </w:tcPr>
          <w:p>
            <w:pPr>
              <w:spacing w:after="0"/>
              <w:rPr>
                <w:sz w:val="8"/>
                <w:szCs w:val="8"/>
                <w:color w:val="auto"/>
              </w:rPr>
            </w:pPr>
          </w:p>
        </w:tc>
        <w:tc>
          <w:tcPr>
            <w:tcW w:w="33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8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382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 natural gas distribution utility</w:t>
            </w:r>
          </w:p>
        </w:tc>
        <w:tc>
          <w:tcPr>
            <w:tcW w:w="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3300" w:type="dxa"/>
            <w:vAlign w:val="bottom"/>
          </w:tcPr>
          <w:p>
            <w:pPr>
              <w:ind w:left="100"/>
              <w:spacing w:after="0"/>
              <w:rPr>
                <w:sz w:val="20"/>
                <w:szCs w:val="20"/>
                <w:color w:val="auto"/>
              </w:rPr>
            </w:pPr>
            <w:r>
              <w:rPr>
                <w:rFonts w:ascii="Arial" w:cs="Arial" w:eastAsia="Arial" w:hAnsi="Arial"/>
                <w:sz w:val="16"/>
                <w:szCs w:val="16"/>
                <w:color w:val="auto"/>
              </w:rPr>
              <w:t>Liquefied natural gas</w:t>
            </w: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8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-752475</wp:posOffset>
            </wp:positionV>
            <wp:extent cx="7248525" cy="1974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8525" cy="1974850"/>
                    </a:xfrm>
                    <a:prstGeom prst="rect">
                      <a:avLst/>
                    </a:prstGeom>
                    <a:noFill/>
                  </pic:spPr>
                </pic:pic>
              </a:graphicData>
            </a:graphic>
          </wp:anchor>
        </w:drawing>
      </w:r>
    </w:p>
    <w:p>
      <w:pPr>
        <w:spacing w:after="0" w:line="191" w:lineRule="exact"/>
        <w:rPr>
          <w:sz w:val="20"/>
          <w:szCs w:val="20"/>
          <w:color w:val="auto"/>
        </w:rPr>
      </w:pPr>
    </w:p>
    <w:p>
      <w:pPr>
        <w:ind w:left="600" w:hanging="275"/>
        <w:spacing w:after="0"/>
        <w:tabs>
          <w:tab w:leader="none" w:pos="60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electric generation facilities, including wind</w:t>
      </w:r>
    </w:p>
    <w:p>
      <w:pPr>
        <w:spacing w:after="0" w:line="240" w:lineRule="exact"/>
        <w:rPr>
          <w:rFonts w:ascii="Times New Roman" w:cs="Times New Roman" w:eastAsia="Times New Roman" w:hAnsi="Times New Roman"/>
          <w:sz w:val="16"/>
          <w:szCs w:val="16"/>
          <w:color w:val="auto"/>
        </w:rPr>
      </w:pPr>
    </w:p>
    <w:p>
      <w:pPr>
        <w:ind w:left="320" w:right="7780" w:firstLine="5"/>
        <w:spacing w:after="0" w:line="298" w:lineRule="auto"/>
        <w:tabs>
          <w:tab w:leader="none" w:pos="603"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a terminal for the import of liquefied natural gas (LNG)</w:t>
      </w:r>
    </w:p>
    <w:p>
      <w:pPr>
        <w:spacing w:after="0" w:line="153" w:lineRule="exact"/>
        <w:rPr>
          <w:rFonts w:ascii="Times New Roman" w:cs="Times New Roman" w:eastAsia="Times New Roman" w:hAnsi="Times New Roman"/>
          <w:sz w:val="16"/>
          <w:szCs w:val="16"/>
          <w:color w:val="auto"/>
        </w:rPr>
      </w:pPr>
    </w:p>
    <w:p>
      <w:pPr>
        <w:ind w:left="320" w:right="7840" w:firstLine="5"/>
        <w:spacing w:after="0" w:line="334" w:lineRule="auto"/>
        <w:tabs>
          <w:tab w:leader="none" w:pos="603" w:val="left"/>
        </w:tabs>
        <w:numPr>
          <w:ilvl w:val="0"/>
          <w:numId w:val="67"/>
        </w:numPr>
        <w:rPr>
          <w:rFonts w:ascii="Times New Roman" w:cs="Times New Roman" w:eastAsia="Times New Roman" w:hAnsi="Times New Roman"/>
          <w:sz w:val="15"/>
          <w:szCs w:val="15"/>
          <w:color w:val="auto"/>
        </w:rPr>
      </w:pPr>
      <w:r>
        <w:rPr>
          <w:rFonts w:ascii="Arial" w:cs="Arial" w:eastAsia="Arial" w:hAnsi="Arial"/>
          <w:sz w:val="15"/>
          <w:szCs w:val="15"/>
          <w:color w:val="auto"/>
        </w:rPr>
        <w:t>marketing operations for the purchase of LNG and the purchase and sale of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634365</wp:posOffset>
            </wp:positionV>
            <wp:extent cx="7248525" cy="135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U.S. GAS &amp; POWER</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MARKET</w:t>
            </w:r>
          </w:p>
        </w:tc>
        <w:tc>
          <w:tcPr>
            <w:tcW w:w="50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GEOGRAPHIC REGION</w:t>
            </w:r>
          </w:p>
        </w:tc>
        <w:tc>
          <w:tcPr>
            <w:tcW w:w="0" w:type="dxa"/>
            <w:vAlign w:val="bottom"/>
          </w:tcPr>
          <w:p>
            <w:pPr>
              <w:spacing w:after="0"/>
              <w:rPr>
                <w:sz w:val="1"/>
                <w:szCs w:val="1"/>
                <w:color w:val="auto"/>
              </w:rPr>
            </w:pPr>
          </w:p>
        </w:tc>
      </w:tr>
      <w:tr>
        <w:trPr>
          <w:trHeight w:val="153"/>
        </w:trPr>
        <w:tc>
          <w:tcPr>
            <w:tcW w:w="382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b w:val="1"/>
                <w:bCs w:val="1"/>
                <w:color w:val="auto"/>
              </w:rPr>
              <w:t>SEMPRA RENEWABLES</w:t>
            </w:r>
          </w:p>
        </w:tc>
        <w:tc>
          <w:tcPr>
            <w:tcW w:w="500" w:type="dxa"/>
            <w:vAlign w:val="bottom"/>
          </w:tcPr>
          <w:p>
            <w:pPr>
              <w:jc w:val="right"/>
              <w:ind w:right="20"/>
              <w:spacing w:after="0" w:line="153" w:lineRule="exact"/>
              <w:rPr>
                <w:sz w:val="20"/>
                <w:szCs w:val="20"/>
                <w:color w:val="auto"/>
              </w:rPr>
            </w:pPr>
            <w:r>
              <w:rPr>
                <w:rFonts w:ascii="Times New Roman" w:cs="Times New Roman" w:eastAsia="Times New Roman" w:hAnsi="Times New Roman"/>
                <w:sz w:val="16"/>
                <w:szCs w:val="16"/>
                <w:color w:val="auto"/>
              </w:rPr>
              <w:t>§</w:t>
            </w:r>
          </w:p>
        </w:tc>
        <w:tc>
          <w:tcPr>
            <w:tcW w:w="3300" w:type="dxa"/>
            <w:vAlign w:val="bottom"/>
            <w:tcBorders>
              <w:right w:val="single" w:sz="8" w:color="auto"/>
            </w:tcBorders>
          </w:tcPr>
          <w:p>
            <w:pPr>
              <w:ind w:left="100"/>
              <w:spacing w:after="0" w:line="153" w:lineRule="exact"/>
              <w:rPr>
                <w:sz w:val="20"/>
                <w:szCs w:val="20"/>
                <w:color w:val="auto"/>
              </w:rPr>
            </w:pPr>
            <w:r>
              <w:rPr>
                <w:rFonts w:ascii="Arial" w:cs="Arial" w:eastAsia="Arial" w:hAnsi="Arial"/>
                <w:sz w:val="16"/>
                <w:szCs w:val="16"/>
                <w:color w:val="auto"/>
              </w:rPr>
              <w:t>Wholesale electricity</w:t>
            </w:r>
          </w:p>
        </w:tc>
        <w:tc>
          <w:tcPr>
            <w:tcW w:w="500" w:type="dxa"/>
            <w:vAlign w:val="bottom"/>
          </w:tcPr>
          <w:p>
            <w:pPr>
              <w:jc w:val="right"/>
              <w:ind w:right="20"/>
              <w:spacing w:after="0" w:line="153" w:lineRule="exact"/>
              <w:rPr>
                <w:sz w:val="20"/>
                <w:szCs w:val="20"/>
                <w:color w:val="auto"/>
              </w:rPr>
            </w:pPr>
            <w:r>
              <w:rPr>
                <w:rFonts w:ascii="Times New Roman" w:cs="Times New Roman" w:eastAsia="Times New Roman" w:hAnsi="Times New Roman"/>
                <w:sz w:val="16"/>
                <w:szCs w:val="16"/>
                <w:color w:val="auto"/>
              </w:rPr>
              <w:t>§</w:t>
            </w:r>
          </w:p>
        </w:tc>
        <w:tc>
          <w:tcPr>
            <w:tcW w:w="3300" w:type="dxa"/>
            <w:vAlign w:val="bottom"/>
          </w:tcPr>
          <w:p>
            <w:pPr>
              <w:ind w:left="100"/>
              <w:spacing w:after="0" w:line="153" w:lineRule="exact"/>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55"/>
        </w:trPr>
        <w:tc>
          <w:tcPr>
            <w:tcW w:w="3820" w:type="dxa"/>
            <w:vAlign w:val="bottom"/>
            <w:tcBorders>
              <w:right w:val="single" w:sz="8" w:color="auto"/>
            </w:tcBorders>
          </w:tcPr>
          <w:p>
            <w:pPr>
              <w:spacing w:after="0" w:line="155" w:lineRule="exact"/>
              <w:rPr>
                <w:sz w:val="20"/>
                <w:szCs w:val="20"/>
                <w:color w:val="auto"/>
              </w:rPr>
            </w:pPr>
            <w:r>
              <w:rPr>
                <w:rFonts w:ascii="Arial" w:cs="Arial" w:eastAsia="Arial" w:hAnsi="Arial"/>
                <w:sz w:val="16"/>
                <w:szCs w:val="16"/>
                <w:color w:val="auto"/>
              </w:rPr>
              <w:t>Develops, owns, operates, or holds interests in</w:t>
            </w:r>
          </w:p>
        </w:tc>
        <w:tc>
          <w:tcPr>
            <w:tcW w:w="500" w:type="dxa"/>
            <w:vAlign w:val="bottom"/>
          </w:tcPr>
          <w:p>
            <w:pPr>
              <w:spacing w:after="0"/>
              <w:rPr>
                <w:sz w:val="13"/>
                <w:szCs w:val="13"/>
                <w:color w:val="auto"/>
              </w:rPr>
            </w:pPr>
          </w:p>
        </w:tc>
        <w:tc>
          <w:tcPr>
            <w:tcW w:w="330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8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renewable energy generation projects</w:t>
            </w:r>
          </w:p>
        </w:tc>
        <w:tc>
          <w:tcPr>
            <w:tcW w:w="500" w:type="dxa"/>
            <w:vAlign w:val="bottom"/>
          </w:tcPr>
          <w:p>
            <w:pPr>
              <w:spacing w:after="0"/>
              <w:rPr>
                <w:sz w:val="18"/>
                <w:szCs w:val="18"/>
                <w:color w:val="auto"/>
              </w:rPr>
            </w:pPr>
          </w:p>
        </w:tc>
        <w:tc>
          <w:tcPr>
            <w:tcW w:w="33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382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3820" w:type="dxa"/>
            <w:vAlign w:val="bottom"/>
          </w:tcPr>
          <w:p>
            <w:pPr>
              <w:spacing w:after="0" w:line="153" w:lineRule="exact"/>
              <w:rPr>
                <w:sz w:val="20"/>
                <w:szCs w:val="20"/>
                <w:color w:val="auto"/>
              </w:rPr>
            </w:pPr>
            <w:r>
              <w:rPr>
                <w:rFonts w:ascii="Arial" w:cs="Arial" w:eastAsia="Arial" w:hAnsi="Arial"/>
                <w:sz w:val="16"/>
                <w:szCs w:val="16"/>
                <w:b w:val="1"/>
                <w:bCs w:val="1"/>
                <w:color w:val="auto"/>
              </w:rPr>
              <w:t>SEMPRA NATURAL GAS</w:t>
            </w:r>
          </w:p>
        </w:tc>
        <w:tc>
          <w:tcPr>
            <w:tcW w:w="500" w:type="dxa"/>
            <w:vAlign w:val="bottom"/>
          </w:tcPr>
          <w:p>
            <w:pPr>
              <w:jc w:val="right"/>
              <w:ind w:right="20"/>
              <w:spacing w:after="0" w:line="153" w:lineRule="exact"/>
              <w:rPr>
                <w:sz w:val="20"/>
                <w:szCs w:val="20"/>
                <w:color w:val="auto"/>
              </w:rPr>
            </w:pPr>
            <w:r>
              <w:rPr>
                <w:rFonts w:ascii="Times New Roman" w:cs="Times New Roman" w:eastAsia="Times New Roman" w:hAnsi="Times New Roman"/>
                <w:sz w:val="16"/>
                <w:szCs w:val="16"/>
                <w:color w:val="auto"/>
              </w:rPr>
              <w:t>§</w:t>
            </w:r>
          </w:p>
        </w:tc>
        <w:tc>
          <w:tcPr>
            <w:tcW w:w="3300" w:type="dxa"/>
            <w:vAlign w:val="bottom"/>
          </w:tcPr>
          <w:p>
            <w:pPr>
              <w:ind w:left="100"/>
              <w:spacing w:after="0" w:line="153" w:lineRule="exact"/>
              <w:rPr>
                <w:sz w:val="20"/>
                <w:szCs w:val="20"/>
                <w:color w:val="auto"/>
              </w:rPr>
            </w:pPr>
            <w:r>
              <w:rPr>
                <w:rFonts w:ascii="Arial" w:cs="Arial" w:eastAsia="Arial" w:hAnsi="Arial"/>
                <w:sz w:val="16"/>
                <w:szCs w:val="16"/>
                <w:color w:val="auto"/>
              </w:rPr>
              <w:t>Wholesale electricity</w:t>
            </w:r>
          </w:p>
        </w:tc>
        <w:tc>
          <w:tcPr>
            <w:tcW w:w="500" w:type="dxa"/>
            <w:vAlign w:val="bottom"/>
          </w:tcPr>
          <w:p>
            <w:pPr>
              <w:jc w:val="right"/>
              <w:ind w:right="20"/>
              <w:spacing w:after="0" w:line="153" w:lineRule="exact"/>
              <w:rPr>
                <w:sz w:val="20"/>
                <w:szCs w:val="20"/>
                <w:color w:val="auto"/>
              </w:rPr>
            </w:pPr>
            <w:r>
              <w:rPr>
                <w:rFonts w:ascii="Times New Roman" w:cs="Times New Roman" w:eastAsia="Times New Roman" w:hAnsi="Times New Roman"/>
                <w:sz w:val="16"/>
                <w:szCs w:val="16"/>
                <w:color w:val="auto"/>
              </w:rPr>
              <w:t>§</w:t>
            </w:r>
          </w:p>
        </w:tc>
        <w:tc>
          <w:tcPr>
            <w:tcW w:w="3300" w:type="dxa"/>
            <w:vAlign w:val="bottom"/>
          </w:tcPr>
          <w:p>
            <w:pPr>
              <w:ind w:left="100"/>
              <w:spacing w:after="0" w:line="153" w:lineRule="exact"/>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81"/>
        </w:trPr>
        <w:tc>
          <w:tcPr>
            <w:tcW w:w="3820" w:type="dxa"/>
            <w:vAlign w:val="bottom"/>
          </w:tcPr>
          <w:p>
            <w:pPr>
              <w:spacing w:after="0" w:line="181" w:lineRule="exact"/>
              <w:rPr>
                <w:sz w:val="20"/>
                <w:szCs w:val="20"/>
                <w:color w:val="auto"/>
              </w:rPr>
            </w:pPr>
            <w:r>
              <w:rPr>
                <w:rFonts w:ascii="Arial" w:cs="Arial" w:eastAsia="Arial" w:hAnsi="Arial"/>
                <w:sz w:val="16"/>
                <w:szCs w:val="16"/>
                <w:color w:val="auto"/>
              </w:rPr>
              <w:t>Develops, owns and operates, or holds interests in:</w:t>
            </w:r>
          </w:p>
        </w:tc>
        <w:tc>
          <w:tcPr>
            <w:tcW w:w="5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 natural gas-fired electric generation asset</w:t>
            </w:r>
          </w:p>
        </w:tc>
        <w:tc>
          <w:tcPr>
            <w:tcW w:w="5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300" w:type="dxa"/>
            <w:vAlign w:val="bottom"/>
            <w:vMerge w:val="restart"/>
          </w:tcPr>
          <w:p>
            <w:pPr>
              <w:ind w:left="100"/>
              <w:spacing w:after="0"/>
              <w:rPr>
                <w:sz w:val="20"/>
                <w:szCs w:val="20"/>
                <w:color w:val="auto"/>
              </w:rPr>
            </w:pPr>
            <w:r>
              <w:rPr>
                <w:rFonts w:ascii="Arial" w:cs="Arial" w:eastAsia="Arial" w:hAnsi="Arial"/>
                <w:sz w:val="16"/>
                <w:szCs w:val="16"/>
                <w:color w:val="auto"/>
              </w:rPr>
              <w:t>Natural gas</w:t>
            </w:r>
          </w:p>
        </w:tc>
        <w:tc>
          <w:tcPr>
            <w:tcW w:w="5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38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33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3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6"/>
        </w:trPr>
        <w:tc>
          <w:tcPr>
            <w:tcW w:w="3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natural gas pipelines and storage facilities</w:t>
            </w:r>
          </w:p>
        </w:tc>
        <w:tc>
          <w:tcPr>
            <w:tcW w:w="5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300" w:type="dxa"/>
            <w:vAlign w:val="bottom"/>
            <w:vMerge w:val="restart"/>
          </w:tcPr>
          <w:p>
            <w:pPr>
              <w:ind w:left="100"/>
              <w:spacing w:after="0"/>
              <w:rPr>
                <w:sz w:val="20"/>
                <w:szCs w:val="20"/>
                <w:color w:val="auto"/>
              </w:rPr>
            </w:pPr>
            <w:r>
              <w:rPr>
                <w:rFonts w:ascii="Arial" w:cs="Arial" w:eastAsia="Arial" w:hAnsi="Arial"/>
                <w:sz w:val="16"/>
                <w:szCs w:val="16"/>
                <w:color w:val="auto"/>
              </w:rPr>
              <w:t>Liquefied natural gas</w:t>
            </w: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8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33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3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6"/>
        </w:trPr>
        <w:tc>
          <w:tcPr>
            <w:tcW w:w="3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natural gas distribution utilities</w:t>
            </w: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 terminal in the U.S. for the import and</w:t>
            </w: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820" w:type="dxa"/>
            <w:vAlign w:val="bottom"/>
          </w:tcPr>
          <w:p>
            <w:pPr>
              <w:ind w:left="320"/>
              <w:spacing w:after="0"/>
              <w:rPr>
                <w:sz w:val="20"/>
                <w:szCs w:val="20"/>
                <w:color w:val="auto"/>
              </w:rPr>
            </w:pPr>
            <w:r>
              <w:rPr>
                <w:rFonts w:ascii="Arial" w:cs="Arial" w:eastAsia="Arial" w:hAnsi="Arial"/>
                <w:sz w:val="16"/>
                <w:szCs w:val="16"/>
                <w:color w:val="auto"/>
              </w:rPr>
              <w:t>export of LNG and sale of natural gas</w:t>
            </w:r>
          </w:p>
        </w:tc>
        <w:tc>
          <w:tcPr>
            <w:tcW w:w="5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3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marketing operations</w:t>
            </w: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2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tcPr>
          <w:p>
            <w:pPr>
              <w:spacing w:after="0"/>
              <w:rPr>
                <w:sz w:val="20"/>
                <w:szCs w:val="20"/>
                <w:color w:val="auto"/>
              </w:rPr>
            </w:pPr>
          </w:p>
        </w:tc>
        <w:tc>
          <w:tcPr>
            <w:tcW w:w="330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tcPr>
          <w:p>
            <w:pPr>
              <w:spacing w:after="0"/>
              <w:rPr>
                <w:sz w:val="20"/>
                <w:szCs w:val="20"/>
                <w:color w:val="auto"/>
              </w:rPr>
            </w:pPr>
          </w:p>
        </w:tc>
        <w:tc>
          <w:tcPr>
            <w:tcW w:w="33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2404745</wp:posOffset>
            </wp:positionH>
            <wp:positionV relativeFrom="paragraph">
              <wp:posOffset>-1725295</wp:posOffset>
            </wp:positionV>
            <wp:extent cx="33655" cy="17386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1738630"/>
                    </a:xfrm>
                    <a:prstGeom prst="rect">
                      <a:avLst/>
                    </a:prstGeom>
                    <a:noFill/>
                  </pic:spPr>
                </pic:pic>
              </a:graphicData>
            </a:graphic>
          </wp:anchor>
        </w:drawing>
        <w:drawing>
          <wp:anchor simplePos="0" relativeHeight="251657728" behindDoc="1" locked="0" layoutInCell="0" allowOverlap="1">
            <wp:simplePos x="0" y="0"/>
            <wp:positionH relativeFrom="column">
              <wp:posOffset>4818380</wp:posOffset>
            </wp:positionH>
            <wp:positionV relativeFrom="paragraph">
              <wp:posOffset>-1725295</wp:posOffset>
            </wp:positionV>
            <wp:extent cx="33655" cy="1738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17386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472440</wp:posOffset>
            </wp:positionV>
            <wp:extent cx="72656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discuss the following in Results of Operations:</w:t>
      </w:r>
    </w:p>
    <w:p>
      <w:pPr>
        <w:spacing w:after="0" w:line="218" w:lineRule="exact"/>
        <w:rPr>
          <w:sz w:val="20"/>
          <w:szCs w:val="20"/>
          <w:color w:val="auto"/>
        </w:rPr>
      </w:pPr>
    </w:p>
    <w:p>
      <w:pPr>
        <w:ind w:left="320" w:hanging="172"/>
        <w:spacing w:after="0"/>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results of our operations and factors affecting those results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segment results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revenues, costs and earnings between periods</w:t>
      </w:r>
    </w:p>
    <w:p>
      <w:pPr>
        <w:spacing w:after="0" w:line="24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Our earnings increased by $24 million (10%) to $269 million in the three months ended June 30, 2014, while diluted earnings per share increased by $0.10 per share (10%) to $1.08 per share. For the six months ended June 30, 2014, our earnings increased by $93 million (22%) to $516 million, while diluted earnings per share increased by $0.37 per share (22%) to $2.07 per share.</w:t>
      </w:r>
    </w:p>
    <w:p>
      <w:pPr>
        <w:sectPr>
          <w:pgSz w:w="11900" w:h="16838" w:orient="portrait"/>
          <w:cols w:equalWidth="0" w:num="1">
            <w:col w:w="11420"/>
          </w:cols>
          <w:pgMar w:left="240" w:top="319" w:right="239" w:bottom="0" w:gutter="0" w:footer="0" w:header="0"/>
          <w:type w:val="continuous"/>
        </w:sectPr>
      </w:pPr>
    </w:p>
    <w:bookmarkStart w:id="49" w:name="page50"/>
    <w:bookmarkEnd w:id="49"/>
    <w:p>
      <w:pPr>
        <w:ind w:right="200"/>
        <w:spacing w:after="0" w:line="256" w:lineRule="auto"/>
        <w:rPr>
          <w:sz w:val="20"/>
          <w:szCs w:val="20"/>
          <w:color w:val="auto"/>
        </w:rPr>
      </w:pPr>
      <w:r>
        <w:rPr>
          <w:rFonts w:ascii="Times New Roman" w:cs="Times New Roman" w:eastAsia="Times New Roman" w:hAnsi="Times New Roman"/>
          <w:sz w:val="18"/>
          <w:szCs w:val="18"/>
          <w:color w:val="auto"/>
        </w:rPr>
        <w:t>Due to the delay in the issuance of a final decision in the California Utilities’ 2012 General Rate Case (GRC), which was issued by the California Public Utilities Commission (CPUC) in May 2013 and effective retroactive to January 1, 2012, the California Utilities recorded incremental earnings of $106 million ($69 million at SDG&amp;E and $37 million at SoCalGas) in the second quarter of 2013 from the retroactive impact for 2012 and the first quarter of 2013. We provide additional information on the 2012 GRC in Note 10 of the Notes to Condensed Consolidated Financial Statements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net increase in our earnings and diluted earnings per share for the three-month period was primarily due to the following increases (decreases), by segment:</w:t>
      </w:r>
    </w:p>
    <w:p>
      <w:pPr>
        <w:spacing w:after="0" w:line="2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u w:val="single" w:color="auto"/>
          <w:color w:val="auto"/>
        </w:rPr>
        <w:t>SDG&amp;E</w:t>
      </w:r>
    </w:p>
    <w:p>
      <w:pPr>
        <w:spacing w:after="0" w:line="220" w:lineRule="exact"/>
        <w:rPr>
          <w:sz w:val="20"/>
          <w:szCs w:val="20"/>
          <w:color w:val="auto"/>
        </w:rPr>
      </w:pPr>
    </w:p>
    <w:p>
      <w:pPr>
        <w:ind w:left="320" w:hanging="172"/>
        <w:spacing w:after="0" w:line="275" w:lineRule="auto"/>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 million ($0.48 per share) charge in the second quarter of 2013 for loss from plant closure associated with SDG&amp;E’s investment in the San Onofre Nuclear Generating Station (SONGS) nuclear facility, as we discuss in Note 9 of the Notes to Condensed Consolidated Financial Statements herein</w:t>
      </w:r>
    </w:p>
    <w:p>
      <w:pPr>
        <w:spacing w:after="0" w:line="190" w:lineRule="exact"/>
        <w:rPr>
          <w:rFonts w:ascii="Times New Roman" w:cs="Times New Roman" w:eastAsia="Times New Roman" w:hAnsi="Times New Roman"/>
          <w:sz w:val="18"/>
          <w:szCs w:val="18"/>
          <w:color w:val="auto"/>
        </w:rPr>
      </w:pPr>
    </w:p>
    <w:p>
      <w:pPr>
        <w:ind w:left="320" w:right="20" w:hanging="172"/>
        <w:spacing w:after="0" w:line="275" w:lineRule="auto"/>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million ($0.27 per share) favorable impact on second quarter 2013 earnings from the retroactive application for 2012 ($52 million) and the first quarter of 2013 ($17 million) of the final decision in the 2012 GRC, as discussed above</w:t>
      </w:r>
    </w:p>
    <w:p>
      <w:pPr>
        <w:spacing w:after="0" w:line="190" w:lineRule="exact"/>
        <w:rPr>
          <w:rFonts w:ascii="Times New Roman" w:cs="Times New Roman" w:eastAsia="Times New Roman" w:hAnsi="Times New Roman"/>
          <w:sz w:val="18"/>
          <w:szCs w:val="18"/>
          <w:color w:val="auto"/>
        </w:rPr>
      </w:pPr>
    </w:p>
    <w:p>
      <w:pPr>
        <w:ind w:left="320" w:right="2060" w:hanging="172"/>
        <w:spacing w:after="0" w:line="508" w:lineRule="auto"/>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 million higher CPUC base operating margin authorized for 2014 in the 2012 GRC and lower non-refundable operating costs </w:t>
      </w:r>
      <w:r>
        <w:rPr>
          <w:rFonts w:ascii="Times New Roman" w:cs="Times New Roman" w:eastAsia="Times New Roman" w:hAnsi="Times New Roman"/>
          <w:sz w:val="18"/>
          <w:szCs w:val="18"/>
          <w:i w:val="1"/>
          <w:iCs w:val="1"/>
          <w:u w:val="single" w:color="auto"/>
          <w:color w:val="auto"/>
        </w:rPr>
        <w:t>SoCalGas</w:t>
      </w:r>
    </w:p>
    <w:p>
      <w:pPr>
        <w:ind w:left="320" w:right="20" w:hanging="172"/>
        <w:spacing w:after="0" w:line="275" w:lineRule="auto"/>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million ($0.15 per share) favorable impact on second quarter 2013 earnings from the retroactive application for 2012 ($25 million) and the first quarter of 2013 ($12 million) of the final decision in the 2012 GRC, as discussed above</w:t>
      </w:r>
    </w:p>
    <w:p>
      <w:pPr>
        <w:spacing w:after="0" w:line="190" w:lineRule="exact"/>
        <w:rPr>
          <w:rFonts w:ascii="Times New Roman" w:cs="Times New Roman" w:eastAsia="Times New Roman" w:hAnsi="Times New Roman"/>
          <w:sz w:val="18"/>
          <w:szCs w:val="18"/>
          <w:color w:val="auto"/>
        </w:rPr>
      </w:pPr>
    </w:p>
    <w:p>
      <w:pPr>
        <w:ind w:left="320" w:right="1820" w:hanging="172"/>
        <w:spacing w:after="0" w:line="508" w:lineRule="auto"/>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 million higher CPUC base operating margin authorized for 2014 in the 2012 GRC, net of higher non-refundable operating costs </w:t>
      </w:r>
      <w:r>
        <w:rPr>
          <w:rFonts w:ascii="Times New Roman" w:cs="Times New Roman" w:eastAsia="Times New Roman" w:hAnsi="Times New Roman"/>
          <w:sz w:val="18"/>
          <w:szCs w:val="18"/>
          <w:i w:val="1"/>
          <w:iCs w:val="1"/>
          <w:u w:val="single" w:color="auto"/>
          <w:color w:val="auto"/>
        </w:rPr>
        <w:t>Sempra Mexico</w:t>
      </w:r>
    </w:p>
    <w:p>
      <w:pPr>
        <w:ind w:left="320" w:hanging="172"/>
        <w:spacing w:after="0" w:line="275" w:lineRule="auto"/>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allowance for funds used during construction (AFUDC) in 2014 related to equity associated with construction of the natural gas pipeline in Sonora</w:t>
      </w:r>
    </w:p>
    <w:p>
      <w:pPr>
        <w:spacing w:after="0" w:line="188"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Parent and Other</w:t>
      </w:r>
    </w:p>
    <w:p>
      <w:pPr>
        <w:spacing w:after="0" w:line="220"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income tax expense in 2014 for planned repatriation of current year foreign earnings</w:t>
      </w:r>
    </w:p>
    <w:p>
      <w:pPr>
        <w:spacing w:after="0" w:line="24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net increase in our earnings and diluted earnings per share for the six-month period ended June 30, 2014 was primarily impacted by the following increases (decreases), by segment:</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SDG&amp;E</w:t>
      </w:r>
    </w:p>
    <w:p>
      <w:pPr>
        <w:spacing w:after="0" w:line="220" w:lineRule="exact"/>
        <w:rPr>
          <w:sz w:val="20"/>
          <w:szCs w:val="20"/>
          <w:color w:val="auto"/>
        </w:rPr>
      </w:pPr>
    </w:p>
    <w:p>
      <w:pPr>
        <w:jc w:val="both"/>
        <w:ind w:left="320" w:hanging="172"/>
        <w:spacing w:after="0" w:line="260" w:lineRule="auto"/>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 million ($0.48 per share) charge in the second quarter of 2013 for loss from plant closure associated with SDG&amp;E’s investment in SONGS, compared to a $(9) million ($0.04 per share) charge in the first quarter of 2014 to adjust the total loss from plant closure based on a proposed settlement agreement filed with the CPUC, as we discuss in Note 9 of the Notes to Condensed Consolidated Financial Statements herein</w:t>
      </w:r>
    </w:p>
    <w:p>
      <w:pPr>
        <w:spacing w:after="0" w:line="20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million higher CPUC base operating margin authorized for 2014 in the 2012 GRC and lower non-refundable operating costs</w:t>
      </w:r>
    </w:p>
    <w:p>
      <w:pPr>
        <w:spacing w:after="0" w:line="244" w:lineRule="exact"/>
        <w:rPr>
          <w:rFonts w:ascii="Times New Roman" w:cs="Times New Roman" w:eastAsia="Times New Roman" w:hAnsi="Times New Roman"/>
          <w:sz w:val="18"/>
          <w:szCs w:val="18"/>
          <w:color w:val="auto"/>
        </w:rPr>
      </w:pPr>
    </w:p>
    <w:p>
      <w:pPr>
        <w:ind w:left="320" w:right="760" w:hanging="172"/>
        <w:spacing w:after="0" w:line="508" w:lineRule="auto"/>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$(52) million ($0.21 per share) favorable impact on 2013 earnings from the retroactive application for 2012 of the final decision in the 2012 GRC </w:t>
      </w:r>
      <w:r>
        <w:rPr>
          <w:rFonts w:ascii="Times New Roman" w:cs="Times New Roman" w:eastAsia="Times New Roman" w:hAnsi="Times New Roman"/>
          <w:sz w:val="18"/>
          <w:szCs w:val="18"/>
          <w:i w:val="1"/>
          <w:iCs w:val="1"/>
          <w:u w:val="single" w:color="auto"/>
          <w:color w:val="auto"/>
        </w:rPr>
        <w:t>SoCalGas</w:t>
      </w:r>
    </w:p>
    <w:p>
      <w:pPr>
        <w:ind w:left="320" w:hanging="172"/>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($0.10 per share) favorable impact on 2013 earnings from the retroactive application for 2012 of the final decision in the 2012 GRC</w:t>
      </w:r>
    </w:p>
    <w:p>
      <w:pPr>
        <w:spacing w:after="0" w:line="244" w:lineRule="exact"/>
        <w:rPr>
          <w:rFonts w:ascii="Times New Roman" w:cs="Times New Roman" w:eastAsia="Times New Roman" w:hAnsi="Times New Roman"/>
          <w:sz w:val="18"/>
          <w:szCs w:val="18"/>
          <w:color w:val="auto"/>
        </w:rPr>
      </w:pPr>
    </w:p>
    <w:p>
      <w:pPr>
        <w:ind w:left="320" w:right="1980" w:hanging="172"/>
        <w:spacing w:after="0" w:line="508" w:lineRule="auto"/>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 million higher CPUC base operating margin authorized for 2014 in the 2012 GRC and lower non-refundable operating costs </w:t>
      </w:r>
      <w:r>
        <w:rPr>
          <w:rFonts w:ascii="Times New Roman" w:cs="Times New Roman" w:eastAsia="Times New Roman" w:hAnsi="Times New Roman"/>
          <w:sz w:val="18"/>
          <w:szCs w:val="18"/>
          <w:i w:val="1"/>
          <w:iCs w:val="1"/>
          <w:u w:val="single" w:color="auto"/>
          <w:color w:val="auto"/>
        </w:rPr>
        <w:t>Sempra Mexico</w:t>
      </w:r>
    </w:p>
    <w:p>
      <w:pPr>
        <w:ind w:left="320" w:hanging="172"/>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AFUDC in 2014 related to equity associated with construction of the natural gas pipeline in Sonora</w:t>
      </w:r>
    </w:p>
    <w:p>
      <w:pPr>
        <w:spacing w:after="0" w:line="244"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decrease in Sempra Mexico’s earnings for earnings attributable to noncontrolling interests at IEnova following its March 2013 offerings of 18.9 percent of IEnova common stock</w:t>
      </w:r>
    </w:p>
    <w:p>
      <w:pPr>
        <w:spacing w:after="0" w:line="188"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Sempra Renewables</w:t>
      </w:r>
    </w:p>
    <w:p>
      <w:pPr>
        <w:spacing w:after="0" w:line="220" w:lineRule="exact"/>
        <w:rPr>
          <w:rFonts w:ascii="Times New Roman" w:cs="Times New Roman" w:eastAsia="Times New Roman" w:hAnsi="Times New Roman"/>
          <w:sz w:val="18"/>
          <w:szCs w:val="18"/>
          <w:color w:val="auto"/>
        </w:rPr>
      </w:pPr>
    </w:p>
    <w:p>
      <w:pPr>
        <w:ind w:left="320" w:right="1600" w:hanging="172"/>
        <w:spacing w:after="0" w:line="508" w:lineRule="auto"/>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$16 million ($0.07 per share) gain from the sale of a 50-percent equity interest in Copper Mountain Solar 3 in the first quarter of 2014 </w:t>
      </w:r>
      <w:r>
        <w:rPr>
          <w:rFonts w:ascii="Times New Roman" w:cs="Times New Roman" w:eastAsia="Times New Roman" w:hAnsi="Times New Roman"/>
          <w:sz w:val="18"/>
          <w:szCs w:val="18"/>
          <w:i w:val="1"/>
          <w:iCs w:val="1"/>
          <w:u w:val="single" w:color="auto"/>
          <w:color w:val="auto"/>
        </w:rPr>
        <w:t>Sempra Natural Gas</w:t>
      </w:r>
    </w:p>
    <w:p>
      <w:pPr>
        <w:ind w:left="320" w:hanging="172"/>
        <w:spacing w:after="0" w:line="275" w:lineRule="auto"/>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million ($0.18 per share) gain on the sale of one 625-megawatt (MW) block of Sempra Natural Gas’ 1,250-MW Mesquite Power natural gas-fired power plant in the first quarter of 2013</w:t>
      </w:r>
    </w:p>
    <w:p>
      <w:pPr>
        <w:spacing w:after="0" w:line="188"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Parent and Other</w:t>
      </w:r>
    </w:p>
    <w:p>
      <w:pPr>
        <w:spacing w:after="0" w:line="220"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million ($0.25 per share) income tax expense in the first quarter of 2013 resulting from a corporate reorganization in connection with the IEnova stock offerings</w:t>
      </w:r>
    </w:p>
    <w:p>
      <w:pPr>
        <w:spacing w:after="0" w:line="190"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income tax expense in 2014 for planned repatriation of current year foreign earnings</w:t>
      </w:r>
    </w:p>
    <w:p>
      <w:pPr>
        <w:sectPr>
          <w:pgSz w:w="11900" w:h="16838" w:orient="portrait"/>
          <w:cols w:equalWidth="0" w:num="1">
            <w:col w:w="11420"/>
          </w:cols>
          <w:pgMar w:left="240" w:top="334" w:right="239" w:bottom="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The following table shows our earnings (losses) by segment, which we discuss below in “Segment Results.”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EARNINGS (LOSSES)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80" w:type="dxa"/>
            <w:vAlign w:val="bottom"/>
            <w:gridSpan w:val="3"/>
            <w:vMerge w:val="restart"/>
          </w:tcPr>
          <w:p>
            <w:pPr>
              <w:jc w:val="right"/>
              <w:ind w:right="409"/>
              <w:spacing w:after="0"/>
              <w:rPr>
                <w:sz w:val="20"/>
                <w:szCs w:val="20"/>
                <w:color w:val="auto"/>
              </w:rPr>
            </w:pPr>
            <w:r>
              <w:rPr>
                <w:rFonts w:ascii="Arial" w:cs="Arial" w:eastAsia="Arial" w:hAnsi="Arial"/>
                <w:sz w:val="14"/>
                <w:szCs w:val="14"/>
                <w:color w:val="auto"/>
              </w:rPr>
              <w:t>Three months ended June 30,</w:t>
            </w:r>
          </w:p>
        </w:tc>
        <w:tc>
          <w:tcPr>
            <w:tcW w:w="720" w:type="dxa"/>
            <w:vAlign w:val="bottom"/>
          </w:tcPr>
          <w:p>
            <w:pPr>
              <w:spacing w:after="0"/>
              <w:rPr>
                <w:sz w:val="14"/>
                <w:szCs w:val="14"/>
                <w:color w:val="auto"/>
              </w:rPr>
            </w:pPr>
          </w:p>
        </w:tc>
        <w:tc>
          <w:tcPr>
            <w:tcW w:w="460" w:type="dxa"/>
            <w:vAlign w:val="bottom"/>
            <w:shd w:val="clear" w:color="auto" w:fill="C0C0C0"/>
          </w:tcPr>
          <w:p>
            <w:pPr>
              <w:spacing w:after="0"/>
              <w:rPr>
                <w:sz w:val="14"/>
                <w:szCs w:val="14"/>
                <w:color w:val="auto"/>
              </w:rPr>
            </w:pPr>
          </w:p>
        </w:tc>
        <w:tc>
          <w:tcPr>
            <w:tcW w:w="780" w:type="dxa"/>
            <w:vAlign w:val="bottom"/>
            <w:shd w:val="clear" w:color="auto" w:fill="C0C0C0"/>
          </w:tcPr>
          <w:p>
            <w:pPr>
              <w:spacing w:after="0"/>
              <w:rPr>
                <w:sz w:val="14"/>
                <w:szCs w:val="14"/>
                <w:color w:val="auto"/>
              </w:rPr>
            </w:pPr>
          </w:p>
        </w:tc>
        <w:tc>
          <w:tcPr>
            <w:tcW w:w="840" w:type="dxa"/>
            <w:vAlign w:val="bottom"/>
            <w:shd w:val="clear" w:color="auto" w:fill="C0C0C0"/>
          </w:tcPr>
          <w:p>
            <w:pPr>
              <w:spacing w:after="0"/>
              <w:rPr>
                <w:sz w:val="14"/>
                <w:szCs w:val="14"/>
                <w:color w:val="auto"/>
              </w:rPr>
            </w:pPr>
          </w:p>
        </w:tc>
        <w:tc>
          <w:tcPr>
            <w:tcW w:w="500" w:type="dxa"/>
            <w:vAlign w:val="bottom"/>
            <w:shd w:val="clear" w:color="auto" w:fill="C0C0C0"/>
          </w:tcPr>
          <w:p>
            <w:pPr>
              <w:spacing w:after="0"/>
              <w:rPr>
                <w:sz w:val="14"/>
                <w:szCs w:val="14"/>
                <w:color w:val="auto"/>
              </w:rPr>
            </w:pPr>
          </w:p>
        </w:tc>
        <w:tc>
          <w:tcPr>
            <w:tcW w:w="980" w:type="dxa"/>
            <w:vAlign w:val="bottom"/>
            <w:shd w:val="clear" w:color="auto" w:fill="C0C0C0"/>
          </w:tcPr>
          <w:p>
            <w:pPr>
              <w:spacing w:after="0"/>
              <w:rPr>
                <w:sz w:val="14"/>
                <w:szCs w:val="14"/>
                <w:color w:val="auto"/>
              </w:rPr>
            </w:pPr>
          </w:p>
        </w:tc>
        <w:tc>
          <w:tcPr>
            <w:tcW w:w="72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9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3"/>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3"/>
          </w:tcPr>
          <w:p>
            <w:pPr>
              <w:jc w:val="right"/>
              <w:ind w:right="509"/>
              <w:spacing w:after="0" w:line="159" w:lineRule="exact"/>
              <w:rPr>
                <w:sz w:val="20"/>
                <w:szCs w:val="20"/>
                <w:color w:val="auto"/>
              </w:rPr>
            </w:pPr>
            <w:r>
              <w:rPr>
                <w:rFonts w:ascii="Arial" w:cs="Arial" w:eastAsia="Arial" w:hAnsi="Arial"/>
                <w:sz w:val="14"/>
                <w:szCs w:val="14"/>
                <w:color w:val="auto"/>
              </w:rPr>
              <w:t>Six months ended June 30,</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769"/>
              <w:spacing w:after="0"/>
              <w:rPr>
                <w:sz w:val="20"/>
                <w:szCs w:val="20"/>
                <w:color w:val="auto"/>
              </w:rPr>
            </w:pPr>
            <w:r>
              <w:rPr>
                <w:rFonts w:ascii="Arial" w:cs="Arial" w:eastAsia="Arial" w:hAnsi="Arial"/>
                <w:sz w:val="14"/>
                <w:szCs w:val="14"/>
                <w:color w:val="auto"/>
              </w:rPr>
              <w:t>2014</w:t>
            </w: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2013</w:t>
            </w: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2013</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900" w:type="dxa"/>
            <w:vAlign w:val="bottom"/>
          </w:tcPr>
          <w:p>
            <w:pPr>
              <w:spacing w:after="0" w:line="139" w:lineRule="exact"/>
              <w:rPr>
                <w:sz w:val="20"/>
                <w:szCs w:val="20"/>
                <w:color w:val="auto"/>
              </w:rPr>
            </w:pPr>
            <w:r>
              <w:rPr>
                <w:rFonts w:ascii="Arial" w:cs="Arial" w:eastAsia="Arial" w:hAnsi="Arial"/>
                <w:sz w:val="14"/>
                <w:szCs w:val="14"/>
                <w:color w:val="auto"/>
              </w:rPr>
              <w:t>California Utilities:</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900" w:type="dxa"/>
            <w:vAlign w:val="bottom"/>
          </w:tcPr>
          <w:p>
            <w:pPr>
              <w:ind w:left="160"/>
              <w:spacing w:after="0" w:line="159" w:lineRule="exact"/>
              <w:rPr>
                <w:sz w:val="20"/>
                <w:szCs w:val="20"/>
                <w:color w:val="auto"/>
              </w:rPr>
            </w:pPr>
            <w:r>
              <w:rPr>
                <w:rFonts w:ascii="Arial" w:cs="Arial" w:eastAsia="Arial" w:hAnsi="Arial"/>
                <w:sz w:val="14"/>
                <w:szCs w:val="14"/>
                <w:color w:val="auto"/>
              </w:rPr>
              <w:t>SDG&amp;E(1)</w:t>
            </w:r>
          </w:p>
        </w:tc>
        <w:tc>
          <w:tcPr>
            <w:tcW w:w="460" w:type="dxa"/>
            <w:vAlign w:val="bottom"/>
          </w:tcPr>
          <w:p>
            <w:pPr>
              <w:jc w:val="right"/>
              <w:ind w:right="309"/>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ind w:right="9"/>
              <w:spacing w:after="0" w:line="159" w:lineRule="exact"/>
              <w:rPr>
                <w:sz w:val="20"/>
                <w:szCs w:val="20"/>
                <w:color w:val="auto"/>
              </w:rPr>
            </w:pPr>
            <w:r>
              <w:rPr>
                <w:rFonts w:ascii="Arial" w:cs="Arial" w:eastAsia="Arial" w:hAnsi="Arial"/>
                <w:sz w:val="14"/>
                <w:szCs w:val="14"/>
                <w:color w:val="auto"/>
              </w:rPr>
              <w:t>123</w:t>
            </w: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46 %</w:t>
            </w:r>
          </w:p>
        </w:tc>
        <w:tc>
          <w:tcPr>
            <w:tcW w:w="520" w:type="dxa"/>
            <w:vAlign w:val="bottom"/>
          </w:tcPr>
          <w:p>
            <w:pPr>
              <w:jc w:val="right"/>
              <w:ind w:right="309"/>
              <w:spacing w:after="0" w:line="15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49"/>
              <w:spacing w:after="0" w:line="159" w:lineRule="exact"/>
              <w:rPr>
                <w:sz w:val="20"/>
                <w:szCs w:val="20"/>
                <w:color w:val="auto"/>
              </w:rPr>
            </w:pPr>
            <w:r>
              <w:rPr>
                <w:rFonts w:ascii="Arial" w:cs="Arial" w:eastAsia="Arial" w:hAnsi="Arial"/>
                <w:sz w:val="14"/>
                <w:szCs w:val="14"/>
                <w:color w:val="auto"/>
              </w:rPr>
              <w:t>65</w:t>
            </w:r>
          </w:p>
        </w:tc>
        <w:tc>
          <w:tcPr>
            <w:tcW w:w="7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26 %</w:t>
            </w:r>
          </w:p>
        </w:tc>
        <w:tc>
          <w:tcPr>
            <w:tcW w:w="460" w:type="dxa"/>
            <w:vAlign w:val="bottom"/>
          </w:tcPr>
          <w:p>
            <w:pPr>
              <w:jc w:val="right"/>
              <w:ind w:right="309"/>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69"/>
              <w:spacing w:after="0" w:line="159" w:lineRule="exact"/>
              <w:rPr>
                <w:sz w:val="20"/>
                <w:szCs w:val="20"/>
                <w:color w:val="auto"/>
              </w:rPr>
            </w:pPr>
            <w:r>
              <w:rPr>
                <w:rFonts w:ascii="Arial" w:cs="Arial" w:eastAsia="Arial" w:hAnsi="Arial"/>
                <w:sz w:val="14"/>
                <w:szCs w:val="14"/>
                <w:color w:val="auto"/>
              </w:rPr>
              <w:t>222</w:t>
            </w: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43 %</w:t>
            </w:r>
          </w:p>
        </w:tc>
        <w:tc>
          <w:tcPr>
            <w:tcW w:w="500" w:type="dxa"/>
            <w:vAlign w:val="bottom"/>
          </w:tcPr>
          <w:p>
            <w:pPr>
              <w:jc w:val="right"/>
              <w:ind w:right="289"/>
              <w:spacing w:after="0" w:line="15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49"/>
              <w:spacing w:after="0" w:line="159" w:lineRule="exact"/>
              <w:rPr>
                <w:sz w:val="20"/>
                <w:szCs w:val="20"/>
                <w:color w:val="auto"/>
              </w:rPr>
            </w:pPr>
            <w:r>
              <w:rPr>
                <w:rFonts w:ascii="Arial" w:cs="Arial" w:eastAsia="Arial" w:hAnsi="Arial"/>
                <w:sz w:val="14"/>
                <w:szCs w:val="14"/>
                <w:color w:val="auto"/>
              </w:rPr>
              <w:t>156</w:t>
            </w:r>
          </w:p>
        </w:tc>
        <w:tc>
          <w:tcPr>
            <w:tcW w:w="7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159"/>
        </w:trPr>
        <w:tc>
          <w:tcPr>
            <w:tcW w:w="2900" w:type="dxa"/>
            <w:vAlign w:val="bottom"/>
          </w:tcPr>
          <w:p>
            <w:pPr>
              <w:ind w:left="160"/>
              <w:spacing w:after="0" w:line="159" w:lineRule="exact"/>
              <w:rPr>
                <w:sz w:val="20"/>
                <w:szCs w:val="20"/>
                <w:color w:val="auto"/>
              </w:rPr>
            </w:pPr>
            <w:r>
              <w:rPr>
                <w:rFonts w:ascii="Arial" w:cs="Arial" w:eastAsia="Arial" w:hAnsi="Arial"/>
                <w:sz w:val="14"/>
                <w:szCs w:val="14"/>
                <w:color w:val="auto"/>
              </w:rPr>
              <w:t>SoCalGas(2)</w:t>
            </w:r>
          </w:p>
        </w:tc>
        <w:tc>
          <w:tcPr>
            <w:tcW w:w="460" w:type="dxa"/>
            <w:vAlign w:val="bottom"/>
          </w:tcPr>
          <w:p>
            <w:pPr>
              <w:spacing w:after="0"/>
              <w:rPr>
                <w:sz w:val="13"/>
                <w:szCs w:val="13"/>
                <w:color w:val="auto"/>
              </w:rPr>
            </w:pPr>
          </w:p>
        </w:tc>
        <w:tc>
          <w:tcPr>
            <w:tcW w:w="680" w:type="dxa"/>
            <w:vAlign w:val="bottom"/>
          </w:tcPr>
          <w:p>
            <w:pPr>
              <w:jc w:val="right"/>
              <w:ind w:right="9"/>
              <w:spacing w:after="0" w:line="159" w:lineRule="exact"/>
              <w:rPr>
                <w:sz w:val="20"/>
                <w:szCs w:val="20"/>
                <w:color w:val="auto"/>
              </w:rPr>
            </w:pPr>
            <w:r>
              <w:rPr>
                <w:rFonts w:ascii="Arial" w:cs="Arial" w:eastAsia="Arial" w:hAnsi="Arial"/>
                <w:sz w:val="14"/>
                <w:szCs w:val="14"/>
                <w:color w:val="auto"/>
              </w:rPr>
              <w:t>80</w:t>
            </w:r>
          </w:p>
        </w:tc>
        <w:tc>
          <w:tcPr>
            <w:tcW w:w="90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30</w:t>
            </w:r>
          </w:p>
        </w:tc>
        <w:tc>
          <w:tcPr>
            <w:tcW w:w="520" w:type="dxa"/>
            <w:vAlign w:val="bottom"/>
          </w:tcPr>
          <w:p>
            <w:pPr>
              <w:spacing w:after="0"/>
              <w:rPr>
                <w:sz w:val="13"/>
                <w:szCs w:val="13"/>
                <w:color w:val="auto"/>
              </w:rPr>
            </w:pPr>
          </w:p>
        </w:tc>
        <w:tc>
          <w:tcPr>
            <w:tcW w:w="960" w:type="dxa"/>
            <w:vAlign w:val="bottom"/>
          </w:tcPr>
          <w:p>
            <w:pPr>
              <w:jc w:val="right"/>
              <w:ind w:right="249"/>
              <w:spacing w:after="0" w:line="159" w:lineRule="exact"/>
              <w:rPr>
                <w:sz w:val="20"/>
                <w:szCs w:val="20"/>
                <w:color w:val="auto"/>
              </w:rPr>
            </w:pPr>
            <w:r>
              <w:rPr>
                <w:rFonts w:ascii="Arial" w:cs="Arial" w:eastAsia="Arial" w:hAnsi="Arial"/>
                <w:sz w:val="14"/>
                <w:szCs w:val="14"/>
                <w:color w:val="auto"/>
              </w:rPr>
              <w:t>118</w:t>
            </w:r>
          </w:p>
        </w:tc>
        <w:tc>
          <w:tcPr>
            <w:tcW w:w="72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48</w:t>
            </w:r>
          </w:p>
        </w:tc>
        <w:tc>
          <w:tcPr>
            <w:tcW w:w="460" w:type="dxa"/>
            <w:vAlign w:val="bottom"/>
          </w:tcPr>
          <w:p>
            <w:pPr>
              <w:spacing w:after="0"/>
              <w:rPr>
                <w:sz w:val="13"/>
                <w:szCs w:val="13"/>
                <w:color w:val="auto"/>
              </w:rPr>
            </w:pPr>
          </w:p>
        </w:tc>
        <w:tc>
          <w:tcPr>
            <w:tcW w:w="780" w:type="dxa"/>
            <w:vAlign w:val="bottom"/>
          </w:tcPr>
          <w:p>
            <w:pPr>
              <w:jc w:val="right"/>
              <w:ind w:right="69"/>
              <w:spacing w:after="0" w:line="159" w:lineRule="exact"/>
              <w:rPr>
                <w:sz w:val="20"/>
                <w:szCs w:val="20"/>
                <w:color w:val="auto"/>
              </w:rPr>
            </w:pPr>
            <w:r>
              <w:rPr>
                <w:rFonts w:ascii="Arial" w:cs="Arial" w:eastAsia="Arial" w:hAnsi="Arial"/>
                <w:sz w:val="14"/>
                <w:szCs w:val="14"/>
                <w:color w:val="auto"/>
              </w:rPr>
              <w:t>158</w:t>
            </w:r>
          </w:p>
        </w:tc>
        <w:tc>
          <w:tcPr>
            <w:tcW w:w="84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31</w:t>
            </w:r>
          </w:p>
        </w:tc>
        <w:tc>
          <w:tcPr>
            <w:tcW w:w="500" w:type="dxa"/>
            <w:vAlign w:val="bottom"/>
          </w:tcPr>
          <w:p>
            <w:pPr>
              <w:spacing w:after="0"/>
              <w:rPr>
                <w:sz w:val="13"/>
                <w:szCs w:val="13"/>
                <w:color w:val="auto"/>
              </w:rPr>
            </w:pPr>
          </w:p>
        </w:tc>
        <w:tc>
          <w:tcPr>
            <w:tcW w:w="980" w:type="dxa"/>
            <w:vAlign w:val="bottom"/>
          </w:tcPr>
          <w:p>
            <w:pPr>
              <w:jc w:val="right"/>
              <w:ind w:right="249"/>
              <w:spacing w:after="0" w:line="159" w:lineRule="exact"/>
              <w:rPr>
                <w:sz w:val="20"/>
                <w:szCs w:val="20"/>
                <w:color w:val="auto"/>
              </w:rPr>
            </w:pPr>
            <w:r>
              <w:rPr>
                <w:rFonts w:ascii="Arial" w:cs="Arial" w:eastAsia="Arial" w:hAnsi="Arial"/>
                <w:sz w:val="14"/>
                <w:szCs w:val="14"/>
                <w:color w:val="auto"/>
              </w:rPr>
              <w:t>164</w:t>
            </w:r>
          </w:p>
        </w:tc>
        <w:tc>
          <w:tcPr>
            <w:tcW w:w="72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59"/>
        </w:trPr>
        <w:tc>
          <w:tcPr>
            <w:tcW w:w="2900" w:type="dxa"/>
            <w:vAlign w:val="bottom"/>
          </w:tcPr>
          <w:p>
            <w:pPr>
              <w:spacing w:after="0" w:line="159" w:lineRule="exact"/>
              <w:rPr>
                <w:sz w:val="20"/>
                <w:szCs w:val="20"/>
                <w:color w:val="auto"/>
              </w:rPr>
            </w:pPr>
            <w:r>
              <w:rPr>
                <w:rFonts w:ascii="Arial" w:cs="Arial" w:eastAsia="Arial" w:hAnsi="Arial"/>
                <w:sz w:val="14"/>
                <w:szCs w:val="14"/>
                <w:color w:val="auto"/>
              </w:rPr>
              <w:t>Sempra International:</w:t>
            </w: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00" w:type="dxa"/>
            <w:vAlign w:val="bottom"/>
          </w:tcPr>
          <w:p>
            <w:pPr>
              <w:ind w:left="160"/>
              <w:spacing w:after="0" w:line="159" w:lineRule="exact"/>
              <w:rPr>
                <w:sz w:val="20"/>
                <w:szCs w:val="20"/>
                <w:color w:val="auto"/>
              </w:rPr>
            </w:pPr>
            <w:r>
              <w:rPr>
                <w:rFonts w:ascii="Arial" w:cs="Arial" w:eastAsia="Arial" w:hAnsi="Arial"/>
                <w:sz w:val="14"/>
                <w:szCs w:val="14"/>
                <w:color w:val="auto"/>
              </w:rPr>
              <w:t>Sempra South American Utilities</w:t>
            </w:r>
          </w:p>
        </w:tc>
        <w:tc>
          <w:tcPr>
            <w:tcW w:w="460" w:type="dxa"/>
            <w:vAlign w:val="bottom"/>
          </w:tcPr>
          <w:p>
            <w:pPr>
              <w:spacing w:after="0"/>
              <w:rPr>
                <w:sz w:val="13"/>
                <w:szCs w:val="13"/>
                <w:color w:val="auto"/>
              </w:rPr>
            </w:pPr>
          </w:p>
        </w:tc>
        <w:tc>
          <w:tcPr>
            <w:tcW w:w="680" w:type="dxa"/>
            <w:vAlign w:val="bottom"/>
          </w:tcPr>
          <w:p>
            <w:pPr>
              <w:jc w:val="right"/>
              <w:ind w:right="9"/>
              <w:spacing w:after="0" w:line="159" w:lineRule="exact"/>
              <w:rPr>
                <w:sz w:val="20"/>
                <w:szCs w:val="20"/>
                <w:color w:val="auto"/>
              </w:rPr>
            </w:pPr>
            <w:r>
              <w:rPr>
                <w:rFonts w:ascii="Arial" w:cs="Arial" w:eastAsia="Arial" w:hAnsi="Arial"/>
                <w:sz w:val="14"/>
                <w:szCs w:val="14"/>
                <w:color w:val="auto"/>
              </w:rPr>
              <w:t>42</w:t>
            </w:r>
          </w:p>
        </w:tc>
        <w:tc>
          <w:tcPr>
            <w:tcW w:w="90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15</w:t>
            </w:r>
          </w:p>
        </w:tc>
        <w:tc>
          <w:tcPr>
            <w:tcW w:w="520" w:type="dxa"/>
            <w:vAlign w:val="bottom"/>
          </w:tcPr>
          <w:p>
            <w:pPr>
              <w:spacing w:after="0"/>
              <w:rPr>
                <w:sz w:val="13"/>
                <w:szCs w:val="13"/>
                <w:color w:val="auto"/>
              </w:rPr>
            </w:pPr>
          </w:p>
        </w:tc>
        <w:tc>
          <w:tcPr>
            <w:tcW w:w="960" w:type="dxa"/>
            <w:vAlign w:val="bottom"/>
          </w:tcPr>
          <w:p>
            <w:pPr>
              <w:jc w:val="right"/>
              <w:ind w:right="249"/>
              <w:spacing w:after="0" w:line="159" w:lineRule="exact"/>
              <w:rPr>
                <w:sz w:val="20"/>
                <w:szCs w:val="20"/>
                <w:color w:val="auto"/>
              </w:rPr>
            </w:pPr>
            <w:r>
              <w:rPr>
                <w:rFonts w:ascii="Arial" w:cs="Arial" w:eastAsia="Arial" w:hAnsi="Arial"/>
                <w:sz w:val="14"/>
                <w:szCs w:val="14"/>
                <w:color w:val="auto"/>
              </w:rPr>
              <w:t>34</w:t>
            </w:r>
          </w:p>
        </w:tc>
        <w:tc>
          <w:tcPr>
            <w:tcW w:w="72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14</w:t>
            </w:r>
          </w:p>
        </w:tc>
        <w:tc>
          <w:tcPr>
            <w:tcW w:w="460" w:type="dxa"/>
            <w:vAlign w:val="bottom"/>
          </w:tcPr>
          <w:p>
            <w:pPr>
              <w:spacing w:after="0"/>
              <w:rPr>
                <w:sz w:val="13"/>
                <w:szCs w:val="13"/>
                <w:color w:val="auto"/>
              </w:rPr>
            </w:pPr>
          </w:p>
        </w:tc>
        <w:tc>
          <w:tcPr>
            <w:tcW w:w="780" w:type="dxa"/>
            <w:vAlign w:val="bottom"/>
          </w:tcPr>
          <w:p>
            <w:pPr>
              <w:jc w:val="right"/>
              <w:ind w:right="69"/>
              <w:spacing w:after="0" w:line="159" w:lineRule="exact"/>
              <w:rPr>
                <w:sz w:val="20"/>
                <w:szCs w:val="20"/>
                <w:color w:val="auto"/>
              </w:rPr>
            </w:pPr>
            <w:r>
              <w:rPr>
                <w:rFonts w:ascii="Arial" w:cs="Arial" w:eastAsia="Arial" w:hAnsi="Arial"/>
                <w:sz w:val="14"/>
                <w:szCs w:val="14"/>
                <w:color w:val="auto"/>
              </w:rPr>
              <w:t>77</w:t>
            </w:r>
          </w:p>
        </w:tc>
        <w:tc>
          <w:tcPr>
            <w:tcW w:w="84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15</w:t>
            </w:r>
          </w:p>
        </w:tc>
        <w:tc>
          <w:tcPr>
            <w:tcW w:w="500" w:type="dxa"/>
            <w:vAlign w:val="bottom"/>
          </w:tcPr>
          <w:p>
            <w:pPr>
              <w:spacing w:after="0"/>
              <w:rPr>
                <w:sz w:val="13"/>
                <w:szCs w:val="13"/>
                <w:color w:val="auto"/>
              </w:rPr>
            </w:pPr>
          </w:p>
        </w:tc>
        <w:tc>
          <w:tcPr>
            <w:tcW w:w="980" w:type="dxa"/>
            <w:vAlign w:val="bottom"/>
          </w:tcPr>
          <w:p>
            <w:pPr>
              <w:jc w:val="right"/>
              <w:ind w:right="249"/>
              <w:spacing w:after="0" w:line="159" w:lineRule="exact"/>
              <w:rPr>
                <w:sz w:val="20"/>
                <w:szCs w:val="20"/>
                <w:color w:val="auto"/>
              </w:rPr>
            </w:pPr>
            <w:r>
              <w:rPr>
                <w:rFonts w:ascii="Arial" w:cs="Arial" w:eastAsia="Arial" w:hAnsi="Arial"/>
                <w:sz w:val="14"/>
                <w:szCs w:val="14"/>
                <w:color w:val="auto"/>
              </w:rPr>
              <w:t>71</w:t>
            </w:r>
          </w:p>
        </w:tc>
        <w:tc>
          <w:tcPr>
            <w:tcW w:w="72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9"/>
        </w:trPr>
        <w:tc>
          <w:tcPr>
            <w:tcW w:w="2900" w:type="dxa"/>
            <w:vAlign w:val="bottom"/>
          </w:tcPr>
          <w:p>
            <w:pPr>
              <w:ind w:left="160"/>
              <w:spacing w:after="0" w:line="159" w:lineRule="exact"/>
              <w:rPr>
                <w:sz w:val="20"/>
                <w:szCs w:val="20"/>
                <w:color w:val="auto"/>
              </w:rPr>
            </w:pPr>
            <w:r>
              <w:rPr>
                <w:rFonts w:ascii="Arial" w:cs="Arial" w:eastAsia="Arial" w:hAnsi="Arial"/>
                <w:sz w:val="14"/>
                <w:szCs w:val="14"/>
                <w:color w:val="auto"/>
              </w:rPr>
              <w:t>Sempra Mexico</w:t>
            </w:r>
          </w:p>
        </w:tc>
        <w:tc>
          <w:tcPr>
            <w:tcW w:w="460" w:type="dxa"/>
            <w:vAlign w:val="bottom"/>
          </w:tcPr>
          <w:p>
            <w:pPr>
              <w:spacing w:after="0"/>
              <w:rPr>
                <w:sz w:val="13"/>
                <w:szCs w:val="13"/>
                <w:color w:val="auto"/>
              </w:rPr>
            </w:pPr>
          </w:p>
        </w:tc>
        <w:tc>
          <w:tcPr>
            <w:tcW w:w="680" w:type="dxa"/>
            <w:vAlign w:val="bottom"/>
          </w:tcPr>
          <w:p>
            <w:pPr>
              <w:jc w:val="right"/>
              <w:ind w:right="9"/>
              <w:spacing w:after="0" w:line="159" w:lineRule="exact"/>
              <w:rPr>
                <w:sz w:val="20"/>
                <w:szCs w:val="20"/>
                <w:color w:val="auto"/>
              </w:rPr>
            </w:pPr>
            <w:r>
              <w:rPr>
                <w:rFonts w:ascii="Arial" w:cs="Arial" w:eastAsia="Arial" w:hAnsi="Arial"/>
                <w:sz w:val="14"/>
                <w:szCs w:val="14"/>
                <w:color w:val="auto"/>
              </w:rPr>
              <w:t>34</w:t>
            </w:r>
          </w:p>
        </w:tc>
        <w:tc>
          <w:tcPr>
            <w:tcW w:w="90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13</w:t>
            </w:r>
          </w:p>
        </w:tc>
        <w:tc>
          <w:tcPr>
            <w:tcW w:w="520" w:type="dxa"/>
            <w:vAlign w:val="bottom"/>
          </w:tcPr>
          <w:p>
            <w:pPr>
              <w:spacing w:after="0"/>
              <w:rPr>
                <w:sz w:val="13"/>
                <w:szCs w:val="13"/>
                <w:color w:val="auto"/>
              </w:rPr>
            </w:pPr>
          </w:p>
        </w:tc>
        <w:tc>
          <w:tcPr>
            <w:tcW w:w="960" w:type="dxa"/>
            <w:vAlign w:val="bottom"/>
          </w:tcPr>
          <w:p>
            <w:pPr>
              <w:jc w:val="right"/>
              <w:ind w:right="249"/>
              <w:spacing w:after="0" w:line="159" w:lineRule="exact"/>
              <w:rPr>
                <w:sz w:val="20"/>
                <w:szCs w:val="20"/>
                <w:color w:val="auto"/>
              </w:rPr>
            </w:pPr>
            <w:r>
              <w:rPr>
                <w:rFonts w:ascii="Arial" w:cs="Arial" w:eastAsia="Arial" w:hAnsi="Arial"/>
                <w:sz w:val="14"/>
                <w:szCs w:val="14"/>
                <w:color w:val="auto"/>
              </w:rPr>
              <w:t>26</w:t>
            </w:r>
          </w:p>
        </w:tc>
        <w:tc>
          <w:tcPr>
            <w:tcW w:w="72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11</w:t>
            </w:r>
          </w:p>
        </w:tc>
        <w:tc>
          <w:tcPr>
            <w:tcW w:w="460" w:type="dxa"/>
            <w:vAlign w:val="bottom"/>
          </w:tcPr>
          <w:p>
            <w:pPr>
              <w:spacing w:after="0"/>
              <w:rPr>
                <w:sz w:val="13"/>
                <w:szCs w:val="13"/>
                <w:color w:val="auto"/>
              </w:rPr>
            </w:pPr>
          </w:p>
        </w:tc>
        <w:tc>
          <w:tcPr>
            <w:tcW w:w="780" w:type="dxa"/>
            <w:vAlign w:val="bottom"/>
          </w:tcPr>
          <w:p>
            <w:pPr>
              <w:jc w:val="right"/>
              <w:ind w:right="69"/>
              <w:spacing w:after="0" w:line="159" w:lineRule="exact"/>
              <w:rPr>
                <w:sz w:val="20"/>
                <w:szCs w:val="20"/>
                <w:color w:val="auto"/>
              </w:rPr>
            </w:pPr>
            <w:r>
              <w:rPr>
                <w:rFonts w:ascii="Arial" w:cs="Arial" w:eastAsia="Arial" w:hAnsi="Arial"/>
                <w:sz w:val="14"/>
                <w:szCs w:val="14"/>
                <w:color w:val="auto"/>
              </w:rPr>
              <w:t>76</w:t>
            </w:r>
          </w:p>
        </w:tc>
        <w:tc>
          <w:tcPr>
            <w:tcW w:w="84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15</w:t>
            </w:r>
          </w:p>
        </w:tc>
        <w:tc>
          <w:tcPr>
            <w:tcW w:w="500" w:type="dxa"/>
            <w:vAlign w:val="bottom"/>
          </w:tcPr>
          <w:p>
            <w:pPr>
              <w:spacing w:after="0"/>
              <w:rPr>
                <w:sz w:val="13"/>
                <w:szCs w:val="13"/>
                <w:color w:val="auto"/>
              </w:rPr>
            </w:pPr>
          </w:p>
        </w:tc>
        <w:tc>
          <w:tcPr>
            <w:tcW w:w="980" w:type="dxa"/>
            <w:vAlign w:val="bottom"/>
          </w:tcPr>
          <w:p>
            <w:pPr>
              <w:jc w:val="right"/>
              <w:ind w:right="249"/>
              <w:spacing w:after="0" w:line="159" w:lineRule="exact"/>
              <w:rPr>
                <w:sz w:val="20"/>
                <w:szCs w:val="20"/>
                <w:color w:val="auto"/>
              </w:rPr>
            </w:pPr>
            <w:r>
              <w:rPr>
                <w:rFonts w:ascii="Arial" w:cs="Arial" w:eastAsia="Arial" w:hAnsi="Arial"/>
                <w:sz w:val="14"/>
                <w:szCs w:val="14"/>
                <w:color w:val="auto"/>
              </w:rPr>
              <w:t>57</w:t>
            </w:r>
          </w:p>
        </w:tc>
        <w:tc>
          <w:tcPr>
            <w:tcW w:w="72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9"/>
        </w:trPr>
        <w:tc>
          <w:tcPr>
            <w:tcW w:w="2900" w:type="dxa"/>
            <w:vAlign w:val="bottom"/>
          </w:tcPr>
          <w:p>
            <w:pPr>
              <w:spacing w:after="0" w:line="159" w:lineRule="exact"/>
              <w:rPr>
                <w:sz w:val="20"/>
                <w:szCs w:val="20"/>
                <w:color w:val="auto"/>
              </w:rPr>
            </w:pPr>
            <w:r>
              <w:rPr>
                <w:rFonts w:ascii="Arial" w:cs="Arial" w:eastAsia="Arial" w:hAnsi="Arial"/>
                <w:sz w:val="14"/>
                <w:szCs w:val="14"/>
                <w:color w:val="auto"/>
              </w:rPr>
              <w:t>Sempra U.S. Gas &amp; Power:</w:t>
            </w: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900" w:type="dxa"/>
            <w:vAlign w:val="bottom"/>
          </w:tcPr>
          <w:p>
            <w:pPr>
              <w:ind w:left="160"/>
              <w:spacing w:after="0" w:line="159" w:lineRule="exact"/>
              <w:rPr>
                <w:sz w:val="20"/>
                <w:szCs w:val="20"/>
                <w:color w:val="auto"/>
              </w:rPr>
            </w:pPr>
            <w:r>
              <w:rPr>
                <w:rFonts w:ascii="Arial" w:cs="Arial" w:eastAsia="Arial" w:hAnsi="Arial"/>
                <w:sz w:val="14"/>
                <w:szCs w:val="14"/>
                <w:color w:val="auto"/>
              </w:rPr>
              <w:t>Sempra Renewables</w:t>
            </w:r>
          </w:p>
        </w:tc>
        <w:tc>
          <w:tcPr>
            <w:tcW w:w="460" w:type="dxa"/>
            <w:vAlign w:val="bottom"/>
          </w:tcPr>
          <w:p>
            <w:pPr>
              <w:spacing w:after="0"/>
              <w:rPr>
                <w:sz w:val="13"/>
                <w:szCs w:val="13"/>
                <w:color w:val="auto"/>
              </w:rPr>
            </w:pPr>
          </w:p>
        </w:tc>
        <w:tc>
          <w:tcPr>
            <w:tcW w:w="680" w:type="dxa"/>
            <w:vAlign w:val="bottom"/>
          </w:tcPr>
          <w:p>
            <w:pPr>
              <w:jc w:val="right"/>
              <w:ind w:right="9"/>
              <w:spacing w:after="0" w:line="159" w:lineRule="exact"/>
              <w:rPr>
                <w:sz w:val="20"/>
                <w:szCs w:val="20"/>
                <w:color w:val="auto"/>
              </w:rPr>
            </w:pPr>
            <w:r>
              <w:rPr>
                <w:rFonts w:ascii="Arial" w:cs="Arial" w:eastAsia="Arial" w:hAnsi="Arial"/>
                <w:sz w:val="14"/>
                <w:szCs w:val="14"/>
                <w:color w:val="auto"/>
              </w:rPr>
              <w:t>18</w:t>
            </w:r>
          </w:p>
        </w:tc>
        <w:tc>
          <w:tcPr>
            <w:tcW w:w="90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7</w:t>
            </w:r>
          </w:p>
        </w:tc>
        <w:tc>
          <w:tcPr>
            <w:tcW w:w="520" w:type="dxa"/>
            <w:vAlign w:val="bottom"/>
          </w:tcPr>
          <w:p>
            <w:pPr>
              <w:spacing w:after="0"/>
              <w:rPr>
                <w:sz w:val="13"/>
                <w:szCs w:val="13"/>
                <w:color w:val="auto"/>
              </w:rPr>
            </w:pPr>
          </w:p>
        </w:tc>
        <w:tc>
          <w:tcPr>
            <w:tcW w:w="960" w:type="dxa"/>
            <w:vAlign w:val="bottom"/>
          </w:tcPr>
          <w:p>
            <w:pPr>
              <w:jc w:val="right"/>
              <w:ind w:right="249"/>
              <w:spacing w:after="0" w:line="159" w:lineRule="exact"/>
              <w:rPr>
                <w:sz w:val="20"/>
                <w:szCs w:val="20"/>
                <w:color w:val="auto"/>
              </w:rPr>
            </w:pPr>
            <w:r>
              <w:rPr>
                <w:rFonts w:ascii="Arial" w:cs="Arial" w:eastAsia="Arial" w:hAnsi="Arial"/>
                <w:sz w:val="14"/>
                <w:szCs w:val="14"/>
                <w:color w:val="auto"/>
              </w:rPr>
              <w:t>15</w:t>
            </w:r>
          </w:p>
        </w:tc>
        <w:tc>
          <w:tcPr>
            <w:tcW w:w="72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6</w:t>
            </w:r>
          </w:p>
        </w:tc>
        <w:tc>
          <w:tcPr>
            <w:tcW w:w="460" w:type="dxa"/>
            <w:vAlign w:val="bottom"/>
          </w:tcPr>
          <w:p>
            <w:pPr>
              <w:spacing w:after="0"/>
              <w:rPr>
                <w:sz w:val="13"/>
                <w:szCs w:val="13"/>
                <w:color w:val="auto"/>
              </w:rPr>
            </w:pPr>
          </w:p>
        </w:tc>
        <w:tc>
          <w:tcPr>
            <w:tcW w:w="780" w:type="dxa"/>
            <w:vAlign w:val="bottom"/>
          </w:tcPr>
          <w:p>
            <w:pPr>
              <w:jc w:val="right"/>
              <w:ind w:right="69"/>
              <w:spacing w:after="0" w:line="159" w:lineRule="exact"/>
              <w:rPr>
                <w:sz w:val="20"/>
                <w:szCs w:val="20"/>
                <w:color w:val="auto"/>
              </w:rPr>
            </w:pPr>
            <w:r>
              <w:rPr>
                <w:rFonts w:ascii="Arial" w:cs="Arial" w:eastAsia="Arial" w:hAnsi="Arial"/>
                <w:sz w:val="14"/>
                <w:szCs w:val="14"/>
                <w:color w:val="auto"/>
              </w:rPr>
              <w:t>46</w:t>
            </w:r>
          </w:p>
        </w:tc>
        <w:tc>
          <w:tcPr>
            <w:tcW w:w="84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9</w:t>
            </w:r>
          </w:p>
        </w:tc>
        <w:tc>
          <w:tcPr>
            <w:tcW w:w="500" w:type="dxa"/>
            <w:vAlign w:val="bottom"/>
          </w:tcPr>
          <w:p>
            <w:pPr>
              <w:spacing w:after="0"/>
              <w:rPr>
                <w:sz w:val="13"/>
                <w:szCs w:val="13"/>
                <w:color w:val="auto"/>
              </w:rPr>
            </w:pPr>
          </w:p>
        </w:tc>
        <w:tc>
          <w:tcPr>
            <w:tcW w:w="980" w:type="dxa"/>
            <w:vAlign w:val="bottom"/>
          </w:tcPr>
          <w:p>
            <w:pPr>
              <w:jc w:val="right"/>
              <w:ind w:right="249"/>
              <w:spacing w:after="0" w:line="159" w:lineRule="exact"/>
              <w:rPr>
                <w:sz w:val="20"/>
                <w:szCs w:val="20"/>
                <w:color w:val="auto"/>
              </w:rPr>
            </w:pPr>
            <w:r>
              <w:rPr>
                <w:rFonts w:ascii="Arial" w:cs="Arial" w:eastAsia="Arial" w:hAnsi="Arial"/>
                <w:sz w:val="14"/>
                <w:szCs w:val="14"/>
                <w:color w:val="auto"/>
              </w:rPr>
              <w:t>19</w:t>
            </w:r>
          </w:p>
        </w:tc>
        <w:tc>
          <w:tcPr>
            <w:tcW w:w="72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9"/>
        </w:trPr>
        <w:tc>
          <w:tcPr>
            <w:tcW w:w="2900" w:type="dxa"/>
            <w:vAlign w:val="bottom"/>
          </w:tcPr>
          <w:p>
            <w:pPr>
              <w:ind w:left="160"/>
              <w:spacing w:after="0" w:line="159" w:lineRule="exact"/>
              <w:rPr>
                <w:sz w:val="20"/>
                <w:szCs w:val="20"/>
                <w:color w:val="auto"/>
              </w:rPr>
            </w:pPr>
            <w:r>
              <w:rPr>
                <w:rFonts w:ascii="Arial" w:cs="Arial" w:eastAsia="Arial" w:hAnsi="Arial"/>
                <w:sz w:val="14"/>
                <w:szCs w:val="14"/>
                <w:color w:val="auto"/>
              </w:rPr>
              <w:t>Sempra Natural Gas</w:t>
            </w:r>
          </w:p>
        </w:tc>
        <w:tc>
          <w:tcPr>
            <w:tcW w:w="460" w:type="dxa"/>
            <w:vAlign w:val="bottom"/>
          </w:tcPr>
          <w:p>
            <w:pPr>
              <w:spacing w:after="0"/>
              <w:rPr>
                <w:sz w:val="13"/>
                <w:szCs w:val="13"/>
                <w:color w:val="auto"/>
              </w:rPr>
            </w:pPr>
          </w:p>
        </w:tc>
        <w:tc>
          <w:tcPr>
            <w:tcW w:w="680" w:type="dxa"/>
            <w:vAlign w:val="bottom"/>
          </w:tcPr>
          <w:p>
            <w:pPr>
              <w:jc w:val="right"/>
              <w:ind w:right="9"/>
              <w:spacing w:after="0" w:line="159" w:lineRule="exact"/>
              <w:rPr>
                <w:sz w:val="20"/>
                <w:szCs w:val="20"/>
                <w:color w:val="auto"/>
              </w:rPr>
            </w:pPr>
            <w:r>
              <w:rPr>
                <w:rFonts w:ascii="Arial" w:cs="Arial" w:eastAsia="Arial" w:hAnsi="Arial"/>
                <w:sz w:val="14"/>
                <w:szCs w:val="14"/>
                <w:color w:val="auto"/>
              </w:rPr>
              <w:t>4</w:t>
            </w:r>
          </w:p>
        </w:tc>
        <w:tc>
          <w:tcPr>
            <w:tcW w:w="90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1</w:t>
            </w:r>
          </w:p>
        </w:tc>
        <w:tc>
          <w:tcPr>
            <w:tcW w:w="520" w:type="dxa"/>
            <w:vAlign w:val="bottom"/>
          </w:tcPr>
          <w:p>
            <w:pPr>
              <w:spacing w:after="0"/>
              <w:rPr>
                <w:sz w:val="13"/>
                <w:szCs w:val="13"/>
                <w:color w:val="auto"/>
              </w:rPr>
            </w:pPr>
          </w:p>
        </w:tc>
        <w:tc>
          <w:tcPr>
            <w:tcW w:w="960" w:type="dxa"/>
            <w:vAlign w:val="bottom"/>
          </w:tcPr>
          <w:p>
            <w:pPr>
              <w:jc w:val="right"/>
              <w:ind w:right="249"/>
              <w:spacing w:after="0" w:line="159" w:lineRule="exact"/>
              <w:rPr>
                <w:sz w:val="20"/>
                <w:szCs w:val="20"/>
                <w:color w:val="auto"/>
              </w:rPr>
            </w:pPr>
            <w:r>
              <w:rPr>
                <w:rFonts w:ascii="Arial" w:cs="Arial" w:eastAsia="Arial" w:hAnsi="Arial"/>
                <w:sz w:val="14"/>
                <w:szCs w:val="14"/>
                <w:color w:val="auto"/>
              </w:rPr>
              <w:t>9</w:t>
            </w:r>
          </w:p>
        </w:tc>
        <w:tc>
          <w:tcPr>
            <w:tcW w:w="72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4</w:t>
            </w:r>
          </w:p>
        </w:tc>
        <w:tc>
          <w:tcPr>
            <w:tcW w:w="460" w:type="dxa"/>
            <w:vAlign w:val="bottom"/>
          </w:tcPr>
          <w:p>
            <w:pPr>
              <w:spacing w:after="0"/>
              <w:rPr>
                <w:sz w:val="13"/>
                <w:szCs w:val="13"/>
                <w:color w:val="auto"/>
              </w:rPr>
            </w:pPr>
          </w:p>
        </w:tc>
        <w:tc>
          <w:tcPr>
            <w:tcW w:w="780" w:type="dxa"/>
            <w:vAlign w:val="bottom"/>
          </w:tcPr>
          <w:p>
            <w:pPr>
              <w:jc w:val="right"/>
              <w:ind w:right="69"/>
              <w:spacing w:after="0" w:line="159" w:lineRule="exact"/>
              <w:rPr>
                <w:sz w:val="20"/>
                <w:szCs w:val="20"/>
                <w:color w:val="auto"/>
              </w:rPr>
            </w:pPr>
            <w:r>
              <w:rPr>
                <w:rFonts w:ascii="Arial" w:cs="Arial" w:eastAsia="Arial" w:hAnsi="Arial"/>
                <w:sz w:val="14"/>
                <w:szCs w:val="14"/>
                <w:color w:val="auto"/>
              </w:rPr>
              <w:t>13</w:t>
            </w:r>
          </w:p>
        </w:tc>
        <w:tc>
          <w:tcPr>
            <w:tcW w:w="840" w:type="dxa"/>
            <w:vAlign w:val="bottom"/>
          </w:tcPr>
          <w:p>
            <w:pPr>
              <w:jc w:val="right"/>
              <w:ind w:right="149"/>
              <w:spacing w:after="0" w:line="159" w:lineRule="exact"/>
              <w:rPr>
                <w:sz w:val="20"/>
                <w:szCs w:val="20"/>
                <w:color w:val="auto"/>
              </w:rPr>
            </w:pPr>
            <w:r>
              <w:rPr>
                <w:rFonts w:ascii="Arial" w:cs="Arial" w:eastAsia="Arial" w:hAnsi="Arial"/>
                <w:sz w:val="14"/>
                <w:szCs w:val="14"/>
                <w:color w:val="auto"/>
              </w:rPr>
              <w:t>2</w:t>
            </w:r>
          </w:p>
        </w:tc>
        <w:tc>
          <w:tcPr>
            <w:tcW w:w="500" w:type="dxa"/>
            <w:vAlign w:val="bottom"/>
          </w:tcPr>
          <w:p>
            <w:pPr>
              <w:spacing w:after="0"/>
              <w:rPr>
                <w:sz w:val="13"/>
                <w:szCs w:val="13"/>
                <w:color w:val="auto"/>
              </w:rPr>
            </w:pPr>
          </w:p>
        </w:tc>
        <w:tc>
          <w:tcPr>
            <w:tcW w:w="980" w:type="dxa"/>
            <w:vAlign w:val="bottom"/>
          </w:tcPr>
          <w:p>
            <w:pPr>
              <w:jc w:val="right"/>
              <w:ind w:right="249"/>
              <w:spacing w:after="0" w:line="159" w:lineRule="exact"/>
              <w:rPr>
                <w:sz w:val="20"/>
                <w:szCs w:val="20"/>
                <w:color w:val="auto"/>
              </w:rPr>
            </w:pPr>
            <w:r>
              <w:rPr>
                <w:rFonts w:ascii="Arial" w:cs="Arial" w:eastAsia="Arial" w:hAnsi="Arial"/>
                <w:sz w:val="14"/>
                <w:szCs w:val="14"/>
                <w:color w:val="auto"/>
              </w:rPr>
              <w:t>62</w:t>
            </w:r>
          </w:p>
        </w:tc>
        <w:tc>
          <w:tcPr>
            <w:tcW w:w="72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3"/>
        </w:trPr>
        <w:tc>
          <w:tcPr>
            <w:tcW w:w="2900" w:type="dxa"/>
            <w:vAlign w:val="bottom"/>
          </w:tcPr>
          <w:p>
            <w:pPr>
              <w:spacing w:after="0"/>
              <w:rPr>
                <w:sz w:val="20"/>
                <w:szCs w:val="20"/>
                <w:color w:val="auto"/>
              </w:rPr>
            </w:pPr>
            <w:r>
              <w:rPr>
                <w:rFonts w:ascii="Arial" w:cs="Arial" w:eastAsia="Arial" w:hAnsi="Arial"/>
                <w:sz w:val="14"/>
                <w:szCs w:val="14"/>
                <w:color w:val="auto"/>
              </w:rPr>
              <w:t>Parent and other(3)</w:t>
            </w: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w:t>
            </w: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(22)</w:t>
            </w:r>
          </w:p>
        </w:tc>
        <w:tc>
          <w:tcPr>
            <w:tcW w:w="7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(9)</w:t>
            </w:r>
          </w:p>
        </w:tc>
        <w:tc>
          <w:tcPr>
            <w:tcW w:w="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(76)</w:t>
            </w:r>
          </w:p>
        </w:tc>
        <w:tc>
          <w:tcPr>
            <w:tcW w:w="8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(15)</w:t>
            </w: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(106)</w:t>
            </w: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3"/>
        </w:trPr>
        <w:tc>
          <w:tcPr>
            <w:tcW w:w="2900" w:type="dxa"/>
            <w:vAlign w:val="bottom"/>
          </w:tcPr>
          <w:p>
            <w:pPr>
              <w:spacing w:after="0" w:line="153" w:lineRule="exact"/>
              <w:rPr>
                <w:sz w:val="20"/>
                <w:szCs w:val="20"/>
                <w:color w:val="auto"/>
              </w:rPr>
            </w:pPr>
            <w:r>
              <w:rPr>
                <w:rFonts w:ascii="Arial" w:cs="Arial" w:eastAsia="Arial" w:hAnsi="Arial"/>
                <w:sz w:val="14"/>
                <w:szCs w:val="14"/>
                <w:color w:val="auto"/>
              </w:rPr>
              <w:t>Earnings</w:t>
            </w:r>
          </w:p>
        </w:tc>
        <w:tc>
          <w:tcPr>
            <w:tcW w:w="460" w:type="dxa"/>
            <w:vAlign w:val="bottom"/>
          </w:tcPr>
          <w:p>
            <w:pPr>
              <w:jc w:val="right"/>
              <w:ind w:right="309"/>
              <w:spacing w:after="0" w:line="153"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ind w:right="9"/>
              <w:spacing w:after="0" w:line="153" w:lineRule="exact"/>
              <w:rPr>
                <w:sz w:val="20"/>
                <w:szCs w:val="20"/>
                <w:color w:val="auto"/>
              </w:rPr>
            </w:pPr>
            <w:r>
              <w:rPr>
                <w:rFonts w:ascii="Arial" w:cs="Arial" w:eastAsia="Arial" w:hAnsi="Arial"/>
                <w:sz w:val="14"/>
                <w:szCs w:val="14"/>
                <w:color w:val="auto"/>
              </w:rPr>
              <w:t>269</w:t>
            </w:r>
          </w:p>
        </w:tc>
        <w:tc>
          <w:tcPr>
            <w:tcW w:w="900" w:type="dxa"/>
            <w:vAlign w:val="bottom"/>
          </w:tcPr>
          <w:p>
            <w:pPr>
              <w:jc w:val="right"/>
              <w:spacing w:after="0" w:line="153" w:lineRule="exact"/>
              <w:rPr>
                <w:sz w:val="20"/>
                <w:szCs w:val="20"/>
                <w:color w:val="auto"/>
              </w:rPr>
            </w:pPr>
            <w:r>
              <w:rPr>
                <w:rFonts w:ascii="Arial" w:cs="Arial" w:eastAsia="Arial" w:hAnsi="Arial"/>
                <w:sz w:val="14"/>
                <w:szCs w:val="14"/>
                <w:color w:val="auto"/>
              </w:rPr>
              <w:t>100 %</w:t>
            </w:r>
          </w:p>
        </w:tc>
        <w:tc>
          <w:tcPr>
            <w:tcW w:w="520" w:type="dxa"/>
            <w:vAlign w:val="bottom"/>
          </w:tcPr>
          <w:p>
            <w:pPr>
              <w:jc w:val="right"/>
              <w:ind w:right="309"/>
              <w:spacing w:after="0" w:line="153"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49"/>
              <w:spacing w:after="0" w:line="153" w:lineRule="exact"/>
              <w:rPr>
                <w:sz w:val="20"/>
                <w:szCs w:val="20"/>
                <w:color w:val="auto"/>
              </w:rPr>
            </w:pPr>
            <w:r>
              <w:rPr>
                <w:rFonts w:ascii="Arial" w:cs="Arial" w:eastAsia="Arial" w:hAnsi="Arial"/>
                <w:sz w:val="14"/>
                <w:szCs w:val="14"/>
                <w:color w:val="auto"/>
              </w:rPr>
              <w:t>245</w:t>
            </w:r>
          </w:p>
        </w:tc>
        <w:tc>
          <w:tcPr>
            <w:tcW w:w="720" w:type="dxa"/>
            <w:vAlign w:val="bottom"/>
          </w:tcPr>
          <w:p>
            <w:pPr>
              <w:jc w:val="right"/>
              <w:ind w:right="49"/>
              <w:spacing w:after="0" w:line="153" w:lineRule="exact"/>
              <w:rPr>
                <w:sz w:val="20"/>
                <w:szCs w:val="20"/>
                <w:color w:val="auto"/>
              </w:rPr>
            </w:pPr>
            <w:r>
              <w:rPr>
                <w:rFonts w:ascii="Arial" w:cs="Arial" w:eastAsia="Arial" w:hAnsi="Arial"/>
                <w:sz w:val="14"/>
                <w:szCs w:val="14"/>
                <w:color w:val="auto"/>
              </w:rPr>
              <w:t>100 %</w:t>
            </w:r>
          </w:p>
        </w:tc>
        <w:tc>
          <w:tcPr>
            <w:tcW w:w="460" w:type="dxa"/>
            <w:vAlign w:val="bottom"/>
          </w:tcPr>
          <w:p>
            <w:pPr>
              <w:jc w:val="right"/>
              <w:ind w:right="309"/>
              <w:spacing w:after="0" w:line="153"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69"/>
              <w:spacing w:after="0" w:line="153" w:lineRule="exact"/>
              <w:rPr>
                <w:sz w:val="20"/>
                <w:szCs w:val="20"/>
                <w:color w:val="auto"/>
              </w:rPr>
            </w:pPr>
            <w:r>
              <w:rPr>
                <w:rFonts w:ascii="Arial" w:cs="Arial" w:eastAsia="Arial" w:hAnsi="Arial"/>
                <w:sz w:val="14"/>
                <w:szCs w:val="14"/>
                <w:color w:val="auto"/>
              </w:rPr>
              <w:t>516</w:t>
            </w:r>
          </w:p>
        </w:tc>
        <w:tc>
          <w:tcPr>
            <w:tcW w:w="840" w:type="dxa"/>
            <w:vAlign w:val="bottom"/>
          </w:tcPr>
          <w:p>
            <w:pPr>
              <w:jc w:val="right"/>
              <w:spacing w:after="0" w:line="153" w:lineRule="exact"/>
              <w:rPr>
                <w:sz w:val="20"/>
                <w:szCs w:val="20"/>
                <w:color w:val="auto"/>
              </w:rPr>
            </w:pPr>
            <w:r>
              <w:rPr>
                <w:rFonts w:ascii="Arial" w:cs="Arial" w:eastAsia="Arial" w:hAnsi="Arial"/>
                <w:sz w:val="14"/>
                <w:szCs w:val="14"/>
                <w:color w:val="auto"/>
              </w:rPr>
              <w:t>100 %</w:t>
            </w:r>
          </w:p>
        </w:tc>
        <w:tc>
          <w:tcPr>
            <w:tcW w:w="500" w:type="dxa"/>
            <w:vAlign w:val="bottom"/>
          </w:tcPr>
          <w:p>
            <w:pPr>
              <w:jc w:val="right"/>
              <w:ind w:right="289"/>
              <w:spacing w:after="0" w:line="153"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49"/>
              <w:spacing w:after="0" w:line="153" w:lineRule="exact"/>
              <w:rPr>
                <w:sz w:val="20"/>
                <w:szCs w:val="20"/>
                <w:color w:val="auto"/>
              </w:rPr>
            </w:pPr>
            <w:r>
              <w:rPr>
                <w:rFonts w:ascii="Arial" w:cs="Arial" w:eastAsia="Arial" w:hAnsi="Arial"/>
                <w:sz w:val="14"/>
                <w:szCs w:val="14"/>
                <w:color w:val="auto"/>
              </w:rPr>
              <w:t>423</w:t>
            </w:r>
          </w:p>
        </w:tc>
        <w:tc>
          <w:tcPr>
            <w:tcW w:w="720" w:type="dxa"/>
            <w:vAlign w:val="bottom"/>
          </w:tcPr>
          <w:p>
            <w:pPr>
              <w:jc w:val="right"/>
              <w:ind w:right="49"/>
              <w:spacing w:after="0" w:line="153" w:lineRule="exact"/>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80"/>
        </w:trPr>
        <w:tc>
          <w:tcPr>
            <w:tcW w:w="290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520" w:type="dxa"/>
            <w:vAlign w:val="bottom"/>
            <w:shd w:val="clear" w:color="auto" w:fill="000000"/>
          </w:tcPr>
          <w:p>
            <w:pPr>
              <w:spacing w:after="0"/>
              <w:rPr>
                <w:sz w:val="6"/>
                <w:szCs w:val="6"/>
                <w:color w:val="auto"/>
              </w:rPr>
            </w:pPr>
          </w:p>
        </w:tc>
        <w:tc>
          <w:tcPr>
            <w:tcW w:w="96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84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500" w:hanging="494"/>
        <w:spacing w:after="0"/>
        <w:tabs>
          <w:tab w:leader="none" w:pos="500" w:val="left"/>
        </w:tabs>
        <w:numPr>
          <w:ilvl w:val="0"/>
          <w:numId w:val="71"/>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 for 2013.</w:t>
      </w:r>
    </w:p>
    <w:p>
      <w:pPr>
        <w:spacing w:after="0" w:line="3" w:lineRule="exact"/>
        <w:rPr>
          <w:rFonts w:ascii="Arial" w:cs="Arial" w:eastAsia="Arial" w:hAnsi="Arial"/>
          <w:sz w:val="14"/>
          <w:szCs w:val="14"/>
          <w:i w:val="1"/>
          <w:iCs w:val="1"/>
          <w:color w:val="auto"/>
        </w:rPr>
      </w:pPr>
    </w:p>
    <w:p>
      <w:pPr>
        <w:ind w:left="500" w:hanging="494"/>
        <w:spacing w:after="0"/>
        <w:tabs>
          <w:tab w:leader="none" w:pos="500" w:val="left"/>
        </w:tabs>
        <w:numPr>
          <w:ilvl w:val="0"/>
          <w:numId w:val="71"/>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pacing w:after="0" w:line="22" w:lineRule="exact"/>
        <w:rPr>
          <w:rFonts w:ascii="Arial" w:cs="Arial" w:eastAsia="Arial" w:hAnsi="Arial"/>
          <w:sz w:val="14"/>
          <w:szCs w:val="14"/>
          <w:i w:val="1"/>
          <w:iCs w:val="1"/>
          <w:color w:val="auto"/>
        </w:rPr>
      </w:pPr>
    </w:p>
    <w:p>
      <w:pPr>
        <w:ind w:left="500" w:right="200" w:hanging="494"/>
        <w:spacing w:after="0" w:line="278" w:lineRule="auto"/>
        <w:tabs>
          <w:tab w:leader="none" w:pos="500" w:val="left"/>
        </w:tabs>
        <w:numPr>
          <w:ilvl w:val="0"/>
          <w:numId w:val="7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after-tax interest expense ($34 million and $35 million for the three months ended June 30, 2014 and 2013, respectively, and $69 million and $73 million for the six months ended June 30, 2014 and 2013, respectively), intercompany eliminations recorded in consolidation and certain corporate costs.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0"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The following section is a discussion of earnings (losses) by Sempra Energy segment, as presented in the table above. Variance amounts are the after-tax earnings impact (based on applicable statutory tax rates),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216535</wp:posOffset>
            </wp:positionV>
            <wp:extent cx="7248525" cy="2444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8525" cy="244475"/>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CALIFORNIA UTILITIES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5906770" cy="2953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06770" cy="295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Due to the delay in the issuance of a final decision in the California Utilities’ 2012 GRC, which was issued by the CPUC in May 2013 and effective retroactive to January 1, 2012, the California Utilities recorded incremental earnings of $106 million ($69 million at SDG&amp;E and $37 million at SoCalGas) in the second quarter of 2013 from the retroactive impact for 2012 and the first quarter of 2013. We provide additional information on the 2012 GRC in Note 10 of the Notes to Condensed Consolidated Financial Statements herein.</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SDG&amp;E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SDG&amp;E segment recorded earnings of:</w:t>
      </w:r>
    </w:p>
    <w:p>
      <w:pPr>
        <w:spacing w:after="0" w:line="218" w:lineRule="exact"/>
        <w:rPr>
          <w:sz w:val="20"/>
          <w:szCs w:val="20"/>
          <w:color w:val="auto"/>
        </w:rPr>
      </w:pPr>
    </w:p>
    <w:p>
      <w:pPr>
        <w:ind w:left="320" w:hanging="172"/>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 million in the three months ended June 30, 2014</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million in the three months ended June 30, 2013 ($66 million before preferred dividends)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 million for the first six months of 2014</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 million for the first six months of 2013 ($158 million before preferred dividends)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earnings of $58 million (89%) in the three months ended June 30, 2014 was primarily due to:</w:t>
      </w:r>
    </w:p>
    <w:p>
      <w:pPr>
        <w:spacing w:after="0" w:line="2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$119 million charge in the second quarter of 2013 for loss from plant closure associated with SDG&amp;E’s investment in SONGS; and</w:t>
      </w:r>
    </w:p>
    <w:p>
      <w:pPr>
        <w:sectPr>
          <w:pgSz w:w="11900" w:h="16838" w:orient="portrait"/>
          <w:cols w:equalWidth="0" w:num="1">
            <w:col w:w="11420"/>
          </w:cols>
          <w:pgMar w:left="240" w:top="560" w:right="239" w:bottom="0" w:gutter="0" w:footer="0" w:header="0"/>
        </w:sectPr>
      </w:pPr>
    </w:p>
    <w:bookmarkStart w:id="51" w:name="page52"/>
    <w:bookmarkEnd w:id="51"/>
    <w:p>
      <w:pPr>
        <w:ind w:left="320" w:hanging="172"/>
        <w:spacing w:after="0"/>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 million higher CPUC base operating margin authorized for 2014 in the 2012 GRC and lower non-refundable operating costs;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million favorable impact on second quarter 2013 earnings from the retroactive application for 2012 ($52 million) and the first quarter of 2013 ($17 million) of the final decision in the 2012 GRC.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hanging="172"/>
        <w:spacing w:after="0" w:line="305" w:lineRule="auto"/>
        <w:tabs>
          <w:tab w:leader="none" w:pos="3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$119 million charge in the second quarter of 2013 for loss from plant closure associated with SDG&amp;E’s investment in SONGS, compared to a $9 million charge to adjust the total loss from plant closure in 2014, as we discuss in Note 9 of the Notes to Condensed Consolidated Financial Statements herein; and</w:t>
      </w:r>
    </w:p>
    <w:p>
      <w:pPr>
        <w:spacing w:after="0" w:line="165" w:lineRule="exact"/>
        <w:rPr>
          <w:rFonts w:ascii="Times New Roman" w:cs="Times New Roman" w:eastAsia="Times New Roman" w:hAnsi="Times New Roman"/>
          <w:sz w:val="17"/>
          <w:szCs w:val="17"/>
          <w:color w:val="auto"/>
        </w:rPr>
      </w:pPr>
    </w:p>
    <w:p>
      <w:pPr>
        <w:ind w:left="320" w:hanging="172"/>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 million higher CPUC base operating margin authorized for 2014 in the 2012 GRC and lower non-refundable operating costs;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million favorable impact on 2013 earnings from the retroactive application for 2012 of the final decision in the 2012 GRC; and</w:t>
      </w:r>
    </w:p>
    <w:p>
      <w:pPr>
        <w:spacing w:after="0" w:line="244" w:lineRule="exact"/>
        <w:rPr>
          <w:rFonts w:ascii="Times New Roman" w:cs="Times New Roman" w:eastAsia="Times New Roman" w:hAnsi="Times New Roman"/>
          <w:sz w:val="18"/>
          <w:szCs w:val="18"/>
          <w:color w:val="auto"/>
        </w:rPr>
      </w:pPr>
    </w:p>
    <w:p>
      <w:pPr>
        <w:ind w:left="320" w:right="20" w:hanging="172"/>
        <w:spacing w:after="0" w:line="275" w:lineRule="auto"/>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lower earnings from electric transmission operations primarily due to lower Federal Energy Regulatory Commission (FERC)-authorized return on equity.</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SoCalGas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SoCalGas segment recorded earnings of:</w:t>
      </w:r>
    </w:p>
    <w:p>
      <w:pPr>
        <w:spacing w:after="0" w:line="218" w:lineRule="exact"/>
        <w:rPr>
          <w:sz w:val="20"/>
          <w:szCs w:val="20"/>
          <w:color w:val="auto"/>
        </w:rPr>
      </w:pPr>
    </w:p>
    <w:p>
      <w:pPr>
        <w:ind w:left="320" w:hanging="17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million in the three months ended June 30, 2014 ($81 million before preferred dividends)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 million in the three months ended June 30, 2013 ($119 million before preferred dividends)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 million for the first six months of 2014 ($159 million before preferred dividends)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 million for the first six months of 2013 ($165 million before preferred dividends)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hanging="172"/>
        <w:spacing w:after="0" w:line="275" w:lineRule="auto"/>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million favorable impact on second quarter 2013 earnings from the retroactive application for 2012 ($25 million) and the first quarter of 2013 ($12 million) of the final decision in the 2012 GRC;</w:t>
      </w:r>
    </w:p>
    <w:p>
      <w:pPr>
        <w:spacing w:after="0" w:line="190"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million write-off in 2014 of certain costs incurred associated with the Pipeline Safety Enhancement Plan (PSEP) that were disallowed for recovery in the final PSEP decision (as we discuss in Note 10 of the Notes to Condensed Consolidated Financial Statements herein); and</w:t>
      </w:r>
    </w:p>
    <w:p>
      <w:pPr>
        <w:spacing w:after="0" w:line="188"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 million favorable adjustment to prior years’ income tax items in 2013;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million higher CPUC base operating margin authorized for 2014 in the 2012 GRC, net of higher non-refundable operating costs.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earnings of $6 million (4%) in the first six months of 2014 was primarily due to:</w:t>
      </w:r>
    </w:p>
    <w:p>
      <w:pPr>
        <w:spacing w:after="0" w:line="218" w:lineRule="exact"/>
        <w:rPr>
          <w:sz w:val="20"/>
          <w:szCs w:val="20"/>
          <w:color w:val="auto"/>
        </w:rPr>
      </w:pPr>
    </w:p>
    <w:p>
      <w:pPr>
        <w:ind w:left="320" w:hanging="172"/>
        <w:spacing w:after="0"/>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favorable impact on 2013 earnings from the retroactive application for 2012 of the final decision in the 2012 GRC; and</w:t>
      </w:r>
    </w:p>
    <w:p>
      <w:pPr>
        <w:spacing w:after="0" w:line="242"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 million write-off in 2014 of certain PSEP costs that were disallowed for recovery in the final PSEP decision;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higher CPUC base operating margin authorized for 2014 in the 2012 GRC and lower non-refundable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167005</wp:posOffset>
            </wp:positionV>
            <wp:extent cx="7248525" cy="2444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8525" cy="24447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SEMPRA INTERNATIONAL</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838" w:orient="portrait"/>
          <w:cols w:equalWidth="0" w:num="1">
            <w:col w:w="11420"/>
          </w:cols>
          <w:pgMar w:left="240" w:top="358" w:right="23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156210</wp:posOffset>
            </wp:positionH>
            <wp:positionV relativeFrom="page">
              <wp:posOffset>88900</wp:posOffset>
            </wp:positionV>
            <wp:extent cx="5906770" cy="2953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5906770" cy="295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South American Utilities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Sempra South American Utilities segment recorded earnings of:</w:t>
      </w:r>
    </w:p>
    <w:p>
      <w:pPr>
        <w:spacing w:after="0" w:line="218" w:lineRule="exact"/>
        <w:rPr>
          <w:sz w:val="20"/>
          <w:szCs w:val="20"/>
          <w:color w:val="auto"/>
        </w:rPr>
      </w:pPr>
    </w:p>
    <w:p>
      <w:pPr>
        <w:ind w:left="320" w:hanging="17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million in the three months ended June 30, 2014</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in the three months ended June 30, 2013</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million for the first six months of 2014</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million for the first six months of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hanging="172"/>
        <w:spacing w:after="0"/>
        <w:tabs>
          <w:tab w:leader="none" w:pos="3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million higher earnings from operations mainly due to an increase in volume, primarily from customer growth, and lower costs compared to prior year;</w:t>
      </w:r>
    </w:p>
    <w:p>
      <w:pPr>
        <w:spacing w:after="0" w:line="256" w:lineRule="exact"/>
        <w:rPr>
          <w:rFonts w:ascii="Times New Roman" w:cs="Times New Roman" w:eastAsia="Times New Roman" w:hAnsi="Times New Roman"/>
          <w:sz w:val="17"/>
          <w:szCs w:val="17"/>
          <w:color w:val="auto"/>
        </w:rPr>
      </w:pPr>
    </w:p>
    <w:p>
      <w:pPr>
        <w:ind w:left="320" w:hanging="172"/>
        <w:spacing w:after="0" w:line="275" w:lineRule="auto"/>
        <w:tabs>
          <w:tab w:leader="none" w:pos="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loss in 2013 from the sale of our investment in two Argentine natural gas utility holding companies, as we discuss in Note 4 of the Notes to Condensed Consolidated Financial Statements herein; and</w:t>
      </w:r>
    </w:p>
    <w:p>
      <w:pPr>
        <w:spacing w:after="0" w:line="188"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million equity losses from joint venture in 2013 resulting from a forward exchange contract to manage foreign currency exchange rate risk;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lower earnings from foreign currency effects; and</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higher interest expense in Chile related to inflationary effect on local bonds.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earnings of $6 million (8%) in the six months ended June 30, 2014 was primarily due to:</w:t>
      </w:r>
    </w:p>
    <w:p>
      <w:pPr>
        <w:spacing w:after="0" w:line="218" w:lineRule="exact"/>
        <w:rPr>
          <w:sz w:val="20"/>
          <w:szCs w:val="20"/>
          <w:color w:val="auto"/>
        </w:rPr>
      </w:pPr>
    </w:p>
    <w:p>
      <w:pPr>
        <w:ind w:left="320" w:hanging="172"/>
        <w:spacing w:after="0"/>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equity losses related to our investments in two Argentine natural gas utility holding companies that were sold in 2013; and</w:t>
      </w:r>
    </w:p>
    <w:p>
      <w:pPr>
        <w:spacing w:after="0" w:line="244"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 million higher earnings from operations mainly due to an increase in volume, primarily from customer growth, and lower costs compared to prior year; </w:t>
      </w:r>
      <w:r>
        <w:rPr>
          <w:rFonts w:ascii="Times New Roman" w:cs="Times New Roman" w:eastAsia="Times New Roman" w:hAnsi="Times New Roman"/>
          <w:sz w:val="18"/>
          <w:szCs w:val="18"/>
          <w:b w:val="1"/>
          <w:bCs w:val="1"/>
          <w:color w:val="auto"/>
        </w:rPr>
        <w:t>offset by</w:t>
      </w:r>
    </w:p>
    <w:p>
      <w:pPr>
        <w:spacing w:after="0" w:line="190"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million lower earnings from foreign currency effects; and</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higher interest expense in Chile related to inflationary effect on local bonds.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Mexico</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Sempra Mexico segment recorded earnings of:</w:t>
      </w:r>
    </w:p>
    <w:p>
      <w:pPr>
        <w:spacing w:after="0" w:line="218" w:lineRule="exact"/>
        <w:rPr>
          <w:sz w:val="20"/>
          <w:szCs w:val="20"/>
          <w:color w:val="auto"/>
        </w:rPr>
      </w:pPr>
    </w:p>
    <w:p>
      <w:pPr>
        <w:ind w:left="320" w:hanging="172"/>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in the three months ended June 30, 2014</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million in the three months ended June 30, 2013</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million for the first six months of 2014</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million for the first six months of 2013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earnings of $8 million (31%) in the three months ended June 30, 2014 was primarily due to:</w:t>
      </w:r>
    </w:p>
    <w:p>
      <w:pPr>
        <w:sectPr>
          <w:pgSz w:w="11900" w:h="16888" w:orient="portrait"/>
          <w:cols w:equalWidth="0" w:num="1">
            <w:col w:w="11420"/>
          </w:cols>
          <w:pgMar w:left="240" w:top="1440" w:right="239" w:bottom="0" w:gutter="0" w:footer="0" w:header="0"/>
        </w:sectPr>
      </w:pPr>
    </w:p>
    <w:bookmarkStart w:id="53" w:name="page54"/>
    <w:bookmarkEnd w:id="53"/>
    <w:p>
      <w:pPr>
        <w:ind w:left="320" w:hanging="172"/>
        <w:spacing w:after="0"/>
        <w:tabs>
          <w:tab w:leader="none" w:pos="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AFUDC related to equity associated with construction of the natural gas pipeline in Sonora; and</w:t>
      </w:r>
    </w:p>
    <w:p>
      <w:pPr>
        <w:spacing w:after="0" w:line="242"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 million favorable translation effect primarily on Peso-denominated receivables;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color w:val="auto"/>
        </w:rPr>
      </w:pPr>
    </w:p>
    <w:p>
      <w:pPr>
        <w:ind w:right="2440" w:firstLine="148"/>
        <w:spacing w:after="0" w:line="508" w:lineRule="auto"/>
        <w:tabs>
          <w:tab w:leader="none" w:pos="31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million income tax variance primarily due to the effects from foreign currency and translation of deferred tax balances. The increase in earnings of $19 million (33%) in the first six months of 2014 was primarily due to:</w:t>
      </w:r>
    </w:p>
    <w:p>
      <w:pPr>
        <w:ind w:left="320" w:hanging="172"/>
        <w:spacing w:after="0"/>
        <w:tabs>
          <w:tab w:leader="none" w:pos="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AFUDC related to equity associated with construction of the natural gas pipeline in Sonora;</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million higher earnings and lower cost from operations mainly due to prior year’s scheduled major maintenance at our Mexicali power plant; and</w:t>
      </w:r>
    </w:p>
    <w:p>
      <w:pPr>
        <w:spacing w:after="0" w:line="242"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million lower income tax expense including the effects from foreign currency and inflation;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earnings attributable to noncontrolling interests at IEnova in 2014 compared to $9 million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294005</wp:posOffset>
            </wp:positionV>
            <wp:extent cx="7248525" cy="2444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8525" cy="24447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SEMPRA U.S. GAS &amp; POWER</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5906770" cy="2953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06770" cy="295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Renewables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Sempra Renewables segment recorded earnings of:</w:t>
      </w:r>
    </w:p>
    <w:p>
      <w:pPr>
        <w:spacing w:after="0" w:line="218" w:lineRule="exact"/>
        <w:rPr>
          <w:sz w:val="20"/>
          <w:szCs w:val="20"/>
          <w:color w:val="auto"/>
        </w:rPr>
      </w:pPr>
    </w:p>
    <w:p>
      <w:pPr>
        <w:ind w:left="320" w:hanging="172"/>
        <w:spacing w:after="0"/>
        <w:tabs>
          <w:tab w:leader="none" w:pos="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in the three months ended June 30, 2014</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in the three months ended June 30, 2013</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million for the first six months of 2014</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for the first six months of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hanging="172"/>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higher earnings attributable to our wind assets; and</w:t>
      </w:r>
    </w:p>
    <w:p>
      <w:pPr>
        <w:spacing w:after="0" w:line="242"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$3 million higher deferred income tax benefits from projects placed in service in 2014;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b w:val="1"/>
          <w:bCs w:val="1"/>
          <w:color w:val="auto"/>
        </w:rPr>
      </w:pPr>
    </w:p>
    <w:p>
      <w:pPr>
        <w:ind w:left="320" w:hanging="172"/>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lower earnings from interest rate hedges associated with our solar assets.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hanging="172"/>
        <w:spacing w:after="0"/>
        <w:tabs>
          <w:tab w:leader="none" w:pos="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gain from the sale of a 50-percent equity interest in Copper Mountain Solar 3; and</w:t>
      </w:r>
    </w:p>
    <w:p>
      <w:pPr>
        <w:spacing w:after="0" w:line="244"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higher deferred income tax benefits, including the benefits of projects placed in service in 2014 and a $5 million reduction of benefits in 2013 as a result of Treasury Grant sequestration.</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Natural Gas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Sempra Natural Gas segment recorded earnings of:</w:t>
      </w:r>
    </w:p>
    <w:p>
      <w:pPr>
        <w:sectPr>
          <w:pgSz w:w="11900" w:h="16838" w:orient="portrait"/>
          <w:cols w:equalWidth="0" w:num="1">
            <w:col w:w="11420"/>
          </w:cols>
          <w:pgMar w:left="240" w:top="334" w:right="239" w:bottom="0" w:gutter="0" w:footer="0" w:header="0"/>
        </w:sectPr>
      </w:pPr>
    </w:p>
    <w:bookmarkStart w:id="54" w:name="page55"/>
    <w:bookmarkEnd w:id="54"/>
    <w:p>
      <w:pPr>
        <w:spacing w:after="0" w:line="8" w:lineRule="exact"/>
        <w:rPr>
          <w:sz w:val="20"/>
          <w:szCs w:val="20"/>
          <w:color w:val="auto"/>
        </w:rPr>
      </w:pPr>
    </w:p>
    <w:p>
      <w:pPr>
        <w:ind w:left="320" w:hanging="172"/>
        <w:spacing w:after="0"/>
        <w:tabs>
          <w:tab w:leader="none" w:pos="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in the three months ended June 30, 2014</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million in the three months ended June 30, 2013</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for the first six months of 2014</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million for the first six months of 2013</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hanging="172"/>
        <w:spacing w:after="0"/>
        <w:tabs>
          <w:tab w:leader="none" w:pos="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 million lower results primarily from mark-to-market gains in 2013 from gas storage operations driven by change in gas prices;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lower operating costs at the Mesquite Power plant, primarily depreciation due to the classification of the remaining 625-MW block as an asset held for sale.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hanging="172"/>
        <w:spacing w:after="0"/>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million gain in 2013 on the sale of a 625-MW block of its Mesquite Power plant, net of related expenses;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million lower earnings, primarily from LNG marketing operations, offset by the impact of higher natural gas prices in 2014; and</w:t>
      </w:r>
    </w:p>
    <w:p>
      <w:pPr>
        <w:spacing w:after="0" w:line="242"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 million lower results including mark-to-market gains in 2013 from gas storage operations driven by change in natural gas prices;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million lower operating costs at the Mesquite Power plant, primarily depreciation due to the classification of the remaining 625-MW block as an asset held for sale.</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Parent and Other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for Parent and Other were</w:t>
      </w:r>
    </w:p>
    <w:p>
      <w:pPr>
        <w:spacing w:after="0" w:line="218" w:lineRule="exact"/>
        <w:rPr>
          <w:sz w:val="20"/>
          <w:szCs w:val="20"/>
          <w:color w:val="auto"/>
        </w:rPr>
      </w:pPr>
    </w:p>
    <w:p>
      <w:pPr>
        <w:ind w:left="320" w:hanging="172"/>
        <w:spacing w:after="0"/>
        <w:tabs>
          <w:tab w:leader="none" w:pos="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million in the three months ended June 30, 2014</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in the three months ended June 30, 2013</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million for the first six months of 2014</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 million for the first six months of 2013</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losses of $10 million (45%) in the three months ended June 30, 2014 was primarily due to:</w:t>
      </w:r>
    </w:p>
    <w:p>
      <w:pPr>
        <w:spacing w:after="0" w:line="216" w:lineRule="exact"/>
        <w:rPr>
          <w:sz w:val="20"/>
          <w:szCs w:val="20"/>
          <w:color w:val="auto"/>
        </w:rPr>
      </w:pPr>
    </w:p>
    <w:p>
      <w:pPr>
        <w:ind w:left="320" w:hanging="172"/>
        <w:spacing w:after="0"/>
        <w:tabs>
          <w:tab w:leader="none" w:pos="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 million income tax expense for planned repatriation of current year foreign earnings;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color w:val="auto"/>
        </w:rPr>
      </w:pPr>
    </w:p>
    <w:p>
      <w:pPr>
        <w:ind w:right="2080" w:firstLine="148"/>
        <w:spacing w:after="0" w:line="507" w:lineRule="auto"/>
        <w:tabs>
          <w:tab w:leader="none" w:pos="31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higher investment gains on dedicated assets in support of our executive retirement and deferred compensation plans. The decrease in losses of $30 million (28%) in the first six months of 2014 was primarily due to:</w:t>
      </w:r>
    </w:p>
    <w:p>
      <w:pPr>
        <w:ind w:left="320" w:hanging="172"/>
        <w:spacing w:after="0"/>
        <w:tabs>
          <w:tab w:leader="none" w:pos="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$63 million income tax expense in 2013 resulting from a corporate reorganization in connection with the IEnova stock offerings;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income tax expense for planned repatriation of current year foreign earnings; and</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million higher net interest expense.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REVENUES, COSTS AND EARNINGS</w:t>
      </w:r>
    </w:p>
    <w:p>
      <w:pPr>
        <w:spacing w:after="0" w:line="225"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This section contains a discussion of the differences between periods in the specific line items of the Condensed Consolidated Statements of Operations for Sempra Energy, SDG&amp;E and SoCalGas.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Utilities Revenues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utilities revenues include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Natural gas revenues at:</w:t>
      </w:r>
    </w:p>
    <w:p>
      <w:pPr>
        <w:spacing w:after="0" w:line="213" w:lineRule="exact"/>
        <w:rPr>
          <w:sz w:val="20"/>
          <w:szCs w:val="20"/>
          <w:color w:val="auto"/>
        </w:rPr>
      </w:pPr>
    </w:p>
    <w:p>
      <w:pPr>
        <w:ind w:left="320" w:hanging="172"/>
        <w:spacing w:after="0"/>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SDG&amp;E</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SoCalGas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Sempra Mexico’s Ecogas México, S. de R.L. de C.V. (Ecogas)</w:t>
      </w:r>
    </w:p>
    <w:p>
      <w:pPr>
        <w:spacing w:after="0" w:line="244" w:lineRule="exact"/>
        <w:rPr>
          <w:rFonts w:ascii="Times New Roman" w:cs="Times New Roman" w:eastAsia="Times New Roman" w:hAnsi="Times New Roman"/>
          <w:sz w:val="18"/>
          <w:szCs w:val="18"/>
          <w:color w:val="auto"/>
        </w:rPr>
      </w:pPr>
    </w:p>
    <w:p>
      <w:pPr>
        <w:ind w:left="320" w:hanging="181"/>
        <w:spacing w:after="0"/>
        <w:tabs>
          <w:tab w:leader="none" w:pos="320" w:val="left"/>
        </w:tabs>
        <w:numPr>
          <w:ilvl w:val="0"/>
          <w:numId w:val="9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8"/>
          <w:szCs w:val="18"/>
          <w:color w:val="auto"/>
        </w:rPr>
        <w:t>Sempra Natural Gas’ Mobile Gas Service Corporation (Mobile Gas) and Willmut Gas Company (Willmut Gas)</w:t>
      </w:r>
    </w:p>
    <w:p>
      <w:pPr>
        <w:sectPr>
          <w:pgSz w:w="11900" w:h="16846" w:orient="portrait"/>
          <w:cols w:equalWidth="0" w:num="1">
            <w:col w:w="11420"/>
          </w:cols>
          <w:pgMar w:left="240" w:top="334" w:right="239" w:bottom="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9"/>
          <w:szCs w:val="19"/>
          <w:i w:val="1"/>
          <w:iCs w:val="1"/>
          <w:color w:val="auto"/>
        </w:rPr>
        <w:t>Electric revenues at:</w:t>
      </w:r>
    </w:p>
    <w:p>
      <w:pPr>
        <w:spacing w:after="0" w:line="213" w:lineRule="exact"/>
        <w:rPr>
          <w:sz w:val="20"/>
          <w:szCs w:val="20"/>
          <w:color w:val="auto"/>
        </w:rPr>
      </w:pPr>
    </w:p>
    <w:p>
      <w:pPr>
        <w:ind w:left="320" w:hanging="17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SDG&amp;E</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Sempra South American Utilities’ Chilquinta Energía and Luz del Sur</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Intercompany revenues included in the separate revenues of each utility are eliminated in the Sempra Energy Condensed Consolidated Statements of Operations.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 California Utilities</w:t>
      </w:r>
    </w:p>
    <w:p>
      <w:pPr>
        <w:spacing w:after="0" w:line="21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current regulatory framework for SoCalGas and SDG&amp;E permits the cost of natural gas purchased for core customers (primarily residential and small commercial and industrial customers) to be passed through to customers in rates substantially as incurred. However, SoCalGas’ Gas Cost Incentive Mechanism provides SoCalGas the opportunity to share in the savings and/or costs from buying natural gas for its core customers at prices below or above monthly market-based benchmarks. This mechanism permits full recovery of costs incurred when average purchase costs are within a price range around the benchmark price. Any higher costs incurred or savings realized outside this range are shared between the core customers and SoCalGas. We provide further discussion in Notes 1 and 14 of the Notes to Consolidated Financial Statements in the Annual Report.</w:t>
      </w:r>
    </w:p>
    <w:p>
      <w:pPr>
        <w:spacing w:after="0" w:line="184"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The regulatory framework also permits SDG&amp;E to recover the actual cost incurred to generate or procure electricity based on annual estimates of the cost of electricity supplied to customers. The differences in cost between estimates and actual are recovered in the next year through rates.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revenues and cost of sales for our utilities, net of intercompany activity: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UTILITIES REVENUES AND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88"/>
        </w:trPr>
        <w:tc>
          <w:tcPr>
            <w:tcW w:w="482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4"/>
                <w:szCs w:val="14"/>
                <w:color w:val="auto"/>
              </w:rPr>
              <w:t>Three months ended June 30,</w:t>
            </w:r>
          </w:p>
        </w:tc>
        <w:tc>
          <w:tcPr>
            <w:tcW w:w="5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741"/>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73"/>
        </w:trPr>
        <w:tc>
          <w:tcPr>
            <w:tcW w:w="48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2014</w:t>
            </w: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2013</w:t>
            </w:r>
          </w:p>
        </w:tc>
        <w:tc>
          <w:tcPr>
            <w:tcW w:w="5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color w:val="auto"/>
              </w:rPr>
              <w:t>2014</w:t>
            </w: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35"/>
        </w:trPr>
        <w:tc>
          <w:tcPr>
            <w:tcW w:w="4820" w:type="dxa"/>
            <w:vAlign w:val="bottom"/>
          </w:tcPr>
          <w:p>
            <w:pPr>
              <w:spacing w:after="0" w:line="135" w:lineRule="exact"/>
              <w:rPr>
                <w:sz w:val="20"/>
                <w:szCs w:val="20"/>
                <w:color w:val="auto"/>
              </w:rPr>
            </w:pPr>
            <w:r>
              <w:rPr>
                <w:rFonts w:ascii="Arial" w:cs="Arial" w:eastAsia="Arial" w:hAnsi="Arial"/>
                <w:sz w:val="15"/>
                <w:szCs w:val="15"/>
                <w:b w:val="1"/>
                <w:bCs w:val="1"/>
                <w:color w:val="auto"/>
              </w:rPr>
              <w:t>Electric revenues:</w:t>
            </w: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820" w:type="dxa"/>
            <w:vAlign w:val="bottom"/>
          </w:tcPr>
          <w:p>
            <w:pPr>
              <w:ind w:left="100"/>
              <w:spacing w:after="0" w:line="173" w:lineRule="exact"/>
              <w:rPr>
                <w:sz w:val="20"/>
                <w:szCs w:val="20"/>
                <w:color w:val="auto"/>
              </w:rPr>
            </w:pPr>
            <w:r>
              <w:rPr>
                <w:rFonts w:ascii="Arial" w:cs="Arial" w:eastAsia="Arial" w:hAnsi="Arial"/>
                <w:sz w:val="16"/>
                <w:szCs w:val="16"/>
                <w:color w:val="auto"/>
              </w:rPr>
              <w:t>SDG&amp;E</w:t>
            </w:r>
          </w:p>
        </w:tc>
        <w:tc>
          <w:tcPr>
            <w:tcW w:w="1080" w:type="dxa"/>
            <w:vAlign w:val="bottom"/>
          </w:tcPr>
          <w:p>
            <w:pPr>
              <w:jc w:val="right"/>
              <w:ind w:right="92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948</w:t>
            </w:r>
          </w:p>
        </w:tc>
        <w:tc>
          <w:tcPr>
            <w:tcW w:w="1080" w:type="dxa"/>
            <w:vAlign w:val="bottom"/>
          </w:tcPr>
          <w:p>
            <w:pPr>
              <w:jc w:val="right"/>
              <w:ind w:right="92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943</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1,759</w:t>
            </w:r>
          </w:p>
        </w:tc>
        <w:tc>
          <w:tcPr>
            <w:tcW w:w="380" w:type="dxa"/>
            <w:vAlign w:val="bottom"/>
          </w:tcPr>
          <w:p>
            <w:pPr>
              <w:jc w:val="right"/>
              <w:ind w:right="200"/>
              <w:spacing w:after="0" w:line="173"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173"/>
        </w:trPr>
        <w:tc>
          <w:tcPr>
            <w:tcW w:w="4820" w:type="dxa"/>
            <w:vAlign w:val="bottom"/>
          </w:tcPr>
          <w:p>
            <w:pPr>
              <w:ind w:left="100"/>
              <w:spacing w:after="0" w:line="173" w:lineRule="exact"/>
              <w:rPr>
                <w:sz w:val="20"/>
                <w:szCs w:val="20"/>
                <w:color w:val="auto"/>
              </w:rPr>
            </w:pPr>
            <w:r>
              <w:rPr>
                <w:rFonts w:ascii="Arial" w:cs="Arial" w:eastAsia="Arial" w:hAnsi="Arial"/>
                <w:sz w:val="16"/>
                <w:szCs w:val="16"/>
                <w:color w:val="auto"/>
              </w:rPr>
              <w:t>Sempra South American Utilities</w:t>
            </w:r>
          </w:p>
        </w:tc>
        <w:tc>
          <w:tcPr>
            <w:tcW w:w="1080" w:type="dxa"/>
            <w:vAlign w:val="bottom"/>
          </w:tcPr>
          <w:p>
            <w:pPr>
              <w:spacing w:after="0"/>
              <w:rPr>
                <w:sz w:val="15"/>
                <w:szCs w:val="15"/>
                <w:color w:val="auto"/>
              </w:rPr>
            </w:pP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364</w:t>
            </w:r>
          </w:p>
        </w:tc>
        <w:tc>
          <w:tcPr>
            <w:tcW w:w="1080" w:type="dxa"/>
            <w:vAlign w:val="bottom"/>
          </w:tcPr>
          <w:p>
            <w:pPr>
              <w:spacing w:after="0"/>
              <w:rPr>
                <w:sz w:val="15"/>
                <w:szCs w:val="15"/>
                <w:color w:val="auto"/>
              </w:rPr>
            </w:pP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340</w:t>
            </w:r>
          </w:p>
        </w:tc>
        <w:tc>
          <w:tcPr>
            <w:tcW w:w="360" w:type="dxa"/>
            <w:vAlign w:val="bottom"/>
          </w:tcPr>
          <w:p>
            <w:pPr>
              <w:spacing w:after="0"/>
              <w:rPr>
                <w:sz w:val="15"/>
                <w:szCs w:val="15"/>
                <w:color w:val="auto"/>
              </w:rPr>
            </w:pP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718</w:t>
            </w:r>
          </w:p>
        </w:tc>
        <w:tc>
          <w:tcPr>
            <w:tcW w:w="38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04"/>
        </w:trPr>
        <w:tc>
          <w:tcPr>
            <w:tcW w:w="482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10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6"/>
        </w:trPr>
        <w:tc>
          <w:tcPr>
            <w:tcW w:w="4820" w:type="dxa"/>
            <w:vAlign w:val="bottom"/>
          </w:tcPr>
          <w:p>
            <w:pPr>
              <w:ind w:left="400"/>
              <w:spacing w:after="0" w:line="166" w:lineRule="exact"/>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1,309</w:t>
            </w:r>
          </w:p>
        </w:tc>
        <w:tc>
          <w:tcPr>
            <w:tcW w:w="10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1,280</w:t>
            </w: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2,472</w:t>
            </w: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2,411</w:t>
            </w:r>
          </w:p>
        </w:tc>
        <w:tc>
          <w:tcPr>
            <w:tcW w:w="0" w:type="dxa"/>
            <w:vAlign w:val="bottom"/>
          </w:tcPr>
          <w:p>
            <w:pPr>
              <w:spacing w:after="0"/>
              <w:rPr>
                <w:sz w:val="1"/>
                <w:szCs w:val="1"/>
                <w:color w:val="auto"/>
              </w:rPr>
            </w:pPr>
          </w:p>
        </w:tc>
      </w:tr>
      <w:tr>
        <w:trPr>
          <w:trHeight w:val="161"/>
        </w:trPr>
        <w:tc>
          <w:tcPr>
            <w:tcW w:w="4820" w:type="dxa"/>
            <w:vAlign w:val="bottom"/>
          </w:tcPr>
          <w:p>
            <w:pPr>
              <w:spacing w:after="0" w:line="161" w:lineRule="exact"/>
              <w:rPr>
                <w:sz w:val="20"/>
                <w:szCs w:val="20"/>
                <w:color w:val="auto"/>
              </w:rPr>
            </w:pPr>
            <w:r>
              <w:rPr>
                <w:rFonts w:ascii="Arial" w:cs="Arial" w:eastAsia="Arial" w:hAnsi="Arial"/>
                <w:sz w:val="16"/>
                <w:szCs w:val="16"/>
                <w:b w:val="1"/>
                <w:bCs w:val="1"/>
                <w:color w:val="auto"/>
              </w:rPr>
              <w:t>Natural gas revenues:</w:t>
            </w: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820" w:type="dxa"/>
            <w:vAlign w:val="bottom"/>
          </w:tcPr>
          <w:p>
            <w:pPr>
              <w:ind w:left="100"/>
              <w:spacing w:after="0" w:line="173" w:lineRule="exact"/>
              <w:rPr>
                <w:sz w:val="20"/>
                <w:szCs w:val="20"/>
                <w:color w:val="auto"/>
              </w:rPr>
            </w:pPr>
            <w:r>
              <w:rPr>
                <w:rFonts w:ascii="Arial" w:cs="Arial" w:eastAsia="Arial" w:hAnsi="Arial"/>
                <w:sz w:val="16"/>
                <w:szCs w:val="16"/>
                <w:color w:val="auto"/>
              </w:rPr>
              <w:t>SoCalGas</w:t>
            </w:r>
          </w:p>
        </w:tc>
        <w:tc>
          <w:tcPr>
            <w:tcW w:w="1080" w:type="dxa"/>
            <w:vAlign w:val="bottom"/>
          </w:tcPr>
          <w:p>
            <w:pPr>
              <w:spacing w:after="0"/>
              <w:rPr>
                <w:sz w:val="15"/>
                <w:szCs w:val="15"/>
                <w:color w:val="auto"/>
              </w:rPr>
            </w:pP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917</w:t>
            </w:r>
          </w:p>
        </w:tc>
        <w:tc>
          <w:tcPr>
            <w:tcW w:w="1080" w:type="dxa"/>
            <w:vAlign w:val="bottom"/>
          </w:tcPr>
          <w:p>
            <w:pPr>
              <w:spacing w:after="0"/>
              <w:rPr>
                <w:sz w:val="15"/>
                <w:szCs w:val="15"/>
                <w:color w:val="auto"/>
              </w:rPr>
            </w:pP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904</w:t>
            </w:r>
          </w:p>
        </w:tc>
        <w:tc>
          <w:tcPr>
            <w:tcW w:w="360" w:type="dxa"/>
            <w:vAlign w:val="bottom"/>
          </w:tcPr>
          <w:p>
            <w:pPr>
              <w:spacing w:after="0"/>
              <w:rPr>
                <w:sz w:val="15"/>
                <w:szCs w:val="15"/>
                <w:color w:val="auto"/>
              </w:rPr>
            </w:pP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2,002</w:t>
            </w:r>
          </w:p>
        </w:tc>
        <w:tc>
          <w:tcPr>
            <w:tcW w:w="38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1,887</w:t>
            </w:r>
          </w:p>
        </w:tc>
        <w:tc>
          <w:tcPr>
            <w:tcW w:w="0" w:type="dxa"/>
            <w:vAlign w:val="bottom"/>
          </w:tcPr>
          <w:p>
            <w:pPr>
              <w:spacing w:after="0"/>
              <w:rPr>
                <w:sz w:val="1"/>
                <w:szCs w:val="1"/>
                <w:color w:val="auto"/>
              </w:rPr>
            </w:pPr>
          </w:p>
        </w:tc>
      </w:tr>
      <w:tr>
        <w:trPr>
          <w:trHeight w:val="173"/>
        </w:trPr>
        <w:tc>
          <w:tcPr>
            <w:tcW w:w="4820" w:type="dxa"/>
            <w:vAlign w:val="bottom"/>
          </w:tcPr>
          <w:p>
            <w:pPr>
              <w:ind w:left="100"/>
              <w:spacing w:after="0" w:line="173" w:lineRule="exact"/>
              <w:rPr>
                <w:sz w:val="20"/>
                <w:szCs w:val="20"/>
                <w:color w:val="auto"/>
              </w:rPr>
            </w:pPr>
            <w:r>
              <w:rPr>
                <w:rFonts w:ascii="Arial" w:cs="Arial" w:eastAsia="Arial" w:hAnsi="Arial"/>
                <w:sz w:val="16"/>
                <w:szCs w:val="16"/>
                <w:color w:val="auto"/>
              </w:rPr>
              <w:t>SDG&amp;E</w:t>
            </w:r>
          </w:p>
        </w:tc>
        <w:tc>
          <w:tcPr>
            <w:tcW w:w="1080" w:type="dxa"/>
            <w:vAlign w:val="bottom"/>
          </w:tcPr>
          <w:p>
            <w:pPr>
              <w:spacing w:after="0"/>
              <w:rPr>
                <w:sz w:val="15"/>
                <w:szCs w:val="15"/>
                <w:color w:val="auto"/>
              </w:rPr>
            </w:pP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115</w:t>
            </w:r>
          </w:p>
        </w:tc>
        <w:tc>
          <w:tcPr>
            <w:tcW w:w="1080" w:type="dxa"/>
            <w:vAlign w:val="bottom"/>
          </w:tcPr>
          <w:p>
            <w:pPr>
              <w:spacing w:after="0"/>
              <w:rPr>
                <w:sz w:val="15"/>
                <w:szCs w:val="15"/>
                <w:color w:val="auto"/>
              </w:rPr>
            </w:pP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121</w:t>
            </w:r>
          </w:p>
        </w:tc>
        <w:tc>
          <w:tcPr>
            <w:tcW w:w="360" w:type="dxa"/>
            <w:vAlign w:val="bottom"/>
          </w:tcPr>
          <w:p>
            <w:pPr>
              <w:spacing w:after="0"/>
              <w:rPr>
                <w:sz w:val="15"/>
                <w:szCs w:val="15"/>
                <w:color w:val="auto"/>
              </w:rPr>
            </w:pP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291</w:t>
            </w:r>
          </w:p>
        </w:tc>
        <w:tc>
          <w:tcPr>
            <w:tcW w:w="38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173"/>
        </w:trPr>
        <w:tc>
          <w:tcPr>
            <w:tcW w:w="4820" w:type="dxa"/>
            <w:vAlign w:val="bottom"/>
          </w:tcPr>
          <w:p>
            <w:pPr>
              <w:ind w:left="100"/>
              <w:spacing w:after="0" w:line="173" w:lineRule="exact"/>
              <w:rPr>
                <w:sz w:val="20"/>
                <w:szCs w:val="20"/>
                <w:color w:val="auto"/>
              </w:rPr>
            </w:pPr>
            <w:r>
              <w:rPr>
                <w:rFonts w:ascii="Arial" w:cs="Arial" w:eastAsia="Arial" w:hAnsi="Arial"/>
                <w:sz w:val="16"/>
                <w:szCs w:val="16"/>
                <w:color w:val="auto"/>
              </w:rPr>
              <w:t>Sempra Mexico</w:t>
            </w:r>
          </w:p>
        </w:tc>
        <w:tc>
          <w:tcPr>
            <w:tcW w:w="1080" w:type="dxa"/>
            <w:vAlign w:val="bottom"/>
          </w:tcPr>
          <w:p>
            <w:pPr>
              <w:spacing w:after="0"/>
              <w:rPr>
                <w:sz w:val="15"/>
                <w:szCs w:val="15"/>
                <w:color w:val="auto"/>
              </w:rPr>
            </w:pP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26</w:t>
            </w:r>
          </w:p>
        </w:tc>
        <w:tc>
          <w:tcPr>
            <w:tcW w:w="1080" w:type="dxa"/>
            <w:vAlign w:val="bottom"/>
          </w:tcPr>
          <w:p>
            <w:pPr>
              <w:spacing w:after="0"/>
              <w:rPr>
                <w:sz w:val="15"/>
                <w:szCs w:val="15"/>
                <w:color w:val="auto"/>
              </w:rPr>
            </w:pP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24</w:t>
            </w:r>
          </w:p>
        </w:tc>
        <w:tc>
          <w:tcPr>
            <w:tcW w:w="360" w:type="dxa"/>
            <w:vAlign w:val="bottom"/>
          </w:tcPr>
          <w:p>
            <w:pPr>
              <w:spacing w:after="0"/>
              <w:rPr>
                <w:sz w:val="15"/>
                <w:szCs w:val="15"/>
                <w:color w:val="auto"/>
              </w:rPr>
            </w:pP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59</w:t>
            </w:r>
          </w:p>
        </w:tc>
        <w:tc>
          <w:tcPr>
            <w:tcW w:w="38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73"/>
        </w:trPr>
        <w:tc>
          <w:tcPr>
            <w:tcW w:w="4820" w:type="dxa"/>
            <w:vAlign w:val="bottom"/>
          </w:tcPr>
          <w:p>
            <w:pPr>
              <w:ind w:left="100"/>
              <w:spacing w:after="0" w:line="173" w:lineRule="exact"/>
              <w:rPr>
                <w:sz w:val="20"/>
                <w:szCs w:val="20"/>
                <w:color w:val="auto"/>
              </w:rPr>
            </w:pPr>
            <w:r>
              <w:rPr>
                <w:rFonts w:ascii="Arial" w:cs="Arial" w:eastAsia="Arial" w:hAnsi="Arial"/>
                <w:sz w:val="16"/>
                <w:szCs w:val="16"/>
                <w:color w:val="auto"/>
              </w:rPr>
              <w:t>Sempra Natural Gas</w:t>
            </w:r>
          </w:p>
        </w:tc>
        <w:tc>
          <w:tcPr>
            <w:tcW w:w="1080" w:type="dxa"/>
            <w:vAlign w:val="bottom"/>
          </w:tcPr>
          <w:p>
            <w:pPr>
              <w:spacing w:after="0"/>
              <w:rPr>
                <w:sz w:val="15"/>
                <w:szCs w:val="15"/>
                <w:color w:val="auto"/>
              </w:rPr>
            </w:pP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20</w:t>
            </w:r>
          </w:p>
        </w:tc>
        <w:tc>
          <w:tcPr>
            <w:tcW w:w="1080" w:type="dxa"/>
            <w:vAlign w:val="bottom"/>
          </w:tcPr>
          <w:p>
            <w:pPr>
              <w:spacing w:after="0"/>
              <w:rPr>
                <w:sz w:val="15"/>
                <w:szCs w:val="15"/>
                <w:color w:val="auto"/>
              </w:rPr>
            </w:pP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20</w:t>
            </w:r>
          </w:p>
        </w:tc>
        <w:tc>
          <w:tcPr>
            <w:tcW w:w="360" w:type="dxa"/>
            <w:vAlign w:val="bottom"/>
          </w:tcPr>
          <w:p>
            <w:pPr>
              <w:spacing w:after="0"/>
              <w:rPr>
                <w:sz w:val="15"/>
                <w:szCs w:val="15"/>
                <w:color w:val="auto"/>
              </w:rPr>
            </w:pP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67</w:t>
            </w:r>
          </w:p>
        </w:tc>
        <w:tc>
          <w:tcPr>
            <w:tcW w:w="38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4"/>
        </w:trPr>
        <w:tc>
          <w:tcPr>
            <w:tcW w:w="482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10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66"/>
        </w:trPr>
        <w:tc>
          <w:tcPr>
            <w:tcW w:w="4820" w:type="dxa"/>
            <w:vAlign w:val="bottom"/>
          </w:tcPr>
          <w:p>
            <w:pPr>
              <w:ind w:left="400"/>
              <w:spacing w:after="0" w:line="166" w:lineRule="exact"/>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1,061</w:t>
            </w:r>
          </w:p>
        </w:tc>
        <w:tc>
          <w:tcPr>
            <w:tcW w:w="10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1,052</w:t>
            </w: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2,383</w:t>
            </w: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2,255</w:t>
            </w:r>
          </w:p>
        </w:tc>
        <w:tc>
          <w:tcPr>
            <w:tcW w:w="0" w:type="dxa"/>
            <w:vAlign w:val="bottom"/>
          </w:tcPr>
          <w:p>
            <w:pPr>
              <w:spacing w:after="0"/>
              <w:rPr>
                <w:sz w:val="1"/>
                <w:szCs w:val="1"/>
                <w:color w:val="auto"/>
              </w:rPr>
            </w:pPr>
          </w:p>
        </w:tc>
      </w:tr>
      <w:tr>
        <w:trPr>
          <w:trHeight w:val="166"/>
        </w:trPr>
        <w:tc>
          <w:tcPr>
            <w:tcW w:w="4820" w:type="dxa"/>
            <w:vAlign w:val="bottom"/>
          </w:tcPr>
          <w:p>
            <w:pPr>
              <w:ind w:left="180"/>
              <w:spacing w:after="0" w:line="166" w:lineRule="exact"/>
              <w:rPr>
                <w:sz w:val="20"/>
                <w:szCs w:val="20"/>
                <w:color w:val="auto"/>
              </w:rPr>
            </w:pPr>
            <w:r>
              <w:rPr>
                <w:rFonts w:ascii="Arial" w:cs="Arial" w:eastAsia="Arial" w:hAnsi="Arial"/>
                <w:sz w:val="16"/>
                <w:szCs w:val="16"/>
                <w:color w:val="auto"/>
              </w:rPr>
              <w:t>Total utilities revenues</w:t>
            </w:r>
          </w:p>
        </w:tc>
        <w:tc>
          <w:tcPr>
            <w:tcW w:w="1080" w:type="dxa"/>
            <w:vAlign w:val="bottom"/>
          </w:tcPr>
          <w:p>
            <w:pPr>
              <w:jc w:val="right"/>
              <w:ind w:right="927"/>
              <w:spacing w:after="0" w:line="167" w:lineRule="exact"/>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66" w:lineRule="exact"/>
              <w:rPr>
                <w:sz w:val="20"/>
                <w:szCs w:val="20"/>
                <w:color w:val="auto"/>
              </w:rPr>
            </w:pPr>
            <w:r>
              <w:rPr>
                <w:rFonts w:ascii="Arial" w:cs="Arial" w:eastAsia="Arial" w:hAnsi="Arial"/>
                <w:sz w:val="16"/>
                <w:szCs w:val="16"/>
                <w:color w:val="auto"/>
              </w:rPr>
              <w:t>2,370</w:t>
            </w:r>
          </w:p>
        </w:tc>
        <w:tc>
          <w:tcPr>
            <w:tcW w:w="1080" w:type="dxa"/>
            <w:vAlign w:val="bottom"/>
          </w:tcPr>
          <w:p>
            <w:pPr>
              <w:jc w:val="right"/>
              <w:ind w:right="926"/>
              <w:spacing w:after="0" w:line="167" w:lineRule="exact"/>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66" w:lineRule="exact"/>
              <w:rPr>
                <w:sz w:val="20"/>
                <w:szCs w:val="20"/>
                <w:color w:val="auto"/>
              </w:rPr>
            </w:pPr>
            <w:r>
              <w:rPr>
                <w:rFonts w:ascii="Arial" w:cs="Arial" w:eastAsia="Arial" w:hAnsi="Arial"/>
                <w:sz w:val="16"/>
                <w:szCs w:val="16"/>
                <w:color w:val="auto"/>
              </w:rPr>
              <w:t>2,332</w:t>
            </w:r>
          </w:p>
        </w:tc>
        <w:tc>
          <w:tcPr>
            <w:tcW w:w="360" w:type="dxa"/>
            <w:vAlign w:val="bottom"/>
          </w:tcPr>
          <w:p>
            <w:pPr>
              <w:jc w:val="right"/>
              <w:ind w:right="206"/>
              <w:spacing w:after="0" w:line="167" w:lineRule="exact"/>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66" w:lineRule="exact"/>
              <w:rPr>
                <w:sz w:val="20"/>
                <w:szCs w:val="20"/>
                <w:color w:val="auto"/>
              </w:rPr>
            </w:pPr>
            <w:r>
              <w:rPr>
                <w:rFonts w:ascii="Arial" w:cs="Arial" w:eastAsia="Arial" w:hAnsi="Arial"/>
                <w:sz w:val="16"/>
                <w:szCs w:val="16"/>
                <w:color w:val="auto"/>
              </w:rPr>
              <w:t>4,855</w:t>
            </w:r>
          </w:p>
        </w:tc>
        <w:tc>
          <w:tcPr>
            <w:tcW w:w="380" w:type="dxa"/>
            <w:vAlign w:val="bottom"/>
          </w:tcPr>
          <w:p>
            <w:pPr>
              <w:jc w:val="right"/>
              <w:ind w:right="200"/>
              <w:spacing w:after="0" w:line="166"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66" w:lineRule="exact"/>
              <w:rPr>
                <w:sz w:val="20"/>
                <w:szCs w:val="20"/>
                <w:color w:val="auto"/>
              </w:rPr>
            </w:pPr>
            <w:r>
              <w:rPr>
                <w:rFonts w:ascii="Arial" w:cs="Arial" w:eastAsia="Arial" w:hAnsi="Arial"/>
                <w:sz w:val="16"/>
                <w:szCs w:val="16"/>
                <w:color w:val="auto"/>
              </w:rPr>
              <w:t>4,666</w:t>
            </w:r>
          </w:p>
        </w:tc>
        <w:tc>
          <w:tcPr>
            <w:tcW w:w="0" w:type="dxa"/>
            <w:vAlign w:val="bottom"/>
          </w:tcPr>
          <w:p>
            <w:pPr>
              <w:spacing w:after="0"/>
              <w:rPr>
                <w:sz w:val="1"/>
                <w:szCs w:val="1"/>
                <w:color w:val="auto"/>
              </w:rPr>
            </w:pPr>
          </w:p>
        </w:tc>
      </w:tr>
      <w:tr>
        <w:trPr>
          <w:trHeight w:val="80"/>
        </w:trPr>
        <w:tc>
          <w:tcPr>
            <w:tcW w:w="4820" w:type="dxa"/>
            <w:vAlign w:val="bottom"/>
            <w:vMerge w:val="restart"/>
          </w:tcPr>
          <w:p>
            <w:pPr>
              <w:spacing w:after="0"/>
              <w:rPr>
                <w:sz w:val="20"/>
                <w:szCs w:val="20"/>
                <w:color w:val="auto"/>
              </w:rPr>
            </w:pPr>
            <w:r>
              <w:rPr>
                <w:rFonts w:ascii="Arial" w:cs="Arial" w:eastAsia="Arial" w:hAnsi="Arial"/>
                <w:sz w:val="16"/>
                <w:szCs w:val="16"/>
                <w:b w:val="1"/>
                <w:bCs w:val="1"/>
                <w:color w:val="auto"/>
              </w:rPr>
              <w:t>Cost of electric fuel and purchased power:</w:t>
            </w:r>
          </w:p>
        </w:tc>
        <w:tc>
          <w:tcPr>
            <w:tcW w:w="108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28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82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tcPr>
          <w:p>
            <w:pPr>
              <w:ind w:left="100"/>
              <w:spacing w:after="0" w:line="173" w:lineRule="exact"/>
              <w:rPr>
                <w:sz w:val="20"/>
                <w:szCs w:val="20"/>
                <w:color w:val="auto"/>
              </w:rPr>
            </w:pPr>
            <w:r>
              <w:rPr>
                <w:rFonts w:ascii="Arial" w:cs="Arial" w:eastAsia="Arial" w:hAnsi="Arial"/>
                <w:sz w:val="16"/>
                <w:szCs w:val="16"/>
                <w:color w:val="auto"/>
              </w:rPr>
              <w:t>SDG&amp;E</w:t>
            </w:r>
          </w:p>
        </w:tc>
        <w:tc>
          <w:tcPr>
            <w:tcW w:w="1080" w:type="dxa"/>
            <w:vAlign w:val="bottom"/>
          </w:tcPr>
          <w:p>
            <w:pPr>
              <w:jc w:val="right"/>
              <w:ind w:right="92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329</w:t>
            </w:r>
          </w:p>
        </w:tc>
        <w:tc>
          <w:tcPr>
            <w:tcW w:w="1080" w:type="dxa"/>
            <w:vAlign w:val="bottom"/>
          </w:tcPr>
          <w:p>
            <w:pPr>
              <w:jc w:val="right"/>
              <w:ind w:right="92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252</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595</w:t>
            </w:r>
          </w:p>
        </w:tc>
        <w:tc>
          <w:tcPr>
            <w:tcW w:w="380" w:type="dxa"/>
            <w:vAlign w:val="bottom"/>
          </w:tcPr>
          <w:p>
            <w:pPr>
              <w:jc w:val="right"/>
              <w:ind w:right="200"/>
              <w:spacing w:after="0" w:line="173"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11"/>
        </w:trPr>
        <w:tc>
          <w:tcPr>
            <w:tcW w:w="482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173"/>
        </w:trPr>
        <w:tc>
          <w:tcPr>
            <w:tcW w:w="4820" w:type="dxa"/>
            <w:vAlign w:val="bottom"/>
          </w:tcPr>
          <w:p>
            <w:pPr>
              <w:ind w:left="400"/>
              <w:spacing w:after="0" w:line="173" w:lineRule="exact"/>
              <w:rPr>
                <w:sz w:val="20"/>
                <w:szCs w:val="20"/>
                <w:color w:val="auto"/>
              </w:rPr>
            </w:pPr>
            <w:r>
              <w:rPr>
                <w:rFonts w:ascii="Arial" w:cs="Arial" w:eastAsia="Arial" w:hAnsi="Arial"/>
                <w:sz w:val="16"/>
                <w:szCs w:val="16"/>
                <w:color w:val="auto"/>
              </w:rPr>
              <w:t>Total</w:t>
            </w:r>
          </w:p>
        </w:tc>
        <w:tc>
          <w:tcPr>
            <w:tcW w:w="1080" w:type="dxa"/>
            <w:vAlign w:val="bottom"/>
          </w:tcPr>
          <w:p>
            <w:pPr>
              <w:jc w:val="right"/>
              <w:ind w:right="92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571</w:t>
            </w:r>
          </w:p>
        </w:tc>
        <w:tc>
          <w:tcPr>
            <w:tcW w:w="1080" w:type="dxa"/>
            <w:vAlign w:val="bottom"/>
          </w:tcPr>
          <w:p>
            <w:pPr>
              <w:jc w:val="right"/>
              <w:ind w:right="92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477</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1,081</w:t>
            </w:r>
          </w:p>
        </w:tc>
        <w:tc>
          <w:tcPr>
            <w:tcW w:w="380" w:type="dxa"/>
            <w:vAlign w:val="bottom"/>
          </w:tcPr>
          <w:p>
            <w:pPr>
              <w:jc w:val="right"/>
              <w:ind w:right="200"/>
              <w:spacing w:after="0" w:line="173"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80"/>
        </w:trPr>
        <w:tc>
          <w:tcPr>
            <w:tcW w:w="4820" w:type="dxa"/>
            <w:vAlign w:val="bottom"/>
            <w:vMerge w:val="restart"/>
          </w:tcPr>
          <w:p>
            <w:pPr>
              <w:spacing w:after="0"/>
              <w:rPr>
                <w:sz w:val="20"/>
                <w:szCs w:val="20"/>
                <w:color w:val="auto"/>
              </w:rPr>
            </w:pPr>
            <w:r>
              <w:rPr>
                <w:rFonts w:ascii="Arial" w:cs="Arial" w:eastAsia="Arial" w:hAnsi="Arial"/>
                <w:sz w:val="16"/>
                <w:szCs w:val="16"/>
                <w:b w:val="1"/>
                <w:bCs w:val="1"/>
                <w:color w:val="auto"/>
              </w:rPr>
              <w:t>Cost of natural gas:</w:t>
            </w:r>
          </w:p>
        </w:tc>
        <w:tc>
          <w:tcPr>
            <w:tcW w:w="108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28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82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tcPr>
          <w:p>
            <w:pPr>
              <w:ind w:left="100"/>
              <w:spacing w:after="0" w:line="173" w:lineRule="exact"/>
              <w:rPr>
                <w:sz w:val="20"/>
                <w:szCs w:val="20"/>
                <w:color w:val="auto"/>
              </w:rPr>
            </w:pPr>
            <w:r>
              <w:rPr>
                <w:rFonts w:ascii="Arial" w:cs="Arial" w:eastAsia="Arial" w:hAnsi="Arial"/>
                <w:sz w:val="16"/>
                <w:szCs w:val="16"/>
                <w:color w:val="auto"/>
              </w:rPr>
              <w:t>SoCalGas</w:t>
            </w:r>
          </w:p>
        </w:tc>
        <w:tc>
          <w:tcPr>
            <w:tcW w:w="1080" w:type="dxa"/>
            <w:vAlign w:val="bottom"/>
          </w:tcPr>
          <w:p>
            <w:pPr>
              <w:jc w:val="right"/>
              <w:ind w:right="92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321</w:t>
            </w:r>
          </w:p>
        </w:tc>
        <w:tc>
          <w:tcPr>
            <w:tcW w:w="1080" w:type="dxa"/>
            <w:vAlign w:val="bottom"/>
          </w:tcPr>
          <w:p>
            <w:pPr>
              <w:jc w:val="right"/>
              <w:ind w:right="92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303</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829</w:t>
            </w:r>
          </w:p>
        </w:tc>
        <w:tc>
          <w:tcPr>
            <w:tcW w:w="380" w:type="dxa"/>
            <w:vAlign w:val="bottom"/>
          </w:tcPr>
          <w:p>
            <w:pPr>
              <w:jc w:val="right"/>
              <w:ind w:right="200"/>
              <w:spacing w:after="0" w:line="173"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173"/>
        </w:trPr>
        <w:tc>
          <w:tcPr>
            <w:tcW w:w="4820" w:type="dxa"/>
            <w:vAlign w:val="bottom"/>
          </w:tcPr>
          <w:p>
            <w:pPr>
              <w:ind w:left="100"/>
              <w:spacing w:after="0" w:line="173" w:lineRule="exact"/>
              <w:rPr>
                <w:sz w:val="20"/>
                <w:szCs w:val="20"/>
                <w:color w:val="auto"/>
              </w:rPr>
            </w:pPr>
            <w:r>
              <w:rPr>
                <w:rFonts w:ascii="Arial" w:cs="Arial" w:eastAsia="Arial" w:hAnsi="Arial"/>
                <w:sz w:val="16"/>
                <w:szCs w:val="16"/>
                <w:color w:val="auto"/>
              </w:rPr>
              <w:t>SDG&amp;E</w:t>
            </w:r>
          </w:p>
        </w:tc>
        <w:tc>
          <w:tcPr>
            <w:tcW w:w="1080" w:type="dxa"/>
            <w:vAlign w:val="bottom"/>
          </w:tcPr>
          <w:p>
            <w:pPr>
              <w:spacing w:after="0"/>
              <w:rPr>
                <w:sz w:val="15"/>
                <w:szCs w:val="15"/>
                <w:color w:val="auto"/>
              </w:rPr>
            </w:pP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51</w:t>
            </w:r>
          </w:p>
        </w:tc>
        <w:tc>
          <w:tcPr>
            <w:tcW w:w="1080" w:type="dxa"/>
            <w:vAlign w:val="bottom"/>
          </w:tcPr>
          <w:p>
            <w:pPr>
              <w:spacing w:after="0"/>
              <w:rPr>
                <w:sz w:val="15"/>
                <w:szCs w:val="15"/>
                <w:color w:val="auto"/>
              </w:rPr>
            </w:pP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45</w:t>
            </w:r>
          </w:p>
        </w:tc>
        <w:tc>
          <w:tcPr>
            <w:tcW w:w="360" w:type="dxa"/>
            <w:vAlign w:val="bottom"/>
          </w:tcPr>
          <w:p>
            <w:pPr>
              <w:spacing w:after="0"/>
              <w:rPr>
                <w:sz w:val="15"/>
                <w:szCs w:val="15"/>
                <w:color w:val="auto"/>
              </w:rPr>
            </w:pP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126</w:t>
            </w:r>
          </w:p>
        </w:tc>
        <w:tc>
          <w:tcPr>
            <w:tcW w:w="38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73"/>
        </w:trPr>
        <w:tc>
          <w:tcPr>
            <w:tcW w:w="4820" w:type="dxa"/>
            <w:vAlign w:val="bottom"/>
          </w:tcPr>
          <w:p>
            <w:pPr>
              <w:ind w:left="100"/>
              <w:spacing w:after="0" w:line="173" w:lineRule="exact"/>
              <w:rPr>
                <w:sz w:val="20"/>
                <w:szCs w:val="20"/>
                <w:color w:val="auto"/>
              </w:rPr>
            </w:pPr>
            <w:r>
              <w:rPr>
                <w:rFonts w:ascii="Arial" w:cs="Arial" w:eastAsia="Arial" w:hAnsi="Arial"/>
                <w:sz w:val="16"/>
                <w:szCs w:val="16"/>
                <w:color w:val="auto"/>
              </w:rPr>
              <w:t>Sempra Mexico</w:t>
            </w:r>
          </w:p>
        </w:tc>
        <w:tc>
          <w:tcPr>
            <w:tcW w:w="1080" w:type="dxa"/>
            <w:vAlign w:val="bottom"/>
          </w:tcPr>
          <w:p>
            <w:pPr>
              <w:spacing w:after="0"/>
              <w:rPr>
                <w:sz w:val="15"/>
                <w:szCs w:val="15"/>
                <w:color w:val="auto"/>
              </w:rPr>
            </w:pP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18</w:t>
            </w:r>
          </w:p>
        </w:tc>
        <w:tc>
          <w:tcPr>
            <w:tcW w:w="1080" w:type="dxa"/>
            <w:vAlign w:val="bottom"/>
          </w:tcPr>
          <w:p>
            <w:pPr>
              <w:spacing w:after="0"/>
              <w:rPr>
                <w:sz w:val="15"/>
                <w:szCs w:val="15"/>
                <w:color w:val="auto"/>
              </w:rPr>
            </w:pP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16</w:t>
            </w:r>
          </w:p>
        </w:tc>
        <w:tc>
          <w:tcPr>
            <w:tcW w:w="360" w:type="dxa"/>
            <w:vAlign w:val="bottom"/>
          </w:tcPr>
          <w:p>
            <w:pPr>
              <w:spacing w:after="0"/>
              <w:rPr>
                <w:sz w:val="15"/>
                <w:szCs w:val="15"/>
                <w:color w:val="auto"/>
              </w:rPr>
            </w:pP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40</w:t>
            </w:r>
          </w:p>
        </w:tc>
        <w:tc>
          <w:tcPr>
            <w:tcW w:w="38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73"/>
        </w:trPr>
        <w:tc>
          <w:tcPr>
            <w:tcW w:w="4820" w:type="dxa"/>
            <w:vAlign w:val="bottom"/>
          </w:tcPr>
          <w:p>
            <w:pPr>
              <w:ind w:left="100"/>
              <w:spacing w:after="0" w:line="173" w:lineRule="exact"/>
              <w:rPr>
                <w:sz w:val="20"/>
                <w:szCs w:val="20"/>
                <w:color w:val="auto"/>
              </w:rPr>
            </w:pPr>
            <w:r>
              <w:rPr>
                <w:rFonts w:ascii="Arial" w:cs="Arial" w:eastAsia="Arial" w:hAnsi="Arial"/>
                <w:sz w:val="16"/>
                <w:szCs w:val="16"/>
                <w:color w:val="auto"/>
              </w:rPr>
              <w:t>Sempra Natural Gas</w:t>
            </w:r>
          </w:p>
        </w:tc>
        <w:tc>
          <w:tcPr>
            <w:tcW w:w="1080" w:type="dxa"/>
            <w:vAlign w:val="bottom"/>
          </w:tcPr>
          <w:p>
            <w:pPr>
              <w:spacing w:after="0"/>
              <w:rPr>
                <w:sz w:val="15"/>
                <w:szCs w:val="15"/>
                <w:color w:val="auto"/>
              </w:rPr>
            </w:pP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7</w:t>
            </w:r>
          </w:p>
        </w:tc>
        <w:tc>
          <w:tcPr>
            <w:tcW w:w="1080" w:type="dxa"/>
            <w:vAlign w:val="bottom"/>
          </w:tcPr>
          <w:p>
            <w:pPr>
              <w:spacing w:after="0"/>
              <w:rPr>
                <w:sz w:val="15"/>
                <w:szCs w:val="15"/>
                <w:color w:val="auto"/>
              </w:rPr>
            </w:pPr>
          </w:p>
        </w:tc>
        <w:tc>
          <w:tcPr>
            <w:tcW w:w="560" w:type="dxa"/>
            <w:vAlign w:val="bottom"/>
          </w:tcPr>
          <w:p>
            <w:pPr>
              <w:jc w:val="right"/>
              <w:spacing w:after="0" w:line="173" w:lineRule="exact"/>
              <w:rPr>
                <w:sz w:val="20"/>
                <w:szCs w:val="20"/>
                <w:color w:val="auto"/>
              </w:rPr>
            </w:pPr>
            <w:r>
              <w:rPr>
                <w:rFonts w:ascii="Arial" w:cs="Arial" w:eastAsia="Arial" w:hAnsi="Arial"/>
                <w:sz w:val="16"/>
                <w:szCs w:val="16"/>
                <w:color w:val="auto"/>
              </w:rPr>
              <w:t>6</w:t>
            </w:r>
          </w:p>
        </w:tc>
        <w:tc>
          <w:tcPr>
            <w:tcW w:w="360" w:type="dxa"/>
            <w:vAlign w:val="bottom"/>
          </w:tcPr>
          <w:p>
            <w:pPr>
              <w:spacing w:after="0"/>
              <w:rPr>
                <w:sz w:val="15"/>
                <w:szCs w:val="15"/>
                <w:color w:val="auto"/>
              </w:rPr>
            </w:pP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27</w:t>
            </w:r>
          </w:p>
        </w:tc>
        <w:tc>
          <w:tcPr>
            <w:tcW w:w="38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4"/>
        </w:trPr>
        <w:tc>
          <w:tcPr>
            <w:tcW w:w="482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10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66"/>
        </w:trPr>
        <w:tc>
          <w:tcPr>
            <w:tcW w:w="4820" w:type="dxa"/>
            <w:vAlign w:val="bottom"/>
          </w:tcPr>
          <w:p>
            <w:pPr>
              <w:ind w:left="400"/>
              <w:spacing w:after="0" w:line="166" w:lineRule="exact"/>
              <w:rPr>
                <w:sz w:val="20"/>
                <w:szCs w:val="20"/>
                <w:color w:val="auto"/>
              </w:rPr>
            </w:pPr>
            <w:r>
              <w:rPr>
                <w:rFonts w:ascii="Arial" w:cs="Arial" w:eastAsia="Arial" w:hAnsi="Arial"/>
                <w:sz w:val="16"/>
                <w:szCs w:val="16"/>
                <w:color w:val="auto"/>
              </w:rPr>
              <w:t>Total</w:t>
            </w:r>
          </w:p>
        </w:tc>
        <w:tc>
          <w:tcPr>
            <w:tcW w:w="1080" w:type="dxa"/>
            <w:vAlign w:val="bottom"/>
          </w:tcPr>
          <w:p>
            <w:pPr>
              <w:jc w:val="right"/>
              <w:ind w:right="927"/>
              <w:spacing w:after="0" w:line="167" w:lineRule="exact"/>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66" w:lineRule="exact"/>
              <w:rPr>
                <w:sz w:val="20"/>
                <w:szCs w:val="20"/>
                <w:color w:val="auto"/>
              </w:rPr>
            </w:pPr>
            <w:r>
              <w:rPr>
                <w:rFonts w:ascii="Arial" w:cs="Arial" w:eastAsia="Arial" w:hAnsi="Arial"/>
                <w:sz w:val="16"/>
                <w:szCs w:val="16"/>
                <w:color w:val="auto"/>
              </w:rPr>
              <w:t>395</w:t>
            </w:r>
          </w:p>
        </w:tc>
        <w:tc>
          <w:tcPr>
            <w:tcW w:w="1080" w:type="dxa"/>
            <w:vAlign w:val="bottom"/>
          </w:tcPr>
          <w:p>
            <w:pPr>
              <w:jc w:val="right"/>
              <w:ind w:right="926"/>
              <w:spacing w:after="0" w:line="167" w:lineRule="exact"/>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66" w:lineRule="exact"/>
              <w:rPr>
                <w:sz w:val="20"/>
                <w:szCs w:val="20"/>
                <w:color w:val="auto"/>
              </w:rPr>
            </w:pPr>
            <w:r>
              <w:rPr>
                <w:rFonts w:ascii="Arial" w:cs="Arial" w:eastAsia="Arial" w:hAnsi="Arial"/>
                <w:sz w:val="16"/>
                <w:szCs w:val="16"/>
                <w:color w:val="auto"/>
              </w:rPr>
              <w:t>365</w:t>
            </w:r>
          </w:p>
        </w:tc>
        <w:tc>
          <w:tcPr>
            <w:tcW w:w="360" w:type="dxa"/>
            <w:vAlign w:val="bottom"/>
          </w:tcPr>
          <w:p>
            <w:pPr>
              <w:jc w:val="right"/>
              <w:ind w:right="206"/>
              <w:spacing w:after="0" w:line="167" w:lineRule="exact"/>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66" w:lineRule="exact"/>
              <w:rPr>
                <w:sz w:val="20"/>
                <w:szCs w:val="20"/>
                <w:color w:val="auto"/>
              </w:rPr>
            </w:pPr>
            <w:r>
              <w:rPr>
                <w:rFonts w:ascii="Arial" w:cs="Arial" w:eastAsia="Arial" w:hAnsi="Arial"/>
                <w:sz w:val="16"/>
                <w:szCs w:val="16"/>
                <w:color w:val="auto"/>
              </w:rPr>
              <w:t>1,015</w:t>
            </w:r>
          </w:p>
        </w:tc>
        <w:tc>
          <w:tcPr>
            <w:tcW w:w="380" w:type="dxa"/>
            <w:vAlign w:val="bottom"/>
          </w:tcPr>
          <w:p>
            <w:pPr>
              <w:jc w:val="right"/>
              <w:ind w:right="200"/>
              <w:spacing w:after="0" w:line="166"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66" w:lineRule="exact"/>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80"/>
        </w:trPr>
        <w:tc>
          <w:tcPr>
            <w:tcW w:w="482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28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Energy Consolidated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Electric Revenues</w:t>
      </w:r>
    </w:p>
    <w:p>
      <w:pPr>
        <w:spacing w:after="0" w:line="213" w:lineRule="exact"/>
        <w:rPr>
          <w:sz w:val="20"/>
          <w:szCs w:val="20"/>
          <w:color w:val="auto"/>
        </w:rPr>
      </w:pPr>
    </w:p>
    <w:p>
      <w:pPr>
        <w:ind w:right="120"/>
        <w:spacing w:after="0" w:line="305" w:lineRule="auto"/>
        <w:rPr>
          <w:sz w:val="20"/>
          <w:szCs w:val="20"/>
          <w:color w:val="auto"/>
        </w:rPr>
      </w:pPr>
      <w:r>
        <w:rPr>
          <w:rFonts w:ascii="Times New Roman" w:cs="Times New Roman" w:eastAsia="Times New Roman" w:hAnsi="Times New Roman"/>
          <w:sz w:val="17"/>
          <w:szCs w:val="17"/>
          <w:color w:val="auto"/>
        </w:rPr>
        <w:t>During the three months ended June 30, 2014, our electric revenues increased by $29 million (2%) to $1.3 billion primarily due to $24 million at Sempra South American Utilities, mainly due to higher rates and volumes at both Luz del Sur and Chilquinta Energía, offset by foreign currency exchange rate effects.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Electric revenues also increased by $5 million at SDG&amp;E during the three-month period due to:</w:t>
      </w:r>
    </w:p>
    <w:p>
      <w:pPr>
        <w:spacing w:after="0" w:line="218" w:lineRule="exact"/>
        <w:rPr>
          <w:sz w:val="20"/>
          <w:szCs w:val="20"/>
          <w:color w:val="auto"/>
        </w:rPr>
      </w:pPr>
    </w:p>
    <w:p>
      <w:pPr>
        <w:ind w:left="320" w:hanging="172"/>
        <w:spacing w:after="0"/>
        <w:tabs>
          <w:tab w:leader="none" w:pos="3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$77 million increase in cost of electric fuel and purchased power, which we discuss below;</w:t>
      </w:r>
    </w:p>
    <w:p>
      <w:pPr>
        <w:spacing w:after="0" w:line="244" w:lineRule="exact"/>
        <w:rPr>
          <w:rFonts w:ascii="Times New Roman" w:cs="Times New Roman" w:eastAsia="Times New Roman" w:hAnsi="Times New Roman"/>
          <w:sz w:val="18"/>
          <w:szCs w:val="18"/>
          <w:b w:val="1"/>
          <w:bCs w:val="1"/>
          <w:color w:val="auto"/>
        </w:rPr>
      </w:pPr>
    </w:p>
    <w:p>
      <w:pPr>
        <w:ind w:left="320" w:hanging="172"/>
        <w:spacing w:after="0"/>
        <w:tabs>
          <w:tab w:leader="none" w:pos="3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 million higher authorized revenues from electric transmission; and</w:t>
      </w:r>
    </w:p>
    <w:p>
      <w:pPr>
        <w:spacing w:after="0" w:line="242" w:lineRule="exact"/>
        <w:rPr>
          <w:rFonts w:ascii="Times New Roman" w:cs="Times New Roman" w:eastAsia="Times New Roman" w:hAnsi="Times New Roman"/>
          <w:sz w:val="18"/>
          <w:szCs w:val="18"/>
          <w:b w:val="1"/>
          <w:bCs w:val="1"/>
          <w:color w:val="auto"/>
        </w:rPr>
      </w:pPr>
    </w:p>
    <w:p>
      <w:pPr>
        <w:ind w:left="320" w:hanging="172"/>
        <w:spacing w:after="0"/>
        <w:tabs>
          <w:tab w:leader="none" w:pos="3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$9 million increase in authorized revenues from 2014 attrition;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b w:val="1"/>
          <w:bCs w:val="1"/>
          <w:color w:val="auto"/>
        </w:rPr>
      </w:pPr>
    </w:p>
    <w:p>
      <w:pPr>
        <w:ind w:left="320" w:hanging="172"/>
        <w:spacing w:after="0" w:line="275" w:lineRule="auto"/>
        <w:tabs>
          <w:tab w:leader="none" w:pos="3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$78 million favorable impact on 2013 revenues from the retroactive application of the 2012 GRC decision, recorded in the second quarter of 2013, for the period from January 2012 through March 2013; and</w:t>
      </w:r>
    </w:p>
    <w:p>
      <w:pPr>
        <w:spacing w:after="0" w:line="190" w:lineRule="exact"/>
        <w:rPr>
          <w:rFonts w:ascii="Times New Roman" w:cs="Times New Roman" w:eastAsia="Times New Roman" w:hAnsi="Times New Roman"/>
          <w:sz w:val="18"/>
          <w:szCs w:val="18"/>
          <w:b w:val="1"/>
          <w:bCs w:val="1"/>
          <w:color w:val="auto"/>
        </w:rPr>
      </w:pPr>
    </w:p>
    <w:p>
      <w:pPr>
        <w:ind w:left="320" w:hanging="172"/>
        <w:spacing w:after="0" w:line="275" w:lineRule="auto"/>
        <w:tabs>
          <w:tab w:leader="none" w:pos="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lower recovery of costs associated with CPUC-authorized refundable programs, which revenues are fully offset in operation and maintenance expenses.</w:t>
      </w:r>
    </w:p>
    <w:p>
      <w:pPr>
        <w:spacing w:after="0" w:line="190" w:lineRule="exact"/>
        <w:rPr>
          <w:sz w:val="20"/>
          <w:szCs w:val="20"/>
          <w:color w:val="auto"/>
        </w:rPr>
      </w:pPr>
    </w:p>
    <w:p>
      <w:pPr>
        <w:ind w:right="1620"/>
        <w:spacing w:after="0" w:line="275" w:lineRule="auto"/>
        <w:rPr>
          <w:sz w:val="20"/>
          <w:szCs w:val="20"/>
          <w:color w:val="auto"/>
        </w:rPr>
      </w:pPr>
      <w:r>
        <w:rPr>
          <w:rFonts w:ascii="Times New Roman" w:cs="Times New Roman" w:eastAsia="Times New Roman" w:hAnsi="Times New Roman"/>
          <w:sz w:val="18"/>
          <w:szCs w:val="18"/>
          <w:color w:val="auto"/>
        </w:rPr>
        <w:t>Our utilities’ cost of electric fuel and purchased power increased by $94 million (20%) to $571 million in the three months ended June 30, 2014 due to:</w:t>
      </w:r>
    </w:p>
    <w:p>
      <w:pPr>
        <w:spacing w:after="0" w:line="1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$77 million increase at SDG&amp;E, which we discuss below; and</w:t>
      </w:r>
    </w:p>
    <w:p>
      <w:pPr>
        <w:sectPr>
          <w:pgSz w:w="11900" w:h="16838" w:orient="portrait"/>
          <w:cols w:equalWidth="0" w:num="1">
            <w:col w:w="11420"/>
          </w:cols>
          <w:pgMar w:left="240" w:top="354" w:right="239" w:bottom="0" w:gutter="0" w:footer="0" w:header="0"/>
        </w:sectPr>
      </w:pPr>
    </w:p>
    <w:bookmarkStart w:id="56" w:name="page57"/>
    <w:bookmarkEnd w:id="56"/>
    <w:p>
      <w:pPr>
        <w:ind w:left="320" w:right="20" w:hanging="172"/>
        <w:spacing w:after="0" w:line="275" w:lineRule="auto"/>
        <w:tabs>
          <w:tab w:leader="none" w:pos="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increase at our South American utilities driven primarily by higher rates and volumes at both Luz del Sur and Chilquinta Energía, offset by foreign currency exchange rate effects.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2014, our electric revenues increased by $61 million (3%) to $2.5 billion primarily due to:</w:t>
      </w:r>
    </w:p>
    <w:p>
      <w:pPr>
        <w:spacing w:after="0" w:line="218" w:lineRule="exact"/>
        <w:rPr>
          <w:sz w:val="20"/>
          <w:szCs w:val="20"/>
          <w:color w:val="auto"/>
        </w:rPr>
      </w:pPr>
    </w:p>
    <w:p>
      <w:pPr>
        <w:ind w:left="320" w:hanging="172"/>
        <w:spacing w:after="0"/>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$44 million increase at SDG&amp;E, which included</w:t>
      </w:r>
    </w:p>
    <w:p>
      <w:pPr>
        <w:spacing w:after="0" w:line="244" w:lineRule="exact"/>
        <w:rPr>
          <w:rFonts w:ascii="Times New Roman" w:cs="Times New Roman" w:eastAsia="Times New Roman" w:hAnsi="Times New Roman"/>
          <w:sz w:val="18"/>
          <w:szCs w:val="18"/>
          <w:color w:val="auto"/>
        </w:rPr>
      </w:pPr>
    </w:p>
    <w:p>
      <w:pPr>
        <w:ind w:left="480" w:hanging="191"/>
        <w:spacing w:after="0"/>
        <w:tabs>
          <w:tab w:leader="none" w:pos="480"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$134 million increase in cost of electric fuel and purchased power, which we discuss below,</w:t>
      </w:r>
    </w:p>
    <w:p>
      <w:pPr>
        <w:spacing w:after="0" w:line="244" w:lineRule="exact"/>
        <w:rPr>
          <w:rFonts w:ascii="Times New Roman" w:cs="Times New Roman" w:eastAsia="Times New Roman" w:hAnsi="Times New Roman"/>
          <w:sz w:val="18"/>
          <w:szCs w:val="18"/>
          <w:b w:val="1"/>
          <w:bCs w:val="1"/>
          <w:color w:val="auto"/>
        </w:rPr>
      </w:pPr>
    </w:p>
    <w:p>
      <w:pPr>
        <w:ind w:left="480" w:hanging="191"/>
        <w:spacing w:after="0"/>
        <w:tabs>
          <w:tab w:leader="none" w:pos="480"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million increase in authorized revenues from 2014 attrition, and</w:t>
      </w:r>
    </w:p>
    <w:p>
      <w:pPr>
        <w:spacing w:after="0" w:line="242" w:lineRule="exact"/>
        <w:rPr>
          <w:rFonts w:ascii="Times New Roman" w:cs="Times New Roman" w:eastAsia="Times New Roman" w:hAnsi="Times New Roman"/>
          <w:sz w:val="18"/>
          <w:szCs w:val="18"/>
          <w:b w:val="1"/>
          <w:bCs w:val="1"/>
          <w:color w:val="auto"/>
        </w:rPr>
      </w:pPr>
    </w:p>
    <w:p>
      <w:pPr>
        <w:ind w:left="480" w:hanging="191"/>
        <w:spacing w:after="0"/>
        <w:tabs>
          <w:tab w:leader="none" w:pos="480"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$11 million higher authorized revenues from electric transmission, </w:t>
      </w:r>
      <w:r>
        <w:rPr>
          <w:rFonts w:ascii="Times New Roman" w:cs="Times New Roman" w:eastAsia="Times New Roman" w:hAnsi="Times New Roman"/>
          <w:sz w:val="18"/>
          <w:szCs w:val="18"/>
          <w:i w:val="1"/>
          <w:iCs w:val="1"/>
          <w:color w:val="auto"/>
        </w:rPr>
        <w:t>offset by</w:t>
      </w:r>
    </w:p>
    <w:p>
      <w:pPr>
        <w:spacing w:after="0" w:line="246" w:lineRule="exact"/>
        <w:rPr>
          <w:rFonts w:ascii="Times New Roman" w:cs="Times New Roman" w:eastAsia="Times New Roman" w:hAnsi="Times New Roman"/>
          <w:sz w:val="18"/>
          <w:szCs w:val="18"/>
          <w:b w:val="1"/>
          <w:bCs w:val="1"/>
          <w:color w:val="auto"/>
        </w:rPr>
      </w:pPr>
    </w:p>
    <w:p>
      <w:pPr>
        <w:ind w:left="480" w:hanging="191"/>
        <w:spacing w:after="0" w:line="275" w:lineRule="auto"/>
        <w:tabs>
          <w:tab w:leader="none" w:pos="4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million favorable impact on 2013 revenues from the retroactive application of the 2012 GRC decision for the period from January 2012 through December 2012,</w:t>
      </w:r>
    </w:p>
    <w:p>
      <w:pPr>
        <w:spacing w:after="0" w:line="190" w:lineRule="exact"/>
        <w:rPr>
          <w:rFonts w:ascii="Times New Roman" w:cs="Times New Roman" w:eastAsia="Times New Roman" w:hAnsi="Times New Roman"/>
          <w:sz w:val="18"/>
          <w:szCs w:val="18"/>
          <w:color w:val="auto"/>
        </w:rPr>
      </w:pPr>
    </w:p>
    <w:p>
      <w:pPr>
        <w:ind w:left="480" w:hanging="191"/>
        <w:spacing w:after="0" w:line="275" w:lineRule="auto"/>
        <w:tabs>
          <w:tab w:leader="none" w:pos="4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million lower recovery of costs associated with CPUC-authorized refundable programs, which revenues are fully offset in operation and maintenance expenses, and</w:t>
      </w:r>
    </w:p>
    <w:p>
      <w:pPr>
        <w:spacing w:after="0" w:line="190" w:lineRule="exact"/>
        <w:rPr>
          <w:rFonts w:ascii="Times New Roman" w:cs="Times New Roman" w:eastAsia="Times New Roman" w:hAnsi="Times New Roman"/>
          <w:sz w:val="18"/>
          <w:szCs w:val="18"/>
          <w:color w:val="auto"/>
        </w:rPr>
      </w:pPr>
    </w:p>
    <w:p>
      <w:pPr>
        <w:ind w:left="480" w:hanging="191"/>
        <w:spacing w:after="0"/>
        <w:tabs>
          <w:tab w:leader="none" w:pos="4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loss of revenue from SONGS due to the early closure of the plant in the second quarter of 2013; and</w:t>
      </w:r>
    </w:p>
    <w:p>
      <w:pPr>
        <w:spacing w:after="0" w:line="244"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increase at Sempra South American Utilities, primarily due to higher rates and volumes at both Luz del Sur and Chilquinta Energía, offset by foreign currency exchange rate effects.</w:t>
      </w:r>
    </w:p>
    <w:p>
      <w:pPr>
        <w:spacing w:after="0" w:line="190" w:lineRule="exact"/>
        <w:rPr>
          <w:sz w:val="20"/>
          <w:szCs w:val="20"/>
          <w:color w:val="auto"/>
        </w:rPr>
      </w:pPr>
    </w:p>
    <w:p>
      <w:pPr>
        <w:ind w:right="1360"/>
        <w:spacing w:after="0" w:line="275" w:lineRule="auto"/>
        <w:rPr>
          <w:sz w:val="20"/>
          <w:szCs w:val="20"/>
          <w:color w:val="auto"/>
        </w:rPr>
      </w:pPr>
      <w:r>
        <w:rPr>
          <w:rFonts w:ascii="Times New Roman" w:cs="Times New Roman" w:eastAsia="Times New Roman" w:hAnsi="Times New Roman"/>
          <w:sz w:val="18"/>
          <w:szCs w:val="18"/>
          <w:color w:val="auto"/>
        </w:rPr>
        <w:t>Our utilities’ cost of electric fuel and purchased power increased by $157 million (17%) to $1.1 billion in the six months ended June 30, 2014 due to:</w:t>
      </w:r>
    </w:p>
    <w:p>
      <w:pPr>
        <w:spacing w:after="0" w:line="164" w:lineRule="exact"/>
        <w:rPr>
          <w:sz w:val="20"/>
          <w:szCs w:val="20"/>
          <w:color w:val="auto"/>
        </w:rPr>
      </w:pPr>
    </w:p>
    <w:p>
      <w:pPr>
        <w:ind w:left="320" w:hanging="17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 million increase at SDG&amp;E, which we discuss below; and</w:t>
      </w:r>
    </w:p>
    <w:p>
      <w:pPr>
        <w:spacing w:after="0" w:line="244" w:lineRule="exact"/>
        <w:rPr>
          <w:rFonts w:ascii="Times New Roman" w:cs="Times New Roman" w:eastAsia="Times New Roman" w:hAnsi="Times New Roman"/>
          <w:sz w:val="18"/>
          <w:szCs w:val="18"/>
          <w:color w:val="auto"/>
        </w:rPr>
      </w:pPr>
    </w:p>
    <w:p>
      <w:pPr>
        <w:ind w:left="320" w:right="20" w:hanging="172"/>
        <w:spacing w:after="0" w:line="275" w:lineRule="auto"/>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increase at our South American utilities driven primarily by higher rates and volumes at both Luz del Sur and Chilquinta Energía, offset by foreign currency exchange rate effects.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discuss the changes in electric revenues and the cost of electric fuel and purchased power for SDG&amp;E in more detail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Natural Gas Revenues</w:t>
      </w:r>
    </w:p>
    <w:p>
      <w:pPr>
        <w:spacing w:after="0" w:line="213"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During the three months ended June 30, 2014, Sempra Energy’s natural gas revenues increased by $9 million (1%), remaining at $1.1 billion, and the cost of natural gas increased by $30 million (8%) to $395 million. The increase in natural gas revenues included</w:t>
      </w:r>
    </w:p>
    <w:p>
      <w:pPr>
        <w:spacing w:after="0" w:line="164" w:lineRule="exact"/>
        <w:rPr>
          <w:sz w:val="20"/>
          <w:szCs w:val="20"/>
          <w:color w:val="auto"/>
        </w:rPr>
      </w:pPr>
    </w:p>
    <w:p>
      <w:pPr>
        <w:ind w:left="320" w:hanging="172"/>
        <w:spacing w:after="0"/>
        <w:tabs>
          <w:tab w:leader="none" w:pos="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 of natural gas sold at SoCalGas and SDG&amp;E, as we discuss below;</w:t>
      </w:r>
    </w:p>
    <w:p>
      <w:pPr>
        <w:spacing w:after="0" w:line="244"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higher recovery of costs at SoCalGas associated with CPUC-authorized refundable programs, which revenues are fully offset in operation and maintenance expenses; and</w:t>
      </w:r>
    </w:p>
    <w:p>
      <w:pPr>
        <w:spacing w:after="0" w:line="188"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 million increase in authorized revenues from 2014 attrition at SoCalGas;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million favorable impact on 2013 revenues from the retroactive application of the 2012 GRC decision, recorded in the second quarter of 2013, for the period from January 2012 through March 2013.</w:t>
      </w:r>
    </w:p>
    <w:p>
      <w:pPr>
        <w:spacing w:after="0" w:line="19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During the first six months of 2014, Sempra Energy’s natural gas revenues increased by $128 million (6%) to $2.4 billion, and the cost of natural gas increased by $94 million (10%) to $1.0 billion. The increase in natural gas revenues included</w:t>
      </w:r>
    </w:p>
    <w:p>
      <w:pPr>
        <w:spacing w:after="0" w:line="164" w:lineRule="exact"/>
        <w:rPr>
          <w:sz w:val="20"/>
          <w:szCs w:val="20"/>
          <w:color w:val="auto"/>
        </w:rPr>
      </w:pPr>
    </w:p>
    <w:p>
      <w:pPr>
        <w:ind w:left="320" w:hanging="172"/>
        <w:spacing w:after="0"/>
        <w:tabs>
          <w:tab w:leader="none" w:pos="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 of natural gas sold at SoCalGas and SDG&amp;E, as we discuss below;</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$30 million increase in authorized revenues from 2014 attrition at the California Utilities; and</w:t>
      </w:r>
    </w:p>
    <w:p>
      <w:pPr>
        <w:spacing w:after="0" w:line="244" w:lineRule="exact"/>
        <w:rPr>
          <w:rFonts w:ascii="Times New Roman" w:cs="Times New Roman" w:eastAsia="Times New Roman" w:hAnsi="Times New Roman"/>
          <w:sz w:val="18"/>
          <w:szCs w:val="18"/>
          <w:b w:val="1"/>
          <w:bCs w:val="1"/>
          <w:color w:val="auto"/>
        </w:rPr>
      </w:pPr>
    </w:p>
    <w:p>
      <w:pPr>
        <w:ind w:left="320" w:hanging="172"/>
        <w:spacing w:after="0" w:line="275" w:lineRule="auto"/>
        <w:tabs>
          <w:tab w:leader="none" w:pos="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$28 million higher recovery of costs at SoCalGas associated with CPUC-authorized refundable programs, which revenues are fully offset in operation and maintenance expenses; </w:t>
      </w:r>
      <w:r>
        <w:rPr>
          <w:rFonts w:ascii="Times New Roman" w:cs="Times New Roman" w:eastAsia="Times New Roman" w:hAnsi="Times New Roman"/>
          <w:sz w:val="18"/>
          <w:szCs w:val="18"/>
          <w:b w:val="1"/>
          <w:bCs w:val="1"/>
          <w:color w:val="auto"/>
        </w:rPr>
        <w:t>offset by</w:t>
      </w:r>
    </w:p>
    <w:p>
      <w:pPr>
        <w:spacing w:after="0" w:line="190"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favorable impact on 2013 revenues from the retroactive application of the 2012 GRC decision, recorded in the second quarter of 2013, for the period from January 2012 through December 2012.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discuss the changes in natural gas revenues and the cost of natural gas individually for SDG&amp;E and SoCalGas below.</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SDG&amp;E: Electric Revenues and Cost of Electric Fuel and Purchased Power</w:t>
      </w:r>
    </w:p>
    <w:p>
      <w:pPr>
        <w:spacing w:after="0" w:line="21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table below shows electric revenues for SDG&amp;E for the six-month periods ended June 30, 2014 and 2013. Because the cost of electricity is substantially recovered in rates, changes in the cost are reflected in the changes in revenues. In addition to the change in cost, electric revenues recorded during a period are impacted by customer billing cycles causing a difference between customer billings and recorded or authorized costs. These differences are required to be balanced over time, resulting in over- and undercollected regulatory balancing accounts. We discuss balancing accounts and their effects further in Note 1 of the Notes to Consolidated Financial Statements in the Annual Report.</w:t>
      </w:r>
    </w:p>
    <w:p>
      <w:pPr>
        <w:sectPr>
          <w:pgSz w:w="11900" w:h="16838" w:orient="portrait"/>
          <w:cols w:equalWidth="0" w:num="1">
            <w:col w:w="11420"/>
          </w:cols>
          <w:pgMar w:left="240" w:top="360" w:right="239" w:bottom="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ELECTRIC DISTRIBUTION AND TRANSMISSION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00" w:type="dxa"/>
            <w:vAlign w:val="bottom"/>
          </w:tcPr>
          <w:p>
            <w:pPr>
              <w:spacing w:after="0"/>
              <w:rPr>
                <w:sz w:val="20"/>
                <w:szCs w:val="20"/>
                <w:color w:val="auto"/>
              </w:rPr>
            </w:pPr>
            <w:r>
              <w:rPr>
                <w:rFonts w:ascii="Arial" w:cs="Arial" w:eastAsia="Arial" w:hAnsi="Arial"/>
                <w:sz w:val="14"/>
                <w:szCs w:val="14"/>
                <w:i w:val="1"/>
                <w:iCs w:val="1"/>
                <w:color w:val="auto"/>
              </w:rPr>
              <w:t>(Volumes in millions of kilowatt-hours, dollars in millions)</w:t>
            </w:r>
          </w:p>
        </w:tc>
        <w:tc>
          <w:tcPr>
            <w:tcW w:w="2340" w:type="dxa"/>
            <w:vAlign w:val="bottom"/>
            <w:gridSpan w:val="3"/>
            <w:vMerge w:val="restart"/>
          </w:tcPr>
          <w:p>
            <w:pPr>
              <w:jc w:val="center"/>
              <w:ind w:left="364"/>
              <w:spacing w:after="0"/>
              <w:rPr>
                <w:sz w:val="20"/>
                <w:szCs w:val="20"/>
                <w:color w:val="auto"/>
              </w:rPr>
            </w:pPr>
            <w:r>
              <w:rPr>
                <w:rFonts w:ascii="Arial" w:cs="Arial" w:eastAsia="Arial" w:hAnsi="Arial"/>
                <w:sz w:val="14"/>
                <w:szCs w:val="14"/>
                <w:color w:val="auto"/>
              </w:rPr>
              <w:t>Six months ended</w:t>
            </w:r>
          </w:p>
        </w:tc>
        <w:tc>
          <w:tcPr>
            <w:tcW w:w="460" w:type="dxa"/>
            <w:vAlign w:val="bottom"/>
          </w:tcPr>
          <w:p>
            <w:pPr>
              <w:spacing w:after="0"/>
              <w:rPr>
                <w:sz w:val="16"/>
                <w:szCs w:val="16"/>
                <w:color w:val="auto"/>
              </w:rPr>
            </w:pPr>
          </w:p>
        </w:tc>
        <w:tc>
          <w:tcPr>
            <w:tcW w:w="2820" w:type="dxa"/>
            <w:vAlign w:val="bottom"/>
            <w:gridSpan w:val="3"/>
            <w:vMerge w:val="restart"/>
          </w:tcPr>
          <w:p>
            <w:pPr>
              <w:jc w:val="right"/>
              <w:ind w:right="762"/>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13"/>
        </w:trPr>
        <w:tc>
          <w:tcPr>
            <w:tcW w:w="5800" w:type="dxa"/>
            <w:vAlign w:val="bottom"/>
          </w:tcPr>
          <w:p>
            <w:pPr>
              <w:spacing w:after="0"/>
              <w:rPr>
                <w:sz w:val="9"/>
                <w:szCs w:val="9"/>
                <w:color w:val="auto"/>
              </w:rPr>
            </w:pPr>
          </w:p>
        </w:tc>
        <w:tc>
          <w:tcPr>
            <w:tcW w:w="234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2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5800" w:type="dxa"/>
            <w:vAlign w:val="bottom"/>
            <w:vMerge w:val="restart"/>
          </w:tcPr>
          <w:p>
            <w:pPr>
              <w:spacing w:after="0"/>
              <w:rPr>
                <w:sz w:val="20"/>
                <w:szCs w:val="20"/>
                <w:color w:val="auto"/>
              </w:rPr>
            </w:pPr>
            <w:r>
              <w:rPr>
                <w:rFonts w:ascii="Arial" w:cs="Arial" w:eastAsia="Arial" w:hAnsi="Arial"/>
                <w:sz w:val="14"/>
                <w:szCs w:val="14"/>
                <w:color w:val="auto"/>
              </w:rPr>
              <w:t>Customer class</w:t>
            </w:r>
          </w:p>
        </w:tc>
        <w:tc>
          <w:tcPr>
            <w:tcW w:w="2340" w:type="dxa"/>
            <w:vAlign w:val="bottom"/>
            <w:tcBorders>
              <w:bottom w:val="single" w:sz="8" w:color="auto"/>
            </w:tcBorders>
            <w:gridSpan w:val="3"/>
          </w:tcPr>
          <w:p>
            <w:pPr>
              <w:jc w:val="center"/>
              <w:ind w:left="364"/>
              <w:spacing w:after="0"/>
              <w:rPr>
                <w:sz w:val="20"/>
                <w:szCs w:val="20"/>
                <w:color w:val="auto"/>
              </w:rPr>
            </w:pPr>
            <w:r>
              <w:rPr>
                <w:rFonts w:ascii="Arial" w:cs="Arial" w:eastAsia="Arial" w:hAnsi="Arial"/>
                <w:sz w:val="14"/>
                <w:szCs w:val="14"/>
                <w:color w:val="auto"/>
              </w:rPr>
              <w:t>June 30, 2014</w:t>
            </w:r>
          </w:p>
        </w:tc>
        <w:tc>
          <w:tcPr>
            <w:tcW w:w="4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3"/>
          </w:tcPr>
          <w:p>
            <w:pPr>
              <w:jc w:val="right"/>
              <w:ind w:right="882"/>
              <w:spacing w:after="0"/>
              <w:rPr>
                <w:sz w:val="20"/>
                <w:szCs w:val="20"/>
                <w:color w:val="auto"/>
              </w:rPr>
            </w:pPr>
            <w:r>
              <w:rPr>
                <w:rFonts w:ascii="Arial" w:cs="Arial" w:eastAsia="Arial" w:hAnsi="Arial"/>
                <w:sz w:val="14"/>
                <w:szCs w:val="14"/>
                <w:color w:val="auto"/>
              </w:rPr>
              <w:t>June 30, 2013</w:t>
            </w:r>
          </w:p>
        </w:tc>
        <w:tc>
          <w:tcPr>
            <w:tcW w:w="0" w:type="dxa"/>
            <w:vAlign w:val="bottom"/>
          </w:tcPr>
          <w:p>
            <w:pPr>
              <w:spacing w:after="0"/>
              <w:rPr>
                <w:sz w:val="1"/>
                <w:szCs w:val="1"/>
                <w:color w:val="auto"/>
              </w:rPr>
            </w:pPr>
          </w:p>
        </w:tc>
      </w:tr>
      <w:tr>
        <w:trPr>
          <w:trHeight w:val="166"/>
        </w:trPr>
        <w:tc>
          <w:tcPr>
            <w:tcW w:w="580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tcPr>
          <w:p>
            <w:pPr>
              <w:jc w:val="right"/>
              <w:ind w:right="304"/>
              <w:spacing w:after="0" w:line="159" w:lineRule="exact"/>
              <w:rPr>
                <w:sz w:val="20"/>
                <w:szCs w:val="20"/>
                <w:color w:val="auto"/>
              </w:rPr>
            </w:pPr>
            <w:r>
              <w:rPr>
                <w:rFonts w:ascii="Arial" w:cs="Arial" w:eastAsia="Arial" w:hAnsi="Arial"/>
                <w:sz w:val="14"/>
                <w:szCs w:val="14"/>
                <w:color w:val="auto"/>
              </w:rPr>
              <w:t>Volumes</w:t>
            </w: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440"/>
              <w:spacing w:after="0" w:line="159" w:lineRule="exact"/>
              <w:rPr>
                <w:sz w:val="20"/>
                <w:szCs w:val="20"/>
                <w:color w:val="auto"/>
              </w:rPr>
            </w:pPr>
            <w:r>
              <w:rPr>
                <w:rFonts w:ascii="Arial" w:cs="Arial" w:eastAsia="Arial" w:hAnsi="Arial"/>
                <w:sz w:val="14"/>
                <w:szCs w:val="14"/>
                <w:color w:val="auto"/>
                <w:w w:val="99"/>
              </w:rPr>
              <w:t>Revenue</w:t>
            </w:r>
          </w:p>
        </w:tc>
        <w:tc>
          <w:tcPr>
            <w:tcW w:w="4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44"/>
              <w:spacing w:after="0" w:line="159" w:lineRule="exact"/>
              <w:rPr>
                <w:sz w:val="20"/>
                <w:szCs w:val="20"/>
                <w:color w:val="auto"/>
              </w:rPr>
            </w:pPr>
            <w:r>
              <w:rPr>
                <w:rFonts w:ascii="Arial" w:cs="Arial" w:eastAsia="Arial" w:hAnsi="Arial"/>
                <w:sz w:val="14"/>
                <w:szCs w:val="14"/>
                <w:color w:val="auto"/>
              </w:rPr>
              <w:t>Volumes</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02"/>
              <w:spacing w:after="0" w:line="159" w:lineRule="exact"/>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41"/>
        </w:trPr>
        <w:tc>
          <w:tcPr>
            <w:tcW w:w="5800" w:type="dxa"/>
            <w:vAlign w:val="bottom"/>
          </w:tcPr>
          <w:p>
            <w:pPr>
              <w:spacing w:after="0" w:line="142" w:lineRule="exact"/>
              <w:rPr>
                <w:sz w:val="20"/>
                <w:szCs w:val="20"/>
                <w:color w:val="auto"/>
              </w:rPr>
            </w:pPr>
            <w:r>
              <w:rPr>
                <w:rFonts w:ascii="Arial" w:cs="Arial" w:eastAsia="Arial" w:hAnsi="Arial"/>
                <w:sz w:val="16"/>
                <w:szCs w:val="16"/>
                <w:color w:val="auto"/>
              </w:rPr>
              <w:t>Residential</w:t>
            </w:r>
          </w:p>
        </w:tc>
        <w:tc>
          <w:tcPr>
            <w:tcW w:w="1300" w:type="dxa"/>
            <w:vAlign w:val="bottom"/>
          </w:tcPr>
          <w:p>
            <w:pPr>
              <w:jc w:val="right"/>
              <w:spacing w:after="0" w:line="142" w:lineRule="exact"/>
              <w:rPr>
                <w:sz w:val="20"/>
                <w:szCs w:val="20"/>
                <w:color w:val="auto"/>
              </w:rPr>
            </w:pPr>
            <w:r>
              <w:rPr>
                <w:rFonts w:ascii="Arial" w:cs="Arial" w:eastAsia="Arial" w:hAnsi="Arial"/>
                <w:sz w:val="16"/>
                <w:szCs w:val="16"/>
                <w:color w:val="auto"/>
              </w:rPr>
              <w:t>3,383</w:t>
            </w:r>
          </w:p>
        </w:tc>
        <w:tc>
          <w:tcPr>
            <w:tcW w:w="1040" w:type="dxa"/>
            <w:vAlign w:val="bottom"/>
            <w:gridSpan w:val="2"/>
          </w:tcPr>
          <w:p>
            <w:pPr>
              <w:jc w:val="center"/>
              <w:ind w:right="825"/>
              <w:spacing w:after="0" w:line="142"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42" w:lineRule="exact"/>
              <w:rPr>
                <w:sz w:val="20"/>
                <w:szCs w:val="20"/>
                <w:color w:val="auto"/>
              </w:rPr>
            </w:pPr>
            <w:r>
              <w:rPr>
                <w:rFonts w:ascii="Arial" w:cs="Arial" w:eastAsia="Arial" w:hAnsi="Arial"/>
                <w:sz w:val="16"/>
                <w:szCs w:val="16"/>
                <w:color w:val="auto"/>
              </w:rPr>
              <w:t>581</w:t>
            </w:r>
          </w:p>
        </w:tc>
        <w:tc>
          <w:tcPr>
            <w:tcW w:w="1340" w:type="dxa"/>
            <w:vAlign w:val="bottom"/>
          </w:tcPr>
          <w:p>
            <w:pPr>
              <w:jc w:val="right"/>
              <w:spacing w:after="0" w:line="142" w:lineRule="exact"/>
              <w:rPr>
                <w:sz w:val="20"/>
                <w:szCs w:val="20"/>
                <w:color w:val="auto"/>
              </w:rPr>
            </w:pPr>
            <w:r>
              <w:rPr>
                <w:rFonts w:ascii="Arial" w:cs="Arial" w:eastAsia="Arial" w:hAnsi="Arial"/>
                <w:sz w:val="16"/>
                <w:szCs w:val="16"/>
                <w:color w:val="auto"/>
              </w:rPr>
              <w:t>3,595</w:t>
            </w:r>
          </w:p>
        </w:tc>
        <w:tc>
          <w:tcPr>
            <w:tcW w:w="260" w:type="dxa"/>
            <w:vAlign w:val="bottom"/>
          </w:tcPr>
          <w:p>
            <w:pPr>
              <w:jc w:val="right"/>
              <w:ind w:right="106"/>
              <w:spacing w:after="0" w:line="141" w:lineRule="exact"/>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42" w:lineRule="exact"/>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173"/>
        </w:trPr>
        <w:tc>
          <w:tcPr>
            <w:tcW w:w="5800" w:type="dxa"/>
            <w:vAlign w:val="bottom"/>
          </w:tcPr>
          <w:p>
            <w:pPr>
              <w:spacing w:after="0" w:line="173" w:lineRule="exact"/>
              <w:rPr>
                <w:sz w:val="20"/>
                <w:szCs w:val="20"/>
                <w:color w:val="auto"/>
              </w:rPr>
            </w:pPr>
            <w:r>
              <w:rPr>
                <w:rFonts w:ascii="Arial" w:cs="Arial" w:eastAsia="Arial" w:hAnsi="Arial"/>
                <w:sz w:val="16"/>
                <w:szCs w:val="16"/>
                <w:color w:val="auto"/>
              </w:rPr>
              <w:t>Commercial</w:t>
            </w: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3,311</w:t>
            </w: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jc w:val="right"/>
              <w:spacing w:after="0" w:line="173" w:lineRule="exact"/>
              <w:rPr>
                <w:sz w:val="20"/>
                <w:szCs w:val="20"/>
                <w:color w:val="auto"/>
              </w:rPr>
            </w:pPr>
            <w:r>
              <w:rPr>
                <w:rFonts w:ascii="Arial" w:cs="Arial" w:eastAsia="Arial" w:hAnsi="Arial"/>
                <w:sz w:val="16"/>
                <w:szCs w:val="16"/>
                <w:color w:val="auto"/>
              </w:rPr>
              <w:t>606</w:t>
            </w:r>
          </w:p>
        </w:tc>
        <w:tc>
          <w:tcPr>
            <w:tcW w:w="1340" w:type="dxa"/>
            <w:vAlign w:val="bottom"/>
          </w:tcPr>
          <w:p>
            <w:pPr>
              <w:jc w:val="right"/>
              <w:spacing w:after="0" w:line="173" w:lineRule="exact"/>
              <w:rPr>
                <w:sz w:val="20"/>
                <w:szCs w:val="20"/>
                <w:color w:val="auto"/>
              </w:rPr>
            </w:pPr>
            <w:r>
              <w:rPr>
                <w:rFonts w:ascii="Arial" w:cs="Arial" w:eastAsia="Arial" w:hAnsi="Arial"/>
                <w:sz w:val="16"/>
                <w:szCs w:val="16"/>
                <w:color w:val="auto"/>
              </w:rPr>
              <w:t>3,239</w:t>
            </w:r>
          </w:p>
        </w:tc>
        <w:tc>
          <w:tcPr>
            <w:tcW w:w="260" w:type="dxa"/>
            <w:vAlign w:val="bottom"/>
          </w:tcPr>
          <w:p>
            <w:pPr>
              <w:spacing w:after="0"/>
              <w:rPr>
                <w:sz w:val="15"/>
                <w:szCs w:val="15"/>
                <w:color w:val="auto"/>
              </w:rPr>
            </w:pPr>
          </w:p>
        </w:tc>
        <w:tc>
          <w:tcPr>
            <w:tcW w:w="1220" w:type="dxa"/>
            <w:vAlign w:val="bottom"/>
          </w:tcPr>
          <w:p>
            <w:pPr>
              <w:jc w:val="right"/>
              <w:spacing w:after="0" w:line="173" w:lineRule="exact"/>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173"/>
        </w:trPr>
        <w:tc>
          <w:tcPr>
            <w:tcW w:w="5800" w:type="dxa"/>
            <w:vAlign w:val="bottom"/>
          </w:tcPr>
          <w:p>
            <w:pPr>
              <w:spacing w:after="0" w:line="173" w:lineRule="exact"/>
              <w:rPr>
                <w:sz w:val="20"/>
                <w:szCs w:val="20"/>
                <w:color w:val="auto"/>
              </w:rPr>
            </w:pPr>
            <w:r>
              <w:rPr>
                <w:rFonts w:ascii="Arial" w:cs="Arial" w:eastAsia="Arial" w:hAnsi="Arial"/>
                <w:sz w:val="16"/>
                <w:szCs w:val="16"/>
                <w:color w:val="auto"/>
              </w:rPr>
              <w:t>Industrial</w:t>
            </w: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986</w:t>
            </w: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jc w:val="right"/>
              <w:spacing w:after="0" w:line="173" w:lineRule="exact"/>
              <w:rPr>
                <w:sz w:val="20"/>
                <w:szCs w:val="20"/>
                <w:color w:val="auto"/>
              </w:rPr>
            </w:pPr>
            <w:r>
              <w:rPr>
                <w:rFonts w:ascii="Arial" w:cs="Arial" w:eastAsia="Arial" w:hAnsi="Arial"/>
                <w:sz w:val="16"/>
                <w:szCs w:val="16"/>
                <w:color w:val="auto"/>
              </w:rPr>
              <w:t>147</w:t>
            </w:r>
          </w:p>
        </w:tc>
        <w:tc>
          <w:tcPr>
            <w:tcW w:w="1340" w:type="dxa"/>
            <w:vAlign w:val="bottom"/>
          </w:tcPr>
          <w:p>
            <w:pPr>
              <w:jc w:val="right"/>
              <w:spacing w:after="0" w:line="173" w:lineRule="exact"/>
              <w:rPr>
                <w:sz w:val="20"/>
                <w:szCs w:val="20"/>
                <w:color w:val="auto"/>
              </w:rPr>
            </w:pPr>
            <w:r>
              <w:rPr>
                <w:rFonts w:ascii="Arial" w:cs="Arial" w:eastAsia="Arial" w:hAnsi="Arial"/>
                <w:sz w:val="16"/>
                <w:szCs w:val="16"/>
                <w:color w:val="auto"/>
              </w:rPr>
              <w:t>939</w:t>
            </w:r>
          </w:p>
        </w:tc>
        <w:tc>
          <w:tcPr>
            <w:tcW w:w="260" w:type="dxa"/>
            <w:vAlign w:val="bottom"/>
          </w:tcPr>
          <w:p>
            <w:pPr>
              <w:spacing w:after="0"/>
              <w:rPr>
                <w:sz w:val="15"/>
                <w:szCs w:val="15"/>
                <w:color w:val="auto"/>
              </w:rPr>
            </w:pPr>
          </w:p>
        </w:tc>
        <w:tc>
          <w:tcPr>
            <w:tcW w:w="1220" w:type="dxa"/>
            <w:vAlign w:val="bottom"/>
          </w:tcPr>
          <w:p>
            <w:pPr>
              <w:jc w:val="right"/>
              <w:spacing w:after="0" w:line="173" w:lineRule="exact"/>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73"/>
        </w:trPr>
        <w:tc>
          <w:tcPr>
            <w:tcW w:w="5800" w:type="dxa"/>
            <w:vAlign w:val="bottom"/>
          </w:tcPr>
          <w:p>
            <w:pPr>
              <w:spacing w:after="0" w:line="173" w:lineRule="exact"/>
              <w:rPr>
                <w:sz w:val="20"/>
                <w:szCs w:val="20"/>
                <w:color w:val="auto"/>
              </w:rPr>
            </w:pPr>
            <w:r>
              <w:rPr>
                <w:rFonts w:ascii="Arial" w:cs="Arial" w:eastAsia="Arial" w:hAnsi="Arial"/>
                <w:sz w:val="16"/>
                <w:szCs w:val="16"/>
                <w:color w:val="auto"/>
              </w:rPr>
              <w:t>Direct access(1)</w:t>
            </w: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1,704</w:t>
            </w: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jc w:val="right"/>
              <w:spacing w:after="0" w:line="173" w:lineRule="exact"/>
              <w:rPr>
                <w:sz w:val="20"/>
                <w:szCs w:val="20"/>
                <w:color w:val="auto"/>
              </w:rPr>
            </w:pPr>
            <w:r>
              <w:rPr>
                <w:rFonts w:ascii="Arial" w:cs="Arial" w:eastAsia="Arial" w:hAnsi="Arial"/>
                <w:sz w:val="16"/>
                <w:szCs w:val="16"/>
                <w:color w:val="auto"/>
              </w:rPr>
              <w:t>88</w:t>
            </w:r>
          </w:p>
        </w:tc>
        <w:tc>
          <w:tcPr>
            <w:tcW w:w="1340" w:type="dxa"/>
            <w:vAlign w:val="bottom"/>
          </w:tcPr>
          <w:p>
            <w:pPr>
              <w:jc w:val="right"/>
              <w:spacing w:after="0" w:line="173" w:lineRule="exact"/>
              <w:rPr>
                <w:sz w:val="20"/>
                <w:szCs w:val="20"/>
                <w:color w:val="auto"/>
              </w:rPr>
            </w:pPr>
            <w:r>
              <w:rPr>
                <w:rFonts w:ascii="Arial" w:cs="Arial" w:eastAsia="Arial" w:hAnsi="Arial"/>
                <w:sz w:val="16"/>
                <w:szCs w:val="16"/>
                <w:color w:val="auto"/>
              </w:rPr>
              <w:t>1,594</w:t>
            </w:r>
          </w:p>
        </w:tc>
        <w:tc>
          <w:tcPr>
            <w:tcW w:w="260" w:type="dxa"/>
            <w:vAlign w:val="bottom"/>
          </w:tcPr>
          <w:p>
            <w:pPr>
              <w:spacing w:after="0"/>
              <w:rPr>
                <w:sz w:val="15"/>
                <w:szCs w:val="15"/>
                <w:color w:val="auto"/>
              </w:rPr>
            </w:pPr>
          </w:p>
        </w:tc>
        <w:tc>
          <w:tcPr>
            <w:tcW w:w="1220" w:type="dxa"/>
            <w:vAlign w:val="bottom"/>
          </w:tcPr>
          <w:p>
            <w:pPr>
              <w:jc w:val="right"/>
              <w:spacing w:after="0" w:line="173" w:lineRule="exact"/>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4"/>
        </w:trPr>
        <w:tc>
          <w:tcPr>
            <w:tcW w:w="5800" w:type="dxa"/>
            <w:vAlign w:val="bottom"/>
          </w:tcPr>
          <w:p>
            <w:pPr>
              <w:spacing w:after="0"/>
              <w:rPr>
                <w:sz w:val="20"/>
                <w:szCs w:val="20"/>
                <w:color w:val="auto"/>
              </w:rPr>
            </w:pPr>
            <w:r>
              <w:rPr>
                <w:rFonts w:ascii="Arial" w:cs="Arial" w:eastAsia="Arial" w:hAnsi="Arial"/>
                <w:sz w:val="16"/>
                <w:szCs w:val="16"/>
                <w:color w:val="auto"/>
              </w:rPr>
              <w:t>Street and highway lighting</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35"/>
        </w:trPr>
        <w:tc>
          <w:tcPr>
            <w:tcW w:w="5800" w:type="dxa"/>
            <w:vAlign w:val="bottom"/>
          </w:tcPr>
          <w:p>
            <w:pPr>
              <w:spacing w:after="0"/>
              <w:rPr>
                <w:sz w:val="11"/>
                <w:szCs w:val="11"/>
                <w:color w:val="auto"/>
              </w:rPr>
            </w:pPr>
          </w:p>
        </w:tc>
        <w:tc>
          <w:tcPr>
            <w:tcW w:w="1300" w:type="dxa"/>
            <w:vAlign w:val="bottom"/>
          </w:tcPr>
          <w:p>
            <w:pPr>
              <w:jc w:val="right"/>
              <w:spacing w:after="0" w:line="135" w:lineRule="exact"/>
              <w:rPr>
                <w:sz w:val="20"/>
                <w:szCs w:val="20"/>
                <w:color w:val="auto"/>
              </w:rPr>
            </w:pPr>
            <w:r>
              <w:rPr>
                <w:rFonts w:ascii="Arial" w:cs="Arial" w:eastAsia="Arial" w:hAnsi="Arial"/>
                <w:sz w:val="15"/>
                <w:szCs w:val="15"/>
                <w:color w:val="auto"/>
              </w:rPr>
              <w:t>9,428</w:t>
            </w: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5"/>
                <w:szCs w:val="15"/>
                <w:color w:val="auto"/>
              </w:rPr>
              <w:t>1,429</w:t>
            </w:r>
          </w:p>
        </w:tc>
        <w:tc>
          <w:tcPr>
            <w:tcW w:w="1340" w:type="dxa"/>
            <w:vAlign w:val="bottom"/>
          </w:tcPr>
          <w:p>
            <w:pPr>
              <w:jc w:val="right"/>
              <w:spacing w:after="0" w:line="135" w:lineRule="exact"/>
              <w:rPr>
                <w:sz w:val="20"/>
                <w:szCs w:val="20"/>
                <w:color w:val="auto"/>
              </w:rPr>
            </w:pPr>
            <w:r>
              <w:rPr>
                <w:rFonts w:ascii="Arial" w:cs="Arial" w:eastAsia="Arial" w:hAnsi="Arial"/>
                <w:sz w:val="15"/>
                <w:szCs w:val="15"/>
                <w:color w:val="auto"/>
              </w:rPr>
              <w:t>9,410</w:t>
            </w:r>
          </w:p>
        </w:tc>
        <w:tc>
          <w:tcPr>
            <w:tcW w:w="26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5"/>
                <w:szCs w:val="15"/>
                <w:color w:val="auto"/>
              </w:rPr>
              <w:t>1,269</w:t>
            </w:r>
          </w:p>
        </w:tc>
        <w:tc>
          <w:tcPr>
            <w:tcW w:w="0" w:type="dxa"/>
            <w:vAlign w:val="bottom"/>
          </w:tcPr>
          <w:p>
            <w:pPr>
              <w:spacing w:after="0"/>
              <w:rPr>
                <w:sz w:val="1"/>
                <w:szCs w:val="1"/>
                <w:color w:val="auto"/>
              </w:rPr>
            </w:pPr>
          </w:p>
        </w:tc>
      </w:tr>
      <w:tr>
        <w:trPr>
          <w:trHeight w:val="173"/>
        </w:trPr>
        <w:tc>
          <w:tcPr>
            <w:tcW w:w="5800" w:type="dxa"/>
            <w:vAlign w:val="bottom"/>
          </w:tcPr>
          <w:p>
            <w:pPr>
              <w:spacing w:after="0" w:line="173" w:lineRule="exact"/>
              <w:rPr>
                <w:sz w:val="20"/>
                <w:szCs w:val="20"/>
                <w:color w:val="auto"/>
              </w:rPr>
            </w:pPr>
            <w:r>
              <w:rPr>
                <w:rFonts w:ascii="Arial" w:cs="Arial" w:eastAsia="Arial" w:hAnsi="Arial"/>
                <w:sz w:val="16"/>
                <w:szCs w:val="16"/>
                <w:color w:val="auto"/>
              </w:rPr>
              <w:t>CAISO shared transmission revenue - net(2)</w:t>
            </w: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jc w:val="right"/>
              <w:spacing w:after="0" w:line="173" w:lineRule="exact"/>
              <w:rPr>
                <w:sz w:val="20"/>
                <w:szCs w:val="20"/>
                <w:color w:val="auto"/>
              </w:rPr>
            </w:pPr>
            <w:r>
              <w:rPr>
                <w:rFonts w:ascii="Arial" w:cs="Arial" w:eastAsia="Arial" w:hAnsi="Arial"/>
                <w:sz w:val="16"/>
                <w:szCs w:val="16"/>
                <w:color w:val="auto"/>
              </w:rPr>
              <w:t>115</w:t>
            </w: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line="173" w:lineRule="exact"/>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73"/>
        </w:trPr>
        <w:tc>
          <w:tcPr>
            <w:tcW w:w="5800" w:type="dxa"/>
            <w:vAlign w:val="bottom"/>
          </w:tcPr>
          <w:p>
            <w:pPr>
              <w:spacing w:after="0" w:line="173" w:lineRule="exact"/>
              <w:rPr>
                <w:sz w:val="20"/>
                <w:szCs w:val="20"/>
                <w:color w:val="auto"/>
              </w:rPr>
            </w:pPr>
            <w:r>
              <w:rPr>
                <w:rFonts w:ascii="Arial" w:cs="Arial" w:eastAsia="Arial" w:hAnsi="Arial"/>
                <w:sz w:val="16"/>
                <w:szCs w:val="16"/>
                <w:color w:val="auto"/>
              </w:rPr>
              <w:t>Other revenues</w:t>
            </w: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jc w:val="right"/>
              <w:spacing w:after="0" w:line="173" w:lineRule="exact"/>
              <w:rPr>
                <w:sz w:val="20"/>
                <w:szCs w:val="20"/>
                <w:color w:val="auto"/>
              </w:rPr>
            </w:pPr>
            <w:r>
              <w:rPr>
                <w:rFonts w:ascii="Arial" w:cs="Arial" w:eastAsia="Arial" w:hAnsi="Arial"/>
                <w:sz w:val="16"/>
                <w:szCs w:val="16"/>
                <w:color w:val="auto"/>
              </w:rPr>
              <w:t>81</w:t>
            </w: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line="173" w:lineRule="exact"/>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4"/>
        </w:trPr>
        <w:tc>
          <w:tcPr>
            <w:tcW w:w="5800" w:type="dxa"/>
            <w:vAlign w:val="bottom"/>
          </w:tcPr>
          <w:p>
            <w:pPr>
              <w:spacing w:after="0"/>
              <w:rPr>
                <w:sz w:val="20"/>
                <w:szCs w:val="20"/>
                <w:color w:val="auto"/>
              </w:rPr>
            </w:pPr>
            <w:r>
              <w:rPr>
                <w:rFonts w:ascii="Arial" w:cs="Arial" w:eastAsia="Arial" w:hAnsi="Arial"/>
                <w:sz w:val="16"/>
                <w:szCs w:val="16"/>
                <w:color w:val="auto"/>
              </w:rPr>
              <w:t>Balancing accounts</w:t>
            </w: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197"/>
        </w:trPr>
        <w:tc>
          <w:tcPr>
            <w:tcW w:w="5800" w:type="dxa"/>
            <w:vAlign w:val="bottom"/>
          </w:tcPr>
          <w:p>
            <w:pPr>
              <w:ind w:left="180"/>
              <w:spacing w:after="0"/>
              <w:rPr>
                <w:sz w:val="20"/>
                <w:szCs w:val="20"/>
                <w:color w:val="auto"/>
              </w:rPr>
            </w:pPr>
            <w:r>
              <w:rPr>
                <w:rFonts w:ascii="Arial" w:cs="Arial" w:eastAsia="Arial" w:hAnsi="Arial"/>
                <w:sz w:val="16"/>
                <w:szCs w:val="16"/>
                <w:color w:val="auto"/>
              </w:rPr>
              <w:t>Total(3)</w:t>
            </w: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center"/>
              <w:ind w:right="845"/>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1,759</w:t>
            </w:r>
          </w:p>
        </w:tc>
        <w:tc>
          <w:tcPr>
            <w:tcW w:w="1340" w:type="dxa"/>
            <w:vAlign w:val="bottom"/>
          </w:tcPr>
          <w:p>
            <w:pPr>
              <w:spacing w:after="0"/>
              <w:rPr>
                <w:sz w:val="17"/>
                <w:szCs w:val="17"/>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24852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540" w:right="120" w:hanging="534"/>
        <w:spacing w:after="0" w:line="237" w:lineRule="auto"/>
        <w:tabs>
          <w:tab w:leader="none" w:pos="54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The Direct Access (DA) program, which offered all customers the option to purchase their electric commodity services from a third-party Energy Service Provider (ESP) instead of continuing to receive these services from SDG&amp;E, was implemented in 1998 and suspended in 2001. In 2009, Senate Bill 695 required the CPUC to develop a process and rules for a limited re-opening of DA to be phased in over a period of time. In 2010, the CPUC adopted the process and rules for the limited re-opening of DA for non-residential customers under a 4-year phase-in schedule.</w:t>
      </w:r>
    </w:p>
    <w:p>
      <w:pPr>
        <w:spacing w:after="0" w:line="1" w:lineRule="exact"/>
        <w:rPr>
          <w:rFonts w:ascii="Arial" w:cs="Arial" w:eastAsia="Arial" w:hAnsi="Arial"/>
          <w:sz w:val="14"/>
          <w:szCs w:val="14"/>
          <w:i w:val="1"/>
          <w:iCs w:val="1"/>
          <w:color w:val="auto"/>
        </w:rPr>
      </w:pPr>
    </w:p>
    <w:p>
      <w:pPr>
        <w:ind w:left="540" w:hanging="534"/>
        <w:spacing w:after="0" w:line="237" w:lineRule="auto"/>
        <w:tabs>
          <w:tab w:leader="none" w:pos="54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California Independent System Operator (CAISO).</w:t>
      </w:r>
    </w:p>
    <w:p>
      <w:pPr>
        <w:ind w:left="540" w:hanging="534"/>
        <w:spacing w:after="0"/>
        <w:tabs>
          <w:tab w:leader="none" w:pos="54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$5 million in 2014 and $4 million in 2013.</w:t>
      </w:r>
    </w:p>
    <w:p>
      <w:pPr>
        <w:spacing w:after="0" w:line="200" w:lineRule="exact"/>
        <w:rPr>
          <w:sz w:val="20"/>
          <w:szCs w:val="20"/>
          <w:color w:val="auto"/>
        </w:rPr>
      </w:pPr>
    </w:p>
    <w:p>
      <w:pPr>
        <w:spacing w:after="0" w:line="40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For the three months ended June 30, 2014, SDG&amp;E’s electric revenues increased $5 million (1%) to $948 million compared to the corresponding period of 2013 primarily due to:</w:t>
      </w:r>
    </w:p>
    <w:p>
      <w:pPr>
        <w:spacing w:after="0" w:line="164" w:lineRule="exact"/>
        <w:rPr>
          <w:sz w:val="20"/>
          <w:szCs w:val="20"/>
          <w:color w:val="auto"/>
        </w:rPr>
      </w:pPr>
    </w:p>
    <w:p>
      <w:pPr>
        <w:ind w:left="320" w:hanging="172"/>
        <w:spacing w:after="0"/>
        <w:tabs>
          <w:tab w:leader="none" w:pos="3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$77 million increase in cost of electric fuel and purchased power, including</w:t>
      </w:r>
    </w:p>
    <w:p>
      <w:pPr>
        <w:spacing w:after="0" w:line="242" w:lineRule="exact"/>
        <w:rPr>
          <w:rFonts w:ascii="Times New Roman" w:cs="Times New Roman" w:eastAsia="Times New Roman" w:hAnsi="Times New Roman"/>
          <w:sz w:val="18"/>
          <w:szCs w:val="18"/>
          <w:b w:val="1"/>
          <w:bCs w:val="1"/>
          <w:color w:val="auto"/>
        </w:rPr>
      </w:pPr>
    </w:p>
    <w:p>
      <w:pPr>
        <w:ind w:left="480" w:hanging="191"/>
        <w:spacing w:after="0"/>
        <w:tabs>
          <w:tab w:leader="none" w:pos="480" w:val="left"/>
        </w:tabs>
        <w:numPr>
          <w:ilvl w:val="1"/>
          <w:numId w:val="10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an increase in purchased power primarily due to the incremental purchase of renewable energy at higher prices, </w:t>
      </w:r>
      <w:r>
        <w:rPr>
          <w:rFonts w:ascii="Times New Roman" w:cs="Times New Roman" w:eastAsia="Times New Roman" w:hAnsi="Times New Roman"/>
          <w:sz w:val="18"/>
          <w:szCs w:val="18"/>
          <w:i w:val="1"/>
          <w:iCs w:val="1"/>
          <w:color w:val="auto"/>
        </w:rPr>
        <w:t>offset by</w:t>
      </w:r>
    </w:p>
    <w:p>
      <w:pPr>
        <w:spacing w:after="0" w:line="246" w:lineRule="exact"/>
        <w:rPr>
          <w:rFonts w:ascii="Times New Roman" w:cs="Times New Roman" w:eastAsia="Times New Roman" w:hAnsi="Times New Roman"/>
          <w:sz w:val="18"/>
          <w:szCs w:val="18"/>
          <w:i w:val="1"/>
          <w:iCs w:val="1"/>
          <w:color w:val="auto"/>
        </w:rPr>
      </w:pPr>
    </w:p>
    <w:p>
      <w:pPr>
        <w:ind w:left="480" w:hanging="191"/>
        <w:spacing w:after="0"/>
        <w:tabs>
          <w:tab w:leader="none" w:pos="480"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decrease in cost of electric fuel primarily due to planned outages at SDG&amp;E-owned generation facilities;</w:t>
      </w:r>
    </w:p>
    <w:p>
      <w:pPr>
        <w:spacing w:after="0" w:line="244" w:lineRule="exact"/>
        <w:rPr>
          <w:rFonts w:ascii="Times New Roman" w:cs="Times New Roman" w:eastAsia="Times New Roman" w:hAnsi="Times New Roman"/>
          <w:sz w:val="18"/>
          <w:szCs w:val="18"/>
          <w:b w:val="1"/>
          <w:bCs w:val="1"/>
          <w:color w:val="auto"/>
        </w:rPr>
      </w:pPr>
    </w:p>
    <w:p>
      <w:pPr>
        <w:ind w:left="320" w:hanging="172"/>
        <w:spacing w:after="0"/>
        <w:tabs>
          <w:tab w:leader="none" w:pos="3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 million higher authorized revenues from electric transmission; and</w:t>
      </w:r>
    </w:p>
    <w:p>
      <w:pPr>
        <w:spacing w:after="0" w:line="242" w:lineRule="exact"/>
        <w:rPr>
          <w:rFonts w:ascii="Times New Roman" w:cs="Times New Roman" w:eastAsia="Times New Roman" w:hAnsi="Times New Roman"/>
          <w:sz w:val="18"/>
          <w:szCs w:val="18"/>
          <w:b w:val="1"/>
          <w:bCs w:val="1"/>
          <w:color w:val="auto"/>
        </w:rPr>
      </w:pPr>
    </w:p>
    <w:p>
      <w:pPr>
        <w:ind w:left="320" w:hanging="172"/>
        <w:spacing w:after="0"/>
        <w:tabs>
          <w:tab w:leader="none" w:pos="3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$9 million increase in authorized revenues from 2014 attrition;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b w:val="1"/>
          <w:bCs w:val="1"/>
          <w:color w:val="auto"/>
        </w:rPr>
      </w:pPr>
    </w:p>
    <w:p>
      <w:pPr>
        <w:ind w:left="320" w:hanging="172"/>
        <w:spacing w:after="0" w:line="275" w:lineRule="auto"/>
        <w:tabs>
          <w:tab w:leader="none" w:pos="3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$78 million favorable impact on 2013 revenues from the retroactive application of the 2012 GRC decision, recorded in the second quarter of 2013, for the period from January 2012 through March 2013; and</w:t>
      </w:r>
    </w:p>
    <w:p>
      <w:pPr>
        <w:spacing w:after="0" w:line="190" w:lineRule="exact"/>
        <w:rPr>
          <w:rFonts w:ascii="Times New Roman" w:cs="Times New Roman" w:eastAsia="Times New Roman" w:hAnsi="Times New Roman"/>
          <w:sz w:val="18"/>
          <w:szCs w:val="18"/>
          <w:b w:val="1"/>
          <w:bCs w:val="1"/>
          <w:color w:val="auto"/>
        </w:rPr>
      </w:pPr>
    </w:p>
    <w:p>
      <w:pPr>
        <w:ind w:left="320" w:hanging="172"/>
        <w:spacing w:after="0" w:line="275" w:lineRule="auto"/>
        <w:tabs>
          <w:tab w:leader="none" w:pos="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lower recovery of costs associated with CPUC-authorized refundable programs, which revenues are fully offset in operation and maintenance expenses.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six months of 2014, SDG&amp;E’s electric revenues increased by $44 million (3%) to $1.8 billion primarily due to:</w:t>
      </w:r>
    </w:p>
    <w:p>
      <w:pPr>
        <w:spacing w:after="0" w:line="218" w:lineRule="exact"/>
        <w:rPr>
          <w:sz w:val="20"/>
          <w:szCs w:val="20"/>
          <w:color w:val="auto"/>
        </w:rPr>
      </w:pPr>
    </w:p>
    <w:p>
      <w:pPr>
        <w:ind w:left="320" w:hanging="172"/>
        <w:spacing w:after="0"/>
        <w:tabs>
          <w:tab w:leader="none" w:pos="3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$134 million increase in cost of electric fuel and purchased power, including</w:t>
      </w:r>
    </w:p>
    <w:p>
      <w:pPr>
        <w:spacing w:after="0" w:line="242" w:lineRule="exact"/>
        <w:rPr>
          <w:rFonts w:ascii="Times New Roman" w:cs="Times New Roman" w:eastAsia="Times New Roman" w:hAnsi="Times New Roman"/>
          <w:sz w:val="18"/>
          <w:szCs w:val="18"/>
          <w:b w:val="1"/>
          <w:bCs w:val="1"/>
          <w:color w:val="auto"/>
        </w:rPr>
      </w:pPr>
    </w:p>
    <w:p>
      <w:pPr>
        <w:ind w:left="480" w:hanging="191"/>
        <w:spacing w:after="0"/>
        <w:tabs>
          <w:tab w:leader="none" w:pos="480" w:val="left"/>
        </w:tabs>
        <w:numPr>
          <w:ilvl w:val="1"/>
          <w:numId w:val="10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an increase in purchased power primarily due to the incremental purchase of renewable energy at higher prices, </w:t>
      </w:r>
      <w:r>
        <w:rPr>
          <w:rFonts w:ascii="Times New Roman" w:cs="Times New Roman" w:eastAsia="Times New Roman" w:hAnsi="Times New Roman"/>
          <w:sz w:val="18"/>
          <w:szCs w:val="18"/>
          <w:i w:val="1"/>
          <w:iCs w:val="1"/>
          <w:color w:val="auto"/>
        </w:rPr>
        <w:t>offset by</w:t>
      </w:r>
    </w:p>
    <w:p>
      <w:pPr>
        <w:spacing w:after="0" w:line="246" w:lineRule="exact"/>
        <w:rPr>
          <w:rFonts w:ascii="Times New Roman" w:cs="Times New Roman" w:eastAsia="Times New Roman" w:hAnsi="Times New Roman"/>
          <w:sz w:val="18"/>
          <w:szCs w:val="18"/>
          <w:i w:val="1"/>
          <w:iCs w:val="1"/>
          <w:color w:val="auto"/>
        </w:rPr>
      </w:pPr>
    </w:p>
    <w:p>
      <w:pPr>
        <w:ind w:left="480" w:hanging="191"/>
        <w:spacing w:after="0"/>
        <w:tabs>
          <w:tab w:leader="none" w:pos="4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cost of electric fuel primarily due to planned outages at SDG&amp;E-owned generation facilities;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million increase in authorized revenues from 2014 attrition; and</w:t>
      </w:r>
    </w:p>
    <w:p>
      <w:pPr>
        <w:spacing w:after="0" w:line="242" w:lineRule="exact"/>
        <w:rPr>
          <w:rFonts w:ascii="Times New Roman" w:cs="Times New Roman" w:eastAsia="Times New Roman" w:hAnsi="Times New Roman"/>
          <w:sz w:val="18"/>
          <w:szCs w:val="18"/>
          <w:b w:val="1"/>
          <w:bCs w:val="1"/>
          <w:color w:val="auto"/>
        </w:rPr>
      </w:pPr>
    </w:p>
    <w:p>
      <w:pPr>
        <w:ind w:left="320" w:hanging="172"/>
        <w:spacing w:after="0"/>
        <w:tabs>
          <w:tab w:leader="none" w:pos="3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$11 million higher authorized revenues from electric transmission;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b w:val="1"/>
          <w:bCs w:val="1"/>
          <w:color w:val="auto"/>
        </w:rPr>
      </w:pPr>
    </w:p>
    <w:p>
      <w:pPr>
        <w:ind w:left="320" w:hanging="172"/>
        <w:spacing w:after="0" w:line="275" w:lineRule="auto"/>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million favorable impact on 2013 revenues from the retroactive application of the 2012 GRC decision for the period from January 2012 through December 2012;</w:t>
      </w:r>
    </w:p>
    <w:p>
      <w:pPr>
        <w:spacing w:after="0" w:line="190"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million lower recovery of costs associated with CPUC-authorized refundable programs, which revenues are fully offset in operation and maintenance expenses; and</w:t>
      </w:r>
    </w:p>
    <w:p>
      <w:pPr>
        <w:spacing w:after="0" w:line="190"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loss of revenue from SONGS due to the early closure of the plant in the second quarter of 2013.</w:t>
      </w:r>
    </w:p>
    <w:p>
      <w:pPr>
        <w:spacing w:after="0" w:line="24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do not include in the Condensed Consolidated Statements of Operations the commodity costs (and the revenues to recover those costs) associated with long-term contracts in 2013 that were allocated to SDG&amp;E by the California Department of Water Resources. However, we do include the associated volumes and distribution revenues in the table above. We provide further discussion of these contracts in Notes 1 and 14 of the Notes to Consolidated Financial Statements in the Annual Report.</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SDG&amp;E and SoCalGas: Natural Gas Revenues and Cost of Natural Gas</w:t>
      </w:r>
    </w:p>
    <w:p>
      <w:pPr>
        <w:spacing w:after="0" w:line="21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tables below show natural gas revenues for SDG&amp;E and SoCalGas for the six-month periods ended June 30, 2014 and 2013. Because the cost of natural gas is recovered in rates, changes in the cost are reflected in the changes in revenues. In addition to the change in market prices, natural gas revenues recorded during a period are impacted by the difference between customer billings and recorded or CPUC-authorized costs. These differences are required to be balanced over time, resulting in over- and undercollected regulatory balancing accounts. We discuss balancing accounts and their effects further in Note 1 of the Notes to Consolidated Financial Statements in the Annual Report.</w:t>
      </w:r>
    </w:p>
    <w:p>
      <w:pPr>
        <w:sectPr>
          <w:pgSz w:w="11900" w:h="16838" w:orient="portrait"/>
          <w:cols w:equalWidth="0" w:num="1">
            <w:col w:w="11420"/>
          </w:cols>
          <w:pgMar w:left="240" w:top="518" w:right="239" w:bottom="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60" w:type="dxa"/>
            <w:vAlign w:val="bottom"/>
          </w:tcPr>
          <w:p>
            <w:pPr>
              <w:spacing w:after="0"/>
              <w:rPr>
                <w:sz w:val="20"/>
                <w:szCs w:val="20"/>
                <w:color w:val="auto"/>
              </w:rPr>
            </w:pPr>
            <w:r>
              <w:rPr>
                <w:rFonts w:ascii="Arial" w:cs="Arial" w:eastAsia="Arial" w:hAnsi="Arial"/>
                <w:sz w:val="14"/>
                <w:szCs w:val="14"/>
                <w:i w:val="1"/>
                <w:iCs w:val="1"/>
                <w:color w:val="auto"/>
              </w:rPr>
              <w:t>(Volumes in billion cubic feet, dollars in millions)</w:t>
            </w:r>
          </w:p>
        </w:tc>
        <w:tc>
          <w:tcPr>
            <w:tcW w:w="2640" w:type="dxa"/>
            <w:vAlign w:val="bottom"/>
            <w:gridSpan w:val="3"/>
            <w:vMerge w:val="restart"/>
          </w:tcPr>
          <w:p>
            <w:pPr>
              <w:jc w:val="center"/>
              <w:ind w:right="63"/>
              <w:spacing w:after="0"/>
              <w:rPr>
                <w:sz w:val="20"/>
                <w:szCs w:val="20"/>
                <w:color w:val="auto"/>
              </w:rPr>
            </w:pPr>
            <w:r>
              <w:rPr>
                <w:rFonts w:ascii="Arial" w:cs="Arial" w:eastAsia="Arial" w:hAnsi="Arial"/>
                <w:sz w:val="14"/>
                <w:szCs w:val="14"/>
                <w:color w:val="auto"/>
              </w:rPr>
              <w:t>Natural Gas Sales</w:t>
            </w:r>
          </w:p>
        </w:tc>
        <w:tc>
          <w:tcPr>
            <w:tcW w:w="2120" w:type="dxa"/>
            <w:vAlign w:val="bottom"/>
            <w:gridSpan w:val="2"/>
            <w:vMerge w:val="restart"/>
          </w:tcPr>
          <w:p>
            <w:pPr>
              <w:jc w:val="center"/>
              <w:ind w:left="103"/>
              <w:spacing w:after="0"/>
              <w:rPr>
                <w:sz w:val="20"/>
                <w:szCs w:val="20"/>
                <w:color w:val="auto"/>
              </w:rPr>
            </w:pPr>
            <w:r>
              <w:rPr>
                <w:rFonts w:ascii="Arial" w:cs="Arial" w:eastAsia="Arial" w:hAnsi="Arial"/>
                <w:sz w:val="14"/>
                <w:szCs w:val="14"/>
                <w:color w:val="auto"/>
                <w:w w:val="99"/>
              </w:rPr>
              <w:t>Transportation</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color w:val="auto"/>
                <w:w w:val="89"/>
              </w:rPr>
              <w:t>Total</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760" w:type="dxa"/>
            <w:vAlign w:val="bottom"/>
            <w:vMerge w:val="restart"/>
          </w:tcPr>
          <w:p>
            <w:pPr>
              <w:spacing w:after="0"/>
              <w:rPr>
                <w:sz w:val="20"/>
                <w:szCs w:val="20"/>
                <w:color w:val="auto"/>
              </w:rPr>
            </w:pPr>
            <w:r>
              <w:rPr>
                <w:rFonts w:ascii="Arial" w:cs="Arial" w:eastAsia="Arial" w:hAnsi="Arial"/>
                <w:sz w:val="14"/>
                <w:szCs w:val="14"/>
                <w:color w:val="auto"/>
              </w:rPr>
              <w:t>Customer class</w:t>
            </w:r>
          </w:p>
        </w:tc>
        <w:tc>
          <w:tcPr>
            <w:tcW w:w="2640" w:type="dxa"/>
            <w:vAlign w:val="bottom"/>
            <w:tcBorders>
              <w:bottom w:val="single" w:sz="8" w:color="auto"/>
            </w:tcBorders>
            <w:gridSpan w:val="3"/>
            <w:vMerge w:val="continue"/>
          </w:tcPr>
          <w:p>
            <w:pPr>
              <w:spacing w:after="0"/>
              <w:rPr>
                <w:sz w:val="10"/>
                <w:szCs w:val="10"/>
                <w:color w:val="auto"/>
              </w:rPr>
            </w:pPr>
          </w:p>
        </w:tc>
        <w:tc>
          <w:tcPr>
            <w:tcW w:w="2120" w:type="dxa"/>
            <w:vAlign w:val="bottom"/>
            <w:tcBorders>
              <w:bottom w:val="single" w:sz="8" w:color="auto"/>
            </w:tcBorders>
            <w:gridSpan w:val="2"/>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vMerge w:val="continue"/>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76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tcPr>
          <w:p>
            <w:pPr>
              <w:jc w:val="right"/>
              <w:ind w:right="243"/>
              <w:spacing w:after="0" w:line="153" w:lineRule="exact"/>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83"/>
              <w:spacing w:after="0" w:line="153" w:lineRule="exact"/>
              <w:rPr>
                <w:sz w:val="20"/>
                <w:szCs w:val="20"/>
                <w:color w:val="auto"/>
              </w:rPr>
            </w:pPr>
            <w:r>
              <w:rPr>
                <w:rFonts w:ascii="Arial" w:cs="Arial" w:eastAsia="Arial" w:hAnsi="Arial"/>
                <w:sz w:val="14"/>
                <w:szCs w:val="14"/>
                <w:color w:val="auto"/>
              </w:rPr>
              <w:t>Revenue</w:t>
            </w:r>
          </w:p>
        </w:tc>
        <w:tc>
          <w:tcPr>
            <w:tcW w:w="1020" w:type="dxa"/>
            <w:vAlign w:val="bottom"/>
            <w:tcBorders>
              <w:bottom w:val="single" w:sz="8" w:color="auto"/>
            </w:tcBorders>
          </w:tcPr>
          <w:p>
            <w:pPr>
              <w:jc w:val="right"/>
              <w:ind w:right="243"/>
              <w:spacing w:after="0" w:line="153" w:lineRule="exact"/>
              <w:rPr>
                <w:sz w:val="20"/>
                <w:szCs w:val="20"/>
                <w:color w:val="auto"/>
              </w:rPr>
            </w:pPr>
            <w:r>
              <w:rPr>
                <w:rFonts w:ascii="Arial" w:cs="Arial" w:eastAsia="Arial" w:hAnsi="Arial"/>
                <w:sz w:val="14"/>
                <w:szCs w:val="14"/>
                <w:color w:val="auto"/>
              </w:rPr>
              <w:t>Volumes</w:t>
            </w:r>
          </w:p>
        </w:tc>
        <w:tc>
          <w:tcPr>
            <w:tcW w:w="1100" w:type="dxa"/>
            <w:vAlign w:val="bottom"/>
            <w:tcBorders>
              <w:bottom w:val="single" w:sz="8" w:color="auto"/>
            </w:tcBorders>
          </w:tcPr>
          <w:p>
            <w:pPr>
              <w:ind w:left="400"/>
              <w:spacing w:after="0" w:line="153" w:lineRule="exact"/>
              <w:rPr>
                <w:sz w:val="20"/>
                <w:szCs w:val="20"/>
                <w:color w:val="auto"/>
              </w:rPr>
            </w:pPr>
            <w:r>
              <w:rPr>
                <w:rFonts w:ascii="Arial" w:cs="Arial" w:eastAsia="Arial" w:hAnsi="Arial"/>
                <w:sz w:val="14"/>
                <w:szCs w:val="14"/>
                <w:color w:val="auto"/>
              </w:rPr>
              <w:t>Revenue</w:t>
            </w: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23"/>
              <w:spacing w:after="0" w:line="153" w:lineRule="exact"/>
              <w:rPr>
                <w:sz w:val="20"/>
                <w:szCs w:val="20"/>
                <w:color w:val="auto"/>
              </w:rPr>
            </w:pPr>
            <w:r>
              <w:rPr>
                <w:rFonts w:ascii="Arial" w:cs="Arial" w:eastAsia="Arial" w:hAnsi="Arial"/>
                <w:sz w:val="14"/>
                <w:szCs w:val="14"/>
                <w:color w:val="auto"/>
              </w:rPr>
              <w:t>Volumes</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82"/>
              <w:spacing w:after="0" w:line="153" w:lineRule="exact"/>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41"/>
        </w:trPr>
        <w:tc>
          <w:tcPr>
            <w:tcW w:w="3760" w:type="dxa"/>
            <w:vAlign w:val="bottom"/>
          </w:tcPr>
          <w:p>
            <w:pPr>
              <w:spacing w:after="0" w:line="142" w:lineRule="exact"/>
              <w:rPr>
                <w:sz w:val="20"/>
                <w:szCs w:val="20"/>
                <w:color w:val="auto"/>
              </w:rPr>
            </w:pPr>
            <w:r>
              <w:rPr>
                <w:rFonts w:ascii="Arial" w:cs="Arial" w:eastAsia="Arial" w:hAnsi="Arial"/>
                <w:sz w:val="16"/>
                <w:szCs w:val="16"/>
                <w:b w:val="1"/>
                <w:bCs w:val="1"/>
                <w:color w:val="auto"/>
              </w:rPr>
              <w:t>Six months ended June 30, 2014:</w:t>
            </w: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60" w:type="dxa"/>
            <w:vAlign w:val="bottom"/>
          </w:tcPr>
          <w:p>
            <w:pPr>
              <w:ind w:left="180"/>
              <w:spacing w:after="0" w:line="173" w:lineRule="exact"/>
              <w:rPr>
                <w:sz w:val="20"/>
                <w:szCs w:val="20"/>
                <w:color w:val="auto"/>
              </w:rPr>
            </w:pPr>
            <w:r>
              <w:rPr>
                <w:rFonts w:ascii="Arial" w:cs="Arial" w:eastAsia="Arial" w:hAnsi="Arial"/>
                <w:sz w:val="16"/>
                <w:szCs w:val="16"/>
                <w:color w:val="auto"/>
              </w:rPr>
              <w:t>Residential</w:t>
            </w:r>
          </w:p>
        </w:tc>
        <w:tc>
          <w:tcPr>
            <w:tcW w:w="1120" w:type="dxa"/>
            <w:vAlign w:val="bottom"/>
          </w:tcPr>
          <w:p>
            <w:pPr>
              <w:jc w:val="right"/>
              <w:spacing w:after="0" w:line="173" w:lineRule="exact"/>
              <w:rPr>
                <w:sz w:val="20"/>
                <w:szCs w:val="20"/>
                <w:color w:val="auto"/>
              </w:rPr>
            </w:pPr>
            <w:r>
              <w:rPr>
                <w:rFonts w:ascii="Arial" w:cs="Arial" w:eastAsia="Arial" w:hAnsi="Arial"/>
                <w:sz w:val="16"/>
                <w:szCs w:val="16"/>
                <w:color w:val="auto"/>
              </w:rPr>
              <w:t>15</w:t>
            </w:r>
          </w:p>
        </w:tc>
        <w:tc>
          <w:tcPr>
            <w:tcW w:w="280" w:type="dxa"/>
            <w:vAlign w:val="bottom"/>
          </w:tcPr>
          <w:p>
            <w:pPr>
              <w:jc w:val="center"/>
              <w:spacing w:after="0" w:line="173"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83"/>
              <w:spacing w:after="0" w:line="173" w:lineRule="exact"/>
              <w:rPr>
                <w:sz w:val="20"/>
                <w:szCs w:val="20"/>
                <w:color w:val="auto"/>
              </w:rPr>
            </w:pPr>
            <w:r>
              <w:rPr>
                <w:rFonts w:ascii="Arial" w:cs="Arial" w:eastAsia="Arial" w:hAnsi="Arial"/>
                <w:sz w:val="16"/>
                <w:szCs w:val="16"/>
                <w:color w:val="auto"/>
              </w:rPr>
              <w:t>188</w:t>
            </w: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100" w:type="dxa"/>
            <w:vAlign w:val="bottom"/>
          </w:tcPr>
          <w:p>
            <w:pPr>
              <w:jc w:val="center"/>
              <w:ind w:right="764"/>
              <w:spacing w:after="0" w:line="173"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62"/>
              <w:spacing w:after="0" w:line="17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15</w:t>
            </w:r>
          </w:p>
        </w:tc>
        <w:tc>
          <w:tcPr>
            <w:tcW w:w="360" w:type="dxa"/>
            <w:vAlign w:val="bottom"/>
          </w:tcPr>
          <w:p>
            <w:pPr>
              <w:jc w:val="center"/>
              <w:spacing w:after="0" w:line="173"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73"/>
        </w:trPr>
        <w:tc>
          <w:tcPr>
            <w:tcW w:w="3760" w:type="dxa"/>
            <w:vAlign w:val="bottom"/>
          </w:tcPr>
          <w:p>
            <w:pPr>
              <w:ind w:left="180"/>
              <w:spacing w:after="0" w:line="173" w:lineRule="exact"/>
              <w:rPr>
                <w:sz w:val="20"/>
                <w:szCs w:val="20"/>
                <w:color w:val="auto"/>
              </w:rPr>
            </w:pPr>
            <w:r>
              <w:rPr>
                <w:rFonts w:ascii="Arial" w:cs="Arial" w:eastAsia="Arial" w:hAnsi="Arial"/>
                <w:sz w:val="16"/>
                <w:szCs w:val="16"/>
                <w:color w:val="auto"/>
              </w:rPr>
              <w:t>Commercial and industrial</w:t>
            </w:r>
          </w:p>
        </w:tc>
        <w:tc>
          <w:tcPr>
            <w:tcW w:w="1120" w:type="dxa"/>
            <w:vAlign w:val="bottom"/>
          </w:tcPr>
          <w:p>
            <w:pPr>
              <w:jc w:val="right"/>
              <w:spacing w:after="0" w:line="173" w:lineRule="exact"/>
              <w:rPr>
                <w:sz w:val="20"/>
                <w:szCs w:val="20"/>
                <w:color w:val="auto"/>
              </w:rPr>
            </w:pPr>
            <w:r>
              <w:rPr>
                <w:rFonts w:ascii="Arial" w:cs="Arial" w:eastAsia="Arial" w:hAnsi="Arial"/>
                <w:sz w:val="16"/>
                <w:szCs w:val="16"/>
                <w:color w:val="auto"/>
              </w:rPr>
              <w:t>8</w:t>
            </w:r>
          </w:p>
        </w:tc>
        <w:tc>
          <w:tcPr>
            <w:tcW w:w="280" w:type="dxa"/>
            <w:vAlign w:val="bottom"/>
          </w:tcPr>
          <w:p>
            <w:pPr>
              <w:spacing w:after="0"/>
              <w:rPr>
                <w:sz w:val="15"/>
                <w:szCs w:val="15"/>
                <w:color w:val="auto"/>
              </w:rPr>
            </w:pPr>
          </w:p>
        </w:tc>
        <w:tc>
          <w:tcPr>
            <w:tcW w:w="1240" w:type="dxa"/>
            <w:vAlign w:val="bottom"/>
          </w:tcPr>
          <w:p>
            <w:pPr>
              <w:jc w:val="right"/>
              <w:ind w:right="83"/>
              <w:spacing w:after="0" w:line="173" w:lineRule="exact"/>
              <w:rPr>
                <w:sz w:val="20"/>
                <w:szCs w:val="20"/>
                <w:color w:val="auto"/>
              </w:rPr>
            </w:pPr>
            <w:r>
              <w:rPr>
                <w:rFonts w:ascii="Arial" w:cs="Arial" w:eastAsia="Arial" w:hAnsi="Arial"/>
                <w:sz w:val="16"/>
                <w:szCs w:val="16"/>
                <w:color w:val="auto"/>
              </w:rPr>
              <w:t>61</w:t>
            </w: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4</w:t>
            </w:r>
          </w:p>
        </w:tc>
        <w:tc>
          <w:tcPr>
            <w:tcW w:w="1100" w:type="dxa"/>
            <w:vAlign w:val="bottom"/>
          </w:tcPr>
          <w:p>
            <w:pPr>
              <w:spacing w:after="0"/>
              <w:rPr>
                <w:sz w:val="15"/>
                <w:szCs w:val="15"/>
                <w:color w:val="auto"/>
              </w:rPr>
            </w:pPr>
          </w:p>
        </w:tc>
        <w:tc>
          <w:tcPr>
            <w:tcW w:w="440" w:type="dxa"/>
            <w:vAlign w:val="bottom"/>
          </w:tcPr>
          <w:p>
            <w:pPr>
              <w:jc w:val="right"/>
              <w:ind w:right="62"/>
              <w:spacing w:after="0" w:line="173" w:lineRule="exact"/>
              <w:rPr>
                <w:sz w:val="20"/>
                <w:szCs w:val="20"/>
                <w:color w:val="auto"/>
              </w:rPr>
            </w:pPr>
            <w:r>
              <w:rPr>
                <w:rFonts w:ascii="Arial" w:cs="Arial" w:eastAsia="Arial" w:hAnsi="Arial"/>
                <w:sz w:val="16"/>
                <w:szCs w:val="16"/>
                <w:color w:val="auto"/>
              </w:rPr>
              <w:t>6</w:t>
            </w: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12</w:t>
            </w:r>
          </w:p>
        </w:tc>
        <w:tc>
          <w:tcPr>
            <w:tcW w:w="36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4"/>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Arial" w:cs="Arial" w:eastAsia="Arial" w:hAnsi="Arial"/>
                <w:sz w:val="15"/>
                <w:szCs w:val="15"/>
                <w:color w:val="auto"/>
              </w:rPr>
              <w:t>23</w:t>
            </w:r>
          </w:p>
        </w:tc>
        <w:tc>
          <w:tcPr>
            <w:tcW w:w="280" w:type="dxa"/>
            <w:vAlign w:val="bottom"/>
          </w:tcPr>
          <w:p>
            <w:pPr>
              <w:jc w:val="center"/>
              <w:spacing w:after="0" w:line="135" w:lineRule="exact"/>
              <w:rPr>
                <w:sz w:val="20"/>
                <w:szCs w:val="20"/>
                <w:color w:val="auto"/>
              </w:rPr>
            </w:pPr>
            <w:r>
              <w:rPr>
                <w:rFonts w:ascii="Arial" w:cs="Arial" w:eastAsia="Arial" w:hAnsi="Arial"/>
                <w:sz w:val="15"/>
                <w:szCs w:val="15"/>
                <w:color w:val="auto"/>
              </w:rPr>
              <w:t>$</w:t>
            </w:r>
          </w:p>
        </w:tc>
        <w:tc>
          <w:tcPr>
            <w:tcW w:w="1240" w:type="dxa"/>
            <w:vAlign w:val="bottom"/>
          </w:tcPr>
          <w:p>
            <w:pPr>
              <w:jc w:val="right"/>
              <w:ind w:right="83"/>
              <w:spacing w:after="0" w:line="135" w:lineRule="exact"/>
              <w:rPr>
                <w:sz w:val="20"/>
                <w:szCs w:val="20"/>
                <w:color w:val="auto"/>
              </w:rPr>
            </w:pPr>
            <w:r>
              <w:rPr>
                <w:rFonts w:ascii="Arial" w:cs="Arial" w:eastAsia="Arial" w:hAnsi="Arial"/>
                <w:sz w:val="15"/>
                <w:szCs w:val="15"/>
                <w:color w:val="auto"/>
              </w:rPr>
              <w:t>249</w:t>
            </w:r>
          </w:p>
        </w:tc>
        <w:tc>
          <w:tcPr>
            <w:tcW w:w="1020" w:type="dxa"/>
            <w:vAlign w:val="bottom"/>
          </w:tcPr>
          <w:p>
            <w:pPr>
              <w:jc w:val="right"/>
              <w:spacing w:after="0" w:line="135" w:lineRule="exact"/>
              <w:rPr>
                <w:sz w:val="20"/>
                <w:szCs w:val="20"/>
                <w:color w:val="auto"/>
              </w:rPr>
            </w:pPr>
            <w:r>
              <w:rPr>
                <w:rFonts w:ascii="Arial" w:cs="Arial" w:eastAsia="Arial" w:hAnsi="Arial"/>
                <w:sz w:val="15"/>
                <w:szCs w:val="15"/>
                <w:color w:val="auto"/>
              </w:rPr>
              <w:t>17</w:t>
            </w:r>
          </w:p>
        </w:tc>
        <w:tc>
          <w:tcPr>
            <w:tcW w:w="1100" w:type="dxa"/>
            <w:vAlign w:val="bottom"/>
          </w:tcPr>
          <w:p>
            <w:pPr>
              <w:jc w:val="center"/>
              <w:ind w:right="764"/>
              <w:spacing w:after="0" w:line="135" w:lineRule="exact"/>
              <w:rPr>
                <w:sz w:val="20"/>
                <w:szCs w:val="20"/>
                <w:color w:val="auto"/>
              </w:rPr>
            </w:pPr>
            <w:r>
              <w:rPr>
                <w:rFonts w:ascii="Arial" w:cs="Arial" w:eastAsia="Arial" w:hAnsi="Arial"/>
                <w:sz w:val="15"/>
                <w:szCs w:val="15"/>
                <w:color w:val="auto"/>
              </w:rPr>
              <w:t>$</w:t>
            </w:r>
          </w:p>
        </w:tc>
        <w:tc>
          <w:tcPr>
            <w:tcW w:w="440" w:type="dxa"/>
            <w:vAlign w:val="bottom"/>
          </w:tcPr>
          <w:p>
            <w:pPr>
              <w:jc w:val="right"/>
              <w:ind w:right="62"/>
              <w:spacing w:after="0" w:line="135" w:lineRule="exact"/>
              <w:rPr>
                <w:sz w:val="20"/>
                <w:szCs w:val="20"/>
                <w:color w:val="auto"/>
              </w:rPr>
            </w:pPr>
            <w:r>
              <w:rPr>
                <w:rFonts w:ascii="Arial" w:cs="Arial" w:eastAsia="Arial" w:hAnsi="Arial"/>
                <w:sz w:val="15"/>
                <w:szCs w:val="15"/>
                <w:color w:val="auto"/>
              </w:rPr>
              <w:t>7</w:t>
            </w:r>
          </w:p>
        </w:tc>
        <w:tc>
          <w:tcPr>
            <w:tcW w:w="1000" w:type="dxa"/>
            <w:vAlign w:val="bottom"/>
          </w:tcPr>
          <w:p>
            <w:pPr>
              <w:jc w:val="right"/>
              <w:spacing w:after="0" w:line="135" w:lineRule="exact"/>
              <w:rPr>
                <w:sz w:val="20"/>
                <w:szCs w:val="20"/>
                <w:color w:val="auto"/>
              </w:rPr>
            </w:pPr>
            <w:r>
              <w:rPr>
                <w:rFonts w:ascii="Arial" w:cs="Arial" w:eastAsia="Arial" w:hAnsi="Arial"/>
                <w:sz w:val="15"/>
                <w:szCs w:val="15"/>
                <w:color w:val="auto"/>
              </w:rPr>
              <w:t>40</w:t>
            </w:r>
          </w:p>
        </w:tc>
        <w:tc>
          <w:tcPr>
            <w:tcW w:w="36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5"/>
                <w:szCs w:val="15"/>
                <w:color w:val="auto"/>
              </w:rPr>
              <w:t>256</w:t>
            </w:r>
          </w:p>
        </w:tc>
        <w:tc>
          <w:tcPr>
            <w:tcW w:w="0" w:type="dxa"/>
            <w:vAlign w:val="bottom"/>
          </w:tcPr>
          <w:p>
            <w:pPr>
              <w:spacing w:after="0"/>
              <w:rPr>
                <w:sz w:val="1"/>
                <w:szCs w:val="1"/>
                <w:color w:val="auto"/>
              </w:rPr>
            </w:pPr>
          </w:p>
        </w:tc>
      </w:tr>
      <w:tr>
        <w:trPr>
          <w:trHeight w:val="173"/>
        </w:trPr>
        <w:tc>
          <w:tcPr>
            <w:tcW w:w="3760" w:type="dxa"/>
            <w:vAlign w:val="bottom"/>
          </w:tcPr>
          <w:p>
            <w:pPr>
              <w:ind w:left="180"/>
              <w:spacing w:after="0" w:line="173" w:lineRule="exact"/>
              <w:rPr>
                <w:sz w:val="20"/>
                <w:szCs w:val="20"/>
                <w:color w:val="auto"/>
              </w:rPr>
            </w:pPr>
            <w:r>
              <w:rPr>
                <w:rFonts w:ascii="Arial" w:cs="Arial" w:eastAsia="Arial" w:hAnsi="Arial"/>
                <w:sz w:val="16"/>
                <w:szCs w:val="16"/>
                <w:color w:val="auto"/>
              </w:rPr>
              <w:t>Other revenues</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4"/>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6"/>
        </w:trPr>
        <w:tc>
          <w:tcPr>
            <w:tcW w:w="3760" w:type="dxa"/>
            <w:vAlign w:val="bottom"/>
          </w:tcPr>
          <w:p>
            <w:pPr>
              <w:ind w:left="360"/>
              <w:spacing w:after="0" w:line="166" w:lineRule="exact"/>
              <w:rPr>
                <w:sz w:val="20"/>
                <w:szCs w:val="20"/>
                <w:color w:val="auto"/>
              </w:rPr>
            </w:pPr>
            <w:r>
              <w:rPr>
                <w:rFonts w:ascii="Arial" w:cs="Arial" w:eastAsia="Arial" w:hAnsi="Arial"/>
                <w:sz w:val="16"/>
                <w:szCs w:val="16"/>
                <w:color w:val="auto"/>
              </w:rPr>
              <w:t>Total(2)</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jc w:val="center"/>
              <w:spacing w:after="0" w:line="166"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line="166" w:lineRule="exact"/>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80"/>
        </w:trPr>
        <w:tc>
          <w:tcPr>
            <w:tcW w:w="3760" w:type="dxa"/>
            <w:vAlign w:val="bottom"/>
            <w:shd w:val="clear" w:color="auto" w:fill="000000"/>
          </w:tcPr>
          <w:p>
            <w:pPr>
              <w:spacing w:after="0"/>
              <w:rPr>
                <w:sz w:val="6"/>
                <w:szCs w:val="6"/>
                <w:color w:val="auto"/>
              </w:rPr>
            </w:pPr>
          </w:p>
        </w:tc>
        <w:tc>
          <w:tcPr>
            <w:tcW w:w="112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124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100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3760" w:type="dxa"/>
            <w:vAlign w:val="bottom"/>
          </w:tcPr>
          <w:p>
            <w:pPr>
              <w:spacing w:after="0" w:line="142" w:lineRule="exact"/>
              <w:rPr>
                <w:sz w:val="20"/>
                <w:szCs w:val="20"/>
                <w:color w:val="auto"/>
              </w:rPr>
            </w:pPr>
            <w:r>
              <w:rPr>
                <w:rFonts w:ascii="Arial" w:cs="Arial" w:eastAsia="Arial" w:hAnsi="Arial"/>
                <w:sz w:val="16"/>
                <w:szCs w:val="16"/>
                <w:b w:val="1"/>
                <w:bCs w:val="1"/>
                <w:color w:val="auto"/>
              </w:rPr>
              <w:t>Six months ended June 30, 2013:</w:t>
            </w: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60" w:type="dxa"/>
            <w:vAlign w:val="bottom"/>
          </w:tcPr>
          <w:p>
            <w:pPr>
              <w:ind w:left="180"/>
              <w:spacing w:after="0" w:line="173" w:lineRule="exact"/>
              <w:rPr>
                <w:sz w:val="20"/>
                <w:szCs w:val="20"/>
                <w:color w:val="auto"/>
              </w:rPr>
            </w:pPr>
            <w:r>
              <w:rPr>
                <w:rFonts w:ascii="Arial" w:cs="Arial" w:eastAsia="Arial" w:hAnsi="Arial"/>
                <w:sz w:val="16"/>
                <w:szCs w:val="16"/>
                <w:color w:val="auto"/>
              </w:rPr>
              <w:t>Residential</w:t>
            </w:r>
          </w:p>
        </w:tc>
        <w:tc>
          <w:tcPr>
            <w:tcW w:w="1120" w:type="dxa"/>
            <w:vAlign w:val="bottom"/>
          </w:tcPr>
          <w:p>
            <w:pPr>
              <w:jc w:val="right"/>
              <w:spacing w:after="0" w:line="173" w:lineRule="exact"/>
              <w:rPr>
                <w:sz w:val="20"/>
                <w:szCs w:val="20"/>
                <w:color w:val="auto"/>
              </w:rPr>
            </w:pPr>
            <w:r>
              <w:rPr>
                <w:rFonts w:ascii="Arial" w:cs="Arial" w:eastAsia="Arial" w:hAnsi="Arial"/>
                <w:sz w:val="16"/>
                <w:szCs w:val="16"/>
                <w:color w:val="auto"/>
              </w:rPr>
              <w:t>19</w:t>
            </w:r>
          </w:p>
        </w:tc>
        <w:tc>
          <w:tcPr>
            <w:tcW w:w="280" w:type="dxa"/>
            <w:vAlign w:val="bottom"/>
          </w:tcPr>
          <w:p>
            <w:pPr>
              <w:jc w:val="center"/>
              <w:spacing w:after="0" w:line="173"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83"/>
              <w:spacing w:after="0" w:line="173" w:lineRule="exact"/>
              <w:rPr>
                <w:sz w:val="20"/>
                <w:szCs w:val="20"/>
                <w:color w:val="auto"/>
              </w:rPr>
            </w:pPr>
            <w:r>
              <w:rPr>
                <w:rFonts w:ascii="Arial" w:cs="Arial" w:eastAsia="Arial" w:hAnsi="Arial"/>
                <w:sz w:val="16"/>
                <w:szCs w:val="16"/>
                <w:color w:val="auto"/>
              </w:rPr>
              <w:t>198</w:t>
            </w: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100" w:type="dxa"/>
            <w:vAlign w:val="bottom"/>
          </w:tcPr>
          <w:p>
            <w:pPr>
              <w:jc w:val="center"/>
              <w:ind w:right="764"/>
              <w:spacing w:after="0" w:line="173"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62"/>
              <w:spacing w:after="0" w:line="173" w:lineRule="exact"/>
              <w:rPr>
                <w:sz w:val="20"/>
                <w:szCs w:val="20"/>
                <w:color w:val="auto"/>
              </w:rPr>
            </w:pPr>
            <w:r>
              <w:rPr>
                <w:rFonts w:ascii="Arial" w:cs="Arial" w:eastAsia="Arial" w:hAnsi="Arial"/>
                <w:sz w:val="16"/>
                <w:szCs w:val="16"/>
                <w:color w:val="auto"/>
              </w:rPr>
              <w:t>1</w:t>
            </w: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19</w:t>
            </w:r>
          </w:p>
        </w:tc>
        <w:tc>
          <w:tcPr>
            <w:tcW w:w="360" w:type="dxa"/>
            <w:vAlign w:val="bottom"/>
          </w:tcPr>
          <w:p>
            <w:pPr>
              <w:jc w:val="center"/>
              <w:spacing w:after="0" w:line="173"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173"/>
        </w:trPr>
        <w:tc>
          <w:tcPr>
            <w:tcW w:w="3760" w:type="dxa"/>
            <w:vAlign w:val="bottom"/>
          </w:tcPr>
          <w:p>
            <w:pPr>
              <w:ind w:left="180"/>
              <w:spacing w:after="0" w:line="173" w:lineRule="exact"/>
              <w:rPr>
                <w:sz w:val="20"/>
                <w:szCs w:val="20"/>
                <w:color w:val="auto"/>
              </w:rPr>
            </w:pPr>
            <w:r>
              <w:rPr>
                <w:rFonts w:ascii="Arial" w:cs="Arial" w:eastAsia="Arial" w:hAnsi="Arial"/>
                <w:sz w:val="16"/>
                <w:szCs w:val="16"/>
                <w:color w:val="auto"/>
              </w:rPr>
              <w:t>Commercial and industrial</w:t>
            </w:r>
          </w:p>
        </w:tc>
        <w:tc>
          <w:tcPr>
            <w:tcW w:w="1120" w:type="dxa"/>
            <w:vAlign w:val="bottom"/>
          </w:tcPr>
          <w:p>
            <w:pPr>
              <w:jc w:val="right"/>
              <w:spacing w:after="0" w:line="173" w:lineRule="exact"/>
              <w:rPr>
                <w:sz w:val="20"/>
                <w:szCs w:val="20"/>
                <w:color w:val="auto"/>
              </w:rPr>
            </w:pPr>
            <w:r>
              <w:rPr>
                <w:rFonts w:ascii="Arial" w:cs="Arial" w:eastAsia="Arial" w:hAnsi="Arial"/>
                <w:sz w:val="16"/>
                <w:szCs w:val="16"/>
                <w:color w:val="auto"/>
              </w:rPr>
              <w:t>8</w:t>
            </w:r>
          </w:p>
        </w:tc>
        <w:tc>
          <w:tcPr>
            <w:tcW w:w="280" w:type="dxa"/>
            <w:vAlign w:val="bottom"/>
          </w:tcPr>
          <w:p>
            <w:pPr>
              <w:spacing w:after="0"/>
              <w:rPr>
                <w:sz w:val="15"/>
                <w:szCs w:val="15"/>
                <w:color w:val="auto"/>
              </w:rPr>
            </w:pPr>
          </w:p>
        </w:tc>
        <w:tc>
          <w:tcPr>
            <w:tcW w:w="1240" w:type="dxa"/>
            <w:vAlign w:val="bottom"/>
          </w:tcPr>
          <w:p>
            <w:pPr>
              <w:jc w:val="right"/>
              <w:ind w:right="83"/>
              <w:spacing w:after="0" w:line="173" w:lineRule="exact"/>
              <w:rPr>
                <w:sz w:val="20"/>
                <w:szCs w:val="20"/>
                <w:color w:val="auto"/>
              </w:rPr>
            </w:pPr>
            <w:r>
              <w:rPr>
                <w:rFonts w:ascii="Arial" w:cs="Arial" w:eastAsia="Arial" w:hAnsi="Arial"/>
                <w:sz w:val="16"/>
                <w:szCs w:val="16"/>
                <w:color w:val="auto"/>
              </w:rPr>
              <w:t>54</w:t>
            </w:r>
          </w:p>
        </w:tc>
        <w:tc>
          <w:tcPr>
            <w:tcW w:w="1020" w:type="dxa"/>
            <w:vAlign w:val="bottom"/>
          </w:tcPr>
          <w:p>
            <w:pPr>
              <w:jc w:val="right"/>
              <w:spacing w:after="0" w:line="173" w:lineRule="exact"/>
              <w:rPr>
                <w:sz w:val="20"/>
                <w:szCs w:val="20"/>
                <w:color w:val="auto"/>
              </w:rPr>
            </w:pPr>
            <w:r>
              <w:rPr>
                <w:rFonts w:ascii="Arial" w:cs="Arial" w:eastAsia="Arial" w:hAnsi="Arial"/>
                <w:sz w:val="16"/>
                <w:szCs w:val="16"/>
                <w:color w:val="auto"/>
              </w:rPr>
              <w:t>5</w:t>
            </w:r>
          </w:p>
        </w:tc>
        <w:tc>
          <w:tcPr>
            <w:tcW w:w="1100" w:type="dxa"/>
            <w:vAlign w:val="bottom"/>
          </w:tcPr>
          <w:p>
            <w:pPr>
              <w:spacing w:after="0"/>
              <w:rPr>
                <w:sz w:val="15"/>
                <w:szCs w:val="15"/>
                <w:color w:val="auto"/>
              </w:rPr>
            </w:pPr>
          </w:p>
        </w:tc>
        <w:tc>
          <w:tcPr>
            <w:tcW w:w="440" w:type="dxa"/>
            <w:vAlign w:val="bottom"/>
          </w:tcPr>
          <w:p>
            <w:pPr>
              <w:jc w:val="right"/>
              <w:ind w:right="62"/>
              <w:spacing w:after="0" w:line="173" w:lineRule="exact"/>
              <w:rPr>
                <w:sz w:val="20"/>
                <w:szCs w:val="20"/>
                <w:color w:val="auto"/>
              </w:rPr>
            </w:pPr>
            <w:r>
              <w:rPr>
                <w:rFonts w:ascii="Arial" w:cs="Arial" w:eastAsia="Arial" w:hAnsi="Arial"/>
                <w:sz w:val="16"/>
                <w:szCs w:val="16"/>
                <w:color w:val="auto"/>
              </w:rPr>
              <w:t>6</w:t>
            </w: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13</w:t>
            </w:r>
          </w:p>
        </w:tc>
        <w:tc>
          <w:tcPr>
            <w:tcW w:w="36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4"/>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Arial" w:cs="Arial" w:eastAsia="Arial" w:hAnsi="Arial"/>
                <w:sz w:val="15"/>
                <w:szCs w:val="15"/>
                <w:color w:val="auto"/>
              </w:rPr>
              <w:t>27</w:t>
            </w:r>
          </w:p>
        </w:tc>
        <w:tc>
          <w:tcPr>
            <w:tcW w:w="280" w:type="dxa"/>
            <w:vAlign w:val="bottom"/>
          </w:tcPr>
          <w:p>
            <w:pPr>
              <w:jc w:val="center"/>
              <w:spacing w:after="0" w:line="135" w:lineRule="exact"/>
              <w:rPr>
                <w:sz w:val="20"/>
                <w:szCs w:val="20"/>
                <w:color w:val="auto"/>
              </w:rPr>
            </w:pPr>
            <w:r>
              <w:rPr>
                <w:rFonts w:ascii="Arial" w:cs="Arial" w:eastAsia="Arial" w:hAnsi="Arial"/>
                <w:sz w:val="15"/>
                <w:szCs w:val="15"/>
                <w:color w:val="auto"/>
              </w:rPr>
              <w:t>$</w:t>
            </w:r>
          </w:p>
        </w:tc>
        <w:tc>
          <w:tcPr>
            <w:tcW w:w="1240" w:type="dxa"/>
            <w:vAlign w:val="bottom"/>
          </w:tcPr>
          <w:p>
            <w:pPr>
              <w:jc w:val="right"/>
              <w:ind w:right="83"/>
              <w:spacing w:after="0" w:line="135" w:lineRule="exact"/>
              <w:rPr>
                <w:sz w:val="20"/>
                <w:szCs w:val="20"/>
                <w:color w:val="auto"/>
              </w:rPr>
            </w:pPr>
            <w:r>
              <w:rPr>
                <w:rFonts w:ascii="Arial" w:cs="Arial" w:eastAsia="Arial" w:hAnsi="Arial"/>
                <w:sz w:val="15"/>
                <w:szCs w:val="15"/>
                <w:color w:val="auto"/>
              </w:rPr>
              <w:t>252</w:t>
            </w:r>
          </w:p>
        </w:tc>
        <w:tc>
          <w:tcPr>
            <w:tcW w:w="1020" w:type="dxa"/>
            <w:vAlign w:val="bottom"/>
          </w:tcPr>
          <w:p>
            <w:pPr>
              <w:jc w:val="right"/>
              <w:spacing w:after="0" w:line="135" w:lineRule="exact"/>
              <w:rPr>
                <w:sz w:val="20"/>
                <w:szCs w:val="20"/>
                <w:color w:val="auto"/>
              </w:rPr>
            </w:pPr>
            <w:r>
              <w:rPr>
                <w:rFonts w:ascii="Arial" w:cs="Arial" w:eastAsia="Arial" w:hAnsi="Arial"/>
                <w:sz w:val="15"/>
                <w:szCs w:val="15"/>
                <w:color w:val="auto"/>
              </w:rPr>
              <w:t>17</w:t>
            </w:r>
          </w:p>
        </w:tc>
        <w:tc>
          <w:tcPr>
            <w:tcW w:w="1100" w:type="dxa"/>
            <w:vAlign w:val="bottom"/>
          </w:tcPr>
          <w:p>
            <w:pPr>
              <w:jc w:val="center"/>
              <w:ind w:right="764"/>
              <w:spacing w:after="0" w:line="135" w:lineRule="exact"/>
              <w:rPr>
                <w:sz w:val="20"/>
                <w:szCs w:val="20"/>
                <w:color w:val="auto"/>
              </w:rPr>
            </w:pPr>
            <w:r>
              <w:rPr>
                <w:rFonts w:ascii="Arial" w:cs="Arial" w:eastAsia="Arial" w:hAnsi="Arial"/>
                <w:sz w:val="15"/>
                <w:szCs w:val="15"/>
                <w:color w:val="auto"/>
              </w:rPr>
              <w:t>$</w:t>
            </w:r>
          </w:p>
        </w:tc>
        <w:tc>
          <w:tcPr>
            <w:tcW w:w="440" w:type="dxa"/>
            <w:vAlign w:val="bottom"/>
          </w:tcPr>
          <w:p>
            <w:pPr>
              <w:jc w:val="right"/>
              <w:ind w:right="62"/>
              <w:spacing w:after="0" w:line="135" w:lineRule="exact"/>
              <w:rPr>
                <w:sz w:val="20"/>
                <w:szCs w:val="20"/>
                <w:color w:val="auto"/>
              </w:rPr>
            </w:pPr>
            <w:r>
              <w:rPr>
                <w:rFonts w:ascii="Arial" w:cs="Arial" w:eastAsia="Arial" w:hAnsi="Arial"/>
                <w:sz w:val="15"/>
                <w:szCs w:val="15"/>
                <w:color w:val="auto"/>
              </w:rPr>
              <w:t>14</w:t>
            </w:r>
          </w:p>
        </w:tc>
        <w:tc>
          <w:tcPr>
            <w:tcW w:w="1000" w:type="dxa"/>
            <w:vAlign w:val="bottom"/>
          </w:tcPr>
          <w:p>
            <w:pPr>
              <w:jc w:val="right"/>
              <w:spacing w:after="0" w:line="135" w:lineRule="exact"/>
              <w:rPr>
                <w:sz w:val="20"/>
                <w:szCs w:val="20"/>
                <w:color w:val="auto"/>
              </w:rPr>
            </w:pPr>
            <w:r>
              <w:rPr>
                <w:rFonts w:ascii="Arial" w:cs="Arial" w:eastAsia="Arial" w:hAnsi="Arial"/>
                <w:sz w:val="15"/>
                <w:szCs w:val="15"/>
                <w:color w:val="auto"/>
              </w:rPr>
              <w:t>44</w:t>
            </w:r>
          </w:p>
        </w:tc>
        <w:tc>
          <w:tcPr>
            <w:tcW w:w="36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5"/>
                <w:szCs w:val="15"/>
                <w:color w:val="auto"/>
              </w:rPr>
              <w:t>266</w:t>
            </w:r>
          </w:p>
        </w:tc>
        <w:tc>
          <w:tcPr>
            <w:tcW w:w="0" w:type="dxa"/>
            <w:vAlign w:val="bottom"/>
          </w:tcPr>
          <w:p>
            <w:pPr>
              <w:spacing w:after="0"/>
              <w:rPr>
                <w:sz w:val="1"/>
                <w:szCs w:val="1"/>
                <w:color w:val="auto"/>
              </w:rPr>
            </w:pPr>
          </w:p>
        </w:tc>
      </w:tr>
      <w:tr>
        <w:trPr>
          <w:trHeight w:val="173"/>
        </w:trPr>
        <w:tc>
          <w:tcPr>
            <w:tcW w:w="3760" w:type="dxa"/>
            <w:vAlign w:val="bottom"/>
          </w:tcPr>
          <w:p>
            <w:pPr>
              <w:ind w:left="180"/>
              <w:spacing w:after="0" w:line="173" w:lineRule="exact"/>
              <w:rPr>
                <w:sz w:val="20"/>
                <w:szCs w:val="20"/>
                <w:color w:val="auto"/>
              </w:rPr>
            </w:pPr>
            <w:r>
              <w:rPr>
                <w:rFonts w:ascii="Arial" w:cs="Arial" w:eastAsia="Arial" w:hAnsi="Arial"/>
                <w:sz w:val="16"/>
                <w:szCs w:val="16"/>
                <w:color w:val="auto"/>
              </w:rPr>
              <w:t>Other revenues</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4"/>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6"/>
        </w:trPr>
        <w:tc>
          <w:tcPr>
            <w:tcW w:w="3760" w:type="dxa"/>
            <w:vAlign w:val="bottom"/>
          </w:tcPr>
          <w:p>
            <w:pPr>
              <w:ind w:left="360"/>
              <w:spacing w:after="0" w:line="166" w:lineRule="exact"/>
              <w:rPr>
                <w:sz w:val="20"/>
                <w:szCs w:val="20"/>
                <w:color w:val="auto"/>
              </w:rPr>
            </w:pPr>
            <w:r>
              <w:rPr>
                <w:rFonts w:ascii="Arial" w:cs="Arial" w:eastAsia="Arial" w:hAnsi="Arial"/>
                <w:sz w:val="16"/>
                <w:szCs w:val="16"/>
                <w:color w:val="auto"/>
              </w:rPr>
              <w:t>Total(2)</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jc w:val="center"/>
              <w:spacing w:after="0" w:line="166"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line="166" w:lineRule="exact"/>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80"/>
        </w:trPr>
        <w:tc>
          <w:tcPr>
            <w:tcW w:w="3760" w:type="dxa"/>
            <w:vAlign w:val="bottom"/>
            <w:shd w:val="clear" w:color="auto" w:fill="000000"/>
          </w:tcPr>
          <w:p>
            <w:pPr>
              <w:spacing w:after="0"/>
              <w:rPr>
                <w:sz w:val="6"/>
                <w:szCs w:val="6"/>
                <w:color w:val="auto"/>
              </w:rPr>
            </w:pPr>
          </w:p>
        </w:tc>
        <w:tc>
          <w:tcPr>
            <w:tcW w:w="112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124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100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480" w:hanging="474"/>
        <w:spacing w:after="0"/>
        <w:tabs>
          <w:tab w:leader="none" w:pos="480" w:val="left"/>
        </w:tabs>
        <w:numPr>
          <w:ilvl w:val="0"/>
          <w:numId w:val="102"/>
        </w:numPr>
        <w:rPr>
          <w:rFonts w:ascii="Arial" w:cs="Arial" w:eastAsia="Arial" w:hAnsi="Arial"/>
          <w:sz w:val="14"/>
          <w:szCs w:val="14"/>
          <w:i w:val="1"/>
          <w:iCs w:val="1"/>
          <w:color w:val="auto"/>
        </w:rPr>
      </w:pPr>
      <w:r>
        <w:rPr>
          <w:rFonts w:ascii="Arial" w:cs="Arial" w:eastAsia="Arial" w:hAnsi="Arial"/>
          <w:sz w:val="14"/>
          <w:szCs w:val="14"/>
          <w:i w:val="1"/>
          <w:iCs w:val="1"/>
          <w:color w:val="auto"/>
        </w:rPr>
        <w:t>Lower electric generation plants revenue in 2014 compared to 2013 is due to refunds of previous overcollections to adjust forecasted rates to actual.</w:t>
      </w:r>
    </w:p>
    <w:p>
      <w:pPr>
        <w:spacing w:after="0" w:line="3" w:lineRule="exact"/>
        <w:rPr>
          <w:rFonts w:ascii="Arial" w:cs="Arial" w:eastAsia="Arial" w:hAnsi="Arial"/>
          <w:sz w:val="14"/>
          <w:szCs w:val="14"/>
          <w:i w:val="1"/>
          <w:iCs w:val="1"/>
          <w:color w:val="auto"/>
        </w:rPr>
      </w:pPr>
    </w:p>
    <w:p>
      <w:pPr>
        <w:ind w:left="480" w:hanging="474"/>
        <w:spacing w:after="0"/>
        <w:tabs>
          <w:tab w:leader="none" w:pos="480" w:val="left"/>
        </w:tabs>
        <w:numPr>
          <w:ilvl w:val="0"/>
          <w:numId w:val="10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$1 million in both 2014 and 2013.</w:t>
      </w:r>
    </w:p>
    <w:p>
      <w:pPr>
        <w:spacing w:after="0" w:line="17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During the three months ended June 30, 2014, SDG&amp;E’s natural gas revenues decreased by $6 million (5%) to $115 million, while the cost of natural gas sold increased by $6 million (13%) to $51 million. The decrease in revenues was primarily due to:</w:t>
      </w:r>
    </w:p>
    <w:p>
      <w:pPr>
        <w:spacing w:after="0" w:line="164" w:lineRule="exact"/>
        <w:rPr>
          <w:sz w:val="20"/>
          <w:szCs w:val="20"/>
          <w:color w:val="auto"/>
        </w:rPr>
      </w:pPr>
    </w:p>
    <w:p>
      <w:pPr>
        <w:ind w:left="320" w:hanging="172"/>
        <w:spacing w:after="0" w:line="275" w:lineRule="auto"/>
        <w:tabs>
          <w:tab w:leader="none" w:pos="3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 million from the retroactive application of the 2012 GRC decision, recorded in the second quarter of 2013, for the period from January 2012 through March 2013; </w:t>
      </w:r>
      <w:r>
        <w:rPr>
          <w:rFonts w:ascii="Times New Roman" w:cs="Times New Roman" w:eastAsia="Times New Roman" w:hAnsi="Times New Roman"/>
          <w:sz w:val="18"/>
          <w:szCs w:val="18"/>
          <w:b w:val="1"/>
          <w:bCs w:val="1"/>
          <w:color w:val="auto"/>
        </w:rPr>
        <w:t>offset by</w:t>
      </w:r>
    </w:p>
    <w:p>
      <w:pPr>
        <w:spacing w:after="0" w:line="190"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 of natural gas sold, as we discuss below.</w:t>
      </w:r>
    </w:p>
    <w:p>
      <w:pPr>
        <w:spacing w:after="0" w:line="245"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SDG&amp;E’s average cost of natural gas for the three months ended June 30, 2014 was $5.83 per thousand cubic feet (Mcf) compared to $4.67 per Mcf for the corresponding period in 2013, a 25-percent increase of $1.16 per Mcf, resulting in higher revenues and cost of $10 million. The increase in the cost of natural gas sold was offset by lower sales volumes, which resulted in lower revenues and cost of $4 million.</w:t>
      </w:r>
    </w:p>
    <w:p>
      <w:pPr>
        <w:spacing w:after="0" w:line="178"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During the six months ended June 30, 2014, SDG&amp;E’s natural gas revenues increased by $3 million (1%) to $291 million, and the cost of natural gas increased by $5 million (4%) to $126 million. The increase in revenues was primarily due to:</w:t>
      </w:r>
    </w:p>
    <w:p>
      <w:pPr>
        <w:spacing w:after="0" w:line="164" w:lineRule="exact"/>
        <w:rPr>
          <w:sz w:val="20"/>
          <w:szCs w:val="20"/>
          <w:color w:val="auto"/>
        </w:rPr>
      </w:pPr>
    </w:p>
    <w:p>
      <w:pPr>
        <w:ind w:left="320" w:hanging="172"/>
        <w:spacing w:after="0"/>
        <w:tabs>
          <w:tab w:leader="none" w:pos="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 of natural gas sold, offset by lower demand, as we discuss below; and</w:t>
      </w:r>
    </w:p>
    <w:p>
      <w:pPr>
        <w:spacing w:after="0" w:line="242"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 million increase in authorized revenues from 2014 attrition;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from the retroactive application of the 2012 GRC decision, recorded in the second quarter of 2013, for the period from January 2012 through December 2012.</w:t>
      </w:r>
    </w:p>
    <w:p>
      <w:pPr>
        <w:spacing w:after="0" w:line="19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SDG&amp;E’s average cost of natural gas for the six months ended June 30, 2014 was $5.50 per Mcf compared to $4.36 per Mcf for the corresponding period in 2013, a 26-percent increase of $1.14 per Mcf, resulting in higher revenues and cost of $26 million. The increase in the cost of natural gas sold was offset by lower demand for natural gas primarily from a warmer winter in 2014 compared to the same period in 2013, which resulted in lower revenues and cost of $21 million.</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60" w:type="dxa"/>
            <w:vAlign w:val="bottom"/>
          </w:tcPr>
          <w:p>
            <w:pPr>
              <w:spacing w:after="0"/>
              <w:rPr>
                <w:sz w:val="20"/>
                <w:szCs w:val="20"/>
                <w:color w:val="auto"/>
              </w:rPr>
            </w:pPr>
            <w:r>
              <w:rPr>
                <w:rFonts w:ascii="Arial" w:cs="Arial" w:eastAsia="Arial" w:hAnsi="Arial"/>
                <w:sz w:val="14"/>
                <w:szCs w:val="14"/>
                <w:i w:val="1"/>
                <w:iCs w:val="1"/>
                <w:color w:val="auto"/>
              </w:rPr>
              <w:t>(Volumes in billion cubic feet, dollars in millions)</w:t>
            </w:r>
          </w:p>
        </w:tc>
        <w:tc>
          <w:tcPr>
            <w:tcW w:w="2640" w:type="dxa"/>
            <w:vAlign w:val="bottom"/>
            <w:gridSpan w:val="3"/>
            <w:vMerge w:val="restart"/>
          </w:tcPr>
          <w:p>
            <w:pPr>
              <w:jc w:val="right"/>
              <w:ind w:right="742"/>
              <w:spacing w:after="0"/>
              <w:rPr>
                <w:sz w:val="20"/>
                <w:szCs w:val="20"/>
                <w:color w:val="auto"/>
              </w:rPr>
            </w:pPr>
            <w:r>
              <w:rPr>
                <w:rFonts w:ascii="Arial" w:cs="Arial" w:eastAsia="Arial" w:hAnsi="Arial"/>
                <w:sz w:val="14"/>
                <w:szCs w:val="14"/>
                <w:color w:val="auto"/>
              </w:rPr>
              <w:t>Natural Gas Sales</w:t>
            </w:r>
          </w:p>
        </w:tc>
        <w:tc>
          <w:tcPr>
            <w:tcW w:w="2060" w:type="dxa"/>
            <w:vAlign w:val="bottom"/>
            <w:gridSpan w:val="2"/>
            <w:vMerge w:val="restart"/>
          </w:tcPr>
          <w:p>
            <w:pPr>
              <w:jc w:val="right"/>
              <w:ind w:right="384"/>
              <w:spacing w:after="0"/>
              <w:rPr>
                <w:sz w:val="20"/>
                <w:szCs w:val="20"/>
                <w:color w:val="auto"/>
              </w:rPr>
            </w:pPr>
            <w:r>
              <w:rPr>
                <w:rFonts w:ascii="Arial" w:cs="Arial" w:eastAsia="Arial" w:hAnsi="Arial"/>
                <w:sz w:val="14"/>
                <w:szCs w:val="14"/>
                <w:color w:val="auto"/>
              </w:rPr>
              <w:t>Transportation</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760" w:type="dxa"/>
            <w:vAlign w:val="bottom"/>
            <w:vMerge w:val="restart"/>
          </w:tcPr>
          <w:p>
            <w:pPr>
              <w:spacing w:after="0"/>
              <w:rPr>
                <w:sz w:val="20"/>
                <w:szCs w:val="20"/>
                <w:color w:val="auto"/>
              </w:rPr>
            </w:pPr>
            <w:r>
              <w:rPr>
                <w:rFonts w:ascii="Arial" w:cs="Arial" w:eastAsia="Arial" w:hAnsi="Arial"/>
                <w:sz w:val="14"/>
                <w:szCs w:val="14"/>
                <w:color w:val="auto"/>
              </w:rPr>
              <w:t>Customer class</w:t>
            </w:r>
          </w:p>
        </w:tc>
        <w:tc>
          <w:tcPr>
            <w:tcW w:w="2640" w:type="dxa"/>
            <w:vAlign w:val="bottom"/>
            <w:tcBorders>
              <w:bottom w:val="single" w:sz="8" w:color="auto"/>
            </w:tcBorders>
            <w:gridSpan w:val="3"/>
            <w:vMerge w:val="continue"/>
          </w:tcPr>
          <w:p>
            <w:pPr>
              <w:spacing w:after="0"/>
              <w:rPr>
                <w:sz w:val="10"/>
                <w:szCs w:val="10"/>
                <w:color w:val="auto"/>
              </w:rPr>
            </w:pPr>
          </w:p>
        </w:tc>
        <w:tc>
          <w:tcPr>
            <w:tcW w:w="2060" w:type="dxa"/>
            <w:vAlign w:val="bottom"/>
            <w:tcBorders>
              <w:bottom w:val="single" w:sz="8" w:color="auto"/>
            </w:tcBorders>
            <w:gridSpan w:val="2"/>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vMerge w:val="continue"/>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76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tcPr>
          <w:p>
            <w:pPr>
              <w:jc w:val="right"/>
              <w:ind w:right="203"/>
              <w:spacing w:after="0" w:line="153" w:lineRule="exact"/>
              <w:rPr>
                <w:sz w:val="20"/>
                <w:szCs w:val="20"/>
                <w:color w:val="auto"/>
              </w:rPr>
            </w:pPr>
            <w:r>
              <w:rPr>
                <w:rFonts w:ascii="Arial" w:cs="Arial" w:eastAsia="Arial" w:hAnsi="Arial"/>
                <w:sz w:val="14"/>
                <w:szCs w:val="14"/>
                <w:color w:val="auto"/>
              </w:rPr>
              <w:t>Volumes</w:t>
            </w: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82"/>
              <w:spacing w:after="0" w:line="153" w:lineRule="exact"/>
              <w:rPr>
                <w:sz w:val="20"/>
                <w:szCs w:val="20"/>
                <w:color w:val="auto"/>
              </w:rPr>
            </w:pPr>
            <w:r>
              <w:rPr>
                <w:rFonts w:ascii="Arial" w:cs="Arial" w:eastAsia="Arial" w:hAnsi="Arial"/>
                <w:sz w:val="14"/>
                <w:szCs w:val="14"/>
                <w:color w:val="auto"/>
              </w:rPr>
              <w:t>Revenue</w:t>
            </w:r>
          </w:p>
        </w:tc>
        <w:tc>
          <w:tcPr>
            <w:tcW w:w="980" w:type="dxa"/>
            <w:vAlign w:val="bottom"/>
            <w:tcBorders>
              <w:bottom w:val="single" w:sz="8" w:color="auto"/>
            </w:tcBorders>
          </w:tcPr>
          <w:p>
            <w:pPr>
              <w:jc w:val="right"/>
              <w:ind w:right="203"/>
              <w:spacing w:after="0" w:line="153" w:lineRule="exact"/>
              <w:rPr>
                <w:sz w:val="20"/>
                <w:szCs w:val="20"/>
                <w:color w:val="auto"/>
              </w:rPr>
            </w:pPr>
            <w:r>
              <w:rPr>
                <w:rFonts w:ascii="Arial" w:cs="Arial" w:eastAsia="Arial" w:hAnsi="Arial"/>
                <w:sz w:val="14"/>
                <w:szCs w:val="14"/>
                <w:color w:val="auto"/>
              </w:rPr>
              <w:t>Volumes</w:t>
            </w:r>
          </w:p>
        </w:tc>
        <w:tc>
          <w:tcPr>
            <w:tcW w:w="1080" w:type="dxa"/>
            <w:vAlign w:val="bottom"/>
            <w:tcBorders>
              <w:bottom w:val="single" w:sz="8" w:color="auto"/>
            </w:tcBorders>
          </w:tcPr>
          <w:p>
            <w:pPr>
              <w:jc w:val="right"/>
              <w:ind w:right="4"/>
              <w:spacing w:after="0" w:line="153" w:lineRule="exact"/>
              <w:rPr>
                <w:sz w:val="20"/>
                <w:szCs w:val="20"/>
                <w:color w:val="auto"/>
              </w:rPr>
            </w:pPr>
            <w:r>
              <w:rPr>
                <w:rFonts w:ascii="Arial" w:cs="Arial" w:eastAsia="Arial" w:hAnsi="Arial"/>
                <w:sz w:val="14"/>
                <w:szCs w:val="14"/>
                <w:color w:val="auto"/>
              </w:rPr>
              <w:t>Revenue</w:t>
            </w:r>
          </w:p>
        </w:tc>
        <w:tc>
          <w:tcPr>
            <w:tcW w:w="5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02"/>
              <w:spacing w:after="0" w:line="153" w:lineRule="exact"/>
              <w:rPr>
                <w:sz w:val="20"/>
                <w:szCs w:val="20"/>
                <w:color w:val="auto"/>
              </w:rPr>
            </w:pPr>
            <w:r>
              <w:rPr>
                <w:rFonts w:ascii="Arial" w:cs="Arial" w:eastAsia="Arial" w:hAnsi="Arial"/>
                <w:sz w:val="14"/>
                <w:szCs w:val="14"/>
                <w:color w:val="auto"/>
              </w:rPr>
              <w:t>Volumes</w:t>
            </w: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81"/>
              <w:spacing w:after="0" w:line="153" w:lineRule="exact"/>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41"/>
        </w:trPr>
        <w:tc>
          <w:tcPr>
            <w:tcW w:w="3760" w:type="dxa"/>
            <w:vAlign w:val="bottom"/>
          </w:tcPr>
          <w:p>
            <w:pPr>
              <w:spacing w:after="0" w:line="142" w:lineRule="exact"/>
              <w:rPr>
                <w:sz w:val="20"/>
                <w:szCs w:val="20"/>
                <w:color w:val="auto"/>
              </w:rPr>
            </w:pPr>
            <w:r>
              <w:rPr>
                <w:rFonts w:ascii="Arial" w:cs="Arial" w:eastAsia="Arial" w:hAnsi="Arial"/>
                <w:sz w:val="16"/>
                <w:szCs w:val="16"/>
                <w:b w:val="1"/>
                <w:bCs w:val="1"/>
                <w:color w:val="auto"/>
              </w:rPr>
              <w:t>Six months ended June 30, 2014:</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60" w:type="dxa"/>
            <w:vAlign w:val="bottom"/>
          </w:tcPr>
          <w:p>
            <w:pPr>
              <w:ind w:left="180"/>
              <w:spacing w:after="0" w:line="173" w:lineRule="exact"/>
              <w:rPr>
                <w:sz w:val="20"/>
                <w:szCs w:val="20"/>
                <w:color w:val="auto"/>
              </w:rPr>
            </w:pPr>
            <w:r>
              <w:rPr>
                <w:rFonts w:ascii="Arial" w:cs="Arial" w:eastAsia="Arial" w:hAnsi="Arial"/>
                <w:sz w:val="16"/>
                <w:szCs w:val="16"/>
                <w:color w:val="auto"/>
              </w:rPr>
              <w:t>Residential</w:t>
            </w: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109</w:t>
            </w:r>
          </w:p>
        </w:tc>
        <w:tc>
          <w:tcPr>
            <w:tcW w:w="260" w:type="dxa"/>
            <w:vAlign w:val="bottom"/>
          </w:tcPr>
          <w:p>
            <w:pPr>
              <w:jc w:val="right"/>
              <w:ind w:right="83"/>
              <w:spacing w:after="0" w:line="173"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2"/>
              <w:spacing w:after="0" w:line="173" w:lineRule="exact"/>
              <w:rPr>
                <w:sz w:val="20"/>
                <w:szCs w:val="20"/>
                <w:color w:val="auto"/>
              </w:rPr>
            </w:pPr>
            <w:r>
              <w:rPr>
                <w:rFonts w:ascii="Arial" w:cs="Arial" w:eastAsia="Arial" w:hAnsi="Arial"/>
                <w:sz w:val="16"/>
                <w:szCs w:val="16"/>
                <w:color w:val="auto"/>
              </w:rPr>
              <w:t>1,189</w:t>
            </w:r>
          </w:p>
        </w:tc>
        <w:tc>
          <w:tcPr>
            <w:tcW w:w="98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1080" w:type="dxa"/>
            <w:vAlign w:val="bottom"/>
          </w:tcPr>
          <w:p>
            <w:pPr>
              <w:jc w:val="right"/>
              <w:ind w:right="904"/>
              <w:spacing w:after="0" w:line="173" w:lineRule="exact"/>
              <w:rPr>
                <w:sz w:val="20"/>
                <w:szCs w:val="20"/>
                <w:color w:val="auto"/>
              </w:rPr>
            </w:pPr>
            <w:r>
              <w:rPr>
                <w:rFonts w:ascii="Arial" w:cs="Arial" w:eastAsia="Arial" w:hAnsi="Arial"/>
                <w:sz w:val="16"/>
                <w:szCs w:val="16"/>
                <w:color w:val="auto"/>
                <w:w w:val="89"/>
              </w:rPr>
              <w:t>$</w:t>
            </w:r>
          </w:p>
        </w:tc>
        <w:tc>
          <w:tcPr>
            <w:tcW w:w="500" w:type="dxa"/>
            <w:vAlign w:val="bottom"/>
          </w:tcPr>
          <w:p>
            <w:pPr>
              <w:jc w:val="right"/>
              <w:ind w:right="61"/>
              <w:spacing w:after="0" w:line="173" w:lineRule="exact"/>
              <w:rPr>
                <w:sz w:val="20"/>
                <w:szCs w:val="20"/>
                <w:color w:val="auto"/>
              </w:rPr>
            </w:pPr>
            <w:r>
              <w:rPr>
                <w:rFonts w:ascii="Arial" w:cs="Arial" w:eastAsia="Arial" w:hAnsi="Arial"/>
                <w:sz w:val="16"/>
                <w:szCs w:val="16"/>
                <w:color w:val="auto"/>
              </w:rPr>
              <w:t>6</w:t>
            </w:r>
          </w:p>
        </w:tc>
        <w:tc>
          <w:tcPr>
            <w:tcW w:w="980" w:type="dxa"/>
            <w:vAlign w:val="bottom"/>
          </w:tcPr>
          <w:p>
            <w:pPr>
              <w:jc w:val="right"/>
              <w:spacing w:after="0" w:line="173" w:lineRule="exact"/>
              <w:rPr>
                <w:sz w:val="20"/>
                <w:szCs w:val="20"/>
                <w:color w:val="auto"/>
              </w:rPr>
            </w:pPr>
            <w:r>
              <w:rPr>
                <w:rFonts w:ascii="Arial" w:cs="Arial" w:eastAsia="Arial" w:hAnsi="Arial"/>
                <w:sz w:val="16"/>
                <w:szCs w:val="16"/>
                <w:color w:val="auto"/>
              </w:rPr>
              <w:t>110</w:t>
            </w:r>
          </w:p>
        </w:tc>
        <w:tc>
          <w:tcPr>
            <w:tcW w:w="380" w:type="dxa"/>
            <w:vAlign w:val="bottom"/>
            <w:gridSpan w:val="2"/>
          </w:tcPr>
          <w:p>
            <w:pPr>
              <w:ind w:left="20"/>
              <w:spacing w:after="0" w:line="173"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173"/>
        </w:trPr>
        <w:tc>
          <w:tcPr>
            <w:tcW w:w="3760" w:type="dxa"/>
            <w:vAlign w:val="bottom"/>
          </w:tcPr>
          <w:p>
            <w:pPr>
              <w:ind w:left="180"/>
              <w:spacing w:after="0" w:line="173" w:lineRule="exact"/>
              <w:rPr>
                <w:sz w:val="20"/>
                <w:szCs w:val="20"/>
                <w:color w:val="auto"/>
              </w:rPr>
            </w:pPr>
            <w:r>
              <w:rPr>
                <w:rFonts w:ascii="Arial" w:cs="Arial" w:eastAsia="Arial" w:hAnsi="Arial"/>
                <w:sz w:val="16"/>
                <w:szCs w:val="16"/>
                <w:color w:val="auto"/>
              </w:rPr>
              <w:t>Commercial and industrial</w:t>
            </w: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48</w:t>
            </w:r>
          </w:p>
        </w:tc>
        <w:tc>
          <w:tcPr>
            <w:tcW w:w="260" w:type="dxa"/>
            <w:vAlign w:val="bottom"/>
          </w:tcPr>
          <w:p>
            <w:pPr>
              <w:spacing w:after="0"/>
              <w:rPr>
                <w:sz w:val="15"/>
                <w:szCs w:val="15"/>
                <w:color w:val="auto"/>
              </w:rPr>
            </w:pPr>
          </w:p>
        </w:tc>
        <w:tc>
          <w:tcPr>
            <w:tcW w:w="1300" w:type="dxa"/>
            <w:vAlign w:val="bottom"/>
          </w:tcPr>
          <w:p>
            <w:pPr>
              <w:jc w:val="right"/>
              <w:ind w:right="82"/>
              <w:spacing w:after="0" w:line="173" w:lineRule="exact"/>
              <w:rPr>
                <w:sz w:val="20"/>
                <w:szCs w:val="20"/>
                <w:color w:val="auto"/>
              </w:rPr>
            </w:pPr>
            <w:r>
              <w:rPr>
                <w:rFonts w:ascii="Arial" w:cs="Arial" w:eastAsia="Arial" w:hAnsi="Arial"/>
                <w:sz w:val="16"/>
                <w:szCs w:val="16"/>
                <w:color w:val="auto"/>
              </w:rPr>
              <w:t>411</w:t>
            </w:r>
          </w:p>
        </w:tc>
        <w:tc>
          <w:tcPr>
            <w:tcW w:w="980" w:type="dxa"/>
            <w:vAlign w:val="bottom"/>
          </w:tcPr>
          <w:p>
            <w:pPr>
              <w:jc w:val="right"/>
              <w:spacing w:after="0" w:line="173" w:lineRule="exact"/>
              <w:rPr>
                <w:sz w:val="20"/>
                <w:szCs w:val="20"/>
                <w:color w:val="auto"/>
              </w:rPr>
            </w:pPr>
            <w:r>
              <w:rPr>
                <w:rFonts w:ascii="Arial" w:cs="Arial" w:eastAsia="Arial" w:hAnsi="Arial"/>
                <w:sz w:val="16"/>
                <w:szCs w:val="16"/>
                <w:color w:val="auto"/>
              </w:rPr>
              <w:t>145</w:t>
            </w:r>
          </w:p>
        </w:tc>
        <w:tc>
          <w:tcPr>
            <w:tcW w:w="1080" w:type="dxa"/>
            <w:vAlign w:val="bottom"/>
          </w:tcPr>
          <w:p>
            <w:pPr>
              <w:spacing w:after="0"/>
              <w:rPr>
                <w:sz w:val="15"/>
                <w:szCs w:val="15"/>
                <w:color w:val="auto"/>
              </w:rPr>
            </w:pPr>
          </w:p>
        </w:tc>
        <w:tc>
          <w:tcPr>
            <w:tcW w:w="500" w:type="dxa"/>
            <w:vAlign w:val="bottom"/>
          </w:tcPr>
          <w:p>
            <w:pPr>
              <w:jc w:val="right"/>
              <w:ind w:right="61"/>
              <w:spacing w:after="0" w:line="173" w:lineRule="exact"/>
              <w:rPr>
                <w:sz w:val="20"/>
                <w:szCs w:val="20"/>
                <w:color w:val="auto"/>
              </w:rPr>
            </w:pPr>
            <w:r>
              <w:rPr>
                <w:rFonts w:ascii="Arial" w:cs="Arial" w:eastAsia="Arial" w:hAnsi="Arial"/>
                <w:sz w:val="16"/>
                <w:szCs w:val="16"/>
                <w:color w:val="auto"/>
              </w:rPr>
              <w:t>132</w:t>
            </w:r>
          </w:p>
        </w:tc>
        <w:tc>
          <w:tcPr>
            <w:tcW w:w="980" w:type="dxa"/>
            <w:vAlign w:val="bottom"/>
          </w:tcPr>
          <w:p>
            <w:pPr>
              <w:jc w:val="right"/>
              <w:spacing w:after="0" w:line="173" w:lineRule="exact"/>
              <w:rPr>
                <w:sz w:val="20"/>
                <w:szCs w:val="20"/>
                <w:color w:val="auto"/>
              </w:rPr>
            </w:pPr>
            <w:r>
              <w:rPr>
                <w:rFonts w:ascii="Arial" w:cs="Arial" w:eastAsia="Arial" w:hAnsi="Arial"/>
                <w:sz w:val="16"/>
                <w:szCs w:val="16"/>
                <w:color w:val="auto"/>
              </w:rPr>
              <w:t>193</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173"/>
        </w:trPr>
        <w:tc>
          <w:tcPr>
            <w:tcW w:w="3760" w:type="dxa"/>
            <w:vAlign w:val="bottom"/>
          </w:tcPr>
          <w:p>
            <w:pPr>
              <w:ind w:left="180"/>
              <w:spacing w:after="0" w:line="173" w:lineRule="exact"/>
              <w:rPr>
                <w:sz w:val="20"/>
                <w:szCs w:val="20"/>
                <w:color w:val="auto"/>
              </w:rPr>
            </w:pPr>
            <w:r>
              <w:rPr>
                <w:rFonts w:ascii="Arial" w:cs="Arial" w:eastAsia="Arial" w:hAnsi="Arial"/>
                <w:sz w:val="16"/>
                <w:szCs w:val="16"/>
                <w:color w:val="auto"/>
              </w:rPr>
              <w:t>Electric generation plants</w:t>
            </w: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300" w:type="dxa"/>
            <w:vAlign w:val="bottom"/>
          </w:tcPr>
          <w:p>
            <w:pPr>
              <w:jc w:val="right"/>
              <w:ind w:right="82"/>
              <w:spacing w:after="0" w:line="173"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73" w:lineRule="exact"/>
              <w:rPr>
                <w:sz w:val="20"/>
                <w:szCs w:val="20"/>
                <w:color w:val="auto"/>
              </w:rPr>
            </w:pPr>
            <w:r>
              <w:rPr>
                <w:rFonts w:ascii="Arial" w:cs="Arial" w:eastAsia="Arial" w:hAnsi="Arial"/>
                <w:sz w:val="16"/>
                <w:szCs w:val="16"/>
                <w:color w:val="auto"/>
              </w:rPr>
              <w:t>85</w:t>
            </w:r>
          </w:p>
        </w:tc>
        <w:tc>
          <w:tcPr>
            <w:tcW w:w="1080" w:type="dxa"/>
            <w:vAlign w:val="bottom"/>
          </w:tcPr>
          <w:p>
            <w:pPr>
              <w:spacing w:after="0"/>
              <w:rPr>
                <w:sz w:val="15"/>
                <w:szCs w:val="15"/>
                <w:color w:val="auto"/>
              </w:rPr>
            </w:pPr>
          </w:p>
        </w:tc>
        <w:tc>
          <w:tcPr>
            <w:tcW w:w="500" w:type="dxa"/>
            <w:vAlign w:val="bottom"/>
          </w:tcPr>
          <w:p>
            <w:pPr>
              <w:jc w:val="right"/>
              <w:ind w:right="61"/>
              <w:spacing w:after="0" w:line="173" w:lineRule="exact"/>
              <w:rPr>
                <w:sz w:val="20"/>
                <w:szCs w:val="20"/>
                <w:color w:val="auto"/>
              </w:rPr>
            </w:pPr>
            <w:r>
              <w:rPr>
                <w:rFonts w:ascii="Arial" w:cs="Arial" w:eastAsia="Arial" w:hAnsi="Arial"/>
                <w:sz w:val="16"/>
                <w:szCs w:val="16"/>
                <w:color w:val="auto"/>
              </w:rPr>
              <w:t>20</w:t>
            </w:r>
          </w:p>
        </w:tc>
        <w:tc>
          <w:tcPr>
            <w:tcW w:w="980" w:type="dxa"/>
            <w:vAlign w:val="bottom"/>
          </w:tcPr>
          <w:p>
            <w:pPr>
              <w:jc w:val="right"/>
              <w:spacing w:after="0" w:line="173" w:lineRule="exact"/>
              <w:rPr>
                <w:sz w:val="20"/>
                <w:szCs w:val="20"/>
                <w:color w:val="auto"/>
              </w:rPr>
            </w:pPr>
            <w:r>
              <w:rPr>
                <w:rFonts w:ascii="Arial" w:cs="Arial" w:eastAsia="Arial" w:hAnsi="Arial"/>
                <w:sz w:val="16"/>
                <w:szCs w:val="16"/>
                <w:color w:val="auto"/>
              </w:rPr>
              <w:t>85</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4"/>
        </w:trPr>
        <w:tc>
          <w:tcPr>
            <w:tcW w:w="3760" w:type="dxa"/>
            <w:vAlign w:val="bottom"/>
          </w:tcPr>
          <w:p>
            <w:pPr>
              <w:ind w:left="180"/>
              <w:spacing w:after="0"/>
              <w:rPr>
                <w:sz w:val="20"/>
                <w:szCs w:val="20"/>
                <w:color w:val="auto"/>
              </w:rPr>
            </w:pPr>
            <w:r>
              <w:rPr>
                <w:rFonts w:ascii="Arial" w:cs="Arial" w:eastAsia="Arial" w:hAnsi="Arial"/>
                <w:sz w:val="16"/>
                <w:szCs w:val="16"/>
                <w:color w:val="auto"/>
              </w:rPr>
              <w:t>Wholesale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5"/>
                <w:szCs w:val="15"/>
                <w:color w:val="auto"/>
              </w:rPr>
              <w:t>157</w:t>
            </w:r>
          </w:p>
        </w:tc>
        <w:tc>
          <w:tcPr>
            <w:tcW w:w="260" w:type="dxa"/>
            <w:vAlign w:val="bottom"/>
          </w:tcPr>
          <w:p>
            <w:pPr>
              <w:jc w:val="right"/>
              <w:ind w:right="83"/>
              <w:spacing w:after="0" w:line="135" w:lineRule="exact"/>
              <w:rPr>
                <w:sz w:val="20"/>
                <w:szCs w:val="20"/>
                <w:color w:val="auto"/>
              </w:rPr>
            </w:pPr>
            <w:r>
              <w:rPr>
                <w:rFonts w:ascii="Arial" w:cs="Arial" w:eastAsia="Arial" w:hAnsi="Arial"/>
                <w:sz w:val="15"/>
                <w:szCs w:val="15"/>
                <w:color w:val="auto"/>
                <w:w w:val="95"/>
              </w:rPr>
              <w:t>$</w:t>
            </w:r>
          </w:p>
        </w:tc>
        <w:tc>
          <w:tcPr>
            <w:tcW w:w="1300" w:type="dxa"/>
            <w:vAlign w:val="bottom"/>
          </w:tcPr>
          <w:p>
            <w:pPr>
              <w:jc w:val="right"/>
              <w:ind w:right="82"/>
              <w:spacing w:after="0" w:line="135" w:lineRule="exact"/>
              <w:rPr>
                <w:sz w:val="20"/>
                <w:szCs w:val="20"/>
                <w:color w:val="auto"/>
              </w:rPr>
            </w:pPr>
            <w:r>
              <w:rPr>
                <w:rFonts w:ascii="Arial" w:cs="Arial" w:eastAsia="Arial" w:hAnsi="Arial"/>
                <w:sz w:val="15"/>
                <w:szCs w:val="15"/>
                <w:color w:val="auto"/>
              </w:rPr>
              <w:t>1,600</w:t>
            </w:r>
          </w:p>
        </w:tc>
        <w:tc>
          <w:tcPr>
            <w:tcW w:w="980" w:type="dxa"/>
            <w:vAlign w:val="bottom"/>
          </w:tcPr>
          <w:p>
            <w:pPr>
              <w:jc w:val="right"/>
              <w:spacing w:after="0" w:line="135" w:lineRule="exact"/>
              <w:rPr>
                <w:sz w:val="20"/>
                <w:szCs w:val="20"/>
                <w:color w:val="auto"/>
              </w:rPr>
            </w:pPr>
            <w:r>
              <w:rPr>
                <w:rFonts w:ascii="Arial" w:cs="Arial" w:eastAsia="Arial" w:hAnsi="Arial"/>
                <w:sz w:val="15"/>
                <w:szCs w:val="15"/>
                <w:color w:val="auto"/>
              </w:rPr>
              <w:t>303</w:t>
            </w:r>
          </w:p>
        </w:tc>
        <w:tc>
          <w:tcPr>
            <w:tcW w:w="1080" w:type="dxa"/>
            <w:vAlign w:val="bottom"/>
          </w:tcPr>
          <w:p>
            <w:pPr>
              <w:jc w:val="right"/>
              <w:ind w:right="904"/>
              <w:spacing w:after="0" w:line="135" w:lineRule="exact"/>
              <w:rPr>
                <w:sz w:val="20"/>
                <w:szCs w:val="20"/>
                <w:color w:val="auto"/>
              </w:rPr>
            </w:pPr>
            <w:r>
              <w:rPr>
                <w:rFonts w:ascii="Arial" w:cs="Arial" w:eastAsia="Arial" w:hAnsi="Arial"/>
                <w:sz w:val="15"/>
                <w:szCs w:val="15"/>
                <w:color w:val="auto"/>
                <w:w w:val="95"/>
              </w:rPr>
              <w:t>$</w:t>
            </w:r>
          </w:p>
        </w:tc>
        <w:tc>
          <w:tcPr>
            <w:tcW w:w="500" w:type="dxa"/>
            <w:vAlign w:val="bottom"/>
          </w:tcPr>
          <w:p>
            <w:pPr>
              <w:jc w:val="right"/>
              <w:ind w:right="61"/>
              <w:spacing w:after="0" w:line="135" w:lineRule="exact"/>
              <w:rPr>
                <w:sz w:val="20"/>
                <w:szCs w:val="20"/>
                <w:color w:val="auto"/>
              </w:rPr>
            </w:pPr>
            <w:r>
              <w:rPr>
                <w:rFonts w:ascii="Arial" w:cs="Arial" w:eastAsia="Arial" w:hAnsi="Arial"/>
                <w:sz w:val="15"/>
                <w:szCs w:val="15"/>
                <w:color w:val="auto"/>
              </w:rPr>
              <w:t>171</w:t>
            </w:r>
          </w:p>
        </w:tc>
        <w:tc>
          <w:tcPr>
            <w:tcW w:w="980" w:type="dxa"/>
            <w:vAlign w:val="bottom"/>
          </w:tcPr>
          <w:p>
            <w:pPr>
              <w:jc w:val="right"/>
              <w:spacing w:after="0" w:line="135" w:lineRule="exact"/>
              <w:rPr>
                <w:sz w:val="20"/>
                <w:szCs w:val="20"/>
                <w:color w:val="auto"/>
              </w:rPr>
            </w:pPr>
            <w:r>
              <w:rPr>
                <w:rFonts w:ascii="Arial" w:cs="Arial" w:eastAsia="Arial" w:hAnsi="Arial"/>
                <w:sz w:val="15"/>
                <w:szCs w:val="15"/>
                <w:color w:val="auto"/>
              </w:rPr>
              <w:t>460</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5"/>
                <w:szCs w:val="15"/>
                <w:color w:val="auto"/>
              </w:rPr>
              <w:t>1,771</w:t>
            </w:r>
          </w:p>
        </w:tc>
        <w:tc>
          <w:tcPr>
            <w:tcW w:w="0" w:type="dxa"/>
            <w:vAlign w:val="bottom"/>
          </w:tcPr>
          <w:p>
            <w:pPr>
              <w:spacing w:after="0"/>
              <w:rPr>
                <w:sz w:val="1"/>
                <w:szCs w:val="1"/>
                <w:color w:val="auto"/>
              </w:rPr>
            </w:pPr>
          </w:p>
        </w:tc>
      </w:tr>
      <w:tr>
        <w:trPr>
          <w:trHeight w:val="173"/>
        </w:trPr>
        <w:tc>
          <w:tcPr>
            <w:tcW w:w="3760" w:type="dxa"/>
            <w:vAlign w:val="bottom"/>
          </w:tcPr>
          <w:p>
            <w:pPr>
              <w:ind w:left="180"/>
              <w:spacing w:after="0" w:line="173" w:lineRule="exact"/>
              <w:rPr>
                <w:sz w:val="20"/>
                <w:szCs w:val="20"/>
                <w:color w:val="auto"/>
              </w:rPr>
            </w:pPr>
            <w:r>
              <w:rPr>
                <w:rFonts w:ascii="Arial" w:cs="Arial" w:eastAsia="Arial" w:hAnsi="Arial"/>
                <w:sz w:val="16"/>
                <w:szCs w:val="16"/>
                <w:color w:val="auto"/>
              </w:rPr>
              <w:t>Other revenues</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4"/>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166"/>
        </w:trPr>
        <w:tc>
          <w:tcPr>
            <w:tcW w:w="3760" w:type="dxa"/>
            <w:vAlign w:val="bottom"/>
          </w:tcPr>
          <w:p>
            <w:pPr>
              <w:ind w:left="360"/>
              <w:spacing w:after="0" w:line="166" w:lineRule="exact"/>
              <w:rPr>
                <w:sz w:val="20"/>
                <w:szCs w:val="20"/>
                <w:color w:val="auto"/>
              </w:rPr>
            </w:pPr>
            <w:r>
              <w:rPr>
                <w:rFonts w:ascii="Arial" w:cs="Arial" w:eastAsia="Arial" w:hAnsi="Arial"/>
                <w:sz w:val="16"/>
                <w:szCs w:val="16"/>
                <w:color w:val="auto"/>
              </w:rPr>
              <w:t>Total(1)</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line="166"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66" w:lineRule="exact"/>
              <w:rPr>
                <w:sz w:val="20"/>
                <w:szCs w:val="20"/>
                <w:color w:val="auto"/>
              </w:rPr>
            </w:pPr>
            <w:r>
              <w:rPr>
                <w:rFonts w:ascii="Arial" w:cs="Arial" w:eastAsia="Arial" w:hAnsi="Arial"/>
                <w:sz w:val="16"/>
                <w:szCs w:val="16"/>
                <w:color w:val="auto"/>
              </w:rPr>
              <w:t>2,002</w:t>
            </w:r>
          </w:p>
        </w:tc>
        <w:tc>
          <w:tcPr>
            <w:tcW w:w="0" w:type="dxa"/>
            <w:vAlign w:val="bottom"/>
          </w:tcPr>
          <w:p>
            <w:pPr>
              <w:spacing w:after="0"/>
              <w:rPr>
                <w:sz w:val="1"/>
                <w:szCs w:val="1"/>
                <w:color w:val="auto"/>
              </w:rPr>
            </w:pPr>
          </w:p>
        </w:tc>
      </w:tr>
      <w:tr>
        <w:trPr>
          <w:trHeight w:val="80"/>
        </w:trPr>
        <w:tc>
          <w:tcPr>
            <w:tcW w:w="376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3760" w:type="dxa"/>
            <w:vAlign w:val="bottom"/>
          </w:tcPr>
          <w:p>
            <w:pPr>
              <w:spacing w:after="0" w:line="142" w:lineRule="exact"/>
              <w:rPr>
                <w:sz w:val="20"/>
                <w:szCs w:val="20"/>
                <w:color w:val="auto"/>
              </w:rPr>
            </w:pPr>
            <w:r>
              <w:rPr>
                <w:rFonts w:ascii="Arial" w:cs="Arial" w:eastAsia="Arial" w:hAnsi="Arial"/>
                <w:sz w:val="16"/>
                <w:szCs w:val="16"/>
                <w:b w:val="1"/>
                <w:bCs w:val="1"/>
                <w:color w:val="auto"/>
              </w:rPr>
              <w:t>Six months ended June 30, 2013:</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60" w:type="dxa"/>
            <w:vAlign w:val="bottom"/>
          </w:tcPr>
          <w:p>
            <w:pPr>
              <w:ind w:left="180"/>
              <w:spacing w:after="0" w:line="173" w:lineRule="exact"/>
              <w:rPr>
                <w:sz w:val="20"/>
                <w:szCs w:val="20"/>
                <w:color w:val="auto"/>
              </w:rPr>
            </w:pPr>
            <w:r>
              <w:rPr>
                <w:rFonts w:ascii="Arial" w:cs="Arial" w:eastAsia="Arial" w:hAnsi="Arial"/>
                <w:sz w:val="16"/>
                <w:szCs w:val="16"/>
                <w:color w:val="auto"/>
              </w:rPr>
              <w:t>Residential</w:t>
            </w: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134</w:t>
            </w:r>
          </w:p>
        </w:tc>
        <w:tc>
          <w:tcPr>
            <w:tcW w:w="260" w:type="dxa"/>
            <w:vAlign w:val="bottom"/>
          </w:tcPr>
          <w:p>
            <w:pPr>
              <w:jc w:val="right"/>
              <w:ind w:right="83"/>
              <w:spacing w:after="0" w:line="173"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2"/>
              <w:spacing w:after="0" w:line="173" w:lineRule="exact"/>
              <w:rPr>
                <w:sz w:val="20"/>
                <w:szCs w:val="20"/>
                <w:color w:val="auto"/>
              </w:rPr>
            </w:pPr>
            <w:r>
              <w:rPr>
                <w:rFonts w:ascii="Arial" w:cs="Arial" w:eastAsia="Arial" w:hAnsi="Arial"/>
                <w:sz w:val="16"/>
                <w:szCs w:val="16"/>
                <w:color w:val="auto"/>
              </w:rPr>
              <w:t>1,208</w:t>
            </w:r>
          </w:p>
        </w:tc>
        <w:tc>
          <w:tcPr>
            <w:tcW w:w="98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1080" w:type="dxa"/>
            <w:vAlign w:val="bottom"/>
          </w:tcPr>
          <w:p>
            <w:pPr>
              <w:jc w:val="right"/>
              <w:ind w:right="904"/>
              <w:spacing w:after="0" w:line="173" w:lineRule="exact"/>
              <w:rPr>
                <w:sz w:val="20"/>
                <w:szCs w:val="20"/>
                <w:color w:val="auto"/>
              </w:rPr>
            </w:pPr>
            <w:r>
              <w:rPr>
                <w:rFonts w:ascii="Arial" w:cs="Arial" w:eastAsia="Arial" w:hAnsi="Arial"/>
                <w:sz w:val="16"/>
                <w:szCs w:val="16"/>
                <w:color w:val="auto"/>
                <w:w w:val="89"/>
              </w:rPr>
              <w:t>$</w:t>
            </w:r>
          </w:p>
        </w:tc>
        <w:tc>
          <w:tcPr>
            <w:tcW w:w="500" w:type="dxa"/>
            <w:vAlign w:val="bottom"/>
          </w:tcPr>
          <w:p>
            <w:pPr>
              <w:jc w:val="right"/>
              <w:ind w:right="61"/>
              <w:spacing w:after="0" w:line="173" w:lineRule="exact"/>
              <w:rPr>
                <w:sz w:val="20"/>
                <w:szCs w:val="20"/>
                <w:color w:val="auto"/>
              </w:rPr>
            </w:pPr>
            <w:r>
              <w:rPr>
                <w:rFonts w:ascii="Arial" w:cs="Arial" w:eastAsia="Arial" w:hAnsi="Arial"/>
                <w:sz w:val="16"/>
                <w:szCs w:val="16"/>
                <w:color w:val="auto"/>
              </w:rPr>
              <w:t>4</w:t>
            </w:r>
          </w:p>
        </w:tc>
        <w:tc>
          <w:tcPr>
            <w:tcW w:w="980" w:type="dxa"/>
            <w:vAlign w:val="bottom"/>
          </w:tcPr>
          <w:p>
            <w:pPr>
              <w:jc w:val="right"/>
              <w:spacing w:after="0" w:line="173" w:lineRule="exact"/>
              <w:rPr>
                <w:sz w:val="20"/>
                <w:szCs w:val="20"/>
                <w:color w:val="auto"/>
              </w:rPr>
            </w:pPr>
            <w:r>
              <w:rPr>
                <w:rFonts w:ascii="Arial" w:cs="Arial" w:eastAsia="Arial" w:hAnsi="Arial"/>
                <w:sz w:val="16"/>
                <w:szCs w:val="16"/>
                <w:color w:val="auto"/>
              </w:rPr>
              <w:t>135</w:t>
            </w:r>
          </w:p>
        </w:tc>
        <w:tc>
          <w:tcPr>
            <w:tcW w:w="380" w:type="dxa"/>
            <w:vAlign w:val="bottom"/>
            <w:gridSpan w:val="2"/>
          </w:tcPr>
          <w:p>
            <w:pPr>
              <w:ind w:left="20"/>
              <w:spacing w:after="0" w:line="173"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r>
        <w:trPr>
          <w:trHeight w:val="173"/>
        </w:trPr>
        <w:tc>
          <w:tcPr>
            <w:tcW w:w="3760" w:type="dxa"/>
            <w:vAlign w:val="bottom"/>
          </w:tcPr>
          <w:p>
            <w:pPr>
              <w:ind w:left="180"/>
              <w:spacing w:after="0" w:line="173" w:lineRule="exact"/>
              <w:rPr>
                <w:sz w:val="20"/>
                <w:szCs w:val="20"/>
                <w:color w:val="auto"/>
              </w:rPr>
            </w:pPr>
            <w:r>
              <w:rPr>
                <w:rFonts w:ascii="Arial" w:cs="Arial" w:eastAsia="Arial" w:hAnsi="Arial"/>
                <w:sz w:val="16"/>
                <w:szCs w:val="16"/>
                <w:color w:val="auto"/>
              </w:rPr>
              <w:t>Commercial and industrial</w:t>
            </w: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53</w:t>
            </w:r>
          </w:p>
        </w:tc>
        <w:tc>
          <w:tcPr>
            <w:tcW w:w="260" w:type="dxa"/>
            <w:vAlign w:val="bottom"/>
          </w:tcPr>
          <w:p>
            <w:pPr>
              <w:spacing w:after="0"/>
              <w:rPr>
                <w:sz w:val="15"/>
                <w:szCs w:val="15"/>
                <w:color w:val="auto"/>
              </w:rPr>
            </w:pPr>
          </w:p>
        </w:tc>
        <w:tc>
          <w:tcPr>
            <w:tcW w:w="1300" w:type="dxa"/>
            <w:vAlign w:val="bottom"/>
          </w:tcPr>
          <w:p>
            <w:pPr>
              <w:jc w:val="right"/>
              <w:ind w:right="82"/>
              <w:spacing w:after="0" w:line="173" w:lineRule="exact"/>
              <w:rPr>
                <w:sz w:val="20"/>
                <w:szCs w:val="20"/>
                <w:color w:val="auto"/>
              </w:rPr>
            </w:pPr>
            <w:r>
              <w:rPr>
                <w:rFonts w:ascii="Arial" w:cs="Arial" w:eastAsia="Arial" w:hAnsi="Arial"/>
                <w:sz w:val="16"/>
                <w:szCs w:val="16"/>
                <w:color w:val="auto"/>
              </w:rPr>
              <w:t>364</w:t>
            </w:r>
          </w:p>
        </w:tc>
        <w:tc>
          <w:tcPr>
            <w:tcW w:w="980" w:type="dxa"/>
            <w:vAlign w:val="bottom"/>
          </w:tcPr>
          <w:p>
            <w:pPr>
              <w:jc w:val="right"/>
              <w:spacing w:after="0" w:line="173" w:lineRule="exact"/>
              <w:rPr>
                <w:sz w:val="20"/>
                <w:szCs w:val="20"/>
                <w:color w:val="auto"/>
              </w:rPr>
            </w:pPr>
            <w:r>
              <w:rPr>
                <w:rFonts w:ascii="Arial" w:cs="Arial" w:eastAsia="Arial" w:hAnsi="Arial"/>
                <w:sz w:val="16"/>
                <w:szCs w:val="16"/>
                <w:color w:val="auto"/>
              </w:rPr>
              <w:t>143</w:t>
            </w:r>
          </w:p>
        </w:tc>
        <w:tc>
          <w:tcPr>
            <w:tcW w:w="1080" w:type="dxa"/>
            <w:vAlign w:val="bottom"/>
          </w:tcPr>
          <w:p>
            <w:pPr>
              <w:spacing w:after="0"/>
              <w:rPr>
                <w:sz w:val="15"/>
                <w:szCs w:val="15"/>
                <w:color w:val="auto"/>
              </w:rPr>
            </w:pPr>
          </w:p>
        </w:tc>
        <w:tc>
          <w:tcPr>
            <w:tcW w:w="500" w:type="dxa"/>
            <w:vAlign w:val="bottom"/>
          </w:tcPr>
          <w:p>
            <w:pPr>
              <w:jc w:val="right"/>
              <w:ind w:right="61"/>
              <w:spacing w:after="0" w:line="173" w:lineRule="exact"/>
              <w:rPr>
                <w:sz w:val="20"/>
                <w:szCs w:val="20"/>
                <w:color w:val="auto"/>
              </w:rPr>
            </w:pPr>
            <w:r>
              <w:rPr>
                <w:rFonts w:ascii="Arial" w:cs="Arial" w:eastAsia="Arial" w:hAnsi="Arial"/>
                <w:sz w:val="16"/>
                <w:szCs w:val="16"/>
                <w:color w:val="auto"/>
              </w:rPr>
              <w:t>119</w:t>
            </w:r>
          </w:p>
        </w:tc>
        <w:tc>
          <w:tcPr>
            <w:tcW w:w="980" w:type="dxa"/>
            <w:vAlign w:val="bottom"/>
          </w:tcPr>
          <w:p>
            <w:pPr>
              <w:jc w:val="right"/>
              <w:spacing w:after="0" w:line="173" w:lineRule="exact"/>
              <w:rPr>
                <w:sz w:val="20"/>
                <w:szCs w:val="20"/>
                <w:color w:val="auto"/>
              </w:rPr>
            </w:pPr>
            <w:r>
              <w:rPr>
                <w:rFonts w:ascii="Arial" w:cs="Arial" w:eastAsia="Arial" w:hAnsi="Arial"/>
                <w:sz w:val="16"/>
                <w:szCs w:val="16"/>
                <w:color w:val="auto"/>
              </w:rPr>
              <w:t>196</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173"/>
        </w:trPr>
        <w:tc>
          <w:tcPr>
            <w:tcW w:w="3760" w:type="dxa"/>
            <w:vAlign w:val="bottom"/>
          </w:tcPr>
          <w:p>
            <w:pPr>
              <w:ind w:left="180"/>
              <w:spacing w:after="0" w:line="173" w:lineRule="exact"/>
              <w:rPr>
                <w:sz w:val="20"/>
                <w:szCs w:val="20"/>
                <w:color w:val="auto"/>
              </w:rPr>
            </w:pPr>
            <w:r>
              <w:rPr>
                <w:rFonts w:ascii="Arial" w:cs="Arial" w:eastAsia="Arial" w:hAnsi="Arial"/>
                <w:sz w:val="16"/>
                <w:szCs w:val="16"/>
                <w:color w:val="auto"/>
              </w:rPr>
              <w:t>Electric generation plants</w:t>
            </w: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300" w:type="dxa"/>
            <w:vAlign w:val="bottom"/>
          </w:tcPr>
          <w:p>
            <w:pPr>
              <w:jc w:val="right"/>
              <w:ind w:right="82"/>
              <w:spacing w:after="0" w:line="173"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73" w:lineRule="exact"/>
              <w:rPr>
                <w:sz w:val="20"/>
                <w:szCs w:val="20"/>
                <w:color w:val="auto"/>
              </w:rPr>
            </w:pPr>
            <w:r>
              <w:rPr>
                <w:rFonts w:ascii="Arial" w:cs="Arial" w:eastAsia="Arial" w:hAnsi="Arial"/>
                <w:sz w:val="16"/>
                <w:szCs w:val="16"/>
                <w:color w:val="auto"/>
              </w:rPr>
              <w:t>85</w:t>
            </w:r>
          </w:p>
        </w:tc>
        <w:tc>
          <w:tcPr>
            <w:tcW w:w="1080" w:type="dxa"/>
            <w:vAlign w:val="bottom"/>
          </w:tcPr>
          <w:p>
            <w:pPr>
              <w:spacing w:after="0"/>
              <w:rPr>
                <w:sz w:val="15"/>
                <w:szCs w:val="15"/>
                <w:color w:val="auto"/>
              </w:rPr>
            </w:pPr>
          </w:p>
        </w:tc>
        <w:tc>
          <w:tcPr>
            <w:tcW w:w="500" w:type="dxa"/>
            <w:vAlign w:val="bottom"/>
          </w:tcPr>
          <w:p>
            <w:pPr>
              <w:jc w:val="right"/>
              <w:ind w:right="61"/>
              <w:spacing w:after="0" w:line="173" w:lineRule="exact"/>
              <w:rPr>
                <w:sz w:val="20"/>
                <w:szCs w:val="20"/>
                <w:color w:val="auto"/>
              </w:rPr>
            </w:pPr>
            <w:r>
              <w:rPr>
                <w:rFonts w:ascii="Arial" w:cs="Arial" w:eastAsia="Arial" w:hAnsi="Arial"/>
                <w:sz w:val="16"/>
                <w:szCs w:val="16"/>
                <w:color w:val="auto"/>
              </w:rPr>
              <w:t>19</w:t>
            </w:r>
          </w:p>
        </w:tc>
        <w:tc>
          <w:tcPr>
            <w:tcW w:w="980" w:type="dxa"/>
            <w:vAlign w:val="bottom"/>
          </w:tcPr>
          <w:p>
            <w:pPr>
              <w:jc w:val="right"/>
              <w:spacing w:after="0" w:line="173" w:lineRule="exact"/>
              <w:rPr>
                <w:sz w:val="20"/>
                <w:szCs w:val="20"/>
                <w:color w:val="auto"/>
              </w:rPr>
            </w:pPr>
            <w:r>
              <w:rPr>
                <w:rFonts w:ascii="Arial" w:cs="Arial" w:eastAsia="Arial" w:hAnsi="Arial"/>
                <w:sz w:val="16"/>
                <w:szCs w:val="16"/>
                <w:color w:val="auto"/>
              </w:rPr>
              <w:t>85</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4"/>
        </w:trPr>
        <w:tc>
          <w:tcPr>
            <w:tcW w:w="3760" w:type="dxa"/>
            <w:vAlign w:val="bottom"/>
          </w:tcPr>
          <w:p>
            <w:pPr>
              <w:ind w:left="180"/>
              <w:spacing w:after="0"/>
              <w:rPr>
                <w:sz w:val="20"/>
                <w:szCs w:val="20"/>
                <w:color w:val="auto"/>
              </w:rPr>
            </w:pPr>
            <w:r>
              <w:rPr>
                <w:rFonts w:ascii="Arial" w:cs="Arial" w:eastAsia="Arial" w:hAnsi="Arial"/>
                <w:sz w:val="16"/>
                <w:szCs w:val="16"/>
                <w:color w:val="auto"/>
              </w:rPr>
              <w:t>Wholesale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5"/>
                <w:szCs w:val="15"/>
                <w:color w:val="auto"/>
              </w:rPr>
              <w:t>187</w:t>
            </w:r>
          </w:p>
        </w:tc>
        <w:tc>
          <w:tcPr>
            <w:tcW w:w="260" w:type="dxa"/>
            <w:vAlign w:val="bottom"/>
          </w:tcPr>
          <w:p>
            <w:pPr>
              <w:jc w:val="right"/>
              <w:ind w:right="83"/>
              <w:spacing w:after="0" w:line="135" w:lineRule="exact"/>
              <w:rPr>
                <w:sz w:val="20"/>
                <w:szCs w:val="20"/>
                <w:color w:val="auto"/>
              </w:rPr>
            </w:pPr>
            <w:r>
              <w:rPr>
                <w:rFonts w:ascii="Arial" w:cs="Arial" w:eastAsia="Arial" w:hAnsi="Arial"/>
                <w:sz w:val="15"/>
                <w:szCs w:val="15"/>
                <w:color w:val="auto"/>
                <w:w w:val="95"/>
              </w:rPr>
              <w:t>$</w:t>
            </w:r>
          </w:p>
        </w:tc>
        <w:tc>
          <w:tcPr>
            <w:tcW w:w="1300" w:type="dxa"/>
            <w:vAlign w:val="bottom"/>
          </w:tcPr>
          <w:p>
            <w:pPr>
              <w:jc w:val="right"/>
              <w:ind w:right="82"/>
              <w:spacing w:after="0" w:line="135" w:lineRule="exact"/>
              <w:rPr>
                <w:sz w:val="20"/>
                <w:szCs w:val="20"/>
                <w:color w:val="auto"/>
              </w:rPr>
            </w:pPr>
            <w:r>
              <w:rPr>
                <w:rFonts w:ascii="Arial" w:cs="Arial" w:eastAsia="Arial" w:hAnsi="Arial"/>
                <w:sz w:val="15"/>
                <w:szCs w:val="15"/>
                <w:color w:val="auto"/>
              </w:rPr>
              <w:t>1,572</w:t>
            </w:r>
          </w:p>
        </w:tc>
        <w:tc>
          <w:tcPr>
            <w:tcW w:w="980" w:type="dxa"/>
            <w:vAlign w:val="bottom"/>
          </w:tcPr>
          <w:p>
            <w:pPr>
              <w:jc w:val="right"/>
              <w:spacing w:after="0" w:line="135" w:lineRule="exact"/>
              <w:rPr>
                <w:sz w:val="20"/>
                <w:szCs w:val="20"/>
                <w:color w:val="auto"/>
              </w:rPr>
            </w:pPr>
            <w:r>
              <w:rPr>
                <w:rFonts w:ascii="Arial" w:cs="Arial" w:eastAsia="Arial" w:hAnsi="Arial"/>
                <w:sz w:val="15"/>
                <w:szCs w:val="15"/>
                <w:color w:val="auto"/>
              </w:rPr>
              <w:t>313</w:t>
            </w:r>
          </w:p>
        </w:tc>
        <w:tc>
          <w:tcPr>
            <w:tcW w:w="1080" w:type="dxa"/>
            <w:vAlign w:val="bottom"/>
          </w:tcPr>
          <w:p>
            <w:pPr>
              <w:jc w:val="right"/>
              <w:ind w:right="904"/>
              <w:spacing w:after="0" w:line="135" w:lineRule="exact"/>
              <w:rPr>
                <w:sz w:val="20"/>
                <w:szCs w:val="20"/>
                <w:color w:val="auto"/>
              </w:rPr>
            </w:pPr>
            <w:r>
              <w:rPr>
                <w:rFonts w:ascii="Arial" w:cs="Arial" w:eastAsia="Arial" w:hAnsi="Arial"/>
                <w:sz w:val="15"/>
                <w:szCs w:val="15"/>
                <w:color w:val="auto"/>
                <w:w w:val="95"/>
              </w:rPr>
              <w:t>$</w:t>
            </w:r>
          </w:p>
        </w:tc>
        <w:tc>
          <w:tcPr>
            <w:tcW w:w="500" w:type="dxa"/>
            <w:vAlign w:val="bottom"/>
          </w:tcPr>
          <w:p>
            <w:pPr>
              <w:jc w:val="right"/>
              <w:ind w:right="61"/>
              <w:spacing w:after="0" w:line="135" w:lineRule="exact"/>
              <w:rPr>
                <w:sz w:val="20"/>
                <w:szCs w:val="20"/>
                <w:color w:val="auto"/>
              </w:rPr>
            </w:pPr>
            <w:r>
              <w:rPr>
                <w:rFonts w:ascii="Arial" w:cs="Arial" w:eastAsia="Arial" w:hAnsi="Arial"/>
                <w:sz w:val="15"/>
                <w:szCs w:val="15"/>
                <w:color w:val="auto"/>
              </w:rPr>
              <w:t>155</w:t>
            </w:r>
          </w:p>
        </w:tc>
        <w:tc>
          <w:tcPr>
            <w:tcW w:w="980" w:type="dxa"/>
            <w:vAlign w:val="bottom"/>
          </w:tcPr>
          <w:p>
            <w:pPr>
              <w:jc w:val="right"/>
              <w:spacing w:after="0" w:line="135" w:lineRule="exact"/>
              <w:rPr>
                <w:sz w:val="20"/>
                <w:szCs w:val="20"/>
                <w:color w:val="auto"/>
              </w:rPr>
            </w:pPr>
            <w:r>
              <w:rPr>
                <w:rFonts w:ascii="Arial" w:cs="Arial" w:eastAsia="Arial" w:hAnsi="Arial"/>
                <w:sz w:val="15"/>
                <w:szCs w:val="15"/>
                <w:color w:val="auto"/>
              </w:rPr>
              <w:t>500</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5"/>
                <w:szCs w:val="15"/>
                <w:color w:val="auto"/>
              </w:rPr>
              <w:t>1,727</w:t>
            </w:r>
          </w:p>
        </w:tc>
        <w:tc>
          <w:tcPr>
            <w:tcW w:w="0" w:type="dxa"/>
            <w:vAlign w:val="bottom"/>
          </w:tcPr>
          <w:p>
            <w:pPr>
              <w:spacing w:after="0"/>
              <w:rPr>
                <w:sz w:val="1"/>
                <w:szCs w:val="1"/>
                <w:color w:val="auto"/>
              </w:rPr>
            </w:pPr>
          </w:p>
        </w:tc>
      </w:tr>
      <w:tr>
        <w:trPr>
          <w:trHeight w:val="173"/>
        </w:trPr>
        <w:tc>
          <w:tcPr>
            <w:tcW w:w="3760" w:type="dxa"/>
            <w:vAlign w:val="bottom"/>
          </w:tcPr>
          <w:p>
            <w:pPr>
              <w:ind w:left="180"/>
              <w:spacing w:after="0" w:line="173" w:lineRule="exact"/>
              <w:rPr>
                <w:sz w:val="20"/>
                <w:szCs w:val="20"/>
                <w:color w:val="auto"/>
              </w:rPr>
            </w:pPr>
            <w:r>
              <w:rPr>
                <w:rFonts w:ascii="Arial" w:cs="Arial" w:eastAsia="Arial" w:hAnsi="Arial"/>
                <w:sz w:val="16"/>
                <w:szCs w:val="16"/>
                <w:color w:val="auto"/>
              </w:rPr>
              <w:t>Other revenues</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4"/>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66"/>
        </w:trPr>
        <w:tc>
          <w:tcPr>
            <w:tcW w:w="3760" w:type="dxa"/>
            <w:vAlign w:val="bottom"/>
          </w:tcPr>
          <w:p>
            <w:pPr>
              <w:ind w:left="360"/>
              <w:spacing w:after="0" w:line="166" w:lineRule="exact"/>
              <w:rPr>
                <w:sz w:val="20"/>
                <w:szCs w:val="20"/>
                <w:color w:val="auto"/>
              </w:rPr>
            </w:pPr>
            <w:r>
              <w:rPr>
                <w:rFonts w:ascii="Arial" w:cs="Arial" w:eastAsia="Arial" w:hAnsi="Arial"/>
                <w:sz w:val="16"/>
                <w:szCs w:val="16"/>
                <w:color w:val="auto"/>
              </w:rPr>
              <w:t>Total(1)</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line="166"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66" w:lineRule="exact"/>
              <w:rPr>
                <w:sz w:val="20"/>
                <w:szCs w:val="20"/>
                <w:color w:val="auto"/>
              </w:rPr>
            </w:pPr>
            <w:r>
              <w:rPr>
                <w:rFonts w:ascii="Arial" w:cs="Arial" w:eastAsia="Arial" w:hAnsi="Arial"/>
                <w:sz w:val="16"/>
                <w:szCs w:val="16"/>
                <w:color w:val="auto"/>
              </w:rPr>
              <w:t>1,887</w:t>
            </w:r>
          </w:p>
        </w:tc>
        <w:tc>
          <w:tcPr>
            <w:tcW w:w="0" w:type="dxa"/>
            <w:vAlign w:val="bottom"/>
          </w:tcPr>
          <w:p>
            <w:pPr>
              <w:spacing w:after="0"/>
              <w:rPr>
                <w:sz w:val="1"/>
                <w:szCs w:val="1"/>
                <w:color w:val="auto"/>
              </w:rPr>
            </w:pPr>
          </w:p>
        </w:tc>
      </w:tr>
      <w:tr>
        <w:trPr>
          <w:trHeight w:val="80"/>
        </w:trPr>
        <w:tc>
          <w:tcPr>
            <w:tcW w:w="376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130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480" w:hanging="474"/>
        <w:spacing w:after="0"/>
        <w:tabs>
          <w:tab w:leader="none" w:pos="480" w:val="left"/>
        </w:tabs>
        <w:numPr>
          <w:ilvl w:val="0"/>
          <w:numId w:val="10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$34 million in 2014 and $31 million in 2013.</w:t>
      </w:r>
    </w:p>
    <w:p>
      <w:pPr>
        <w:spacing w:after="0" w:line="200" w:lineRule="exact"/>
        <w:rPr>
          <w:sz w:val="20"/>
          <w:szCs w:val="20"/>
          <w:color w:val="auto"/>
        </w:rPr>
      </w:pPr>
    </w:p>
    <w:p>
      <w:pPr>
        <w:spacing w:after="0" w:line="23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During the three months ended June 30, 2014, SoCalGas’ natural gas revenues increased by $13 million (1%) to $917 million, and the cost of natural gas sold increased by $18 million (6%) to $321 million. The revenue increase included</w:t>
      </w:r>
    </w:p>
    <w:p>
      <w:pPr>
        <w:spacing w:after="0" w:line="1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an increase in the market price of natural gas purchased, offset by lower demand, as we discuss below;</w:t>
      </w:r>
    </w:p>
    <w:p>
      <w:pPr>
        <w:sectPr>
          <w:pgSz w:w="11900" w:h="16838" w:orient="portrait"/>
          <w:cols w:equalWidth="0" w:num="1">
            <w:col w:w="11420"/>
          </w:cols>
          <w:pgMar w:left="240" w:top="319" w:right="239" w:bottom="0" w:gutter="0" w:footer="0" w:header="0"/>
        </w:sectPr>
      </w:pPr>
    </w:p>
    <w:bookmarkStart w:id="59" w:name="page60"/>
    <w:bookmarkEnd w:id="59"/>
    <w:p>
      <w:pPr>
        <w:ind w:left="320" w:hanging="172"/>
        <w:spacing w:after="0" w:line="275" w:lineRule="auto"/>
        <w:tabs>
          <w:tab w:leader="none" w:pos="3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higher recovery of costs associated with CPUC-authorized refundable programs, which revenues are fully offset in operation and maintenance expenses; and</w:t>
      </w:r>
    </w:p>
    <w:p>
      <w:pPr>
        <w:spacing w:after="0" w:line="188"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 million increase in authorized revenues from 2014 attrition;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million favorable impact from the retroactive application of the 2012 GRC decision, recorded in the second quarter of 2013, for the period from January 2012 through March 2013.</w:t>
      </w:r>
    </w:p>
    <w:p>
      <w:pPr>
        <w:spacing w:after="0" w:line="19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SoCalGas’ average cost of natural gas for the three months ended June 30, 2014 was $5.28 per Mcf compared to $4.68 per Mcf for the corresponding period in 2013, a 13-percent increase of $0.60 per Mcf, resulting in higher revenues and cost of $36 million. The increase in the average cost of natural gas sold was offset by lower sales volumes, which resulted in lower revenues and cost of $18 million.</w:t>
      </w:r>
    </w:p>
    <w:p>
      <w:pPr>
        <w:spacing w:after="0" w:line="178"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During the six months ended June 30, 2014, SoCalGas’ natural gas revenues increased by $115 million (6%) to $2.0 billion, and the cost of natural gas sold increased by $72 million (10%) to $829 million. The revenue increase included</w:t>
      </w:r>
    </w:p>
    <w:p>
      <w:pPr>
        <w:spacing w:after="0" w:line="164" w:lineRule="exact"/>
        <w:rPr>
          <w:sz w:val="20"/>
          <w:szCs w:val="20"/>
          <w:color w:val="auto"/>
        </w:rPr>
      </w:pPr>
    </w:p>
    <w:p>
      <w:pPr>
        <w:ind w:left="320" w:hanging="172"/>
        <w:spacing w:after="0"/>
        <w:tabs>
          <w:tab w:leader="none" w:pos="3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market price of natural gas purchased, offset by lower demand, as we discuss below;</w:t>
      </w:r>
    </w:p>
    <w:p>
      <w:pPr>
        <w:spacing w:after="0" w:line="244"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million higher recovery of costs associated with CPUC-authorized refundable programs, which revenues are fully offset in operation and maintenance expenses; and</w:t>
      </w:r>
    </w:p>
    <w:p>
      <w:pPr>
        <w:spacing w:after="0" w:line="188"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$26 million increase in authorized revenues from 2014 attrition;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favorable impact from the retroactive application of the 2012 GRC decision, recorded in the second quarter of 2013, for the period from January 2012 through December 2012.</w:t>
      </w:r>
    </w:p>
    <w:p>
      <w:pPr>
        <w:spacing w:after="0" w:line="19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For the first six months of 2014, SoCalGas’ average cost of natural gas was $5.27 per Mcf compared to $4.04 per Mcf for the corresponding period in 2013, a 30-percent increase of $1.23 per Mcf, resulting in higher revenues and cost of $194 million. The increase in the average cost of natural gas sold was offset by lower demand for natural gas primarily from a warmer winter in 2014 compared to the same period in 2013, which resulted in lower revenues and cost of $122 million.</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Utilities: Revenues and Cost of Sales</w:t>
      </w:r>
    </w:p>
    <w:p>
      <w:pPr>
        <w:spacing w:after="0" w:line="21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Revenues generated by Chilquinta Energía and Luz del Sur are based on tariffs that are set by government agencies in their respective countries based on an efficient model distribution company defined by those agencies. The bases for the tariffs do not meet the requirement necessary for treatment under applicable accounting principles generally accepted in the United States of America (U.S. GAAP) for regulatory accounting. We discuss revenue recognition further for Chilquinta Energía and Luz del Sur in Note 1 of the Notes to Consolidated Financial Statements in the Annual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Operations of Mobile Gas, Willmut Gas and Ecogas qualify for regulatory accounting treatment under applicable U.S. GAAP, similar to the California Utilities.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natural gas and electric revenues for our utilities outside of California for the six-month periods ended June 30, 2014 and 2013:</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3289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AND ELECTRIC REVENUES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200" w:type="dxa"/>
            <w:vAlign w:val="bottom"/>
            <w:gridSpan w:val="2"/>
            <w:vMerge w:val="restart"/>
          </w:tcPr>
          <w:p>
            <w:pPr>
              <w:jc w:val="right"/>
              <w:ind w:right="242"/>
              <w:spacing w:after="0"/>
              <w:rPr>
                <w:sz w:val="20"/>
                <w:szCs w:val="20"/>
                <w:color w:val="auto"/>
              </w:rPr>
            </w:pPr>
            <w:r>
              <w:rPr>
                <w:rFonts w:ascii="Arial" w:cs="Arial" w:eastAsia="Arial" w:hAnsi="Arial"/>
                <w:sz w:val="14"/>
                <w:szCs w:val="14"/>
                <w:color w:val="auto"/>
              </w:rPr>
              <w:t>Six months ended</w:t>
            </w:r>
          </w:p>
        </w:tc>
        <w:tc>
          <w:tcPr>
            <w:tcW w:w="420" w:type="dxa"/>
            <w:vAlign w:val="bottom"/>
          </w:tcPr>
          <w:p>
            <w:pPr>
              <w:spacing w:after="0"/>
              <w:rPr>
                <w:sz w:val="16"/>
                <w:szCs w:val="16"/>
                <w:color w:val="auto"/>
              </w:rPr>
            </w:pPr>
          </w:p>
        </w:tc>
        <w:tc>
          <w:tcPr>
            <w:tcW w:w="2620" w:type="dxa"/>
            <w:vAlign w:val="bottom"/>
            <w:gridSpan w:val="4"/>
            <w:vMerge w:val="restart"/>
          </w:tcPr>
          <w:p>
            <w:pPr>
              <w:jc w:val="right"/>
              <w:ind w:right="662"/>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13"/>
        </w:trPr>
        <w:tc>
          <w:tcPr>
            <w:tcW w:w="6180" w:type="dxa"/>
            <w:vAlign w:val="bottom"/>
          </w:tcPr>
          <w:p>
            <w:pPr>
              <w:spacing w:after="0"/>
              <w:rPr>
                <w:sz w:val="9"/>
                <w:szCs w:val="9"/>
                <w:color w:val="auto"/>
              </w:rPr>
            </w:pPr>
          </w:p>
        </w:tc>
        <w:tc>
          <w:tcPr>
            <w:tcW w:w="220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26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220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4"/>
                <w:szCs w:val="14"/>
                <w:color w:val="auto"/>
              </w:rPr>
              <w:t>June 30, 2014</w:t>
            </w:r>
          </w:p>
        </w:tc>
        <w:tc>
          <w:tcPr>
            <w:tcW w:w="4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color w:val="auto"/>
              </w:rPr>
              <w:t>June 30, 2013</w:t>
            </w:r>
          </w:p>
        </w:tc>
        <w:tc>
          <w:tcPr>
            <w:tcW w:w="0" w:type="dxa"/>
            <w:vAlign w:val="bottom"/>
          </w:tcPr>
          <w:p>
            <w:pPr>
              <w:spacing w:after="0"/>
              <w:rPr>
                <w:sz w:val="1"/>
                <w:szCs w:val="1"/>
                <w:color w:val="auto"/>
              </w:rPr>
            </w:pPr>
          </w:p>
        </w:tc>
      </w:tr>
      <w:tr>
        <w:trPr>
          <w:trHeight w:val="153"/>
        </w:trPr>
        <w:tc>
          <w:tcPr>
            <w:tcW w:w="6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04"/>
              <w:spacing w:after="0" w:line="153" w:lineRule="exact"/>
              <w:rPr>
                <w:sz w:val="20"/>
                <w:szCs w:val="20"/>
                <w:color w:val="auto"/>
              </w:rPr>
            </w:pPr>
            <w:r>
              <w:rPr>
                <w:rFonts w:ascii="Arial" w:cs="Arial" w:eastAsia="Arial" w:hAnsi="Arial"/>
                <w:sz w:val="14"/>
                <w:szCs w:val="14"/>
                <w:color w:val="auto"/>
              </w:rPr>
              <w:t>Volumes</w:t>
            </w:r>
          </w:p>
        </w:tc>
        <w:tc>
          <w:tcPr>
            <w:tcW w:w="1120" w:type="dxa"/>
            <w:vAlign w:val="bottom"/>
            <w:tcBorders>
              <w:bottom w:val="single" w:sz="8" w:color="auto"/>
            </w:tcBorders>
          </w:tcPr>
          <w:p>
            <w:pPr>
              <w:jc w:val="right"/>
              <w:ind w:right="2"/>
              <w:spacing w:after="0" w:line="153" w:lineRule="exact"/>
              <w:rPr>
                <w:sz w:val="20"/>
                <w:szCs w:val="20"/>
                <w:color w:val="auto"/>
              </w:rPr>
            </w:pPr>
            <w:r>
              <w:rPr>
                <w:rFonts w:ascii="Arial" w:cs="Arial" w:eastAsia="Arial" w:hAnsi="Arial"/>
                <w:sz w:val="14"/>
                <w:szCs w:val="14"/>
                <w:color w:val="auto"/>
              </w:rPr>
              <w:t>Revenue</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84"/>
              <w:spacing w:after="0" w:line="153" w:lineRule="exact"/>
              <w:rPr>
                <w:sz w:val="20"/>
                <w:szCs w:val="20"/>
                <w:color w:val="auto"/>
              </w:rPr>
            </w:pPr>
            <w:r>
              <w:rPr>
                <w:rFonts w:ascii="Arial" w:cs="Arial" w:eastAsia="Arial" w:hAnsi="Arial"/>
                <w:sz w:val="14"/>
                <w:szCs w:val="14"/>
                <w:color w:val="auto"/>
              </w:rPr>
              <w:t>Volumes</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42"/>
              <w:spacing w:after="0" w:line="153" w:lineRule="exact"/>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35"/>
        </w:trPr>
        <w:tc>
          <w:tcPr>
            <w:tcW w:w="6180" w:type="dxa"/>
            <w:vAlign w:val="bottom"/>
          </w:tcPr>
          <w:p>
            <w:pPr>
              <w:spacing w:after="0" w:line="135" w:lineRule="exact"/>
              <w:rPr>
                <w:sz w:val="20"/>
                <w:szCs w:val="20"/>
                <w:color w:val="auto"/>
              </w:rPr>
            </w:pPr>
            <w:r>
              <w:rPr>
                <w:rFonts w:ascii="Arial" w:cs="Arial" w:eastAsia="Arial" w:hAnsi="Arial"/>
                <w:sz w:val="15"/>
                <w:szCs w:val="15"/>
                <w:b w:val="1"/>
                <w:bCs w:val="1"/>
                <w:color w:val="auto"/>
              </w:rPr>
              <w:t>Natural Gas Sales (billion cubic feet):</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6180" w:type="dxa"/>
            <w:vAlign w:val="bottom"/>
          </w:tcPr>
          <w:p>
            <w:pPr>
              <w:spacing w:after="0"/>
              <w:rPr>
                <w:sz w:val="20"/>
                <w:szCs w:val="20"/>
                <w:color w:val="auto"/>
              </w:rPr>
            </w:pPr>
            <w:r>
              <w:rPr>
                <w:rFonts w:ascii="Arial" w:cs="Arial" w:eastAsia="Arial" w:hAnsi="Arial"/>
                <w:sz w:val="16"/>
                <w:szCs w:val="16"/>
                <w:color w:val="auto"/>
              </w:rPr>
              <w:t>Sempra Mexico — Ecogas</w:t>
            </w: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c>
          <w:tcPr>
            <w:tcW w:w="1120" w:type="dxa"/>
            <w:vAlign w:val="bottom"/>
          </w:tcPr>
          <w:p>
            <w:pPr>
              <w:jc w:val="right"/>
              <w:ind w:right="942"/>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59</w:t>
            </w: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99"/>
        </w:trPr>
        <w:tc>
          <w:tcPr>
            <w:tcW w:w="6180" w:type="dxa"/>
            <w:vAlign w:val="bottom"/>
          </w:tcPr>
          <w:p>
            <w:pPr>
              <w:spacing w:after="0"/>
              <w:rPr>
                <w:sz w:val="20"/>
                <w:szCs w:val="20"/>
                <w:color w:val="auto"/>
              </w:rPr>
            </w:pPr>
            <w:r>
              <w:rPr>
                <w:rFonts w:ascii="Arial" w:cs="Arial" w:eastAsia="Arial" w:hAnsi="Arial"/>
                <w:sz w:val="16"/>
                <w:szCs w:val="16"/>
                <w:color w:val="auto"/>
              </w:rPr>
              <w:t>Sempra Natural Gas:</w:t>
            </w: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180" w:type="dxa"/>
            <w:vAlign w:val="bottom"/>
          </w:tcPr>
          <w:p>
            <w:pPr>
              <w:ind w:left="140"/>
              <w:spacing w:after="0" w:line="173" w:lineRule="exact"/>
              <w:rPr>
                <w:sz w:val="20"/>
                <w:szCs w:val="20"/>
                <w:color w:val="auto"/>
              </w:rPr>
            </w:pPr>
            <w:r>
              <w:rPr>
                <w:rFonts w:ascii="Arial" w:cs="Arial" w:eastAsia="Arial" w:hAnsi="Arial"/>
                <w:sz w:val="16"/>
                <w:szCs w:val="16"/>
                <w:color w:val="auto"/>
              </w:rPr>
              <w:t>Mobile Gas (including transportation)</w:t>
            </w: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20</w:t>
            </w:r>
          </w:p>
        </w:tc>
        <w:tc>
          <w:tcPr>
            <w:tcW w:w="1120" w:type="dxa"/>
            <w:vAlign w:val="bottom"/>
          </w:tcPr>
          <w:p>
            <w:pPr>
              <w:spacing w:after="0"/>
              <w:rPr>
                <w:sz w:val="15"/>
                <w:szCs w:val="15"/>
                <w:color w:val="auto"/>
              </w:rPr>
            </w:pPr>
          </w:p>
        </w:tc>
        <w:tc>
          <w:tcPr>
            <w:tcW w:w="420" w:type="dxa"/>
            <w:vAlign w:val="bottom"/>
          </w:tcPr>
          <w:p>
            <w:pPr>
              <w:jc w:val="right"/>
              <w:spacing w:after="0" w:line="173" w:lineRule="exact"/>
              <w:rPr>
                <w:sz w:val="20"/>
                <w:szCs w:val="20"/>
                <w:color w:val="auto"/>
              </w:rPr>
            </w:pPr>
            <w:r>
              <w:rPr>
                <w:rFonts w:ascii="Arial" w:cs="Arial" w:eastAsia="Arial" w:hAnsi="Arial"/>
                <w:sz w:val="16"/>
                <w:szCs w:val="16"/>
                <w:color w:val="auto"/>
              </w:rPr>
              <w:t>52</w:t>
            </w: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21</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4"/>
        </w:trPr>
        <w:tc>
          <w:tcPr>
            <w:tcW w:w="6180" w:type="dxa"/>
            <w:vAlign w:val="bottom"/>
          </w:tcPr>
          <w:p>
            <w:pPr>
              <w:ind w:left="140"/>
              <w:spacing w:after="0"/>
              <w:rPr>
                <w:sz w:val="20"/>
                <w:szCs w:val="20"/>
                <w:color w:val="auto"/>
              </w:rPr>
            </w:pPr>
            <w:r>
              <w:rPr>
                <w:rFonts w:ascii="Arial" w:cs="Arial" w:eastAsia="Arial" w:hAnsi="Arial"/>
                <w:sz w:val="16"/>
                <w:szCs w:val="16"/>
                <w:color w:val="auto"/>
              </w:rPr>
              <w:t>Willmut Gas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66"/>
        </w:trPr>
        <w:tc>
          <w:tcPr>
            <w:tcW w:w="6180" w:type="dxa"/>
            <w:vAlign w:val="bottom"/>
            <w:vMerge w:val="restart"/>
          </w:tcPr>
          <w:p>
            <w:pPr>
              <w:ind w:left="140"/>
              <w:spacing w:after="0"/>
              <w:rPr>
                <w:sz w:val="20"/>
                <w:szCs w:val="20"/>
                <w:color w:val="auto"/>
              </w:rPr>
            </w:pPr>
            <w:r>
              <w:rPr>
                <w:rFonts w:ascii="Arial" w:cs="Arial" w:eastAsia="Arial" w:hAnsi="Arial"/>
                <w:sz w:val="16"/>
                <w:szCs w:val="16"/>
                <w:color w:val="auto"/>
              </w:rPr>
              <w:t>Total</w:t>
            </w:r>
          </w:p>
        </w:tc>
        <w:tc>
          <w:tcPr>
            <w:tcW w:w="1080" w:type="dxa"/>
            <w:vAlign w:val="bottom"/>
          </w:tcPr>
          <w:p>
            <w:pPr>
              <w:jc w:val="right"/>
              <w:spacing w:after="0" w:line="166" w:lineRule="exact"/>
              <w:rPr>
                <w:sz w:val="20"/>
                <w:szCs w:val="20"/>
                <w:color w:val="auto"/>
              </w:rPr>
            </w:pPr>
            <w:r>
              <w:rPr>
                <w:rFonts w:ascii="Arial" w:cs="Arial" w:eastAsia="Arial" w:hAnsi="Arial"/>
                <w:sz w:val="16"/>
                <w:szCs w:val="16"/>
                <w:color w:val="auto"/>
              </w:rPr>
              <w:t>33</w:t>
            </w:r>
          </w:p>
        </w:tc>
        <w:tc>
          <w:tcPr>
            <w:tcW w:w="1120" w:type="dxa"/>
            <w:vAlign w:val="bottom"/>
          </w:tcPr>
          <w:p>
            <w:pPr>
              <w:jc w:val="right"/>
              <w:ind w:right="942"/>
              <w:spacing w:after="0" w:line="166" w:lineRule="exact"/>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line="166" w:lineRule="exact"/>
              <w:rPr>
                <w:sz w:val="20"/>
                <w:szCs w:val="20"/>
                <w:color w:val="auto"/>
              </w:rPr>
            </w:pPr>
            <w:r>
              <w:rPr>
                <w:rFonts w:ascii="Arial" w:cs="Arial" w:eastAsia="Arial" w:hAnsi="Arial"/>
                <w:sz w:val="16"/>
                <w:szCs w:val="16"/>
                <w:color w:val="auto"/>
              </w:rPr>
              <w:t>126</w:t>
            </w:r>
          </w:p>
        </w:tc>
        <w:tc>
          <w:tcPr>
            <w:tcW w:w="1040" w:type="dxa"/>
            <w:vAlign w:val="bottom"/>
          </w:tcPr>
          <w:p>
            <w:pPr>
              <w:jc w:val="right"/>
              <w:spacing w:after="0" w:line="166" w:lineRule="exact"/>
              <w:rPr>
                <w:sz w:val="20"/>
                <w:szCs w:val="20"/>
                <w:color w:val="auto"/>
              </w:rPr>
            </w:pPr>
            <w:r>
              <w:rPr>
                <w:rFonts w:ascii="Arial" w:cs="Arial" w:eastAsia="Arial" w:hAnsi="Arial"/>
                <w:sz w:val="16"/>
                <w:szCs w:val="16"/>
                <w:color w:val="auto"/>
              </w:rPr>
              <w:t>35</w:t>
            </w:r>
          </w:p>
        </w:tc>
        <w:tc>
          <w:tcPr>
            <w:tcW w:w="300" w:type="dxa"/>
            <w:vAlign w:val="bottom"/>
            <w:gridSpan w:val="2"/>
          </w:tcPr>
          <w:p>
            <w:pPr>
              <w:jc w:val="right"/>
              <w:ind w:right="100"/>
              <w:spacing w:after="0" w:line="166"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66" w:lineRule="exact"/>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80"/>
        </w:trPr>
        <w:tc>
          <w:tcPr>
            <w:tcW w:w="6180" w:type="dxa"/>
            <w:vAlign w:val="bottom"/>
            <w:vMerge w:val="continue"/>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112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12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314"/>
        </w:trPr>
        <w:tc>
          <w:tcPr>
            <w:tcW w:w="6180" w:type="dxa"/>
            <w:vAlign w:val="bottom"/>
          </w:tcPr>
          <w:p>
            <w:pPr>
              <w:spacing w:after="0"/>
              <w:rPr>
                <w:sz w:val="20"/>
                <w:szCs w:val="20"/>
                <w:color w:val="auto"/>
              </w:rPr>
            </w:pPr>
            <w:r>
              <w:rPr>
                <w:rFonts w:ascii="Arial" w:cs="Arial" w:eastAsia="Arial" w:hAnsi="Arial"/>
                <w:sz w:val="16"/>
                <w:szCs w:val="16"/>
                <w:b w:val="1"/>
                <w:bCs w:val="1"/>
                <w:color w:val="auto"/>
              </w:rPr>
              <w:t>Electric Sales (million kilowatt hours):</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180" w:type="dxa"/>
            <w:vAlign w:val="bottom"/>
          </w:tcPr>
          <w:p>
            <w:pPr>
              <w:spacing w:after="0" w:line="173" w:lineRule="exact"/>
              <w:rPr>
                <w:sz w:val="20"/>
                <w:szCs w:val="20"/>
                <w:color w:val="auto"/>
              </w:rPr>
            </w:pPr>
            <w:r>
              <w:rPr>
                <w:rFonts w:ascii="Arial" w:cs="Arial" w:eastAsia="Arial" w:hAnsi="Arial"/>
                <w:sz w:val="16"/>
                <w:szCs w:val="16"/>
                <w:color w:val="auto"/>
              </w:rPr>
              <w:t>Sempra South American Utilities:</w:t>
            </w: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tcPr>
          <w:p>
            <w:pPr>
              <w:ind w:left="140"/>
              <w:spacing w:after="0" w:line="173" w:lineRule="exact"/>
              <w:rPr>
                <w:sz w:val="20"/>
                <w:szCs w:val="20"/>
                <w:color w:val="auto"/>
              </w:rPr>
            </w:pPr>
            <w:r>
              <w:rPr>
                <w:rFonts w:ascii="Arial" w:cs="Arial" w:eastAsia="Arial" w:hAnsi="Arial"/>
                <w:sz w:val="16"/>
                <w:szCs w:val="16"/>
                <w:color w:val="auto"/>
              </w:rPr>
              <w:t>Luz del Sur</w:t>
            </w: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3,668</w:t>
            </w:r>
          </w:p>
        </w:tc>
        <w:tc>
          <w:tcPr>
            <w:tcW w:w="1120" w:type="dxa"/>
            <w:vAlign w:val="bottom"/>
          </w:tcPr>
          <w:p>
            <w:pPr>
              <w:jc w:val="right"/>
              <w:ind w:right="942"/>
              <w:spacing w:after="0" w:line="173" w:lineRule="exact"/>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line="173" w:lineRule="exact"/>
              <w:rPr>
                <w:sz w:val="20"/>
                <w:szCs w:val="20"/>
                <w:color w:val="auto"/>
              </w:rPr>
            </w:pPr>
            <w:r>
              <w:rPr>
                <w:rFonts w:ascii="Arial" w:cs="Arial" w:eastAsia="Arial" w:hAnsi="Arial"/>
                <w:sz w:val="16"/>
                <w:szCs w:val="16"/>
                <w:color w:val="auto"/>
              </w:rPr>
              <w:t>428</w:t>
            </w: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3,488</w:t>
            </w:r>
          </w:p>
        </w:tc>
        <w:tc>
          <w:tcPr>
            <w:tcW w:w="300" w:type="dxa"/>
            <w:vAlign w:val="bottom"/>
            <w:gridSpan w:val="2"/>
          </w:tcPr>
          <w:p>
            <w:pPr>
              <w:jc w:val="right"/>
              <w:ind w:right="100"/>
              <w:spacing w:after="0" w:line="173"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73" w:lineRule="exact"/>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04"/>
        </w:trPr>
        <w:tc>
          <w:tcPr>
            <w:tcW w:w="6180" w:type="dxa"/>
            <w:vAlign w:val="bottom"/>
          </w:tcPr>
          <w:p>
            <w:pPr>
              <w:ind w:left="140"/>
              <w:spacing w:after="0"/>
              <w:rPr>
                <w:sz w:val="20"/>
                <w:szCs w:val="20"/>
                <w:color w:val="auto"/>
              </w:rPr>
            </w:pPr>
            <w:r>
              <w:rPr>
                <w:rFonts w:ascii="Arial" w:cs="Arial" w:eastAsia="Arial" w:hAnsi="Arial"/>
                <w:sz w:val="16"/>
                <w:szCs w:val="16"/>
                <w:color w:val="auto"/>
              </w:rPr>
              <w:t>Chilquinta Energía</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w:t>
            </w:r>
          </w:p>
        </w:tc>
        <w:tc>
          <w:tcPr>
            <w:tcW w:w="1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135"/>
        </w:trPr>
        <w:tc>
          <w:tcPr>
            <w:tcW w:w="618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5"/>
                <w:szCs w:val="15"/>
                <w:color w:val="auto"/>
              </w:rPr>
              <w:t>5,164</w:t>
            </w:r>
          </w:p>
        </w:tc>
        <w:tc>
          <w:tcPr>
            <w:tcW w:w="1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5"/>
                <w:szCs w:val="15"/>
                <w:color w:val="auto"/>
              </w:rPr>
              <w:t>693</w:t>
            </w:r>
          </w:p>
        </w:tc>
        <w:tc>
          <w:tcPr>
            <w:tcW w:w="1040" w:type="dxa"/>
            <w:vAlign w:val="bottom"/>
          </w:tcPr>
          <w:p>
            <w:pPr>
              <w:jc w:val="right"/>
              <w:spacing w:after="0" w:line="135" w:lineRule="exact"/>
              <w:rPr>
                <w:sz w:val="20"/>
                <w:szCs w:val="20"/>
                <w:color w:val="auto"/>
              </w:rPr>
            </w:pPr>
            <w:r>
              <w:rPr>
                <w:rFonts w:ascii="Arial" w:cs="Arial" w:eastAsia="Arial" w:hAnsi="Arial"/>
                <w:sz w:val="15"/>
                <w:szCs w:val="15"/>
                <w:color w:val="auto"/>
              </w:rPr>
              <w:t>4,938</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5"/>
                <w:szCs w:val="15"/>
                <w:color w:val="auto"/>
              </w:rPr>
              <w:t>671</w:t>
            </w:r>
          </w:p>
        </w:tc>
        <w:tc>
          <w:tcPr>
            <w:tcW w:w="0" w:type="dxa"/>
            <w:vAlign w:val="bottom"/>
          </w:tcPr>
          <w:p>
            <w:pPr>
              <w:spacing w:after="0"/>
              <w:rPr>
                <w:sz w:val="1"/>
                <w:szCs w:val="1"/>
                <w:color w:val="auto"/>
              </w:rPr>
            </w:pPr>
          </w:p>
        </w:tc>
      </w:tr>
      <w:tr>
        <w:trPr>
          <w:trHeight w:val="204"/>
        </w:trPr>
        <w:tc>
          <w:tcPr>
            <w:tcW w:w="6180" w:type="dxa"/>
            <w:vAlign w:val="bottom"/>
          </w:tcPr>
          <w:p>
            <w:pPr>
              <w:ind w:left="140"/>
              <w:spacing w:after="0"/>
              <w:rPr>
                <w:sz w:val="20"/>
                <w:szCs w:val="20"/>
                <w:color w:val="auto"/>
              </w:rPr>
            </w:pPr>
            <w:r>
              <w:rPr>
                <w:rFonts w:ascii="Arial" w:cs="Arial" w:eastAsia="Arial" w:hAnsi="Arial"/>
                <w:sz w:val="16"/>
                <w:szCs w:val="16"/>
                <w:color w:val="auto"/>
              </w:rPr>
              <w:t>Other service revenues</w:t>
            </w:r>
          </w:p>
        </w:tc>
        <w:tc>
          <w:tcPr>
            <w:tcW w:w="10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66"/>
        </w:trPr>
        <w:tc>
          <w:tcPr>
            <w:tcW w:w="6180" w:type="dxa"/>
            <w:vAlign w:val="bottom"/>
          </w:tcPr>
          <w:p>
            <w:pPr>
              <w:ind w:left="140"/>
              <w:spacing w:after="0" w:line="166" w:lineRule="exact"/>
              <w:rPr>
                <w:sz w:val="20"/>
                <w:szCs w:val="20"/>
                <w:color w:val="auto"/>
              </w:rPr>
            </w:pPr>
            <w:r>
              <w:rPr>
                <w:rFonts w:ascii="Arial" w:cs="Arial" w:eastAsia="Arial" w:hAnsi="Arial"/>
                <w:sz w:val="16"/>
                <w:szCs w:val="16"/>
                <w:color w:val="auto"/>
              </w:rPr>
              <w:t>Total</w:t>
            </w:r>
          </w:p>
        </w:tc>
        <w:tc>
          <w:tcPr>
            <w:tcW w:w="1080" w:type="dxa"/>
            <w:vAlign w:val="bottom"/>
          </w:tcPr>
          <w:p>
            <w:pPr>
              <w:spacing w:after="0"/>
              <w:rPr>
                <w:sz w:val="14"/>
                <w:szCs w:val="14"/>
                <w:color w:val="auto"/>
              </w:rPr>
            </w:pPr>
          </w:p>
        </w:tc>
        <w:tc>
          <w:tcPr>
            <w:tcW w:w="1120" w:type="dxa"/>
            <w:vAlign w:val="bottom"/>
          </w:tcPr>
          <w:p>
            <w:pPr>
              <w:jc w:val="right"/>
              <w:ind w:right="942"/>
              <w:spacing w:after="0" w:line="166" w:lineRule="exact"/>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line="166" w:lineRule="exact"/>
              <w:rPr>
                <w:sz w:val="20"/>
                <w:szCs w:val="20"/>
                <w:color w:val="auto"/>
              </w:rPr>
            </w:pPr>
            <w:r>
              <w:rPr>
                <w:rFonts w:ascii="Arial" w:cs="Arial" w:eastAsia="Arial" w:hAnsi="Arial"/>
                <w:sz w:val="16"/>
                <w:szCs w:val="16"/>
                <w:color w:val="auto"/>
              </w:rPr>
              <w:t>718</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jc w:val="right"/>
              <w:ind w:right="100"/>
              <w:spacing w:after="0" w:line="166" w:lineRule="exact"/>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line="166" w:lineRule="exact"/>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80"/>
        </w:trPr>
        <w:tc>
          <w:tcPr>
            <w:tcW w:w="618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112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12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Energy-Related Businesses: Revenues and Cost of Sales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revenues and cost of sales for our energy-related businesses: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ENERGY-RELATED BUSINESSES: REVENUES AND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500" w:type="dxa"/>
            <w:vAlign w:val="bottom"/>
            <w:gridSpan w:val="3"/>
            <w:vMerge w:val="restart"/>
          </w:tcPr>
          <w:p>
            <w:pPr>
              <w:jc w:val="right"/>
              <w:ind w:right="47"/>
              <w:spacing w:after="0"/>
              <w:rPr>
                <w:sz w:val="20"/>
                <w:szCs w:val="20"/>
                <w:color w:val="auto"/>
              </w:rPr>
            </w:pPr>
            <w:r>
              <w:rPr>
                <w:rFonts w:ascii="Arial" w:cs="Arial" w:eastAsia="Arial" w:hAnsi="Arial"/>
                <w:sz w:val="14"/>
                <w:szCs w:val="14"/>
                <w:color w:val="auto"/>
              </w:rPr>
              <w:t>Three months ended June 30,</w:t>
            </w:r>
          </w:p>
        </w:tc>
        <w:tc>
          <w:tcPr>
            <w:tcW w:w="440" w:type="dxa"/>
            <w:vAlign w:val="bottom"/>
          </w:tcPr>
          <w:p>
            <w:pPr>
              <w:spacing w:after="0"/>
              <w:rPr>
                <w:sz w:val="14"/>
                <w:szCs w:val="14"/>
                <w:color w:val="auto"/>
              </w:rPr>
            </w:pPr>
          </w:p>
        </w:tc>
        <w:tc>
          <w:tcPr>
            <w:tcW w:w="320" w:type="dxa"/>
            <w:vAlign w:val="bottom"/>
            <w:shd w:val="clear" w:color="auto" w:fill="C0C0C0"/>
          </w:tcPr>
          <w:p>
            <w:pPr>
              <w:spacing w:after="0"/>
              <w:rPr>
                <w:sz w:val="14"/>
                <w:szCs w:val="14"/>
                <w:color w:val="auto"/>
              </w:rPr>
            </w:pPr>
          </w:p>
        </w:tc>
        <w:tc>
          <w:tcPr>
            <w:tcW w:w="1160" w:type="dxa"/>
            <w:vAlign w:val="bottom"/>
            <w:shd w:val="clear" w:color="auto" w:fill="C0C0C0"/>
          </w:tcPr>
          <w:p>
            <w:pPr>
              <w:spacing w:after="0"/>
              <w:rPr>
                <w:sz w:val="14"/>
                <w:szCs w:val="14"/>
                <w:color w:val="auto"/>
              </w:rPr>
            </w:pPr>
          </w:p>
        </w:tc>
        <w:tc>
          <w:tcPr>
            <w:tcW w:w="340" w:type="dxa"/>
            <w:vAlign w:val="bottom"/>
            <w:shd w:val="clear" w:color="auto" w:fill="C0C0C0"/>
          </w:tcPr>
          <w:p>
            <w:pPr>
              <w:spacing w:after="0"/>
              <w:rPr>
                <w:sz w:val="14"/>
                <w:szCs w:val="14"/>
                <w:color w:val="auto"/>
              </w:rPr>
            </w:pPr>
          </w:p>
        </w:tc>
        <w:tc>
          <w:tcPr>
            <w:tcW w:w="116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500" w:type="dxa"/>
            <w:vAlign w:val="bottom"/>
          </w:tcPr>
          <w:p>
            <w:pPr>
              <w:spacing w:after="0"/>
              <w:rPr>
                <w:sz w:val="13"/>
                <w:szCs w:val="13"/>
                <w:color w:val="auto"/>
              </w:rPr>
            </w:pPr>
          </w:p>
        </w:tc>
        <w:tc>
          <w:tcPr>
            <w:tcW w:w="2500" w:type="dxa"/>
            <w:vAlign w:val="bottom"/>
            <w:tcBorders>
              <w:bottom w:val="single" w:sz="8" w:color="auto"/>
            </w:tcBorders>
            <w:gridSpan w:val="3"/>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3"/>
          </w:tcPr>
          <w:p>
            <w:pPr>
              <w:jc w:val="right"/>
              <w:ind w:right="582"/>
              <w:spacing w:after="0" w:line="159" w:lineRule="exact"/>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66"/>
        </w:trPr>
        <w:tc>
          <w:tcPr>
            <w:tcW w:w="5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2014</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35"/>
        </w:trPr>
        <w:tc>
          <w:tcPr>
            <w:tcW w:w="5500" w:type="dxa"/>
            <w:vAlign w:val="bottom"/>
          </w:tcPr>
          <w:p>
            <w:pPr>
              <w:spacing w:after="0" w:line="135" w:lineRule="exact"/>
              <w:rPr>
                <w:sz w:val="20"/>
                <w:szCs w:val="20"/>
                <w:color w:val="auto"/>
              </w:rPr>
            </w:pPr>
            <w:r>
              <w:rPr>
                <w:rFonts w:ascii="Arial" w:cs="Arial" w:eastAsia="Arial" w:hAnsi="Arial"/>
                <w:sz w:val="15"/>
                <w:szCs w:val="15"/>
                <w:b w:val="1"/>
                <w:bCs w:val="1"/>
                <w:color w:val="auto"/>
              </w:rPr>
              <w:t>Energy-related businesses revenues:</w:t>
            </w: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500" w:type="dxa"/>
            <w:vAlign w:val="bottom"/>
          </w:tcPr>
          <w:p>
            <w:pPr>
              <w:ind w:left="100"/>
              <w:spacing w:after="0" w:line="173" w:lineRule="exact"/>
              <w:rPr>
                <w:sz w:val="20"/>
                <w:szCs w:val="20"/>
                <w:color w:val="auto"/>
              </w:rPr>
            </w:pPr>
            <w:r>
              <w:rPr>
                <w:rFonts w:ascii="Arial" w:cs="Arial" w:eastAsia="Arial" w:hAnsi="Arial"/>
                <w:sz w:val="16"/>
                <w:szCs w:val="16"/>
                <w:color w:val="auto"/>
              </w:rPr>
              <w:t>Sempra South American Utilities</w:t>
            </w:r>
          </w:p>
        </w:tc>
        <w:tc>
          <w:tcPr>
            <w:tcW w:w="980" w:type="dxa"/>
            <w:vAlign w:val="bottom"/>
          </w:tcPr>
          <w:p>
            <w:pPr>
              <w:jc w:val="right"/>
              <w:ind w:right="828"/>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73" w:lineRule="exact"/>
              <w:rPr>
                <w:sz w:val="20"/>
                <w:szCs w:val="20"/>
                <w:color w:val="auto"/>
              </w:rPr>
            </w:pPr>
            <w:r>
              <w:rPr>
                <w:rFonts w:ascii="Arial" w:cs="Arial" w:eastAsia="Arial" w:hAnsi="Arial"/>
                <w:sz w:val="16"/>
                <w:szCs w:val="16"/>
                <w:color w:val="auto"/>
              </w:rPr>
              <w:t>26</w:t>
            </w:r>
          </w:p>
        </w:tc>
        <w:tc>
          <w:tcPr>
            <w:tcW w:w="1040" w:type="dxa"/>
            <w:vAlign w:val="bottom"/>
          </w:tcPr>
          <w:p>
            <w:pPr>
              <w:jc w:val="right"/>
              <w:ind w:right="887"/>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line="173" w:lineRule="exact"/>
              <w:rPr>
                <w:sz w:val="20"/>
                <w:szCs w:val="20"/>
                <w:color w:val="auto"/>
              </w:rPr>
            </w:pPr>
            <w:r>
              <w:rPr>
                <w:rFonts w:ascii="Arial" w:cs="Arial" w:eastAsia="Arial" w:hAnsi="Arial"/>
                <w:sz w:val="16"/>
                <w:szCs w:val="16"/>
                <w:color w:val="auto"/>
              </w:rPr>
              <w:t>31</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50</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73"/>
        </w:trPr>
        <w:tc>
          <w:tcPr>
            <w:tcW w:w="5500" w:type="dxa"/>
            <w:vAlign w:val="bottom"/>
          </w:tcPr>
          <w:p>
            <w:pPr>
              <w:ind w:left="100"/>
              <w:spacing w:after="0" w:line="173" w:lineRule="exact"/>
              <w:rPr>
                <w:sz w:val="20"/>
                <w:szCs w:val="20"/>
                <w:color w:val="auto"/>
              </w:rPr>
            </w:pPr>
            <w:r>
              <w:rPr>
                <w:rFonts w:ascii="Arial" w:cs="Arial" w:eastAsia="Arial" w:hAnsi="Arial"/>
                <w:sz w:val="16"/>
                <w:szCs w:val="16"/>
                <w:color w:val="auto"/>
              </w:rPr>
              <w:t>Sempra Mexico</w:t>
            </w:r>
          </w:p>
        </w:tc>
        <w:tc>
          <w:tcPr>
            <w:tcW w:w="980" w:type="dxa"/>
            <w:vAlign w:val="bottom"/>
          </w:tcPr>
          <w:p>
            <w:pPr>
              <w:spacing w:after="0"/>
              <w:rPr>
                <w:sz w:val="15"/>
                <w:szCs w:val="15"/>
                <w:color w:val="auto"/>
              </w:rPr>
            </w:pPr>
          </w:p>
        </w:tc>
        <w:tc>
          <w:tcPr>
            <w:tcW w:w="480" w:type="dxa"/>
            <w:vAlign w:val="bottom"/>
          </w:tcPr>
          <w:p>
            <w:pPr>
              <w:jc w:val="right"/>
              <w:spacing w:after="0" w:line="173" w:lineRule="exact"/>
              <w:rPr>
                <w:sz w:val="20"/>
                <w:szCs w:val="20"/>
                <w:color w:val="auto"/>
              </w:rPr>
            </w:pPr>
            <w:r>
              <w:rPr>
                <w:rFonts w:ascii="Arial" w:cs="Arial" w:eastAsia="Arial" w:hAnsi="Arial"/>
                <w:sz w:val="16"/>
                <w:szCs w:val="16"/>
                <w:color w:val="auto"/>
              </w:rPr>
              <w:t>160</w:t>
            </w:r>
          </w:p>
        </w:tc>
        <w:tc>
          <w:tcPr>
            <w:tcW w:w="1040" w:type="dxa"/>
            <w:vAlign w:val="bottom"/>
          </w:tcPr>
          <w:p>
            <w:pPr>
              <w:spacing w:after="0"/>
              <w:rPr>
                <w:sz w:val="15"/>
                <w:szCs w:val="15"/>
                <w:color w:val="auto"/>
              </w:rPr>
            </w:pPr>
          </w:p>
        </w:tc>
        <w:tc>
          <w:tcPr>
            <w:tcW w:w="440" w:type="dxa"/>
            <w:vAlign w:val="bottom"/>
          </w:tcPr>
          <w:p>
            <w:pPr>
              <w:jc w:val="right"/>
              <w:spacing w:after="0" w:line="173" w:lineRule="exact"/>
              <w:rPr>
                <w:sz w:val="20"/>
                <w:szCs w:val="20"/>
                <w:color w:val="auto"/>
              </w:rPr>
            </w:pPr>
            <w:r>
              <w:rPr>
                <w:rFonts w:ascii="Arial" w:cs="Arial" w:eastAsia="Arial" w:hAnsi="Arial"/>
                <w:sz w:val="16"/>
                <w:szCs w:val="16"/>
                <w:color w:val="auto"/>
              </w:rPr>
              <w:t>139</w:t>
            </w:r>
          </w:p>
        </w:tc>
        <w:tc>
          <w:tcPr>
            <w:tcW w:w="32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328</w:t>
            </w:r>
          </w:p>
        </w:tc>
        <w:tc>
          <w:tcPr>
            <w:tcW w:w="34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173"/>
        </w:trPr>
        <w:tc>
          <w:tcPr>
            <w:tcW w:w="5500" w:type="dxa"/>
            <w:vAlign w:val="bottom"/>
          </w:tcPr>
          <w:p>
            <w:pPr>
              <w:ind w:left="100"/>
              <w:spacing w:after="0" w:line="173" w:lineRule="exact"/>
              <w:rPr>
                <w:sz w:val="20"/>
                <w:szCs w:val="20"/>
                <w:color w:val="auto"/>
              </w:rPr>
            </w:pPr>
            <w:r>
              <w:rPr>
                <w:rFonts w:ascii="Arial" w:cs="Arial" w:eastAsia="Arial" w:hAnsi="Arial"/>
                <w:sz w:val="16"/>
                <w:szCs w:val="16"/>
                <w:color w:val="auto"/>
              </w:rPr>
              <w:t>Sempra Renewables</w:t>
            </w:r>
          </w:p>
        </w:tc>
        <w:tc>
          <w:tcPr>
            <w:tcW w:w="980" w:type="dxa"/>
            <w:vAlign w:val="bottom"/>
          </w:tcPr>
          <w:p>
            <w:pPr>
              <w:spacing w:after="0"/>
              <w:rPr>
                <w:sz w:val="15"/>
                <w:szCs w:val="15"/>
                <w:color w:val="auto"/>
              </w:rPr>
            </w:pPr>
          </w:p>
        </w:tc>
        <w:tc>
          <w:tcPr>
            <w:tcW w:w="480" w:type="dxa"/>
            <w:vAlign w:val="bottom"/>
          </w:tcPr>
          <w:p>
            <w:pPr>
              <w:jc w:val="right"/>
              <w:spacing w:after="0" w:line="173" w:lineRule="exact"/>
              <w:rPr>
                <w:sz w:val="20"/>
                <w:szCs w:val="20"/>
                <w:color w:val="auto"/>
              </w:rPr>
            </w:pPr>
            <w:r>
              <w:rPr>
                <w:rFonts w:ascii="Arial" w:cs="Arial" w:eastAsia="Arial" w:hAnsi="Arial"/>
                <w:sz w:val="16"/>
                <w:szCs w:val="16"/>
                <w:color w:val="auto"/>
              </w:rPr>
              <w:t>9</w:t>
            </w:r>
          </w:p>
        </w:tc>
        <w:tc>
          <w:tcPr>
            <w:tcW w:w="1040" w:type="dxa"/>
            <w:vAlign w:val="bottom"/>
          </w:tcPr>
          <w:p>
            <w:pPr>
              <w:spacing w:after="0"/>
              <w:rPr>
                <w:sz w:val="15"/>
                <w:szCs w:val="15"/>
                <w:color w:val="auto"/>
              </w:rPr>
            </w:pPr>
          </w:p>
        </w:tc>
        <w:tc>
          <w:tcPr>
            <w:tcW w:w="440" w:type="dxa"/>
            <w:vAlign w:val="bottom"/>
          </w:tcPr>
          <w:p>
            <w:pPr>
              <w:jc w:val="right"/>
              <w:spacing w:after="0" w:line="173" w:lineRule="exact"/>
              <w:rPr>
                <w:sz w:val="20"/>
                <w:szCs w:val="20"/>
                <w:color w:val="auto"/>
              </w:rPr>
            </w:pPr>
            <w:r>
              <w:rPr>
                <w:rFonts w:ascii="Arial" w:cs="Arial" w:eastAsia="Arial" w:hAnsi="Arial"/>
                <w:sz w:val="16"/>
                <w:szCs w:val="16"/>
                <w:color w:val="auto"/>
              </w:rPr>
              <w:t>30</w:t>
            </w:r>
          </w:p>
        </w:tc>
        <w:tc>
          <w:tcPr>
            <w:tcW w:w="32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15</w:t>
            </w:r>
          </w:p>
        </w:tc>
        <w:tc>
          <w:tcPr>
            <w:tcW w:w="34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73"/>
        </w:trPr>
        <w:tc>
          <w:tcPr>
            <w:tcW w:w="5500" w:type="dxa"/>
            <w:vAlign w:val="bottom"/>
          </w:tcPr>
          <w:p>
            <w:pPr>
              <w:ind w:left="100"/>
              <w:spacing w:after="0" w:line="173" w:lineRule="exact"/>
              <w:rPr>
                <w:sz w:val="20"/>
                <w:szCs w:val="20"/>
                <w:color w:val="auto"/>
              </w:rPr>
            </w:pPr>
            <w:r>
              <w:rPr>
                <w:rFonts w:ascii="Arial" w:cs="Arial" w:eastAsia="Arial" w:hAnsi="Arial"/>
                <w:sz w:val="16"/>
                <w:szCs w:val="16"/>
                <w:color w:val="auto"/>
              </w:rPr>
              <w:t>Sempra Natural Gas</w:t>
            </w:r>
          </w:p>
        </w:tc>
        <w:tc>
          <w:tcPr>
            <w:tcW w:w="980" w:type="dxa"/>
            <w:vAlign w:val="bottom"/>
          </w:tcPr>
          <w:p>
            <w:pPr>
              <w:spacing w:after="0"/>
              <w:rPr>
                <w:sz w:val="15"/>
                <w:szCs w:val="15"/>
                <w:color w:val="auto"/>
              </w:rPr>
            </w:pPr>
          </w:p>
        </w:tc>
        <w:tc>
          <w:tcPr>
            <w:tcW w:w="480" w:type="dxa"/>
            <w:vAlign w:val="bottom"/>
          </w:tcPr>
          <w:p>
            <w:pPr>
              <w:jc w:val="right"/>
              <w:spacing w:after="0" w:line="173" w:lineRule="exact"/>
              <w:rPr>
                <w:sz w:val="20"/>
                <w:szCs w:val="20"/>
                <w:color w:val="auto"/>
              </w:rPr>
            </w:pPr>
            <w:r>
              <w:rPr>
                <w:rFonts w:ascii="Arial" w:cs="Arial" w:eastAsia="Arial" w:hAnsi="Arial"/>
                <w:sz w:val="16"/>
                <w:szCs w:val="16"/>
                <w:color w:val="auto"/>
              </w:rPr>
              <w:t>216</w:t>
            </w:r>
          </w:p>
        </w:tc>
        <w:tc>
          <w:tcPr>
            <w:tcW w:w="1040" w:type="dxa"/>
            <w:vAlign w:val="bottom"/>
          </w:tcPr>
          <w:p>
            <w:pPr>
              <w:spacing w:after="0"/>
              <w:rPr>
                <w:sz w:val="15"/>
                <w:szCs w:val="15"/>
                <w:color w:val="auto"/>
              </w:rPr>
            </w:pPr>
          </w:p>
        </w:tc>
        <w:tc>
          <w:tcPr>
            <w:tcW w:w="440" w:type="dxa"/>
            <w:vAlign w:val="bottom"/>
          </w:tcPr>
          <w:p>
            <w:pPr>
              <w:jc w:val="right"/>
              <w:spacing w:after="0" w:line="173" w:lineRule="exact"/>
              <w:rPr>
                <w:sz w:val="20"/>
                <w:szCs w:val="20"/>
                <w:color w:val="auto"/>
              </w:rPr>
            </w:pPr>
            <w:r>
              <w:rPr>
                <w:rFonts w:ascii="Arial" w:cs="Arial" w:eastAsia="Arial" w:hAnsi="Arial"/>
                <w:sz w:val="16"/>
                <w:szCs w:val="16"/>
                <w:color w:val="auto"/>
              </w:rPr>
              <w:t>198</w:t>
            </w:r>
          </w:p>
        </w:tc>
        <w:tc>
          <w:tcPr>
            <w:tcW w:w="32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429</w:t>
            </w:r>
          </w:p>
        </w:tc>
        <w:tc>
          <w:tcPr>
            <w:tcW w:w="340" w:type="dxa"/>
            <w:vAlign w:val="bottom"/>
          </w:tcPr>
          <w:p>
            <w:pPr>
              <w:spacing w:after="0"/>
              <w:rPr>
                <w:sz w:val="15"/>
                <w:szCs w:val="15"/>
                <w:color w:val="auto"/>
              </w:rPr>
            </w:pPr>
          </w:p>
        </w:tc>
        <w:tc>
          <w:tcPr>
            <w:tcW w:w="1160" w:type="dxa"/>
            <w:vAlign w:val="bottom"/>
          </w:tcPr>
          <w:p>
            <w:pPr>
              <w:jc w:val="right"/>
              <w:spacing w:after="0" w:line="173" w:lineRule="exact"/>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04"/>
        </w:trPr>
        <w:tc>
          <w:tcPr>
            <w:tcW w:w="5500" w:type="dxa"/>
            <w:vAlign w:val="bottom"/>
          </w:tcPr>
          <w:p>
            <w:pPr>
              <w:ind w:left="100"/>
              <w:spacing w:after="0"/>
              <w:rPr>
                <w:sz w:val="20"/>
                <w:szCs w:val="20"/>
                <w:color w:val="auto"/>
              </w:rPr>
            </w:pPr>
            <w:r>
              <w:rPr>
                <w:rFonts w:ascii="Arial" w:cs="Arial" w:eastAsia="Arial" w:hAnsi="Arial"/>
                <w:sz w:val="16"/>
                <w:szCs w:val="16"/>
                <w:color w:val="auto"/>
              </w:rPr>
              <w:t>Intersegment revenues, adjustments and eliminations(1)</w:t>
            </w:r>
          </w:p>
        </w:tc>
        <w:tc>
          <w:tcPr>
            <w:tcW w:w="9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166"/>
        </w:trPr>
        <w:tc>
          <w:tcPr>
            <w:tcW w:w="5500" w:type="dxa"/>
            <w:vAlign w:val="bottom"/>
          </w:tcPr>
          <w:p>
            <w:pPr>
              <w:ind w:left="320"/>
              <w:spacing w:after="0" w:line="166" w:lineRule="exact"/>
              <w:rPr>
                <w:sz w:val="20"/>
                <w:szCs w:val="20"/>
                <w:color w:val="auto"/>
              </w:rPr>
            </w:pPr>
            <w:r>
              <w:rPr>
                <w:rFonts w:ascii="Arial" w:cs="Arial" w:eastAsia="Arial" w:hAnsi="Arial"/>
                <w:sz w:val="16"/>
                <w:szCs w:val="16"/>
                <w:color w:val="auto"/>
              </w:rPr>
              <w:t>Total energy-related businesses revenues</w:t>
            </w:r>
          </w:p>
        </w:tc>
        <w:tc>
          <w:tcPr>
            <w:tcW w:w="980" w:type="dxa"/>
            <w:vAlign w:val="bottom"/>
          </w:tcPr>
          <w:p>
            <w:pPr>
              <w:jc w:val="right"/>
              <w:ind w:right="828"/>
              <w:spacing w:after="0" w:line="167" w:lineRule="exact"/>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66" w:lineRule="exact"/>
              <w:rPr>
                <w:sz w:val="20"/>
                <w:szCs w:val="20"/>
                <w:color w:val="auto"/>
              </w:rPr>
            </w:pPr>
            <w:r>
              <w:rPr>
                <w:rFonts w:ascii="Arial" w:cs="Arial" w:eastAsia="Arial" w:hAnsi="Arial"/>
                <w:sz w:val="16"/>
                <w:szCs w:val="16"/>
                <w:color w:val="auto"/>
              </w:rPr>
              <w:t>308</w:t>
            </w:r>
          </w:p>
        </w:tc>
        <w:tc>
          <w:tcPr>
            <w:tcW w:w="1040" w:type="dxa"/>
            <w:vAlign w:val="bottom"/>
          </w:tcPr>
          <w:p>
            <w:pPr>
              <w:jc w:val="right"/>
              <w:ind w:right="887"/>
              <w:spacing w:after="0" w:line="167" w:lineRule="exact"/>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line="166" w:lineRule="exact"/>
              <w:rPr>
                <w:sz w:val="20"/>
                <w:szCs w:val="20"/>
                <w:color w:val="auto"/>
              </w:rPr>
            </w:pPr>
            <w:r>
              <w:rPr>
                <w:rFonts w:ascii="Arial" w:cs="Arial" w:eastAsia="Arial" w:hAnsi="Arial"/>
                <w:sz w:val="16"/>
                <w:szCs w:val="16"/>
                <w:color w:val="auto"/>
              </w:rPr>
              <w:t>319</w:t>
            </w:r>
          </w:p>
        </w:tc>
        <w:tc>
          <w:tcPr>
            <w:tcW w:w="320" w:type="dxa"/>
            <w:vAlign w:val="bottom"/>
          </w:tcPr>
          <w:p>
            <w:pPr>
              <w:jc w:val="right"/>
              <w:ind w:right="166"/>
              <w:spacing w:after="0" w:line="167" w:lineRule="exact"/>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66" w:lineRule="exact"/>
              <w:rPr>
                <w:sz w:val="20"/>
                <w:szCs w:val="20"/>
                <w:color w:val="auto"/>
              </w:rPr>
            </w:pPr>
            <w:r>
              <w:rPr>
                <w:rFonts w:ascii="Arial" w:cs="Arial" w:eastAsia="Arial" w:hAnsi="Arial"/>
                <w:sz w:val="16"/>
                <w:szCs w:val="16"/>
                <w:color w:val="auto"/>
              </w:rPr>
              <w:t>618</w:t>
            </w:r>
          </w:p>
        </w:tc>
        <w:tc>
          <w:tcPr>
            <w:tcW w:w="340" w:type="dxa"/>
            <w:vAlign w:val="bottom"/>
          </w:tcPr>
          <w:p>
            <w:pPr>
              <w:jc w:val="right"/>
              <w:ind w:right="186"/>
              <w:spacing w:after="0" w:line="167" w:lineRule="exact"/>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66" w:lineRule="exact"/>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80"/>
        </w:trPr>
        <w:tc>
          <w:tcPr>
            <w:tcW w:w="5500" w:type="dxa"/>
            <w:vAlign w:val="bottom"/>
            <w:tcBorders>
              <w:right w:val="single" w:sz="8" w:color="auto"/>
            </w:tcBorders>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60" w:name="page61"/>
    <w:bookmarkEnd w:id="60"/>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20"/>
                <w:szCs w:val="20"/>
                <w:color w:val="auto"/>
              </w:rPr>
            </w:pPr>
            <w:r>
              <w:rPr>
                <w:rFonts w:ascii="Arial" w:cs="Arial" w:eastAsia="Arial" w:hAnsi="Arial"/>
                <w:sz w:val="16"/>
                <w:szCs w:val="16"/>
                <w:b w:val="1"/>
                <w:bCs w:val="1"/>
                <w:color w:val="auto"/>
              </w:rPr>
              <w:t>Cost of natural gas, electric fuel and purchased power(2):</w:t>
            </w: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92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11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446"/>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4920" w:type="dxa"/>
            <w:vAlign w:val="bottom"/>
          </w:tcPr>
          <w:p>
            <w:pPr>
              <w:ind w:left="100"/>
              <w:spacing w:after="0" w:line="173" w:lineRule="exact"/>
              <w:rPr>
                <w:sz w:val="20"/>
                <w:szCs w:val="20"/>
                <w:color w:val="auto"/>
              </w:rPr>
            </w:pPr>
            <w:r>
              <w:rPr>
                <w:rFonts w:ascii="Arial" w:cs="Arial" w:eastAsia="Arial" w:hAnsi="Arial"/>
                <w:sz w:val="16"/>
                <w:szCs w:val="16"/>
                <w:color w:val="auto"/>
              </w:rPr>
              <w:t>Sempra Mexico</w:t>
            </w: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81</w:t>
            </w:r>
          </w:p>
        </w:tc>
        <w:tc>
          <w:tcPr>
            <w:tcW w:w="6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58</w:t>
            </w:r>
          </w:p>
        </w:tc>
        <w:tc>
          <w:tcPr>
            <w:tcW w:w="60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164</w:t>
            </w:r>
          </w:p>
        </w:tc>
        <w:tc>
          <w:tcPr>
            <w:tcW w:w="600" w:type="dxa"/>
            <w:vAlign w:val="bottom"/>
          </w:tcPr>
          <w:p>
            <w:pPr>
              <w:spacing w:after="0"/>
              <w:rPr>
                <w:sz w:val="15"/>
                <w:szCs w:val="15"/>
                <w:color w:val="auto"/>
              </w:rPr>
            </w:pPr>
          </w:p>
        </w:tc>
        <w:tc>
          <w:tcPr>
            <w:tcW w:w="900" w:type="dxa"/>
            <w:vAlign w:val="bottom"/>
          </w:tcPr>
          <w:p>
            <w:pPr>
              <w:jc w:val="right"/>
              <w:spacing w:after="0" w:line="173" w:lineRule="exact"/>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73"/>
        </w:trPr>
        <w:tc>
          <w:tcPr>
            <w:tcW w:w="4920" w:type="dxa"/>
            <w:vAlign w:val="bottom"/>
          </w:tcPr>
          <w:p>
            <w:pPr>
              <w:ind w:left="100"/>
              <w:spacing w:after="0" w:line="173" w:lineRule="exact"/>
              <w:rPr>
                <w:sz w:val="20"/>
                <w:szCs w:val="20"/>
                <w:color w:val="auto"/>
              </w:rPr>
            </w:pPr>
            <w:r>
              <w:rPr>
                <w:rFonts w:ascii="Arial" w:cs="Arial" w:eastAsia="Arial" w:hAnsi="Arial"/>
                <w:sz w:val="16"/>
                <w:szCs w:val="16"/>
                <w:color w:val="auto"/>
              </w:rPr>
              <w:t>Sempra Renewables</w:t>
            </w: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6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60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600" w:type="dxa"/>
            <w:vAlign w:val="bottom"/>
          </w:tcPr>
          <w:p>
            <w:pPr>
              <w:spacing w:after="0"/>
              <w:rPr>
                <w:sz w:val="15"/>
                <w:szCs w:val="15"/>
                <w:color w:val="auto"/>
              </w:rPr>
            </w:pPr>
          </w:p>
        </w:tc>
        <w:tc>
          <w:tcPr>
            <w:tcW w:w="900" w:type="dxa"/>
            <w:vAlign w:val="bottom"/>
          </w:tcPr>
          <w:p>
            <w:pPr>
              <w:jc w:val="right"/>
              <w:spacing w:after="0" w:line="17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3"/>
        </w:trPr>
        <w:tc>
          <w:tcPr>
            <w:tcW w:w="4920" w:type="dxa"/>
            <w:vAlign w:val="bottom"/>
          </w:tcPr>
          <w:p>
            <w:pPr>
              <w:ind w:left="100"/>
              <w:spacing w:after="0" w:line="173" w:lineRule="exact"/>
              <w:rPr>
                <w:sz w:val="20"/>
                <w:szCs w:val="20"/>
                <w:color w:val="auto"/>
              </w:rPr>
            </w:pPr>
            <w:r>
              <w:rPr>
                <w:rFonts w:ascii="Arial" w:cs="Arial" w:eastAsia="Arial" w:hAnsi="Arial"/>
                <w:sz w:val="16"/>
                <w:szCs w:val="16"/>
                <w:color w:val="auto"/>
              </w:rPr>
              <w:t>Sempra Natural Gas</w:t>
            </w: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143</w:t>
            </w:r>
          </w:p>
        </w:tc>
        <w:tc>
          <w:tcPr>
            <w:tcW w:w="6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114</w:t>
            </w:r>
          </w:p>
        </w:tc>
        <w:tc>
          <w:tcPr>
            <w:tcW w:w="60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294</w:t>
            </w:r>
          </w:p>
        </w:tc>
        <w:tc>
          <w:tcPr>
            <w:tcW w:w="600" w:type="dxa"/>
            <w:vAlign w:val="bottom"/>
          </w:tcPr>
          <w:p>
            <w:pPr>
              <w:spacing w:after="0"/>
              <w:rPr>
                <w:sz w:val="15"/>
                <w:szCs w:val="15"/>
                <w:color w:val="auto"/>
              </w:rPr>
            </w:pPr>
          </w:p>
        </w:tc>
        <w:tc>
          <w:tcPr>
            <w:tcW w:w="900" w:type="dxa"/>
            <w:vAlign w:val="bottom"/>
          </w:tcPr>
          <w:p>
            <w:pPr>
              <w:jc w:val="right"/>
              <w:spacing w:after="0" w:line="173" w:lineRule="exact"/>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4"/>
        </w:trPr>
        <w:tc>
          <w:tcPr>
            <w:tcW w:w="4920" w:type="dxa"/>
            <w:vAlign w:val="bottom"/>
          </w:tcPr>
          <w:p>
            <w:pPr>
              <w:ind w:left="80"/>
              <w:spacing w:after="0"/>
              <w:rPr>
                <w:sz w:val="20"/>
                <w:szCs w:val="20"/>
                <w:color w:val="auto"/>
              </w:rPr>
            </w:pPr>
            <w:r>
              <w:rPr>
                <w:rFonts w:ascii="Arial" w:cs="Arial" w:eastAsia="Arial" w:hAnsi="Arial"/>
                <w:sz w:val="16"/>
                <w:szCs w:val="16"/>
                <w:color w:val="auto"/>
              </w:rPr>
              <w:t>Adjustments and eliminations(1)</w:t>
            </w:r>
          </w:p>
        </w:tc>
        <w:tc>
          <w:tcPr>
            <w:tcW w:w="5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6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35"/>
        </w:trPr>
        <w:tc>
          <w:tcPr>
            <w:tcW w:w="4920" w:type="dxa"/>
            <w:vAlign w:val="bottom"/>
          </w:tcPr>
          <w:p>
            <w:pPr>
              <w:ind w:left="320"/>
              <w:spacing w:after="0" w:line="135" w:lineRule="exact"/>
              <w:rPr>
                <w:sz w:val="20"/>
                <w:szCs w:val="20"/>
                <w:color w:val="auto"/>
              </w:rPr>
            </w:pPr>
            <w:r>
              <w:rPr>
                <w:rFonts w:ascii="Arial" w:cs="Arial" w:eastAsia="Arial" w:hAnsi="Arial"/>
                <w:sz w:val="15"/>
                <w:szCs w:val="15"/>
                <w:color w:val="auto"/>
              </w:rPr>
              <w:t>Total cost of natural gas, electric fuel</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920" w:type="dxa"/>
            <w:vAlign w:val="bottom"/>
          </w:tcPr>
          <w:p>
            <w:pPr>
              <w:ind w:left="400"/>
              <w:spacing w:after="0"/>
              <w:rPr>
                <w:sz w:val="20"/>
                <w:szCs w:val="20"/>
                <w:color w:val="auto"/>
              </w:rPr>
            </w:pPr>
            <w:r>
              <w:rPr>
                <w:rFonts w:ascii="Arial" w:cs="Arial" w:eastAsia="Arial" w:hAnsi="Arial"/>
                <w:sz w:val="16"/>
                <w:szCs w:val="16"/>
                <w:color w:val="auto"/>
              </w:rPr>
              <w:t>and purchased power</w:t>
            </w:r>
          </w:p>
        </w:tc>
        <w:tc>
          <w:tcPr>
            <w:tcW w:w="11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126</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94</w:t>
            </w: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264</w:t>
            </w: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80"/>
        </w:trPr>
        <w:tc>
          <w:tcPr>
            <w:tcW w:w="4920" w:type="dxa"/>
            <w:vAlign w:val="bottom"/>
            <w:vMerge w:val="restart"/>
          </w:tcPr>
          <w:p>
            <w:pPr>
              <w:spacing w:after="0"/>
              <w:rPr>
                <w:sz w:val="20"/>
                <w:szCs w:val="20"/>
                <w:color w:val="auto"/>
              </w:rPr>
            </w:pPr>
            <w:r>
              <w:rPr>
                <w:rFonts w:ascii="Arial" w:cs="Arial" w:eastAsia="Arial" w:hAnsi="Arial"/>
                <w:sz w:val="16"/>
                <w:szCs w:val="16"/>
                <w:b w:val="1"/>
                <w:bCs w:val="1"/>
                <w:color w:val="auto"/>
              </w:rPr>
              <w:t>Other cost of sales(2):</w:t>
            </w:r>
          </w:p>
        </w:tc>
        <w:tc>
          <w:tcPr>
            <w:tcW w:w="560" w:type="dxa"/>
            <w:vAlign w:val="bottom"/>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9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20" w:type="dxa"/>
            <w:vAlign w:val="bottom"/>
          </w:tcPr>
          <w:p>
            <w:pPr>
              <w:ind w:left="100"/>
              <w:spacing w:after="0" w:line="173" w:lineRule="exact"/>
              <w:rPr>
                <w:sz w:val="20"/>
                <w:szCs w:val="20"/>
                <w:color w:val="auto"/>
              </w:rPr>
            </w:pPr>
            <w:r>
              <w:rPr>
                <w:rFonts w:ascii="Arial" w:cs="Arial" w:eastAsia="Arial" w:hAnsi="Arial"/>
                <w:sz w:val="16"/>
                <w:szCs w:val="16"/>
                <w:color w:val="auto"/>
              </w:rPr>
              <w:t>Sempra South American Utilities</w:t>
            </w:r>
          </w:p>
        </w:tc>
        <w:tc>
          <w:tcPr>
            <w:tcW w:w="1160" w:type="dxa"/>
            <w:vAlign w:val="bottom"/>
            <w:gridSpan w:val="2"/>
          </w:tcPr>
          <w:p>
            <w:pPr>
              <w:jc w:val="right"/>
              <w:ind w:right="420"/>
              <w:spacing w:after="0" w:line="17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19</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21</w:t>
            </w: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33</w:t>
            </w: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73"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73"/>
        </w:trPr>
        <w:tc>
          <w:tcPr>
            <w:tcW w:w="4920" w:type="dxa"/>
            <w:vAlign w:val="bottom"/>
          </w:tcPr>
          <w:p>
            <w:pPr>
              <w:ind w:left="100"/>
              <w:spacing w:after="0" w:line="173" w:lineRule="exact"/>
              <w:rPr>
                <w:sz w:val="20"/>
                <w:szCs w:val="20"/>
                <w:color w:val="auto"/>
              </w:rPr>
            </w:pPr>
            <w:r>
              <w:rPr>
                <w:rFonts w:ascii="Arial" w:cs="Arial" w:eastAsia="Arial" w:hAnsi="Arial"/>
                <w:sz w:val="16"/>
                <w:szCs w:val="16"/>
                <w:color w:val="auto"/>
              </w:rPr>
              <w:t>Sempra Mexico</w:t>
            </w: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2</w:t>
            </w:r>
          </w:p>
        </w:tc>
        <w:tc>
          <w:tcPr>
            <w:tcW w:w="6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6</w:t>
            </w:r>
          </w:p>
        </w:tc>
        <w:tc>
          <w:tcPr>
            <w:tcW w:w="60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5</w:t>
            </w:r>
          </w:p>
        </w:tc>
        <w:tc>
          <w:tcPr>
            <w:tcW w:w="600" w:type="dxa"/>
            <w:vAlign w:val="bottom"/>
          </w:tcPr>
          <w:p>
            <w:pPr>
              <w:spacing w:after="0"/>
              <w:rPr>
                <w:sz w:val="15"/>
                <w:szCs w:val="15"/>
                <w:color w:val="auto"/>
              </w:rPr>
            </w:pPr>
          </w:p>
        </w:tc>
        <w:tc>
          <w:tcPr>
            <w:tcW w:w="900" w:type="dxa"/>
            <w:vAlign w:val="bottom"/>
          </w:tcPr>
          <w:p>
            <w:pPr>
              <w:jc w:val="right"/>
              <w:spacing w:after="0" w:line="173"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73"/>
        </w:trPr>
        <w:tc>
          <w:tcPr>
            <w:tcW w:w="4920" w:type="dxa"/>
            <w:vAlign w:val="bottom"/>
          </w:tcPr>
          <w:p>
            <w:pPr>
              <w:ind w:left="100"/>
              <w:spacing w:after="0" w:line="173" w:lineRule="exact"/>
              <w:rPr>
                <w:sz w:val="20"/>
                <w:szCs w:val="20"/>
                <w:color w:val="auto"/>
              </w:rPr>
            </w:pPr>
            <w:r>
              <w:rPr>
                <w:rFonts w:ascii="Arial" w:cs="Arial" w:eastAsia="Arial" w:hAnsi="Arial"/>
                <w:sz w:val="16"/>
                <w:szCs w:val="16"/>
                <w:color w:val="auto"/>
              </w:rPr>
              <w:t>Sempra Natural Gas</w:t>
            </w: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23</w:t>
            </w:r>
          </w:p>
        </w:tc>
        <w:tc>
          <w:tcPr>
            <w:tcW w:w="62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24</w:t>
            </w:r>
          </w:p>
        </w:tc>
        <w:tc>
          <w:tcPr>
            <w:tcW w:w="60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46</w:t>
            </w:r>
          </w:p>
        </w:tc>
        <w:tc>
          <w:tcPr>
            <w:tcW w:w="600" w:type="dxa"/>
            <w:vAlign w:val="bottom"/>
          </w:tcPr>
          <w:p>
            <w:pPr>
              <w:spacing w:after="0"/>
              <w:rPr>
                <w:sz w:val="15"/>
                <w:szCs w:val="15"/>
                <w:color w:val="auto"/>
              </w:rPr>
            </w:pPr>
          </w:p>
        </w:tc>
        <w:tc>
          <w:tcPr>
            <w:tcW w:w="900" w:type="dxa"/>
            <w:vAlign w:val="bottom"/>
          </w:tcPr>
          <w:p>
            <w:pPr>
              <w:jc w:val="right"/>
              <w:spacing w:after="0" w:line="173"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4"/>
        </w:trPr>
        <w:tc>
          <w:tcPr>
            <w:tcW w:w="4920" w:type="dxa"/>
            <w:vAlign w:val="bottom"/>
          </w:tcPr>
          <w:p>
            <w:pPr>
              <w:ind w:left="80"/>
              <w:spacing w:after="0"/>
              <w:rPr>
                <w:sz w:val="20"/>
                <w:szCs w:val="20"/>
                <w:color w:val="auto"/>
              </w:rPr>
            </w:pPr>
            <w:r>
              <w:rPr>
                <w:rFonts w:ascii="Arial" w:cs="Arial" w:eastAsia="Arial" w:hAnsi="Arial"/>
                <w:sz w:val="16"/>
                <w:szCs w:val="16"/>
                <w:color w:val="auto"/>
              </w:rPr>
              <w:t>Adjustments and eliminations(1)</w:t>
            </w:r>
          </w:p>
        </w:tc>
        <w:tc>
          <w:tcPr>
            <w:tcW w:w="5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6"/>
        </w:trPr>
        <w:tc>
          <w:tcPr>
            <w:tcW w:w="4920" w:type="dxa"/>
            <w:vAlign w:val="bottom"/>
          </w:tcPr>
          <w:p>
            <w:pPr>
              <w:ind w:left="320"/>
              <w:spacing w:after="0" w:line="166" w:lineRule="exact"/>
              <w:rPr>
                <w:sz w:val="20"/>
                <w:szCs w:val="20"/>
                <w:color w:val="auto"/>
              </w:rPr>
            </w:pPr>
            <w:r>
              <w:rPr>
                <w:rFonts w:ascii="Arial" w:cs="Arial" w:eastAsia="Arial" w:hAnsi="Arial"/>
                <w:sz w:val="16"/>
                <w:szCs w:val="16"/>
                <w:color w:val="auto"/>
              </w:rPr>
              <w:t>Total other cost of sales</w:t>
            </w:r>
          </w:p>
        </w:tc>
        <w:tc>
          <w:tcPr>
            <w:tcW w:w="560" w:type="dxa"/>
            <w:vAlign w:val="bottom"/>
          </w:tcPr>
          <w:p>
            <w:pPr>
              <w:spacing w:after="0"/>
              <w:rPr>
                <w:sz w:val="14"/>
                <w:szCs w:val="14"/>
                <w:color w:val="auto"/>
              </w:rPr>
            </w:pPr>
          </w:p>
        </w:tc>
        <w:tc>
          <w:tcPr>
            <w:tcW w:w="600" w:type="dxa"/>
            <w:vAlign w:val="bottom"/>
          </w:tcPr>
          <w:p>
            <w:pPr>
              <w:jc w:val="right"/>
              <w:ind w:right="420"/>
              <w:spacing w:after="0" w:line="166"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line="166" w:lineRule="exact"/>
              <w:rPr>
                <w:sz w:val="20"/>
                <w:szCs w:val="20"/>
                <w:color w:val="auto"/>
              </w:rPr>
            </w:pPr>
            <w:r>
              <w:rPr>
                <w:rFonts w:ascii="Arial" w:cs="Arial" w:eastAsia="Arial" w:hAnsi="Arial"/>
                <w:sz w:val="16"/>
                <w:szCs w:val="16"/>
                <w:color w:val="auto"/>
              </w:rPr>
              <w:t>42</w:t>
            </w:r>
          </w:p>
        </w:tc>
        <w:tc>
          <w:tcPr>
            <w:tcW w:w="620" w:type="dxa"/>
            <w:vAlign w:val="bottom"/>
          </w:tcPr>
          <w:p>
            <w:pPr>
              <w:jc w:val="right"/>
              <w:ind w:right="466"/>
              <w:spacing w:after="0" w:line="167" w:lineRule="exact"/>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66" w:lineRule="exact"/>
              <w:rPr>
                <w:sz w:val="20"/>
                <w:szCs w:val="20"/>
                <w:color w:val="auto"/>
              </w:rPr>
            </w:pPr>
            <w:r>
              <w:rPr>
                <w:rFonts w:ascii="Arial" w:cs="Arial" w:eastAsia="Arial" w:hAnsi="Arial"/>
                <w:sz w:val="16"/>
                <w:szCs w:val="16"/>
                <w:color w:val="auto"/>
              </w:rPr>
              <w:t>49</w:t>
            </w:r>
          </w:p>
        </w:tc>
        <w:tc>
          <w:tcPr>
            <w:tcW w:w="600" w:type="dxa"/>
            <w:vAlign w:val="bottom"/>
          </w:tcPr>
          <w:p>
            <w:pPr>
              <w:jc w:val="right"/>
              <w:ind w:right="446"/>
              <w:spacing w:after="0" w:line="167"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66" w:lineRule="exact"/>
              <w:rPr>
                <w:sz w:val="20"/>
                <w:szCs w:val="20"/>
                <w:color w:val="auto"/>
              </w:rPr>
            </w:pPr>
            <w:r>
              <w:rPr>
                <w:rFonts w:ascii="Arial" w:cs="Arial" w:eastAsia="Arial" w:hAnsi="Arial"/>
                <w:sz w:val="16"/>
                <w:szCs w:val="16"/>
                <w:color w:val="auto"/>
              </w:rPr>
              <w:t>80</w:t>
            </w:r>
          </w:p>
        </w:tc>
        <w:tc>
          <w:tcPr>
            <w:tcW w:w="600" w:type="dxa"/>
            <w:vAlign w:val="bottom"/>
          </w:tcPr>
          <w:p>
            <w:pPr>
              <w:jc w:val="right"/>
              <w:ind w:right="446"/>
              <w:spacing w:after="0" w:line="167"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6"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80"/>
        </w:trPr>
        <w:tc>
          <w:tcPr>
            <w:tcW w:w="492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ind w:left="620" w:hanging="614"/>
        <w:spacing w:after="0"/>
        <w:tabs>
          <w:tab w:leader="none" w:pos="620" w:val="left"/>
        </w:tabs>
        <w:numPr>
          <w:ilvl w:val="0"/>
          <w:numId w:val="10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eliminations of intercompany activity.</w:t>
      </w:r>
    </w:p>
    <w:p>
      <w:pPr>
        <w:spacing w:after="0" w:line="3" w:lineRule="exact"/>
        <w:rPr>
          <w:rFonts w:ascii="Arial" w:cs="Arial" w:eastAsia="Arial" w:hAnsi="Arial"/>
          <w:sz w:val="14"/>
          <w:szCs w:val="14"/>
          <w:i w:val="1"/>
          <w:iCs w:val="1"/>
          <w:color w:val="auto"/>
        </w:rPr>
      </w:pPr>
    </w:p>
    <w:p>
      <w:pPr>
        <w:ind w:left="620" w:hanging="614"/>
        <w:spacing w:after="0"/>
        <w:tabs>
          <w:tab w:leader="none" w:pos="620" w:val="left"/>
        </w:tabs>
        <w:numPr>
          <w:ilvl w:val="0"/>
          <w:numId w:val="108"/>
        </w:numPr>
        <w:rPr>
          <w:rFonts w:ascii="Arial" w:cs="Arial" w:eastAsia="Arial" w:hAnsi="Arial"/>
          <w:sz w:val="14"/>
          <w:szCs w:val="14"/>
          <w:i w:val="1"/>
          <w:iCs w:val="1"/>
          <w:color w:val="auto"/>
        </w:rPr>
      </w:pPr>
      <w:r>
        <w:rPr>
          <w:rFonts w:ascii="Arial" w:cs="Arial" w:eastAsia="Arial" w:hAnsi="Arial"/>
          <w:sz w:val="14"/>
          <w:szCs w:val="14"/>
          <w:i w:val="1"/>
          <w:iCs w:val="1"/>
          <w:color w:val="auto"/>
        </w:rPr>
        <w:t>Excludes depreciation and amortization, which are shown separately on the Condensed Consolidated Statements of Operations.</w:t>
      </w:r>
    </w:p>
    <w:p>
      <w:pPr>
        <w:spacing w:after="0" w:line="175"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During the three months ended June 30, 2014, revenues from our energy-related businesses decreased by $11 million (3%) to $308 million. The decrease included</w:t>
      </w:r>
    </w:p>
    <w:p>
      <w:pPr>
        <w:spacing w:after="0" w:line="164" w:lineRule="exact"/>
        <w:rPr>
          <w:sz w:val="20"/>
          <w:szCs w:val="20"/>
          <w:color w:val="auto"/>
        </w:rPr>
      </w:pPr>
    </w:p>
    <w:p>
      <w:pPr>
        <w:ind w:left="320" w:hanging="172"/>
        <w:spacing w:after="0"/>
        <w:tabs>
          <w:tab w:leader="none" w:pos="3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primarily from higher intercompany eliminations associated with sales between Sempra Natural Gas and Sempra Mexico; and</w:t>
      </w:r>
    </w:p>
    <w:p>
      <w:pPr>
        <w:spacing w:after="0" w:line="244"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million lower revenues at Sempra Renewables mainly due to the deconsolidation of Mesquite Solar 1 and Copper Mountain Solar 2 in the third quarter of 2013; </w:t>
      </w:r>
      <w:r>
        <w:rPr>
          <w:rFonts w:ascii="Times New Roman" w:cs="Times New Roman" w:eastAsia="Times New Roman" w:hAnsi="Times New Roman"/>
          <w:sz w:val="18"/>
          <w:szCs w:val="18"/>
          <w:b w:val="1"/>
          <w:bCs w:val="1"/>
          <w:color w:val="auto"/>
        </w:rPr>
        <w:t>offset by</w:t>
      </w:r>
    </w:p>
    <w:p>
      <w:pPr>
        <w:spacing w:after="0" w:line="190"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higher revenues at Sempra Mexico primarily due to higher natural gas and power prices and volumes; and</w:t>
      </w:r>
    </w:p>
    <w:p>
      <w:pPr>
        <w:spacing w:after="0" w:line="244"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increase at Sempra Natural Gas in 2014 mainly from the favorable impact of higher natural gas prices in 2014 and higher revenues from its LNG marketing operations, offset by mark-to-market gains in 2013 at its gas storage operations driven by change in gas prices.</w:t>
      </w:r>
    </w:p>
    <w:p>
      <w:pPr>
        <w:spacing w:after="0" w:line="190"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During the three months ended June 30, 2014, the cost of natural gas, electric fuel and purchased power for our energy-related businesses increased by $32 million (34%) to $126 million primarily due to:</w:t>
      </w:r>
    </w:p>
    <w:p>
      <w:pPr>
        <w:spacing w:after="0" w:line="164" w:lineRule="exact"/>
        <w:rPr>
          <w:sz w:val="20"/>
          <w:szCs w:val="20"/>
          <w:color w:val="auto"/>
        </w:rPr>
      </w:pPr>
    </w:p>
    <w:p>
      <w:pPr>
        <w:ind w:left="320" w:hanging="172"/>
        <w:spacing w:after="0"/>
        <w:tabs>
          <w:tab w:leader="none" w:pos="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$29 million increase at Sempra Natural Gas primarily due to higher natural gas costs; and</w:t>
      </w:r>
    </w:p>
    <w:p>
      <w:pPr>
        <w:spacing w:after="0" w:line="242"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$23 million increase at Sempra Mexico primarily due to higher natural gas costs and volumes;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higher intercompany eliminations of costs primarily associated with sales between Sempra Natural Gas and Sempra Mexico.</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six months of 2014, revenues from our energy-related businesses decreased by $17 million (3%) to $618 million. The decrease included</w:t>
      </w:r>
    </w:p>
    <w:p>
      <w:pPr>
        <w:spacing w:after="0" w:line="218" w:lineRule="exact"/>
        <w:rPr>
          <w:sz w:val="20"/>
          <w:szCs w:val="20"/>
          <w:color w:val="auto"/>
        </w:rPr>
      </w:pPr>
    </w:p>
    <w:p>
      <w:pPr>
        <w:ind w:left="320" w:hanging="172"/>
        <w:spacing w:after="0"/>
        <w:tabs>
          <w:tab w:leader="none" w:pos="3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million higher intercompany eliminations primarily associated with sales between Sempra Natural Gas and Sempra Mexico; and</w:t>
      </w:r>
    </w:p>
    <w:p>
      <w:pPr>
        <w:spacing w:after="0" w:line="244"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$36 million lower revenues at Sempra Renewables mainly due to the deconsolidation of Mesquite Solar 1 and Copper Mountain Solar 2 in the third quarter of 2013; </w:t>
      </w:r>
      <w:r>
        <w:rPr>
          <w:rFonts w:ascii="Times New Roman" w:cs="Times New Roman" w:eastAsia="Times New Roman" w:hAnsi="Times New Roman"/>
          <w:sz w:val="18"/>
          <w:szCs w:val="18"/>
          <w:b w:val="1"/>
          <w:bCs w:val="1"/>
          <w:color w:val="auto"/>
        </w:rPr>
        <w:t>offset by</w:t>
      </w:r>
    </w:p>
    <w:p>
      <w:pPr>
        <w:spacing w:after="0" w:line="190"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million higher revenues at Sempra Mexico primarily due to higher natural gas and power prices and volumes; and</w:t>
      </w:r>
    </w:p>
    <w:p>
      <w:pPr>
        <w:spacing w:after="0" w:line="244"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increase at Sempra Natural Gas in 2014 mainly from the favorable impact of higher natural gas prices in 2014, offset by lower revenues from its LNG marketing operations and mark-to-market gains in 2013 at its gas storage operations driven by change in gas prices.</w:t>
      </w:r>
    </w:p>
    <w:p>
      <w:pPr>
        <w:spacing w:after="0" w:line="190"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For the first six months of 2014, the cost of natural gas, electric fuel and purchased power for our energy-related businesses increased by $59 million (29%) to $264 million primarily due to:</w:t>
      </w:r>
    </w:p>
    <w:p>
      <w:pPr>
        <w:spacing w:after="0" w:line="164" w:lineRule="exact"/>
        <w:rPr>
          <w:sz w:val="20"/>
          <w:szCs w:val="20"/>
          <w:color w:val="auto"/>
        </w:rPr>
      </w:pPr>
    </w:p>
    <w:p>
      <w:pPr>
        <w:ind w:left="320" w:hanging="172"/>
        <w:spacing w:after="0"/>
        <w:tabs>
          <w:tab w:leader="none" w:pos="3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 million increase at Sempra Natural Gas primarily due to higher natural gas costs; and</w:t>
      </w:r>
    </w:p>
    <w:p>
      <w:pPr>
        <w:spacing w:after="0" w:line="242"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$47 million increase at Sempra Mexico primarily due to higher natural gas costs and volumes;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million primarily from higher intercompany eliminations of costs associated with sales between Sempra Natural Gas and Sempra Mexico.</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Operation and Maintenance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Sempra Energy Consolidated</w:t>
      </w:r>
    </w:p>
    <w:p>
      <w:pPr>
        <w:spacing w:after="0" w:line="213" w:lineRule="exact"/>
        <w:rPr>
          <w:sz w:val="20"/>
          <w:szCs w:val="20"/>
          <w:color w:val="auto"/>
        </w:rPr>
      </w:pPr>
    </w:p>
    <w:p>
      <w:pPr>
        <w:ind w:right="160"/>
        <w:spacing w:after="0" w:line="305" w:lineRule="auto"/>
        <w:rPr>
          <w:sz w:val="20"/>
          <w:szCs w:val="20"/>
          <w:color w:val="auto"/>
        </w:rPr>
      </w:pPr>
      <w:r>
        <w:rPr>
          <w:rFonts w:ascii="Times New Roman" w:cs="Times New Roman" w:eastAsia="Times New Roman" w:hAnsi="Times New Roman"/>
          <w:sz w:val="17"/>
          <w:szCs w:val="17"/>
          <w:color w:val="auto"/>
        </w:rPr>
        <w:t>For the three months ended June 30, 2014, our operation and maintenance expenses decreased by $11 million (1%) to $729 million and by $59 million (4%) to $1.4 billion in the first six months of 2014. The changes in both periods were primarily attributable to SDG&amp;E and SoCalGas, which we discuss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SDG&amp;E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2014, SDG&amp;E’s operation and maintenance expenses decreased by $33 million (11%) to $256 million primarily due to:</w:t>
      </w:r>
    </w:p>
    <w:p>
      <w:pPr>
        <w:spacing w:after="0" w:line="218" w:lineRule="exact"/>
        <w:rPr>
          <w:sz w:val="20"/>
          <w:szCs w:val="20"/>
          <w:color w:val="auto"/>
        </w:rPr>
      </w:pPr>
    </w:p>
    <w:p>
      <w:pPr>
        <w:ind w:left="320" w:hanging="172"/>
        <w:spacing w:after="0" w:line="275" w:lineRule="auto"/>
        <w:tabs>
          <w:tab w:leader="none" w:pos="3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lower expenses associated with CPUC-authorized refundable programs, including $15 million due to lower operation and maintenance expenses at SONGS, for which all costs incurred are fully recovered in revenue (refundable program expenses);</w:t>
      </w:r>
    </w:p>
    <w:p>
      <w:pPr>
        <w:spacing w:after="0" w:line="190"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lower operation and maintenance costs, including labor, contract services and administrative and support costs (non-refundable operating costs); and</w:t>
      </w:r>
    </w:p>
    <w:p>
      <w:pPr>
        <w:sectPr>
          <w:pgSz w:w="11900" w:h="16876" w:orient="portrait"/>
          <w:cols w:equalWidth="0" w:num="1">
            <w:col w:w="11420"/>
          </w:cols>
          <w:pgMar w:left="240" w:top="97" w:right="239" w:bottom="0" w:gutter="0" w:footer="0" w:header="0"/>
        </w:sectPr>
      </w:pPr>
    </w:p>
    <w:bookmarkStart w:id="61" w:name="page62"/>
    <w:bookmarkEnd w:id="61"/>
    <w:p>
      <w:pPr>
        <w:ind w:left="140"/>
        <w:spacing w:after="0"/>
        <w:rPr>
          <w:sz w:val="20"/>
          <w:szCs w:val="20"/>
          <w:color w:val="auto"/>
        </w:rPr>
      </w:pPr>
      <w:r>
        <w:rPr>
          <w:rFonts w:ascii="Times New Roman" w:cs="Times New Roman" w:eastAsia="Times New Roman" w:hAnsi="Times New Roman"/>
          <w:sz w:val="18"/>
          <w:szCs w:val="18"/>
          <w:color w:val="auto"/>
        </w:rPr>
        <w:t>§ $4 million decrease at Otay Mesa VIE.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six months of 2014, SDG&amp;E’s operation and maintenance expenses decreased by $78 million (13%) to $508 million primarily due to:</w:t>
      </w:r>
    </w:p>
    <w:p>
      <w:pPr>
        <w:spacing w:after="0" w:line="218" w:lineRule="exact"/>
        <w:rPr>
          <w:sz w:val="20"/>
          <w:szCs w:val="20"/>
          <w:color w:val="auto"/>
        </w:rPr>
      </w:pPr>
    </w:p>
    <w:p>
      <w:pPr>
        <w:ind w:left="320" w:hanging="172"/>
        <w:spacing w:after="0" w:line="275" w:lineRule="auto"/>
        <w:tabs>
          <w:tab w:leader="none" w:pos="3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million lower expenses associated with CPUC-authorized refundable programs, including $35 million due to lower operation and maintenance expenses at SONGS, for which all costs incurred are fully recovered in revenue (refundable program expenses);</w:t>
      </w:r>
    </w:p>
    <w:p>
      <w:pPr>
        <w:spacing w:after="0" w:line="190"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decrease at Otay Mesa VIE; and</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 million lower operation and maintenance costs, including labor, contract services and administrative and support costs (non-refundable operating costs).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SoCalGas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2014, SoCalGas’ operation and maintenance expenses increased by $21 million (7%) to $337 million primarily due to:</w:t>
      </w:r>
    </w:p>
    <w:p>
      <w:pPr>
        <w:spacing w:after="0" w:line="218" w:lineRule="exact"/>
        <w:rPr>
          <w:sz w:val="20"/>
          <w:szCs w:val="20"/>
          <w:color w:val="auto"/>
        </w:rPr>
      </w:pPr>
    </w:p>
    <w:p>
      <w:pPr>
        <w:ind w:left="320" w:hanging="172"/>
        <w:spacing w:after="0" w:line="275" w:lineRule="auto"/>
        <w:tabs>
          <w:tab w:leader="none" w:pos="3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higher expenses associated with CPUC-authorized refundable programs for which all costs incurred are fully recovered in revenue (refundable program expenses); and</w:t>
      </w:r>
    </w:p>
    <w:p>
      <w:pPr>
        <w:spacing w:after="0" w:line="190" w:lineRule="exact"/>
        <w:rPr>
          <w:rFonts w:ascii="Times New Roman" w:cs="Times New Roman" w:eastAsia="Times New Roman" w:hAnsi="Times New Roman"/>
          <w:sz w:val="18"/>
          <w:szCs w:val="18"/>
          <w:color w:val="auto"/>
        </w:rPr>
      </w:pPr>
    </w:p>
    <w:p>
      <w:pPr>
        <w:ind w:right="40" w:firstLine="148"/>
        <w:spacing w:after="0" w:line="508" w:lineRule="auto"/>
        <w:tabs>
          <w:tab w:leader="none" w:pos="31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higher operation and maintenance costs, including labor, contract services and administrative and support costs (non-refundable operating costs). In the first six months of 2014, SoCalGas’ operation and maintenance expenses increased by $20 million (3%) to $642 million primarily due to:</w:t>
      </w:r>
    </w:p>
    <w:p>
      <w:pPr>
        <w:ind w:left="320" w:hanging="172"/>
        <w:spacing w:after="0" w:line="275" w:lineRule="auto"/>
        <w:tabs>
          <w:tab w:leader="none" w:pos="3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$28 million higher expenses associated with CPUC-authorized refundable programs for which all costs incurred are fully recovered in revenue (refundable program expenses); </w:t>
      </w:r>
      <w:r>
        <w:rPr>
          <w:rFonts w:ascii="Times New Roman" w:cs="Times New Roman" w:eastAsia="Times New Roman" w:hAnsi="Times New Roman"/>
          <w:sz w:val="18"/>
          <w:szCs w:val="18"/>
          <w:b w:val="1"/>
          <w:bCs w:val="1"/>
          <w:color w:val="auto"/>
        </w:rPr>
        <w:t>offset by</w:t>
      </w:r>
    </w:p>
    <w:p>
      <w:pPr>
        <w:spacing w:after="0" w:line="190"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 million lower operation and maintenance costs, including labor, contract services and administrative and support costs (non-refundable operating costs).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Plant Closure (Loss) Adjustment</w:t>
      </w:r>
    </w:p>
    <w:p>
      <w:pPr>
        <w:spacing w:after="0" w:line="21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SDG&amp;E has a 20-percent ownership interest in San Onofre Nuclear Generating Station (SONGS), a nuclear generating facility near San Clemente, California. SONGS’ Units 2 and 3 have been shut down since early 2012 due to steam generator issues, and, in June 2013, Southern California Edison, the majority owner and operator of SONGS, made a decision to permanently retire these two units. In the second quarter of 2013, SDG&amp;E recorded a pretax charge of $200 million, which represents the portion of SDG&amp;E’s investment in SONGS and associated costs that management estimated may not be recovered in rates based on prior CPUC precedent. In the first quarter of 2014, SDG&amp;E recorded a favorable adjustment of $13 million to adjust the total loss from plant closure (in addition to the amount recorded in 2013), based on a proposed settlement agreement filed with the CPUC. We discuss SONGS further in Note 9 of the Notes to Condensed Consolidated Financial Statements herein.</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Gain on Sale of Equity Interest and Assets</w:t>
      </w:r>
    </w:p>
    <w:p>
      <w:pPr>
        <w:spacing w:after="0" w:line="215" w:lineRule="exact"/>
        <w:rPr>
          <w:sz w:val="20"/>
          <w:szCs w:val="20"/>
          <w:color w:val="auto"/>
        </w:rPr>
      </w:pPr>
    </w:p>
    <w:p>
      <w:pPr>
        <w:jc w:val="both"/>
        <w:ind w:right="320"/>
        <w:spacing w:after="0" w:line="245" w:lineRule="auto"/>
        <w:rPr>
          <w:sz w:val="20"/>
          <w:szCs w:val="20"/>
          <w:color w:val="auto"/>
        </w:rPr>
      </w:pPr>
      <w:r>
        <w:rPr>
          <w:rFonts w:ascii="Times New Roman" w:cs="Times New Roman" w:eastAsia="Times New Roman" w:hAnsi="Times New Roman"/>
          <w:sz w:val="18"/>
          <w:szCs w:val="18"/>
          <w:color w:val="auto"/>
        </w:rPr>
        <w:t>In the first quarter of 2014, Sempra Renewables recorded a pretax gain of $27 million ($16 million after-tax) from the sale of a 50-percent equity interest in Copper Mountain Solar 3. In the first quarter of 2013, Sempra Natural Gas completed the sale of one 625-MW block of its Mesquite Power natural gas-fired power plant for $371 million, resulting in a pretax gain on sale of the asset of $74 million ($44 million after-tax).</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Equity Earnings, Before Income Tax</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and six months ended June 30, 2014, equity earnings, before income tax, increased by $15 million and $22 million,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three-month period was primarily attributable to:</w:t>
      </w:r>
    </w:p>
    <w:p>
      <w:pPr>
        <w:spacing w:after="0" w:line="218" w:lineRule="exact"/>
        <w:rPr>
          <w:sz w:val="20"/>
          <w:szCs w:val="20"/>
          <w:color w:val="auto"/>
        </w:rPr>
      </w:pPr>
    </w:p>
    <w:p>
      <w:pPr>
        <w:ind w:left="320" w:hanging="172"/>
        <w:spacing w:after="0" w:line="275" w:lineRule="auto"/>
        <w:tabs>
          <w:tab w:leader="none" w:pos="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higher equity earnings from investments at Sempra Renewables, including Mesquite Solar 1, Copper Mountain Solar 2, and the California solar partnership; and</w:t>
      </w:r>
    </w:p>
    <w:p>
      <w:pPr>
        <w:spacing w:after="0" w:line="190"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higher equity earnings from the Rockies Express investment at Sempra Natural Gas.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first six months of 2014 was primarily attributable to:</w:t>
      </w:r>
    </w:p>
    <w:p>
      <w:pPr>
        <w:spacing w:after="0" w:line="218" w:lineRule="exact"/>
        <w:rPr>
          <w:sz w:val="20"/>
          <w:szCs w:val="20"/>
          <w:color w:val="auto"/>
        </w:rPr>
      </w:pPr>
    </w:p>
    <w:p>
      <w:pPr>
        <w:ind w:left="320" w:hanging="172"/>
        <w:spacing w:after="0" w:line="275" w:lineRule="auto"/>
        <w:tabs>
          <w:tab w:leader="none" w:pos="3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higher equity earnings from investments at Sempra Renewables, including Mesquite Solar 1, Fowler Ridge 2 Wind Farm and the California solar partnership; and</w:t>
      </w:r>
    </w:p>
    <w:p>
      <w:pPr>
        <w:spacing w:after="0" w:line="190"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million higher equity earnings from Rockies Express.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Income, Net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Sempra Energy Consolidated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2014, other income, net, increased by $23 million to $49 million primarily due to:</w:t>
      </w:r>
    </w:p>
    <w:p>
      <w:pPr>
        <w:spacing w:after="0" w:line="218" w:lineRule="exact"/>
        <w:rPr>
          <w:sz w:val="20"/>
          <w:szCs w:val="20"/>
          <w:color w:val="auto"/>
        </w:rPr>
      </w:pPr>
    </w:p>
    <w:p>
      <w:pPr>
        <w:ind w:left="320" w:hanging="172"/>
        <w:spacing w:after="0"/>
        <w:tabs>
          <w:tab w:leader="none" w:pos="32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 million AFUDC in 2014 related to equity associated with construction of the Sonora natural gas pipeline at Sempra Mexico;</w:t>
      </w:r>
    </w:p>
    <w:p>
      <w:pPr>
        <w:spacing w:after="0" w:line="244" w:lineRule="exact"/>
        <w:rPr>
          <w:rFonts w:ascii="Times New Roman" w:cs="Times New Roman" w:eastAsia="Times New Roman" w:hAnsi="Times New Roman"/>
          <w:sz w:val="18"/>
          <w:szCs w:val="18"/>
          <w:b w:val="1"/>
          <w:bCs w:val="1"/>
          <w:color w:val="auto"/>
        </w:rPr>
      </w:pPr>
    </w:p>
    <w:p>
      <w:pPr>
        <w:ind w:left="320" w:hanging="172"/>
        <w:spacing w:after="0"/>
        <w:tabs>
          <w:tab w:leader="none" w:pos="3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higher net gains on interest rate and foreign exchange instruments; and</w:t>
      </w:r>
    </w:p>
    <w:p>
      <w:pPr>
        <w:sectPr>
          <w:pgSz w:w="11900" w:h="16838" w:orient="portrait"/>
          <w:cols w:equalWidth="0" w:num="1">
            <w:col w:w="11420"/>
          </w:cols>
          <w:pgMar w:left="240" w:top="360" w:right="239" w:bottom="0" w:gutter="0" w:footer="0" w:header="0"/>
        </w:sectPr>
      </w:pPr>
    </w:p>
    <w:bookmarkStart w:id="62" w:name="page63"/>
    <w:bookmarkEnd w:id="62"/>
    <w:p>
      <w:pPr>
        <w:spacing w:after="0" w:line="23" w:lineRule="exact"/>
        <w:rPr>
          <w:sz w:val="20"/>
          <w:szCs w:val="20"/>
          <w:color w:val="auto"/>
        </w:rPr>
      </w:pPr>
    </w:p>
    <w:p>
      <w:pPr>
        <w:ind w:left="320" w:hanging="172"/>
        <w:spacing w:after="0"/>
        <w:tabs>
          <w:tab w:leader="none" w:pos="3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 million foreign currency loss in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hanging="172"/>
        <w:spacing w:after="0"/>
        <w:tabs>
          <w:tab w:leader="none" w:pos="3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AFUDC in 2014 related to equity associated with construction of the Sonora natural gas pipeline at Sempra Mexico; and</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 million higher net gains on interest rate and foreign exchange instruments.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income tax expense and effective income tax rates for Sempra Energy, SDG&amp;E and SoCalGas.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vMerge w:val="restart"/>
          </w:tcPr>
          <w:p>
            <w:pPr>
              <w:jc w:val="center"/>
              <w:ind w:left="589"/>
              <w:spacing w:after="0"/>
              <w:rPr>
                <w:sz w:val="20"/>
                <w:szCs w:val="20"/>
                <w:color w:val="auto"/>
              </w:rPr>
            </w:pPr>
            <w:r>
              <w:rPr>
                <w:rFonts w:ascii="Arial" w:cs="Arial" w:eastAsia="Arial" w:hAnsi="Arial"/>
                <w:sz w:val="14"/>
                <w:szCs w:val="14"/>
                <w:color w:val="auto"/>
              </w:rPr>
              <w:t>Effective</w:t>
            </w:r>
          </w:p>
        </w:tc>
        <w:tc>
          <w:tcPr>
            <w:tcW w:w="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color w:val="auto"/>
              </w:rPr>
              <w:t>Effective</w:t>
            </w:r>
          </w:p>
        </w:tc>
        <w:tc>
          <w:tcPr>
            <w:tcW w:w="0" w:type="dxa"/>
            <w:vAlign w:val="bottom"/>
          </w:tcPr>
          <w:p>
            <w:pPr>
              <w:spacing w:after="0"/>
              <w:rPr>
                <w:sz w:val="1"/>
                <w:szCs w:val="1"/>
                <w:color w:val="auto"/>
              </w:rPr>
            </w:pPr>
          </w:p>
        </w:tc>
      </w:tr>
      <w:tr>
        <w:trPr>
          <w:trHeight w:val="139"/>
        </w:trPr>
        <w:tc>
          <w:tcPr>
            <w:tcW w:w="36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1560" w:type="dxa"/>
            <w:vAlign w:val="bottom"/>
          </w:tcPr>
          <w:p>
            <w:pPr>
              <w:jc w:val="right"/>
              <w:ind w:right="8"/>
              <w:spacing w:after="0" w:line="159" w:lineRule="exact"/>
              <w:rPr>
                <w:sz w:val="20"/>
                <w:szCs w:val="20"/>
                <w:color w:val="auto"/>
              </w:rPr>
            </w:pPr>
            <w:r>
              <w:rPr>
                <w:rFonts w:ascii="Arial" w:cs="Arial" w:eastAsia="Arial" w:hAnsi="Arial"/>
                <w:sz w:val="14"/>
                <w:szCs w:val="14"/>
                <w:color w:val="auto"/>
              </w:rPr>
              <w:t>Income Tax</w:t>
            </w:r>
          </w:p>
        </w:tc>
        <w:tc>
          <w:tcPr>
            <w:tcW w:w="380" w:type="dxa"/>
            <w:vAlign w:val="bottom"/>
          </w:tcPr>
          <w:p>
            <w:pPr>
              <w:spacing w:after="0"/>
              <w:rPr>
                <w:sz w:val="13"/>
                <w:szCs w:val="13"/>
                <w:color w:val="auto"/>
              </w:rPr>
            </w:pPr>
          </w:p>
        </w:tc>
        <w:tc>
          <w:tcPr>
            <w:tcW w:w="1440" w:type="dxa"/>
            <w:vAlign w:val="bottom"/>
          </w:tcPr>
          <w:p>
            <w:pPr>
              <w:jc w:val="center"/>
              <w:ind w:left="589"/>
              <w:spacing w:after="0" w:line="159" w:lineRule="exact"/>
              <w:rPr>
                <w:sz w:val="20"/>
                <w:szCs w:val="20"/>
                <w:color w:val="auto"/>
              </w:rPr>
            </w:pPr>
            <w:r>
              <w:rPr>
                <w:rFonts w:ascii="Arial" w:cs="Arial" w:eastAsia="Arial" w:hAnsi="Arial"/>
                <w:sz w:val="14"/>
                <w:szCs w:val="14"/>
                <w:color w:val="auto"/>
              </w:rPr>
              <w:t>Income</w:t>
            </w:r>
          </w:p>
        </w:tc>
        <w:tc>
          <w:tcPr>
            <w:tcW w:w="700" w:type="dxa"/>
            <w:vAlign w:val="bottom"/>
          </w:tcPr>
          <w:p>
            <w:pPr>
              <w:spacing w:after="0"/>
              <w:rPr>
                <w:sz w:val="13"/>
                <w:szCs w:val="13"/>
                <w:color w:val="auto"/>
              </w:rPr>
            </w:pPr>
          </w:p>
        </w:tc>
        <w:tc>
          <w:tcPr>
            <w:tcW w:w="1420" w:type="dxa"/>
            <w:vAlign w:val="bottom"/>
          </w:tcPr>
          <w:p>
            <w:pPr>
              <w:jc w:val="right"/>
              <w:spacing w:after="0" w:line="159" w:lineRule="exact"/>
              <w:rPr>
                <w:sz w:val="20"/>
                <w:szCs w:val="20"/>
                <w:color w:val="auto"/>
              </w:rPr>
            </w:pPr>
            <w:r>
              <w:rPr>
                <w:rFonts w:ascii="Arial" w:cs="Arial" w:eastAsia="Arial" w:hAnsi="Arial"/>
                <w:sz w:val="14"/>
                <w:szCs w:val="14"/>
                <w:color w:val="auto"/>
              </w:rPr>
              <w:t>Income Tax</w:t>
            </w:r>
          </w:p>
        </w:tc>
        <w:tc>
          <w:tcPr>
            <w:tcW w:w="360" w:type="dxa"/>
            <w:vAlign w:val="bottom"/>
          </w:tcPr>
          <w:p>
            <w:pPr>
              <w:spacing w:after="0"/>
              <w:rPr>
                <w:sz w:val="13"/>
                <w:szCs w:val="13"/>
                <w:color w:val="auto"/>
              </w:rPr>
            </w:pPr>
          </w:p>
        </w:tc>
        <w:tc>
          <w:tcPr>
            <w:tcW w:w="1960" w:type="dxa"/>
            <w:vAlign w:val="bottom"/>
          </w:tcPr>
          <w:p>
            <w:pPr>
              <w:jc w:val="center"/>
              <w:spacing w:after="0" w:line="159"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1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Expense</w:t>
            </w: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left="609"/>
              <w:spacing w:after="0"/>
              <w:rPr>
                <w:sz w:val="20"/>
                <w:szCs w:val="20"/>
                <w:color w:val="auto"/>
              </w:rPr>
            </w:pPr>
            <w:r>
              <w:rPr>
                <w:rFonts w:ascii="Arial" w:cs="Arial" w:eastAsia="Arial" w:hAnsi="Arial"/>
                <w:sz w:val="14"/>
                <w:szCs w:val="14"/>
                <w:color w:val="auto"/>
                <w:w w:val="98"/>
              </w:rPr>
              <w:t>Tax Rate</w:t>
            </w:r>
          </w:p>
        </w:tc>
        <w:tc>
          <w:tcPr>
            <w:tcW w:w="7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Expense</w:t>
            </w:r>
          </w:p>
        </w:tc>
        <w:tc>
          <w:tcPr>
            <w:tcW w:w="3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Tax Rate</w:t>
            </w:r>
          </w:p>
        </w:tc>
        <w:tc>
          <w:tcPr>
            <w:tcW w:w="0" w:type="dxa"/>
            <w:vAlign w:val="bottom"/>
          </w:tcPr>
          <w:p>
            <w:pPr>
              <w:spacing w:after="0"/>
              <w:rPr>
                <w:sz w:val="1"/>
                <w:szCs w:val="1"/>
                <w:color w:val="auto"/>
              </w:rPr>
            </w:pPr>
          </w:p>
        </w:tc>
      </w:tr>
      <w:tr>
        <w:trPr>
          <w:trHeight w:val="153"/>
        </w:trPr>
        <w:tc>
          <w:tcPr>
            <w:tcW w:w="360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gridSpan w:val="3"/>
          </w:tcPr>
          <w:p>
            <w:pPr>
              <w:jc w:val="right"/>
              <w:ind w:right="408"/>
              <w:spacing w:after="0" w:line="153" w:lineRule="exact"/>
              <w:rPr>
                <w:sz w:val="20"/>
                <w:szCs w:val="20"/>
                <w:color w:val="auto"/>
              </w:rPr>
            </w:pPr>
            <w:r>
              <w:rPr>
                <w:rFonts w:ascii="Arial" w:cs="Arial" w:eastAsia="Arial" w:hAnsi="Arial"/>
                <w:sz w:val="14"/>
                <w:szCs w:val="14"/>
                <w:color w:val="auto"/>
              </w:rPr>
              <w:t>Three months ended June 30,</w:t>
            </w:r>
          </w:p>
        </w:tc>
        <w:tc>
          <w:tcPr>
            <w:tcW w:w="3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6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989"/>
              <w:spacing w:after="0"/>
              <w:rPr>
                <w:sz w:val="20"/>
                <w:szCs w:val="20"/>
                <w:color w:val="auto"/>
              </w:rPr>
            </w:pPr>
            <w:r>
              <w:rPr>
                <w:rFonts w:ascii="Arial" w:cs="Arial" w:eastAsia="Arial" w:hAnsi="Arial"/>
                <w:sz w:val="14"/>
                <w:szCs w:val="14"/>
                <w:color w:val="auto"/>
              </w:rPr>
              <w:t>2014</w:t>
            </w:r>
          </w:p>
        </w:tc>
        <w:tc>
          <w:tcPr>
            <w:tcW w:w="7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1505"/>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Arial" w:cs="Arial" w:eastAsia="Arial" w:hAnsi="Arial"/>
                <w:sz w:val="15"/>
                <w:szCs w:val="15"/>
                <w:color w:val="auto"/>
              </w:rPr>
              <w:t>Sempra Energy Consolidated</w:t>
            </w:r>
          </w:p>
        </w:tc>
        <w:tc>
          <w:tcPr>
            <w:tcW w:w="1560" w:type="dxa"/>
            <w:vAlign w:val="bottom"/>
          </w:tcPr>
          <w:p>
            <w:pPr>
              <w:jc w:val="right"/>
              <w:ind w:right="1168"/>
              <w:spacing w:after="0" w:line="135" w:lineRule="exact"/>
              <w:rPr>
                <w:sz w:val="20"/>
                <w:szCs w:val="20"/>
                <w:color w:val="auto"/>
              </w:rPr>
            </w:pPr>
            <w:r>
              <w:rPr>
                <w:rFonts w:ascii="Arial" w:cs="Arial" w:eastAsia="Arial" w:hAnsi="Arial"/>
                <w:sz w:val="15"/>
                <w:szCs w:val="15"/>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5"/>
                <w:szCs w:val="15"/>
                <w:color w:val="auto"/>
              </w:rPr>
              <w:t>93</w:t>
            </w:r>
          </w:p>
        </w:tc>
        <w:tc>
          <w:tcPr>
            <w:tcW w:w="1440" w:type="dxa"/>
            <w:vAlign w:val="bottom"/>
          </w:tcPr>
          <w:p>
            <w:pPr>
              <w:spacing w:after="0"/>
              <w:rPr>
                <w:sz w:val="11"/>
                <w:szCs w:val="11"/>
                <w:color w:val="auto"/>
              </w:rPr>
            </w:pPr>
          </w:p>
        </w:tc>
        <w:tc>
          <w:tcPr>
            <w:tcW w:w="700" w:type="dxa"/>
            <w:vAlign w:val="bottom"/>
          </w:tcPr>
          <w:p>
            <w:pPr>
              <w:ind w:left="120"/>
              <w:spacing w:after="0" w:line="135" w:lineRule="exact"/>
              <w:rPr>
                <w:sz w:val="20"/>
                <w:szCs w:val="20"/>
                <w:color w:val="auto"/>
              </w:rPr>
            </w:pPr>
            <w:r>
              <w:rPr>
                <w:rFonts w:ascii="Arial" w:cs="Arial" w:eastAsia="Arial" w:hAnsi="Arial"/>
                <w:sz w:val="15"/>
                <w:szCs w:val="15"/>
                <w:color w:val="auto"/>
              </w:rPr>
              <w:t>25 %</w:t>
            </w:r>
          </w:p>
        </w:tc>
        <w:tc>
          <w:tcPr>
            <w:tcW w:w="1420" w:type="dxa"/>
            <w:vAlign w:val="bottom"/>
          </w:tcPr>
          <w:p>
            <w:pPr>
              <w:jc w:val="right"/>
              <w:ind w:right="1068"/>
              <w:spacing w:after="0" w:line="135" w:lineRule="exact"/>
              <w:rPr>
                <w:sz w:val="20"/>
                <w:szCs w:val="20"/>
                <w:color w:val="auto"/>
              </w:rPr>
            </w:pPr>
            <w:r>
              <w:rPr>
                <w:rFonts w:ascii="Arial" w:cs="Arial" w:eastAsia="Arial" w:hAnsi="Arial"/>
                <w:sz w:val="15"/>
                <w:szCs w:val="15"/>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5"/>
                <w:szCs w:val="15"/>
                <w:color w:val="auto"/>
              </w:rPr>
              <w:t>32</w:t>
            </w:r>
          </w:p>
        </w:tc>
        <w:tc>
          <w:tcPr>
            <w:tcW w:w="1960" w:type="dxa"/>
            <w:vAlign w:val="bottom"/>
          </w:tcPr>
          <w:p>
            <w:pPr>
              <w:jc w:val="right"/>
              <w:ind w:right="105"/>
              <w:spacing w:after="0" w:line="135" w:lineRule="exact"/>
              <w:rPr>
                <w:sz w:val="20"/>
                <w:szCs w:val="20"/>
                <w:color w:val="auto"/>
              </w:rPr>
            </w:pPr>
            <w:r>
              <w:rPr>
                <w:rFonts w:ascii="Arial" w:cs="Arial" w:eastAsia="Arial" w:hAnsi="Arial"/>
                <w:sz w:val="15"/>
                <w:szCs w:val="15"/>
                <w:color w:val="auto"/>
              </w:rPr>
              <w:t>11 %</w:t>
            </w:r>
          </w:p>
        </w:tc>
        <w:tc>
          <w:tcPr>
            <w:tcW w:w="0" w:type="dxa"/>
            <w:vAlign w:val="bottom"/>
          </w:tcPr>
          <w:p>
            <w:pPr>
              <w:spacing w:after="0"/>
              <w:rPr>
                <w:sz w:val="1"/>
                <w:szCs w:val="1"/>
                <w:color w:val="auto"/>
              </w:rPr>
            </w:pPr>
          </w:p>
        </w:tc>
      </w:tr>
      <w:tr>
        <w:trPr>
          <w:trHeight w:val="173"/>
        </w:trPr>
        <w:tc>
          <w:tcPr>
            <w:tcW w:w="3600" w:type="dxa"/>
            <w:vAlign w:val="bottom"/>
          </w:tcPr>
          <w:p>
            <w:pPr>
              <w:spacing w:after="0" w:line="173" w:lineRule="exact"/>
              <w:rPr>
                <w:sz w:val="20"/>
                <w:szCs w:val="20"/>
                <w:color w:val="auto"/>
              </w:rPr>
            </w:pPr>
            <w:r>
              <w:rPr>
                <w:rFonts w:ascii="Arial" w:cs="Arial" w:eastAsia="Arial" w:hAnsi="Arial"/>
                <w:sz w:val="16"/>
                <w:szCs w:val="16"/>
                <w:color w:val="auto"/>
              </w:rPr>
              <w:t>SDG&amp;E</w:t>
            </w:r>
          </w:p>
        </w:tc>
        <w:tc>
          <w:tcPr>
            <w:tcW w:w="1560" w:type="dxa"/>
            <w:vAlign w:val="bottom"/>
          </w:tcPr>
          <w:p>
            <w:pPr>
              <w:spacing w:after="0"/>
              <w:rPr>
                <w:sz w:val="15"/>
                <w:szCs w:val="15"/>
                <w:color w:val="auto"/>
              </w:rPr>
            </w:pPr>
          </w:p>
        </w:tc>
        <w:tc>
          <w:tcPr>
            <w:tcW w:w="380" w:type="dxa"/>
            <w:vAlign w:val="bottom"/>
          </w:tcPr>
          <w:p>
            <w:pPr>
              <w:jc w:val="right"/>
              <w:spacing w:after="0" w:line="173" w:lineRule="exact"/>
              <w:rPr>
                <w:sz w:val="20"/>
                <w:szCs w:val="20"/>
                <w:color w:val="auto"/>
              </w:rPr>
            </w:pPr>
            <w:r>
              <w:rPr>
                <w:rFonts w:ascii="Arial" w:cs="Arial" w:eastAsia="Arial" w:hAnsi="Arial"/>
                <w:sz w:val="16"/>
                <w:szCs w:val="16"/>
                <w:color w:val="auto"/>
              </w:rPr>
              <w:t>69</w:t>
            </w:r>
          </w:p>
        </w:tc>
        <w:tc>
          <w:tcPr>
            <w:tcW w:w="1440" w:type="dxa"/>
            <w:vAlign w:val="bottom"/>
          </w:tcPr>
          <w:p>
            <w:pPr>
              <w:spacing w:after="0"/>
              <w:rPr>
                <w:sz w:val="15"/>
                <w:szCs w:val="15"/>
                <w:color w:val="auto"/>
              </w:rPr>
            </w:pPr>
          </w:p>
        </w:tc>
        <w:tc>
          <w:tcPr>
            <w:tcW w:w="700" w:type="dxa"/>
            <w:vAlign w:val="bottom"/>
          </w:tcPr>
          <w:p>
            <w:pPr>
              <w:ind w:left="120"/>
              <w:spacing w:after="0" w:line="173" w:lineRule="exact"/>
              <w:rPr>
                <w:sz w:val="20"/>
                <w:szCs w:val="20"/>
                <w:color w:val="auto"/>
              </w:rPr>
            </w:pPr>
            <w:r>
              <w:rPr>
                <w:rFonts w:ascii="Arial" w:cs="Arial" w:eastAsia="Arial" w:hAnsi="Arial"/>
                <w:sz w:val="16"/>
                <w:szCs w:val="16"/>
                <w:color w:val="auto"/>
              </w:rPr>
              <w:t>35</w:t>
            </w:r>
          </w:p>
        </w:tc>
        <w:tc>
          <w:tcPr>
            <w:tcW w:w="1420" w:type="dxa"/>
            <w:vAlign w:val="bottom"/>
          </w:tcPr>
          <w:p>
            <w:pPr>
              <w:spacing w:after="0"/>
              <w:rPr>
                <w:sz w:val="15"/>
                <w:szCs w:val="15"/>
                <w:color w:val="auto"/>
              </w:rPr>
            </w:pPr>
          </w:p>
        </w:tc>
        <w:tc>
          <w:tcPr>
            <w:tcW w:w="360" w:type="dxa"/>
            <w:vAlign w:val="bottom"/>
          </w:tcPr>
          <w:p>
            <w:pPr>
              <w:jc w:val="right"/>
              <w:spacing w:after="0" w:line="173" w:lineRule="exact"/>
              <w:rPr>
                <w:sz w:val="20"/>
                <w:szCs w:val="20"/>
                <w:color w:val="auto"/>
              </w:rPr>
            </w:pPr>
            <w:r>
              <w:rPr>
                <w:rFonts w:ascii="Arial" w:cs="Arial" w:eastAsia="Arial" w:hAnsi="Arial"/>
                <w:sz w:val="16"/>
                <w:szCs w:val="16"/>
                <w:color w:val="auto"/>
              </w:rPr>
              <w:t>12</w:t>
            </w:r>
          </w:p>
        </w:tc>
        <w:tc>
          <w:tcPr>
            <w:tcW w:w="1960" w:type="dxa"/>
            <w:vAlign w:val="bottom"/>
          </w:tcPr>
          <w:p>
            <w:pPr>
              <w:jc w:val="right"/>
              <w:ind w:right="305"/>
              <w:spacing w:after="0" w:line="173"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4"/>
        </w:trPr>
        <w:tc>
          <w:tcPr>
            <w:tcW w:w="3600" w:type="dxa"/>
            <w:vAlign w:val="bottom"/>
          </w:tcPr>
          <w:p>
            <w:pPr>
              <w:spacing w:after="0"/>
              <w:rPr>
                <w:sz w:val="20"/>
                <w:szCs w:val="20"/>
                <w:color w:val="auto"/>
              </w:rPr>
            </w:pPr>
            <w:r>
              <w:rPr>
                <w:rFonts w:ascii="Arial" w:cs="Arial" w:eastAsia="Arial" w:hAnsi="Arial"/>
                <w:sz w:val="16"/>
                <w:szCs w:val="16"/>
                <w:color w:val="auto"/>
              </w:rPr>
              <w:t>SoCalGas</w:t>
            </w:r>
          </w:p>
        </w:tc>
        <w:tc>
          <w:tcPr>
            <w:tcW w:w="15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28</w:t>
            </w:r>
          </w:p>
        </w:tc>
        <w:tc>
          <w:tcPr>
            <w:tcW w:w="1440" w:type="dxa"/>
            <w:vAlign w:val="bottom"/>
          </w:tcPr>
          <w:p>
            <w:pPr>
              <w:spacing w:after="0"/>
              <w:rPr>
                <w:sz w:val="17"/>
                <w:szCs w:val="17"/>
                <w:color w:val="auto"/>
              </w:rPr>
            </w:pPr>
          </w:p>
        </w:tc>
        <w:tc>
          <w:tcPr>
            <w:tcW w:w="700" w:type="dxa"/>
            <w:vAlign w:val="bottom"/>
          </w:tcPr>
          <w:p>
            <w:pPr>
              <w:ind w:left="120"/>
              <w:spacing w:after="0"/>
              <w:rPr>
                <w:sz w:val="20"/>
                <w:szCs w:val="20"/>
                <w:color w:val="auto"/>
              </w:rPr>
            </w:pPr>
            <w:r>
              <w:rPr>
                <w:rFonts w:ascii="Arial" w:cs="Arial" w:eastAsia="Arial" w:hAnsi="Arial"/>
                <w:sz w:val="16"/>
                <w:szCs w:val="16"/>
                <w:color w:val="auto"/>
              </w:rPr>
              <w:t>26</w:t>
            </w:r>
          </w:p>
        </w:tc>
        <w:tc>
          <w:tcPr>
            <w:tcW w:w="14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45</w:t>
            </w:r>
          </w:p>
        </w:tc>
        <w:tc>
          <w:tcPr>
            <w:tcW w:w="1960" w:type="dxa"/>
            <w:vAlign w:val="bottom"/>
          </w:tcPr>
          <w:p>
            <w:pPr>
              <w:jc w:val="right"/>
              <w:ind w:right="305"/>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80"/>
        </w:trPr>
        <w:tc>
          <w:tcPr>
            <w:tcW w:w="3600" w:type="dxa"/>
            <w:vAlign w:val="bottom"/>
            <w:shd w:val="clear" w:color="auto" w:fill="A9A9A9"/>
          </w:tcPr>
          <w:p>
            <w:pPr>
              <w:spacing w:after="0"/>
              <w:rPr>
                <w:sz w:val="6"/>
                <w:szCs w:val="6"/>
                <w:color w:val="auto"/>
              </w:rPr>
            </w:pPr>
          </w:p>
        </w:tc>
        <w:tc>
          <w:tcPr>
            <w:tcW w:w="1560" w:type="dxa"/>
            <w:vAlign w:val="bottom"/>
            <w:shd w:val="clear" w:color="auto" w:fill="A9A9A9"/>
          </w:tcPr>
          <w:p>
            <w:pPr>
              <w:spacing w:after="0"/>
              <w:rPr>
                <w:sz w:val="6"/>
                <w:szCs w:val="6"/>
                <w:color w:val="auto"/>
              </w:rPr>
            </w:pPr>
          </w:p>
        </w:tc>
        <w:tc>
          <w:tcPr>
            <w:tcW w:w="380" w:type="dxa"/>
            <w:vAlign w:val="bottom"/>
            <w:shd w:val="clear" w:color="auto" w:fill="A9A9A9"/>
          </w:tcPr>
          <w:p>
            <w:pPr>
              <w:spacing w:after="0"/>
              <w:rPr>
                <w:sz w:val="6"/>
                <w:szCs w:val="6"/>
                <w:color w:val="auto"/>
              </w:rPr>
            </w:pPr>
          </w:p>
        </w:tc>
        <w:tc>
          <w:tcPr>
            <w:tcW w:w="3560" w:type="dxa"/>
            <w:vAlign w:val="bottom"/>
            <w:gridSpan w:val="3"/>
            <w:shd w:val="clear" w:color="auto" w:fill="A9A9A9"/>
          </w:tcPr>
          <w:p>
            <w:pPr>
              <w:spacing w:after="0"/>
              <w:rPr>
                <w:sz w:val="6"/>
                <w:szCs w:val="6"/>
                <w:color w:val="auto"/>
              </w:rPr>
            </w:pPr>
          </w:p>
        </w:tc>
        <w:tc>
          <w:tcPr>
            <w:tcW w:w="360" w:type="dxa"/>
            <w:vAlign w:val="bottom"/>
            <w:shd w:val="clear" w:color="auto" w:fill="A9A9A9"/>
          </w:tcPr>
          <w:p>
            <w:pPr>
              <w:spacing w:after="0"/>
              <w:rPr>
                <w:sz w:val="6"/>
                <w:szCs w:val="6"/>
                <w:color w:val="auto"/>
              </w:rPr>
            </w:pPr>
          </w:p>
        </w:tc>
        <w:tc>
          <w:tcPr>
            <w:tcW w:w="1960" w:type="dxa"/>
            <w:vAlign w:val="bottom"/>
            <w:shd w:val="clear" w:color="auto" w:fill="A9A9A9"/>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gridSpan w:val="3"/>
          </w:tcPr>
          <w:p>
            <w:pPr>
              <w:jc w:val="right"/>
              <w:ind w:right="508"/>
              <w:spacing w:after="0" w:line="159" w:lineRule="exact"/>
              <w:rPr>
                <w:sz w:val="20"/>
                <w:szCs w:val="20"/>
                <w:color w:val="auto"/>
              </w:rPr>
            </w:pPr>
            <w:r>
              <w:rPr>
                <w:rFonts w:ascii="Arial" w:cs="Arial" w:eastAsia="Arial" w:hAnsi="Arial"/>
                <w:sz w:val="14"/>
                <w:szCs w:val="14"/>
                <w:color w:val="auto"/>
              </w:rPr>
              <w:t>Six months ended June 30,</w:t>
            </w:r>
          </w:p>
        </w:tc>
        <w:tc>
          <w:tcPr>
            <w:tcW w:w="3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6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989"/>
              <w:spacing w:after="0"/>
              <w:rPr>
                <w:sz w:val="20"/>
                <w:szCs w:val="20"/>
                <w:color w:val="auto"/>
              </w:rPr>
            </w:pPr>
            <w:r>
              <w:rPr>
                <w:rFonts w:ascii="Arial" w:cs="Arial" w:eastAsia="Arial" w:hAnsi="Arial"/>
                <w:sz w:val="14"/>
                <w:szCs w:val="14"/>
                <w:color w:val="auto"/>
              </w:rPr>
              <w:t>2014</w:t>
            </w:r>
          </w:p>
        </w:tc>
        <w:tc>
          <w:tcPr>
            <w:tcW w:w="7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1505"/>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Arial" w:cs="Arial" w:eastAsia="Arial" w:hAnsi="Arial"/>
                <w:sz w:val="15"/>
                <w:szCs w:val="15"/>
                <w:color w:val="auto"/>
              </w:rPr>
              <w:t>Sempra Energy Consolidated</w:t>
            </w:r>
          </w:p>
        </w:tc>
        <w:tc>
          <w:tcPr>
            <w:tcW w:w="1560" w:type="dxa"/>
            <w:vAlign w:val="bottom"/>
          </w:tcPr>
          <w:p>
            <w:pPr>
              <w:jc w:val="right"/>
              <w:ind w:right="1168"/>
              <w:spacing w:after="0" w:line="135" w:lineRule="exact"/>
              <w:rPr>
                <w:sz w:val="20"/>
                <w:szCs w:val="20"/>
                <w:color w:val="auto"/>
              </w:rPr>
            </w:pPr>
            <w:r>
              <w:rPr>
                <w:rFonts w:ascii="Arial" w:cs="Arial" w:eastAsia="Arial" w:hAnsi="Arial"/>
                <w:sz w:val="15"/>
                <w:szCs w:val="15"/>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5"/>
                <w:szCs w:val="15"/>
                <w:color w:val="auto"/>
              </w:rPr>
              <w:t>220</w:t>
            </w:r>
          </w:p>
        </w:tc>
        <w:tc>
          <w:tcPr>
            <w:tcW w:w="1440" w:type="dxa"/>
            <w:vAlign w:val="bottom"/>
          </w:tcPr>
          <w:p>
            <w:pPr>
              <w:spacing w:after="0"/>
              <w:rPr>
                <w:sz w:val="11"/>
                <w:szCs w:val="11"/>
                <w:color w:val="auto"/>
              </w:rPr>
            </w:pPr>
          </w:p>
        </w:tc>
        <w:tc>
          <w:tcPr>
            <w:tcW w:w="700" w:type="dxa"/>
            <w:vAlign w:val="bottom"/>
          </w:tcPr>
          <w:p>
            <w:pPr>
              <w:ind w:left="120"/>
              <w:spacing w:after="0" w:line="135" w:lineRule="exact"/>
              <w:rPr>
                <w:sz w:val="20"/>
                <w:szCs w:val="20"/>
                <w:color w:val="auto"/>
              </w:rPr>
            </w:pPr>
            <w:r>
              <w:rPr>
                <w:rFonts w:ascii="Arial" w:cs="Arial" w:eastAsia="Arial" w:hAnsi="Arial"/>
                <w:sz w:val="15"/>
                <w:szCs w:val="15"/>
                <w:color w:val="auto"/>
              </w:rPr>
              <w:t>29 %</w:t>
            </w:r>
          </w:p>
        </w:tc>
        <w:tc>
          <w:tcPr>
            <w:tcW w:w="1420" w:type="dxa"/>
            <w:vAlign w:val="bottom"/>
          </w:tcPr>
          <w:p>
            <w:pPr>
              <w:jc w:val="right"/>
              <w:ind w:right="1068"/>
              <w:spacing w:after="0" w:line="135" w:lineRule="exact"/>
              <w:rPr>
                <w:sz w:val="20"/>
                <w:szCs w:val="20"/>
                <w:color w:val="auto"/>
              </w:rPr>
            </w:pPr>
            <w:r>
              <w:rPr>
                <w:rFonts w:ascii="Arial" w:cs="Arial" w:eastAsia="Arial" w:hAnsi="Arial"/>
                <w:sz w:val="15"/>
                <w:szCs w:val="15"/>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5"/>
                <w:szCs w:val="15"/>
                <w:color w:val="auto"/>
              </w:rPr>
              <w:t>210</w:t>
            </w:r>
          </w:p>
        </w:tc>
        <w:tc>
          <w:tcPr>
            <w:tcW w:w="1960" w:type="dxa"/>
            <w:vAlign w:val="bottom"/>
          </w:tcPr>
          <w:p>
            <w:pPr>
              <w:jc w:val="right"/>
              <w:ind w:right="105"/>
              <w:spacing w:after="0" w:line="135" w:lineRule="exact"/>
              <w:rPr>
                <w:sz w:val="20"/>
                <w:szCs w:val="20"/>
                <w:color w:val="auto"/>
              </w:rPr>
            </w:pPr>
            <w:r>
              <w:rPr>
                <w:rFonts w:ascii="Arial" w:cs="Arial" w:eastAsia="Arial" w:hAnsi="Arial"/>
                <w:sz w:val="15"/>
                <w:szCs w:val="15"/>
                <w:color w:val="auto"/>
              </w:rPr>
              <w:t>32 %</w:t>
            </w:r>
          </w:p>
        </w:tc>
        <w:tc>
          <w:tcPr>
            <w:tcW w:w="0" w:type="dxa"/>
            <w:vAlign w:val="bottom"/>
          </w:tcPr>
          <w:p>
            <w:pPr>
              <w:spacing w:after="0"/>
              <w:rPr>
                <w:sz w:val="1"/>
                <w:szCs w:val="1"/>
                <w:color w:val="auto"/>
              </w:rPr>
            </w:pPr>
          </w:p>
        </w:tc>
      </w:tr>
      <w:tr>
        <w:trPr>
          <w:trHeight w:val="173"/>
        </w:trPr>
        <w:tc>
          <w:tcPr>
            <w:tcW w:w="3600" w:type="dxa"/>
            <w:vAlign w:val="bottom"/>
          </w:tcPr>
          <w:p>
            <w:pPr>
              <w:spacing w:after="0" w:line="173" w:lineRule="exact"/>
              <w:rPr>
                <w:sz w:val="20"/>
                <w:szCs w:val="20"/>
                <w:color w:val="auto"/>
              </w:rPr>
            </w:pPr>
            <w:r>
              <w:rPr>
                <w:rFonts w:ascii="Arial" w:cs="Arial" w:eastAsia="Arial" w:hAnsi="Arial"/>
                <w:sz w:val="16"/>
                <w:szCs w:val="16"/>
                <w:color w:val="auto"/>
              </w:rPr>
              <w:t>SDG&amp;E</w:t>
            </w:r>
          </w:p>
        </w:tc>
        <w:tc>
          <w:tcPr>
            <w:tcW w:w="1560" w:type="dxa"/>
            <w:vAlign w:val="bottom"/>
          </w:tcPr>
          <w:p>
            <w:pPr>
              <w:spacing w:after="0"/>
              <w:rPr>
                <w:sz w:val="15"/>
                <w:szCs w:val="15"/>
                <w:color w:val="auto"/>
              </w:rPr>
            </w:pPr>
          </w:p>
        </w:tc>
        <w:tc>
          <w:tcPr>
            <w:tcW w:w="380" w:type="dxa"/>
            <w:vAlign w:val="bottom"/>
          </w:tcPr>
          <w:p>
            <w:pPr>
              <w:jc w:val="right"/>
              <w:spacing w:after="0" w:line="173" w:lineRule="exact"/>
              <w:rPr>
                <w:sz w:val="20"/>
                <w:szCs w:val="20"/>
                <w:color w:val="auto"/>
              </w:rPr>
            </w:pPr>
            <w:r>
              <w:rPr>
                <w:rFonts w:ascii="Arial" w:cs="Arial" w:eastAsia="Arial" w:hAnsi="Arial"/>
                <w:sz w:val="16"/>
                <w:szCs w:val="16"/>
                <w:color w:val="auto"/>
              </w:rPr>
              <w:t>152</w:t>
            </w:r>
          </w:p>
        </w:tc>
        <w:tc>
          <w:tcPr>
            <w:tcW w:w="1440" w:type="dxa"/>
            <w:vAlign w:val="bottom"/>
          </w:tcPr>
          <w:p>
            <w:pPr>
              <w:spacing w:after="0"/>
              <w:rPr>
                <w:sz w:val="15"/>
                <w:szCs w:val="15"/>
                <w:color w:val="auto"/>
              </w:rPr>
            </w:pPr>
          </w:p>
        </w:tc>
        <w:tc>
          <w:tcPr>
            <w:tcW w:w="700" w:type="dxa"/>
            <w:vAlign w:val="bottom"/>
          </w:tcPr>
          <w:p>
            <w:pPr>
              <w:ind w:left="120"/>
              <w:spacing w:after="0" w:line="173" w:lineRule="exact"/>
              <w:rPr>
                <w:sz w:val="20"/>
                <w:szCs w:val="20"/>
                <w:color w:val="auto"/>
              </w:rPr>
            </w:pPr>
            <w:r>
              <w:rPr>
                <w:rFonts w:ascii="Arial" w:cs="Arial" w:eastAsia="Arial" w:hAnsi="Arial"/>
                <w:sz w:val="16"/>
                <w:szCs w:val="16"/>
                <w:color w:val="auto"/>
              </w:rPr>
              <w:t>40</w:t>
            </w:r>
          </w:p>
        </w:tc>
        <w:tc>
          <w:tcPr>
            <w:tcW w:w="1420" w:type="dxa"/>
            <w:vAlign w:val="bottom"/>
          </w:tcPr>
          <w:p>
            <w:pPr>
              <w:spacing w:after="0"/>
              <w:rPr>
                <w:sz w:val="15"/>
                <w:szCs w:val="15"/>
                <w:color w:val="auto"/>
              </w:rPr>
            </w:pPr>
          </w:p>
        </w:tc>
        <w:tc>
          <w:tcPr>
            <w:tcW w:w="360" w:type="dxa"/>
            <w:vAlign w:val="bottom"/>
          </w:tcPr>
          <w:p>
            <w:pPr>
              <w:jc w:val="right"/>
              <w:spacing w:after="0" w:line="173" w:lineRule="exact"/>
              <w:rPr>
                <w:sz w:val="20"/>
                <w:szCs w:val="20"/>
                <w:color w:val="auto"/>
              </w:rPr>
            </w:pPr>
            <w:r>
              <w:rPr>
                <w:rFonts w:ascii="Arial" w:cs="Arial" w:eastAsia="Arial" w:hAnsi="Arial"/>
                <w:sz w:val="16"/>
                <w:szCs w:val="16"/>
                <w:color w:val="auto"/>
              </w:rPr>
              <w:t>63</w:t>
            </w:r>
          </w:p>
        </w:tc>
        <w:tc>
          <w:tcPr>
            <w:tcW w:w="1960" w:type="dxa"/>
            <w:vAlign w:val="bottom"/>
          </w:tcPr>
          <w:p>
            <w:pPr>
              <w:jc w:val="right"/>
              <w:ind w:right="305"/>
              <w:spacing w:after="0" w:line="173"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4"/>
        </w:trPr>
        <w:tc>
          <w:tcPr>
            <w:tcW w:w="3600" w:type="dxa"/>
            <w:vAlign w:val="bottom"/>
          </w:tcPr>
          <w:p>
            <w:pPr>
              <w:spacing w:after="0"/>
              <w:rPr>
                <w:sz w:val="20"/>
                <w:szCs w:val="20"/>
                <w:color w:val="auto"/>
              </w:rPr>
            </w:pPr>
            <w:r>
              <w:rPr>
                <w:rFonts w:ascii="Arial" w:cs="Arial" w:eastAsia="Arial" w:hAnsi="Arial"/>
                <w:sz w:val="16"/>
                <w:szCs w:val="16"/>
                <w:color w:val="auto"/>
              </w:rPr>
              <w:t>SoCalGas</w:t>
            </w:r>
          </w:p>
        </w:tc>
        <w:tc>
          <w:tcPr>
            <w:tcW w:w="15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66</w:t>
            </w:r>
          </w:p>
        </w:tc>
        <w:tc>
          <w:tcPr>
            <w:tcW w:w="1440" w:type="dxa"/>
            <w:vAlign w:val="bottom"/>
          </w:tcPr>
          <w:p>
            <w:pPr>
              <w:spacing w:after="0"/>
              <w:rPr>
                <w:sz w:val="17"/>
                <w:szCs w:val="17"/>
                <w:color w:val="auto"/>
              </w:rPr>
            </w:pPr>
          </w:p>
        </w:tc>
        <w:tc>
          <w:tcPr>
            <w:tcW w:w="700" w:type="dxa"/>
            <w:vAlign w:val="bottom"/>
          </w:tcPr>
          <w:p>
            <w:pPr>
              <w:ind w:left="120"/>
              <w:spacing w:after="0"/>
              <w:rPr>
                <w:sz w:val="20"/>
                <w:szCs w:val="20"/>
                <w:color w:val="auto"/>
              </w:rPr>
            </w:pPr>
            <w:r>
              <w:rPr>
                <w:rFonts w:ascii="Arial" w:cs="Arial" w:eastAsia="Arial" w:hAnsi="Arial"/>
                <w:sz w:val="16"/>
                <w:szCs w:val="16"/>
                <w:color w:val="auto"/>
              </w:rPr>
              <w:t>29</w:t>
            </w:r>
          </w:p>
        </w:tc>
        <w:tc>
          <w:tcPr>
            <w:tcW w:w="14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69</w:t>
            </w:r>
          </w:p>
        </w:tc>
        <w:tc>
          <w:tcPr>
            <w:tcW w:w="1960" w:type="dxa"/>
            <w:vAlign w:val="bottom"/>
          </w:tcPr>
          <w:p>
            <w:pPr>
              <w:jc w:val="right"/>
              <w:ind w:right="305"/>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80"/>
        </w:trPr>
        <w:tc>
          <w:tcPr>
            <w:tcW w:w="3600" w:type="dxa"/>
            <w:vAlign w:val="bottom"/>
            <w:shd w:val="clear" w:color="auto" w:fill="A9A9A9"/>
          </w:tcPr>
          <w:p>
            <w:pPr>
              <w:spacing w:after="0"/>
              <w:rPr>
                <w:sz w:val="6"/>
                <w:szCs w:val="6"/>
                <w:color w:val="auto"/>
              </w:rPr>
            </w:pPr>
          </w:p>
        </w:tc>
        <w:tc>
          <w:tcPr>
            <w:tcW w:w="1560" w:type="dxa"/>
            <w:vAlign w:val="bottom"/>
            <w:shd w:val="clear" w:color="auto" w:fill="A6A6A6"/>
          </w:tcPr>
          <w:p>
            <w:pPr>
              <w:spacing w:after="0"/>
              <w:rPr>
                <w:sz w:val="6"/>
                <w:szCs w:val="6"/>
                <w:color w:val="auto"/>
              </w:rPr>
            </w:pPr>
          </w:p>
        </w:tc>
        <w:tc>
          <w:tcPr>
            <w:tcW w:w="380" w:type="dxa"/>
            <w:vAlign w:val="bottom"/>
            <w:shd w:val="clear" w:color="auto" w:fill="A6A6A6"/>
          </w:tcPr>
          <w:p>
            <w:pPr>
              <w:spacing w:after="0"/>
              <w:rPr>
                <w:sz w:val="6"/>
                <w:szCs w:val="6"/>
                <w:color w:val="auto"/>
              </w:rPr>
            </w:pPr>
          </w:p>
        </w:tc>
        <w:tc>
          <w:tcPr>
            <w:tcW w:w="1440" w:type="dxa"/>
            <w:vAlign w:val="bottom"/>
            <w:shd w:val="clear" w:color="auto" w:fill="A9A9A9"/>
          </w:tcPr>
          <w:p>
            <w:pPr>
              <w:spacing w:after="0"/>
              <w:rPr>
                <w:sz w:val="6"/>
                <w:szCs w:val="6"/>
                <w:color w:val="auto"/>
              </w:rPr>
            </w:pPr>
          </w:p>
        </w:tc>
        <w:tc>
          <w:tcPr>
            <w:tcW w:w="700" w:type="dxa"/>
            <w:vAlign w:val="bottom"/>
            <w:shd w:val="clear" w:color="auto" w:fill="A9A9A9"/>
          </w:tcPr>
          <w:p>
            <w:pPr>
              <w:spacing w:after="0"/>
              <w:rPr>
                <w:sz w:val="6"/>
                <w:szCs w:val="6"/>
                <w:color w:val="auto"/>
              </w:rPr>
            </w:pPr>
          </w:p>
        </w:tc>
        <w:tc>
          <w:tcPr>
            <w:tcW w:w="1420" w:type="dxa"/>
            <w:vAlign w:val="bottom"/>
            <w:shd w:val="clear" w:color="auto" w:fill="A9A9A9"/>
          </w:tcPr>
          <w:p>
            <w:pPr>
              <w:spacing w:after="0"/>
              <w:rPr>
                <w:sz w:val="6"/>
                <w:szCs w:val="6"/>
                <w:color w:val="auto"/>
              </w:rPr>
            </w:pPr>
          </w:p>
        </w:tc>
        <w:tc>
          <w:tcPr>
            <w:tcW w:w="360" w:type="dxa"/>
            <w:vAlign w:val="bottom"/>
            <w:shd w:val="clear" w:color="auto" w:fill="A9A9A9"/>
          </w:tcPr>
          <w:p>
            <w:pPr>
              <w:spacing w:after="0"/>
              <w:rPr>
                <w:sz w:val="6"/>
                <w:szCs w:val="6"/>
                <w:color w:val="auto"/>
              </w:rPr>
            </w:pPr>
          </w:p>
        </w:tc>
        <w:tc>
          <w:tcPr>
            <w:tcW w:w="1960" w:type="dxa"/>
            <w:vAlign w:val="bottom"/>
            <w:shd w:val="clear" w:color="auto" w:fill="A9A9A9"/>
          </w:tcPr>
          <w:p>
            <w:pPr>
              <w:spacing w:after="0"/>
              <w:rPr>
                <w:sz w:val="6"/>
                <w:szCs w:val="6"/>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Sempra Energy Consolidated</w:t>
      </w:r>
    </w:p>
    <w:p>
      <w:pPr>
        <w:spacing w:after="0" w:line="213"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The increase in income tax expense in the three months ended June 30, 2014 was due to higher pretax income and a higher effective tax rate. The higher effective income tax rate was primarily due to:</w:t>
      </w:r>
    </w:p>
    <w:p>
      <w:pPr>
        <w:spacing w:after="0" w:line="164" w:lineRule="exact"/>
        <w:rPr>
          <w:sz w:val="20"/>
          <w:szCs w:val="20"/>
          <w:color w:val="auto"/>
        </w:rPr>
      </w:pPr>
    </w:p>
    <w:p>
      <w:pPr>
        <w:ind w:left="320" w:hanging="172"/>
        <w:spacing w:after="0"/>
        <w:tabs>
          <w:tab w:leader="none" w:pos="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deductions for certain repairs expenditures that are capitalized for financial statement purposes;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deductions for self-developed software expenditures; and</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U.S. tax on the repatriation of a portion of current year earnings from certain non-U.S. subsidiaries in Mexico and Peru.</w:t>
      </w:r>
    </w:p>
    <w:p>
      <w:pPr>
        <w:spacing w:after="0" w:line="245"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In the first six months of 2014, the increase in income tax expense was due to higher pretax income, offset by a lower effective tax rate. The change in the effective income tax rate was primarily due to:</w:t>
      </w:r>
    </w:p>
    <w:p>
      <w:pPr>
        <w:spacing w:after="0" w:line="164" w:lineRule="exact"/>
        <w:rPr>
          <w:sz w:val="20"/>
          <w:szCs w:val="20"/>
          <w:color w:val="auto"/>
        </w:rPr>
      </w:pPr>
    </w:p>
    <w:p>
      <w:pPr>
        <w:ind w:left="320" w:hanging="172"/>
        <w:spacing w:after="0" w:line="275" w:lineRule="auto"/>
        <w:tabs>
          <w:tab w:leader="none" w:pos="3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$63 million income tax expense in 2013 resulting from a corporate reorganization in connection with the IEnova stock offerings. We discuss the stock offerings in Note 5 of the Notes to Condensed Consolidated Financial Statements herein; </w:t>
      </w:r>
      <w:r>
        <w:rPr>
          <w:rFonts w:ascii="Times New Roman" w:cs="Times New Roman" w:eastAsia="Times New Roman" w:hAnsi="Times New Roman"/>
          <w:sz w:val="18"/>
          <w:szCs w:val="18"/>
          <w:b w:val="1"/>
          <w:bCs w:val="1"/>
          <w:color w:val="auto"/>
        </w:rPr>
        <w:t>offset by</w:t>
      </w:r>
    </w:p>
    <w:p>
      <w:pPr>
        <w:spacing w:after="0" w:line="190"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U.S. tax on the repatriation of a portion of current year earnings from certain non-U.S. subsidiaries in Mexico and Peru; and</w:t>
      </w:r>
    </w:p>
    <w:p>
      <w:pPr>
        <w:spacing w:after="0" w:line="244" w:lineRule="exact"/>
        <w:rPr>
          <w:rFonts w:ascii="Times New Roman" w:cs="Times New Roman" w:eastAsia="Times New Roman" w:hAnsi="Times New Roman"/>
          <w:sz w:val="18"/>
          <w:szCs w:val="18"/>
          <w:color w:val="auto"/>
        </w:rPr>
      </w:pPr>
    </w:p>
    <w:p>
      <w:pPr>
        <w:jc w:val="both"/>
        <w:ind w:left="320" w:hanging="172"/>
        <w:spacing w:after="0" w:line="260" w:lineRule="auto"/>
        <w:tabs>
          <w:tab w:leader="none" w:pos="32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$17 million charge to reduce certain tax regulatory assets attributed to SDG&amp;E’s investment in SONGS that may no longer be recoverable from customers in rates pursuant to the proposed settlement agreement to resolve the CPUC’s Order Instituting Investigation (OII) into the SONGS outage that we discuss in Note 9 of the Notes to Condensed Consolidated Financial Statements herein.</w:t>
      </w:r>
    </w:p>
    <w:p>
      <w:pPr>
        <w:spacing w:after="0" w:line="20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As noted in “Results of Operations – Changes in Revenues, Costs and Earnings – Income Taxes” in “Management’s Discussion and Analysis of Financial Condition and Results of Operations” in the Annual Report, we have planned to repatriate a portion of current earnings beginning in 2014 from our subsidiaries in Mexico and Peru. Currently, all repatriated earnings from January 1, 2014 forward (reduced for previously taxed income) are subject to U.S. income tax (with credits for foreign income taxes), and repatriation from Peru is subject to local country withholding tax. Because any repatriation would only be from earnings in 2014 and later years, it does not change our current assertion that we intend to continue to indefinitely reinvest our cumulative undistributed non-U.S. earnings through December 31, 2013. Therefore, we do not intend to use these cumulative undistributed earnings as a source of funding for U.S. operations.</w:t>
      </w:r>
    </w:p>
    <w:p>
      <w:pPr>
        <w:spacing w:after="0" w:line="17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Sempra Energy, SDG&amp;E and SoCalGas record income taxes for interim periods utilizing a forecasted effective tax rate anticipated for the full year, as required by U.S. GAAP. The income tax effect of items that can be reliably forecasted are factored into the forecasted effective tax rate and their impact is recognized proportionately over the year. The forecasted items, anticipated on a full year basis, may include, among others:</w:t>
      </w:r>
    </w:p>
    <w:p>
      <w:pPr>
        <w:spacing w:after="0" w:line="178" w:lineRule="exact"/>
        <w:rPr>
          <w:sz w:val="20"/>
          <w:szCs w:val="20"/>
          <w:color w:val="auto"/>
        </w:rPr>
      </w:pPr>
    </w:p>
    <w:p>
      <w:pPr>
        <w:ind w:left="320" w:hanging="172"/>
        <w:spacing w:after="0"/>
        <w:tabs>
          <w:tab w:leader="none" w:pos="3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self-developed software expenditures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repairs to certain utility plant fixed assets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energy income tax credits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benefits related to renewable energy projects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exclusions from taxable income of the equity portion of AFUDC</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on a certain portion of utility plant assets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tax on repatriation of current year earnings from non-U.S. subsidiaries</w:t>
      </w:r>
    </w:p>
    <w:p>
      <w:pPr>
        <w:sectPr>
          <w:pgSz w:w="11900" w:h="16861" w:orient="portrait"/>
          <w:cols w:equalWidth="0" w:num="1">
            <w:col w:w="11420"/>
          </w:cols>
          <w:pgMar w:left="240" w:top="121" w:right="239" w:bottom="0" w:gutter="0" w:footer="0" w:header="0"/>
        </w:sectPr>
      </w:pPr>
    </w:p>
    <w:bookmarkStart w:id="63" w:name="page64"/>
    <w:bookmarkEnd w:id="63"/>
    <w:p>
      <w:pPr>
        <w:ind w:right="160"/>
        <w:spacing w:after="0" w:line="260" w:lineRule="auto"/>
        <w:rPr>
          <w:sz w:val="20"/>
          <w:szCs w:val="20"/>
          <w:color w:val="auto"/>
        </w:rPr>
      </w:pPr>
      <w:r>
        <w:rPr>
          <w:rFonts w:ascii="Times New Roman" w:cs="Times New Roman" w:eastAsia="Times New Roman" w:hAnsi="Times New Roman"/>
          <w:sz w:val="18"/>
          <w:szCs w:val="18"/>
          <w:color w:val="auto"/>
        </w:rPr>
        <w:t>Items that cannot be reliably forecasted (e.g., adjustments related to prior years’ income tax items, Mexican currency translation and inflation adjustments, and deferred income tax benefit associated with the impairment of a book investment) are recorded in the interim period in which they actually occur, which can result in variability to income tax expense.</w:t>
      </w:r>
    </w:p>
    <w:p>
      <w:pPr>
        <w:spacing w:after="0" w:line="17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Due to the extension of bonus depreciation, Sempra Energy, SDG&amp;E and SoCalGas generated large U.S. federal net operating losses (NOLs) in 2011 and 2012. We discuss further the impact of NOLs on Sempra Energy, SDG&amp;E and SoCalGas in “Results of Operations – Changes in Revenues, Costs and Earnings – Income Taxes” in “Management’s Discussion and Analysis of Financial Condition and Results of Operations” in the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Chilean Tax Reform</w:t>
      </w:r>
    </w:p>
    <w:p>
      <w:pPr>
        <w:spacing w:after="0" w:line="21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In April 2014, Chile’s President presented a tax reform proposal (Tax Reform Bill) to the Chilean Congress which introduces a number of amendments to the current tax laws and regulations and would impact Chilquinta Energía in our Sempra South American Utilities segment. The Tax Reform Bill would increase the corporate tax rate from the current 20 percent to 25 percent on a graduated basis over a four-year period, starting in 2014.</w:t>
      </w:r>
    </w:p>
    <w:p>
      <w:pPr>
        <w:spacing w:after="0" w:line="17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Tax Reform Bill also would eliminate the Accumulated Tax Profit Fund, Fondo de Utilidades Tributables (FUT). Under current law, shareholders are generally not taxed on business profits until those profits are distributed. The Tax Reform Bill would eliminate FUT that allowed for deferral and create a new system starting in 2017, under which shareholders would be taxed on an accrual basis. Annual taxable profits of Chilean companies would be deemed automatically distributed to their shareholders at year-end, and shareholders would pay current taxes on the taxable income. The new system would require that shareholders, in our case Sempra Energy, pay 35 percent (including the 25 percent corporate tax) on an accrual basis on the taxable income generated by their investments.</w:t>
      </w:r>
    </w:p>
    <w:p>
      <w:pPr>
        <w:spacing w:after="0" w:line="1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May 14, 2014, the Chilean lower house approved the proposed tax reform and then sent the proposal to the Chilean Senate. On July 9, 2014, Chile’s Finance Ministry signed a protocol with members of the Senate Finance Committee to ensure approval of an overhaul to the tax system. The protocol describes changes to the initial proposal made by the Chilean President. Under the protocol, shareholders have two options to pay the additional tax on corporate profits. Option one is the immediate payment of tax using the 35 percent rate (including the 25 percent corporate tax). Under option two, the corporate income tax rate increases from 25 percent to 27 percent, and the additional tax on corporate profits increases from 10 percent to 17.5 percent, and can be deferred until profits are withdrawn from the country.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proposed tax reform is still in the normal legislative process, and a tax reform law is expected to be enacted before year-end.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SDG&amp;E</w:t>
      </w:r>
    </w:p>
    <w:p>
      <w:pPr>
        <w:spacing w:after="0" w:line="213"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The increase in SDG&amp;E’s income tax expense in the three months ended June 30, 2014 was due to higher pretax income and a higher effective tax rate. The higher effective tax rate was primarily due to:</w:t>
      </w:r>
    </w:p>
    <w:p>
      <w:pPr>
        <w:spacing w:after="0" w:line="164" w:lineRule="exact"/>
        <w:rPr>
          <w:sz w:val="20"/>
          <w:szCs w:val="20"/>
          <w:color w:val="auto"/>
        </w:rPr>
      </w:pPr>
    </w:p>
    <w:p>
      <w:pPr>
        <w:ind w:left="320" w:hanging="172"/>
        <w:spacing w:after="0"/>
        <w:tabs>
          <w:tab w:leader="none" w:pos="3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deductions for certain repairs expenditures that are capitalized for financial statement purposes;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lower deductions for self-developed software expenditures; and</w:t>
      </w:r>
    </w:p>
    <w:p>
      <w:pPr>
        <w:spacing w:after="0" w:line="242" w:lineRule="exact"/>
        <w:rPr>
          <w:rFonts w:ascii="Times New Roman" w:cs="Times New Roman" w:eastAsia="Times New Roman" w:hAnsi="Times New Roman"/>
          <w:sz w:val="18"/>
          <w:szCs w:val="18"/>
          <w:b w:val="1"/>
          <w:bCs w:val="1"/>
          <w:color w:val="auto"/>
        </w:rPr>
      </w:pPr>
    </w:p>
    <w:p>
      <w:pPr>
        <w:ind w:left="320" w:hanging="172"/>
        <w:spacing w:after="0"/>
        <w:tabs>
          <w:tab w:leader="none" w:pos="3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lower exclusions from taxable income of the equity portion of AFUDC;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b w:val="1"/>
          <w:bCs w:val="1"/>
          <w:color w:val="auto"/>
        </w:rPr>
      </w:pPr>
    </w:p>
    <w:p>
      <w:pPr>
        <w:ind w:left="320" w:hanging="172"/>
        <w:spacing w:after="0" w:line="275" w:lineRule="auto"/>
        <w:tabs>
          <w:tab w:leader="none" w:pos="3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lower unfavorable impact on our effective tax rate in 2014 from the reversal through book depreciation of previously recognized tax benefits for a certain portion of utility fixed assets.</w:t>
      </w:r>
    </w:p>
    <w:p>
      <w:pPr>
        <w:spacing w:after="0" w:line="19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increase in SDG&amp;E’s income tax expense in the six months ended June 30, 2014 was due to higher pretax income and a higher effective tax rate. The higher effective tax rate was primarily due to:</w:t>
      </w:r>
    </w:p>
    <w:p>
      <w:pPr>
        <w:spacing w:after="0" w:line="164" w:lineRule="exact"/>
        <w:rPr>
          <w:sz w:val="20"/>
          <w:szCs w:val="20"/>
          <w:color w:val="auto"/>
        </w:rPr>
      </w:pPr>
    </w:p>
    <w:p>
      <w:pPr>
        <w:ind w:left="320" w:hanging="172"/>
        <w:spacing w:after="0"/>
        <w:tabs>
          <w:tab w:leader="none" w:pos="3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$17 million charge to reduce certain tax regulatory assets attributed to SDG&amp;E’s investment in SONGS discussed above;</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deductions for certain repairs expenditures that are capitalized for financial statement purposes; and</w:t>
      </w:r>
    </w:p>
    <w:p>
      <w:pPr>
        <w:spacing w:after="0" w:line="242"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lower exclusions from taxable income of the equity portion of AFUDC;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b w:val="1"/>
          <w:bCs w:val="1"/>
          <w:color w:val="auto"/>
        </w:rPr>
      </w:pPr>
    </w:p>
    <w:p>
      <w:pPr>
        <w:ind w:left="320" w:hanging="172"/>
        <w:spacing w:after="0" w:line="275" w:lineRule="auto"/>
        <w:tabs>
          <w:tab w:leader="none" w:pos="32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lower unfavorable impact on our effective tax rate in 2014 from the reversal through book depreciation of previously recognized tax benefits for a certain portion of utility fixed assets.</w:t>
      </w:r>
    </w:p>
    <w:p>
      <w:pPr>
        <w:spacing w:after="0" w:line="190" w:lineRule="exact"/>
        <w:rPr>
          <w:sz w:val="20"/>
          <w:szCs w:val="20"/>
          <w:color w:val="auto"/>
        </w:rPr>
      </w:pPr>
    </w:p>
    <w:p>
      <w:pPr>
        <w:jc w:val="both"/>
        <w:ind w:right="100"/>
        <w:spacing w:after="0" w:line="283" w:lineRule="auto"/>
        <w:rPr>
          <w:sz w:val="20"/>
          <w:szCs w:val="20"/>
          <w:color w:val="auto"/>
        </w:rPr>
      </w:pPr>
      <w:r>
        <w:rPr>
          <w:rFonts w:ascii="Times New Roman" w:cs="Times New Roman" w:eastAsia="Times New Roman" w:hAnsi="Times New Roman"/>
          <w:sz w:val="17"/>
          <w:szCs w:val="17"/>
          <w:color w:val="auto"/>
        </w:rPr>
        <w:t>The results for Sempra Energy Consolidated and SDG&amp;E include Otay Mesa VIE, which is not included in Sempra Energy’s federal or state income tax returns but is consolidated for financial statement purposes, and therefore, Sempra Energy Consolidated’s and SDG&amp;E’s effective income tax rates are impacted by the VIE’s stand-alone effective income tax rate. We discuss Otay Mesa VIE further in Note 5 of the Notes to Condensed Consolidated Financial Statements herein.</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SoCalGas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decreases in SoCalGas’ income tax expense for both the three months and six months ended June 30, 2014 were primarily due to lower pretax income.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Mexican Currency Exchange Rate and Inflation Impact on Income Taxes and Related Economic Hedging Activity</w:t>
      </w:r>
    </w:p>
    <w:p>
      <w:pPr>
        <w:spacing w:after="0" w:line="21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Our Mexican subsidiaries have U.S. dollar denominated cash balances, receivables and payables (monetary assets and liabilities) that give rise to Mexican currency exchange rate movements for Mexican income tax purposes. They also have deferred income tax assets and liabilities that are denominated in the Mexican peso, which must be translated to U.S. dollars for financial reporting purposes. In addition, monetary assets and liabilities are adjusted for Mexican inflation for Mexican income tax purposes.</w:t>
      </w:r>
    </w:p>
    <w:p>
      <w:pPr>
        <w:spacing w:after="0" w:line="180" w:lineRule="exact"/>
        <w:rPr>
          <w:sz w:val="20"/>
          <w:szCs w:val="20"/>
          <w:color w:val="auto"/>
        </w:rPr>
      </w:pPr>
    </w:p>
    <w:p>
      <w:pPr>
        <w:ind w:right="340"/>
        <w:spacing w:after="0" w:line="305" w:lineRule="auto"/>
        <w:rPr>
          <w:sz w:val="20"/>
          <w:szCs w:val="20"/>
          <w:color w:val="auto"/>
        </w:rPr>
      </w:pPr>
      <w:r>
        <w:rPr>
          <w:rFonts w:ascii="Times New Roman" w:cs="Times New Roman" w:eastAsia="Times New Roman" w:hAnsi="Times New Roman"/>
          <w:sz w:val="17"/>
          <w:szCs w:val="17"/>
          <w:color w:val="auto"/>
        </w:rPr>
        <w:t>The fluctuations in both the currency exchange rate for the Mexican peso against the U.S. dollar, with regard to Mexican monetary assets and liabilities, and Mexican inflation are subject to Mexican income tax and thus may expose us to fluctuations in our income tax expense. The income tax expense of Sempra</w:t>
      </w:r>
    </w:p>
    <w:p>
      <w:pPr>
        <w:sectPr>
          <w:pgSz w:w="11900" w:h="16838" w:orient="portrait"/>
          <w:cols w:equalWidth="0" w:num="1">
            <w:col w:w="11420"/>
          </w:cols>
          <w:pgMar w:left="240" w:top="360" w:right="239" w:bottom="0" w:gutter="0" w:footer="0" w:header="0"/>
        </w:sectPr>
      </w:pPr>
    </w:p>
    <w:bookmarkStart w:id="64" w:name="page65"/>
    <w:bookmarkEnd w:id="64"/>
    <w:p>
      <w:pPr>
        <w:ind w:right="140"/>
        <w:spacing w:after="0" w:line="275" w:lineRule="auto"/>
        <w:rPr>
          <w:sz w:val="20"/>
          <w:szCs w:val="20"/>
          <w:color w:val="auto"/>
        </w:rPr>
      </w:pPr>
      <w:r>
        <w:rPr>
          <w:rFonts w:ascii="Times New Roman" w:cs="Times New Roman" w:eastAsia="Times New Roman" w:hAnsi="Times New Roman"/>
          <w:sz w:val="18"/>
          <w:szCs w:val="18"/>
          <w:color w:val="auto"/>
        </w:rPr>
        <w:t>Mexico is impacted by these factors. From time to time, we may utilize short-term foreign currency derivatives at our subsidiaries and at the consolidated level as a means to manage these exposures.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Sempra Energy Consolidated, the impacts related to the factors described above are as follows:</w:t>
      </w:r>
    </w:p>
    <w:p>
      <w:pPr>
        <w:spacing w:after="0" w:line="200" w:lineRule="exact"/>
        <w:rPr>
          <w:sz w:val="20"/>
          <w:szCs w:val="20"/>
          <w:color w:val="auto"/>
        </w:rPr>
      </w:pPr>
    </w:p>
    <w:p>
      <w:pPr>
        <w:spacing w:after="0" w:line="216" w:lineRule="exact"/>
        <w:rPr>
          <w:sz w:val="20"/>
          <w:szCs w:val="20"/>
          <w:color w:val="auto"/>
        </w:rPr>
      </w:pPr>
    </w:p>
    <w:p>
      <w:pPr>
        <w:ind w:right="3900"/>
        <w:spacing w:after="0" w:line="241" w:lineRule="auto"/>
        <w:rPr>
          <w:sz w:val="20"/>
          <w:szCs w:val="20"/>
          <w:color w:val="auto"/>
        </w:rPr>
      </w:pPr>
      <w:r>
        <w:rPr>
          <w:rFonts w:ascii="Arial" w:cs="Arial" w:eastAsia="Arial" w:hAnsi="Arial"/>
          <w:sz w:val="16"/>
          <w:szCs w:val="16"/>
          <w:b w:val="1"/>
          <w:bCs w:val="1"/>
          <w:color w:val="auto"/>
        </w:rPr>
        <w:t xml:space="preserve">MEXICAN CURRENCY IMPACT ON INCOME TAXES AND RELATED ECONOMIC HEDGING ACTIVITY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-220980</wp:posOffset>
            </wp:positionV>
            <wp:extent cx="7248525" cy="2197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5980" w:type="dxa"/>
            <w:vAlign w:val="bottom"/>
          </w:tcPr>
          <w:p>
            <w:pPr>
              <w:spacing w:after="0"/>
              <w:rPr>
                <w:sz w:val="16"/>
                <w:szCs w:val="16"/>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June 30,</w:t>
            </w:r>
          </w:p>
        </w:tc>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73"/>
        </w:trPr>
        <w:tc>
          <w:tcPr>
            <w:tcW w:w="59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2014</w:t>
            </w: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2014</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4"/>
        </w:trPr>
        <w:tc>
          <w:tcPr>
            <w:tcW w:w="5980" w:type="dxa"/>
            <w:vAlign w:val="bottom"/>
          </w:tcPr>
          <w:p>
            <w:pPr>
              <w:spacing w:after="0" w:line="175" w:lineRule="exact"/>
              <w:rPr>
                <w:sz w:val="20"/>
                <w:szCs w:val="20"/>
                <w:color w:val="auto"/>
              </w:rPr>
            </w:pPr>
            <w:r>
              <w:rPr>
                <w:rFonts w:ascii="Arial" w:cs="Arial" w:eastAsia="Arial" w:hAnsi="Arial"/>
                <w:sz w:val="16"/>
                <w:szCs w:val="16"/>
                <w:color w:val="auto"/>
              </w:rPr>
              <w:t>Income tax expense on currency exchange</w:t>
            </w: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980" w:type="dxa"/>
            <w:vAlign w:val="bottom"/>
          </w:tcPr>
          <w:p>
            <w:pPr>
              <w:ind w:left="240"/>
              <w:spacing w:after="0" w:line="173" w:lineRule="exact"/>
              <w:rPr>
                <w:sz w:val="20"/>
                <w:szCs w:val="20"/>
                <w:color w:val="auto"/>
              </w:rPr>
            </w:pPr>
            <w:r>
              <w:rPr>
                <w:rFonts w:ascii="Arial" w:cs="Arial" w:eastAsia="Arial" w:hAnsi="Arial"/>
                <w:sz w:val="16"/>
                <w:szCs w:val="16"/>
                <w:color w:val="auto"/>
              </w:rPr>
              <w:t>rate movement of monetary assets and liabilities</w:t>
            </w:r>
          </w:p>
        </w:tc>
        <w:tc>
          <w:tcPr>
            <w:tcW w:w="980" w:type="dxa"/>
            <w:vAlign w:val="bottom"/>
          </w:tcPr>
          <w:p>
            <w:pPr>
              <w:jc w:val="right"/>
              <w:ind w:right="605"/>
              <w:spacing w:after="0" w:line="173" w:lineRule="exact"/>
              <w:rPr>
                <w:sz w:val="20"/>
                <w:szCs w:val="20"/>
                <w:color w:val="auto"/>
              </w:rPr>
            </w:pPr>
            <w:r>
              <w:rPr>
                <w:rFonts w:ascii="Arial" w:cs="Arial" w:eastAsia="Arial" w:hAnsi="Arial"/>
                <w:sz w:val="16"/>
                <w:szCs w:val="16"/>
                <w:color w:val="auto"/>
              </w:rPr>
              <w:t>$</w:t>
            </w:r>
          </w:p>
        </w:tc>
        <w:tc>
          <w:tcPr>
            <w:tcW w:w="460" w:type="dxa"/>
            <w:vAlign w:val="bottom"/>
          </w:tcPr>
          <w:p>
            <w:pPr>
              <w:ind w:left="160"/>
              <w:spacing w:after="0" w:line="173"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683"/>
              <w:spacing w:after="0" w:line="173" w:lineRule="exact"/>
              <w:rPr>
                <w:sz w:val="20"/>
                <w:szCs w:val="20"/>
                <w:color w:val="auto"/>
              </w:rPr>
            </w:pPr>
            <w:r>
              <w:rPr>
                <w:rFonts w:ascii="Arial" w:cs="Arial" w:eastAsia="Arial" w:hAnsi="Arial"/>
                <w:sz w:val="16"/>
                <w:szCs w:val="16"/>
                <w:color w:val="auto"/>
              </w:rPr>
              <w:t>$</w:t>
            </w:r>
          </w:p>
        </w:tc>
        <w:tc>
          <w:tcPr>
            <w:tcW w:w="400" w:type="dxa"/>
            <w:vAlign w:val="bottom"/>
          </w:tcPr>
          <w:p>
            <w:pPr>
              <w:jc w:val="right"/>
              <w:ind w:right="41"/>
              <w:spacing w:after="0" w:line="173" w:lineRule="exact"/>
              <w:rPr>
                <w:sz w:val="20"/>
                <w:szCs w:val="20"/>
                <w:color w:val="auto"/>
              </w:rPr>
            </w:pPr>
            <w:r>
              <w:rPr>
                <w:rFonts w:ascii="Arial" w:cs="Arial" w:eastAsia="Arial" w:hAnsi="Arial"/>
                <w:sz w:val="16"/>
                <w:szCs w:val="16"/>
                <w:color w:val="auto"/>
              </w:rPr>
              <w:t>(5)</w:t>
            </w:r>
          </w:p>
        </w:tc>
        <w:tc>
          <w:tcPr>
            <w:tcW w:w="28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080" w:type="dxa"/>
            <w:vAlign w:val="bottom"/>
          </w:tcPr>
          <w:p>
            <w:pPr>
              <w:ind w:left="760"/>
              <w:spacing w:after="0" w:line="173" w:lineRule="exact"/>
              <w:rPr>
                <w:sz w:val="20"/>
                <w:szCs w:val="20"/>
                <w:color w:val="auto"/>
              </w:rPr>
            </w:pPr>
            <w:r>
              <w:rPr>
                <w:rFonts w:ascii="Arial" w:cs="Arial" w:eastAsia="Arial" w:hAnsi="Arial"/>
                <w:sz w:val="16"/>
                <w:szCs w:val="16"/>
                <w:color w:val="auto"/>
              </w:rPr>
              <w:t>―</w:t>
            </w:r>
          </w:p>
        </w:tc>
        <w:tc>
          <w:tcPr>
            <w:tcW w:w="300" w:type="dxa"/>
            <w:vAlign w:val="bottom"/>
          </w:tcPr>
          <w:p>
            <w:pPr>
              <w:jc w:val="right"/>
              <w:ind w:right="20"/>
              <w:spacing w:after="0" w:line="173"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3"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73"/>
        </w:trPr>
        <w:tc>
          <w:tcPr>
            <w:tcW w:w="5980" w:type="dxa"/>
            <w:vAlign w:val="bottom"/>
          </w:tcPr>
          <w:p>
            <w:pPr>
              <w:spacing w:after="0" w:line="173" w:lineRule="exact"/>
              <w:rPr>
                <w:sz w:val="20"/>
                <w:szCs w:val="20"/>
                <w:color w:val="auto"/>
              </w:rPr>
            </w:pPr>
            <w:r>
              <w:rPr>
                <w:rFonts w:ascii="Arial" w:cs="Arial" w:eastAsia="Arial" w:hAnsi="Arial"/>
                <w:sz w:val="16"/>
                <w:szCs w:val="16"/>
                <w:color w:val="auto"/>
              </w:rPr>
              <w:t>Translation of non-U.S. deferred income tax balances</w:t>
            </w:r>
          </w:p>
        </w:tc>
        <w:tc>
          <w:tcPr>
            <w:tcW w:w="980" w:type="dxa"/>
            <w:vAlign w:val="bottom"/>
          </w:tcPr>
          <w:p>
            <w:pPr>
              <w:spacing w:after="0"/>
              <w:rPr>
                <w:sz w:val="15"/>
                <w:szCs w:val="15"/>
                <w:color w:val="auto"/>
              </w:rPr>
            </w:pPr>
          </w:p>
        </w:tc>
        <w:tc>
          <w:tcPr>
            <w:tcW w:w="460" w:type="dxa"/>
            <w:vAlign w:val="bottom"/>
          </w:tcPr>
          <w:p>
            <w:pPr>
              <w:ind w:left="160"/>
              <w:spacing w:after="0" w:line="173" w:lineRule="exact"/>
              <w:rPr>
                <w:sz w:val="20"/>
                <w:szCs w:val="20"/>
                <w:color w:val="auto"/>
              </w:rPr>
            </w:pPr>
            <w:r>
              <w:rPr>
                <w:rFonts w:ascii="Arial" w:cs="Arial" w:eastAsia="Arial" w:hAnsi="Arial"/>
                <w:sz w:val="16"/>
                <w:szCs w:val="16"/>
                <w:color w:val="auto"/>
              </w:rPr>
              <w:t>―</w:t>
            </w:r>
          </w:p>
        </w:tc>
        <w:tc>
          <w:tcPr>
            <w:tcW w:w="980" w:type="dxa"/>
            <w:vAlign w:val="bottom"/>
          </w:tcPr>
          <w:p>
            <w:pPr>
              <w:spacing w:after="0"/>
              <w:rPr>
                <w:sz w:val="15"/>
                <w:szCs w:val="15"/>
                <w:color w:val="auto"/>
              </w:rPr>
            </w:pPr>
          </w:p>
        </w:tc>
        <w:tc>
          <w:tcPr>
            <w:tcW w:w="400" w:type="dxa"/>
            <w:vAlign w:val="bottom"/>
          </w:tcPr>
          <w:p>
            <w:pPr>
              <w:jc w:val="right"/>
              <w:ind w:right="81"/>
              <w:spacing w:after="0" w:line="173" w:lineRule="exact"/>
              <w:rPr>
                <w:sz w:val="20"/>
                <w:szCs w:val="20"/>
                <w:color w:val="auto"/>
              </w:rPr>
            </w:pPr>
            <w:r>
              <w:rPr>
                <w:rFonts w:ascii="Arial" w:cs="Arial" w:eastAsia="Arial" w:hAnsi="Arial"/>
                <w:sz w:val="16"/>
                <w:szCs w:val="16"/>
                <w:color w:val="auto"/>
              </w:rPr>
              <w:t>7</w:t>
            </w:r>
          </w:p>
        </w:tc>
        <w:tc>
          <w:tcPr>
            <w:tcW w:w="280" w:type="dxa"/>
            <w:vAlign w:val="bottom"/>
          </w:tcPr>
          <w:p>
            <w:pPr>
              <w:spacing w:after="0"/>
              <w:rPr>
                <w:sz w:val="15"/>
                <w:szCs w:val="15"/>
                <w:color w:val="auto"/>
              </w:rPr>
            </w:pPr>
          </w:p>
        </w:tc>
        <w:tc>
          <w:tcPr>
            <w:tcW w:w="1080" w:type="dxa"/>
            <w:vAlign w:val="bottom"/>
          </w:tcPr>
          <w:p>
            <w:pPr>
              <w:ind w:left="760"/>
              <w:spacing w:after="0" w:line="173"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9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5980" w:type="dxa"/>
            <w:vAlign w:val="bottom"/>
          </w:tcPr>
          <w:p>
            <w:pPr>
              <w:spacing w:after="0"/>
              <w:rPr>
                <w:sz w:val="20"/>
                <w:szCs w:val="20"/>
                <w:color w:val="auto"/>
              </w:rPr>
            </w:pPr>
            <w:r>
              <w:rPr>
                <w:rFonts w:ascii="Arial" w:cs="Arial" w:eastAsia="Arial" w:hAnsi="Arial"/>
                <w:sz w:val="16"/>
                <w:szCs w:val="16"/>
                <w:color w:val="auto"/>
              </w:rPr>
              <w:t>Income tax benefit (expense) on inflation</w:t>
            </w:r>
          </w:p>
        </w:tc>
        <w:tc>
          <w:tcPr>
            <w:tcW w:w="9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5980" w:type="dxa"/>
            <w:vAlign w:val="bottom"/>
          </w:tcPr>
          <w:p>
            <w:pPr>
              <w:ind w:left="240"/>
              <w:spacing w:after="0" w:line="135" w:lineRule="exact"/>
              <w:rPr>
                <w:sz w:val="20"/>
                <w:szCs w:val="20"/>
                <w:color w:val="auto"/>
              </w:rPr>
            </w:pPr>
            <w:r>
              <w:rPr>
                <w:rFonts w:ascii="Arial" w:cs="Arial" w:eastAsia="Arial" w:hAnsi="Arial"/>
                <w:sz w:val="15"/>
                <w:szCs w:val="15"/>
                <w:color w:val="auto"/>
              </w:rPr>
              <w:t>Total impact on income taxes</w:t>
            </w:r>
          </w:p>
        </w:tc>
        <w:tc>
          <w:tcPr>
            <w:tcW w:w="980" w:type="dxa"/>
            <w:vAlign w:val="bottom"/>
          </w:tcPr>
          <w:p>
            <w:pPr>
              <w:spacing w:after="0"/>
              <w:rPr>
                <w:sz w:val="11"/>
                <w:szCs w:val="11"/>
                <w:color w:val="auto"/>
              </w:rPr>
            </w:pPr>
          </w:p>
        </w:tc>
        <w:tc>
          <w:tcPr>
            <w:tcW w:w="460" w:type="dxa"/>
            <w:vAlign w:val="bottom"/>
          </w:tcPr>
          <w:p>
            <w:pPr>
              <w:ind w:left="160"/>
              <w:spacing w:after="0" w:line="135" w:lineRule="exact"/>
              <w:rPr>
                <w:sz w:val="20"/>
                <w:szCs w:val="20"/>
                <w:color w:val="auto"/>
              </w:rPr>
            </w:pPr>
            <w:r>
              <w:rPr>
                <w:rFonts w:ascii="Arial" w:cs="Arial" w:eastAsia="Arial" w:hAnsi="Arial"/>
                <w:sz w:val="15"/>
                <w:szCs w:val="15"/>
                <w:color w:val="auto"/>
              </w:rPr>
              <w:t>―</w:t>
            </w:r>
          </w:p>
        </w:tc>
        <w:tc>
          <w:tcPr>
            <w:tcW w:w="980" w:type="dxa"/>
            <w:vAlign w:val="bottom"/>
          </w:tcPr>
          <w:p>
            <w:pPr>
              <w:spacing w:after="0"/>
              <w:rPr>
                <w:sz w:val="11"/>
                <w:szCs w:val="11"/>
                <w:color w:val="auto"/>
              </w:rPr>
            </w:pPr>
          </w:p>
        </w:tc>
        <w:tc>
          <w:tcPr>
            <w:tcW w:w="400" w:type="dxa"/>
            <w:vAlign w:val="bottom"/>
          </w:tcPr>
          <w:p>
            <w:pPr>
              <w:jc w:val="right"/>
              <w:ind w:right="81"/>
              <w:spacing w:after="0" w:line="135" w:lineRule="exact"/>
              <w:rPr>
                <w:sz w:val="20"/>
                <w:szCs w:val="20"/>
                <w:color w:val="auto"/>
              </w:rPr>
            </w:pPr>
            <w:r>
              <w:rPr>
                <w:rFonts w:ascii="Arial" w:cs="Arial" w:eastAsia="Arial" w:hAnsi="Arial"/>
                <w:sz w:val="15"/>
                <w:szCs w:val="15"/>
                <w:color w:val="auto"/>
              </w:rPr>
              <w:t>3</w:t>
            </w:r>
          </w:p>
        </w:tc>
        <w:tc>
          <w:tcPr>
            <w:tcW w:w="280" w:type="dxa"/>
            <w:vAlign w:val="bottom"/>
          </w:tcPr>
          <w:p>
            <w:pPr>
              <w:spacing w:after="0"/>
              <w:rPr>
                <w:sz w:val="11"/>
                <w:szCs w:val="11"/>
                <w:color w:val="auto"/>
              </w:rPr>
            </w:pPr>
          </w:p>
        </w:tc>
        <w:tc>
          <w:tcPr>
            <w:tcW w:w="1080" w:type="dxa"/>
            <w:vAlign w:val="bottom"/>
          </w:tcPr>
          <w:p>
            <w:pPr>
              <w:ind w:left="760"/>
              <w:spacing w:after="0" w:line="135" w:lineRule="exact"/>
              <w:rPr>
                <w:sz w:val="20"/>
                <w:szCs w:val="20"/>
                <w:color w:val="auto"/>
              </w:rPr>
            </w:pPr>
            <w:r>
              <w:rPr>
                <w:rFonts w:ascii="Arial" w:cs="Arial" w:eastAsia="Arial" w:hAnsi="Arial"/>
                <w:sz w:val="15"/>
                <w:szCs w:val="15"/>
                <w:color w:val="auto"/>
              </w:rPr>
              <w:t>(1)</w:t>
            </w:r>
          </w:p>
        </w:tc>
        <w:tc>
          <w:tcPr>
            <w:tcW w:w="3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86"/>
        </w:trPr>
        <w:tc>
          <w:tcPr>
            <w:tcW w:w="5980" w:type="dxa"/>
            <w:vAlign w:val="bottom"/>
          </w:tcPr>
          <w:p>
            <w:pPr>
              <w:spacing w:after="0"/>
              <w:rPr>
                <w:sz w:val="20"/>
                <w:szCs w:val="20"/>
                <w:color w:val="auto"/>
              </w:rPr>
            </w:pPr>
            <w:r>
              <w:rPr>
                <w:rFonts w:ascii="Arial" w:cs="Arial" w:eastAsia="Arial" w:hAnsi="Arial"/>
                <w:sz w:val="16"/>
                <w:szCs w:val="16"/>
                <w:color w:val="auto"/>
              </w:rPr>
              <w:t>After-tax gains on Mexican peso exchange rate</w:t>
            </w:r>
          </w:p>
        </w:tc>
        <w:tc>
          <w:tcPr>
            <w:tcW w:w="980" w:type="dxa"/>
            <w:vAlign w:val="bottom"/>
          </w:tcPr>
          <w:p>
            <w:pPr>
              <w:spacing w:after="0"/>
              <w:rPr>
                <w:sz w:val="16"/>
                <w:szCs w:val="16"/>
                <w:color w:val="auto"/>
              </w:rPr>
            </w:pPr>
          </w:p>
        </w:tc>
        <w:tc>
          <w:tcPr>
            <w:tcW w:w="46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6"/>
                <w:szCs w:val="16"/>
                <w:color w:val="auto"/>
              </w:rPr>
            </w:pPr>
          </w:p>
        </w:tc>
        <w:tc>
          <w:tcPr>
            <w:tcW w:w="40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080" w:type="dxa"/>
            <w:vAlign w:val="bottom"/>
            <w:vMerge w:val="restart"/>
          </w:tcPr>
          <w:p>
            <w:pPr>
              <w:ind w:left="7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1"/>
        </w:trPr>
        <w:tc>
          <w:tcPr>
            <w:tcW w:w="5980" w:type="dxa"/>
            <w:vAlign w:val="bottom"/>
          </w:tcPr>
          <w:p>
            <w:pPr>
              <w:ind w:left="240"/>
              <w:spacing w:after="0"/>
              <w:rPr>
                <w:sz w:val="20"/>
                <w:szCs w:val="20"/>
                <w:color w:val="auto"/>
              </w:rPr>
            </w:pPr>
            <w:r>
              <w:rPr>
                <w:rFonts w:ascii="Arial" w:cs="Arial" w:eastAsia="Arial" w:hAnsi="Arial"/>
                <w:sz w:val="16"/>
                <w:szCs w:val="16"/>
                <w:color w:val="auto"/>
              </w:rPr>
              <w:t>instruments (included in Other Income, Net)</w:t>
            </w: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980" w:type="dxa"/>
            <w:vAlign w:val="bottom"/>
          </w:tcPr>
          <w:p>
            <w:pPr>
              <w:spacing w:after="0" w:line="135" w:lineRule="exact"/>
              <w:rPr>
                <w:sz w:val="20"/>
                <w:szCs w:val="20"/>
                <w:color w:val="auto"/>
              </w:rPr>
            </w:pPr>
            <w:r>
              <w:rPr>
                <w:rFonts w:ascii="Arial" w:cs="Arial" w:eastAsia="Arial" w:hAnsi="Arial"/>
                <w:sz w:val="15"/>
                <w:szCs w:val="15"/>
                <w:color w:val="auto"/>
              </w:rPr>
              <w:t>Net impacts on Sempra Energy Condensed</w:t>
            </w: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5980" w:type="dxa"/>
            <w:vAlign w:val="bottom"/>
          </w:tcPr>
          <w:p>
            <w:pPr>
              <w:ind w:left="240"/>
              <w:spacing w:after="0"/>
              <w:rPr>
                <w:sz w:val="20"/>
                <w:szCs w:val="20"/>
                <w:color w:val="auto"/>
              </w:rPr>
            </w:pPr>
            <w:r>
              <w:rPr>
                <w:rFonts w:ascii="Arial" w:cs="Arial" w:eastAsia="Arial" w:hAnsi="Arial"/>
                <w:sz w:val="16"/>
                <w:szCs w:val="16"/>
                <w:color w:val="auto"/>
              </w:rPr>
              <w:t>Consolidated Statements of Operations</w:t>
            </w:r>
          </w:p>
        </w:tc>
        <w:tc>
          <w:tcPr>
            <w:tcW w:w="980" w:type="dxa"/>
            <w:vAlign w:val="bottom"/>
          </w:tcPr>
          <w:p>
            <w:pPr>
              <w:jc w:val="right"/>
              <w:ind w:right="605"/>
              <w:spacing w:after="0"/>
              <w:rPr>
                <w:sz w:val="20"/>
                <w:szCs w:val="20"/>
                <w:color w:val="auto"/>
              </w:rPr>
            </w:pPr>
            <w:r>
              <w:rPr>
                <w:rFonts w:ascii="Arial" w:cs="Arial" w:eastAsia="Arial" w:hAnsi="Arial"/>
                <w:sz w:val="16"/>
                <w:szCs w:val="16"/>
                <w:color w:val="auto"/>
              </w:rPr>
              <w:t>$</w:t>
            </w:r>
          </w:p>
        </w:tc>
        <w:tc>
          <w:tcPr>
            <w:tcW w:w="460" w:type="dxa"/>
            <w:vAlign w:val="bottom"/>
          </w:tcPr>
          <w:p>
            <w:pPr>
              <w:ind w:lef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83"/>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81"/>
              <w:spacing w:after="0"/>
              <w:rPr>
                <w:sz w:val="20"/>
                <w:szCs w:val="20"/>
                <w:color w:val="auto"/>
              </w:rPr>
            </w:pPr>
            <w:r>
              <w:rPr>
                <w:rFonts w:ascii="Arial" w:cs="Arial" w:eastAsia="Arial" w:hAnsi="Arial"/>
                <w:sz w:val="16"/>
                <w:szCs w:val="16"/>
                <w:color w:val="auto"/>
              </w:rPr>
              <w:t>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ind w:left="760"/>
              <w:spacing w:after="0"/>
              <w:rPr>
                <w:sz w:val="20"/>
                <w:szCs w:val="20"/>
                <w:color w:val="auto"/>
              </w:rPr>
            </w:pPr>
            <w:r>
              <w:rPr>
                <w:rFonts w:ascii="Arial" w:cs="Arial" w:eastAsia="Arial" w:hAnsi="Arial"/>
                <w:sz w:val="16"/>
                <w:szCs w:val="16"/>
                <w:color w:val="auto"/>
              </w:rPr>
              <w:t>(1)</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80"/>
        </w:trPr>
        <w:tc>
          <w:tcPr>
            <w:tcW w:w="598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108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9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Equity Earnings, Net of Income Tax</w:t>
      </w:r>
    </w:p>
    <w:p>
      <w:pPr>
        <w:spacing w:after="0" w:line="215"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8"/>
          <w:szCs w:val="18"/>
          <w:color w:val="auto"/>
        </w:rPr>
        <w:t>In the three months ended June 30, 2014, equity earnings of unconsolidated subsidiaries, net of income tax, increased by $8 million primarily due to the following activities in the second quarter of 2013:</w:t>
      </w:r>
    </w:p>
    <w:p>
      <w:pPr>
        <w:spacing w:after="0" w:line="164" w:lineRule="exact"/>
        <w:rPr>
          <w:sz w:val="20"/>
          <w:szCs w:val="20"/>
          <w:color w:val="auto"/>
        </w:rPr>
      </w:pPr>
    </w:p>
    <w:p>
      <w:pPr>
        <w:ind w:left="320" w:hanging="172"/>
        <w:spacing w:after="0"/>
        <w:tabs>
          <w:tab w:leader="none" w:pos="3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loss from the sale of our investments in two Argentine natural gas utility holding companies; and</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of equity losses from our joint venture in Chile resulting from a forward exchange contract to manage foreign currency exchange rate risk.</w:t>
      </w:r>
    </w:p>
    <w:p>
      <w:pPr>
        <w:spacing w:after="0" w:line="24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the six months ended June 30, 2014, equity earnings of unconsolidated subsidiaries, net of income tax, increased primarily due to $11 million equity losses in 2013 related to our investments in two Argentine natural gas utility holding companies, including $7 million noncash impairment charge in the first quarter of 2013 and $4 million loss from the sale of the investments in the second quarter of 2013, as we discuss in Note 4 of the Notes to Condensed Consolidated Financial Statements herein.</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Earnings Attributable to Noncontrolling Interests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Sempra Energy Consolidated</w:t>
      </w:r>
    </w:p>
    <w:p>
      <w:pPr>
        <w:spacing w:after="0" w:line="213"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Earnings attributable to noncontrolling interests were $41 million for the six months ended June 30, 2014 compared to $19 million for the same period in 2013. The net change of $22 million included</w:t>
      </w:r>
    </w:p>
    <w:p>
      <w:pPr>
        <w:spacing w:after="0" w:line="164" w:lineRule="exact"/>
        <w:rPr>
          <w:sz w:val="20"/>
          <w:szCs w:val="20"/>
          <w:color w:val="auto"/>
        </w:rPr>
      </w:pPr>
    </w:p>
    <w:p>
      <w:pPr>
        <w:ind w:left="320" w:hanging="172"/>
        <w:spacing w:after="0"/>
        <w:tabs>
          <w:tab w:leader="none" w:pos="32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 million increase in earnings attributable to noncontrolling interests of IEnova; and</w:t>
      </w:r>
    </w:p>
    <w:p>
      <w:pPr>
        <w:spacing w:after="0" w:line="244" w:lineRule="exact"/>
        <w:rPr>
          <w:rFonts w:ascii="Times New Roman" w:cs="Times New Roman" w:eastAsia="Times New Roman" w:hAnsi="Times New Roman"/>
          <w:sz w:val="18"/>
          <w:szCs w:val="18"/>
          <w:b w:val="1"/>
          <w:bCs w:val="1"/>
          <w:color w:val="auto"/>
        </w:rPr>
      </w:pPr>
    </w:p>
    <w:p>
      <w:pPr>
        <w:ind w:left="320" w:hanging="172"/>
        <w:spacing w:after="0"/>
        <w:tabs>
          <w:tab w:leader="none" w:pos="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million of earnings attributable to noncontrolling interest at Otay Mesa VIE in 2014 compared to losses of $4 million in 2013.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Earnings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discuss variations in earnings by segment above in “Segment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353060</wp:posOffset>
            </wp:positionV>
            <wp:extent cx="72656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CAPITAL RESOURCES AND LIQUIDITY</w:t>
      </w:r>
    </w:p>
    <w:p>
      <w:pPr>
        <w:spacing w:after="0" w:line="21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expect our cash flows from operations to fund a substantial portion of our capital expenditures and dividends. In addition, we may meet our cash requirements through the issuance of securities, including short-term and long-term debt securities, distributions from our equity method investments and project financing.</w:t>
      </w:r>
    </w:p>
    <w:p>
      <w:pPr>
        <w:spacing w:after="0" w:line="17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committed lines of credit provide liquidity and support commercial paper. As we discuss in Note 6 of the Notes to Condensed Consolidated Financial Statements herein, Sempra Energy, Sempra Global (the holding company for our subsidiaries not subject to California utility regulation) and the California Utilities each have five-year revolving credit facilities, expiring in March 2017. At Sempra Energy and the California Utilities, the agreements are syndicated broadly among 24 different lenders and at Sempra Global, among 25 different lenders. No single lender has greater than a 7-percent share in any agreement. The table below shows the amount of available funds on these credit facilities at June 30, 2014:</w:t>
      </w: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FUNDS AT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780" w:type="dxa"/>
            <w:vAlign w:val="bottom"/>
            <w:vMerge w:val="restart"/>
          </w:tcPr>
          <w:p>
            <w:pPr>
              <w:jc w:val="center"/>
              <w:ind w:left="1668"/>
              <w:spacing w:after="0"/>
              <w:rPr>
                <w:sz w:val="20"/>
                <w:szCs w:val="20"/>
                <w:color w:val="auto"/>
              </w:rPr>
            </w:pPr>
            <w:r>
              <w:rPr>
                <w:rFonts w:ascii="Arial" w:cs="Arial" w:eastAsia="Arial" w:hAnsi="Arial"/>
                <w:sz w:val="14"/>
                <w:szCs w:val="14"/>
                <w:color w:val="auto"/>
              </w:rPr>
              <w:t>Sempra Energy</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320" w:type="dxa"/>
            <w:vAlign w:val="bottom"/>
          </w:tcPr>
          <w:p>
            <w:pPr>
              <w:spacing w:after="0"/>
              <w:rPr>
                <w:sz w:val="12"/>
                <w:szCs w:val="12"/>
                <w:color w:val="auto"/>
              </w:rPr>
            </w:pPr>
          </w:p>
        </w:tc>
        <w:tc>
          <w:tcPr>
            <w:tcW w:w="27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jc w:val="center"/>
              <w:ind w:left="1668"/>
              <w:spacing w:after="0"/>
              <w:rPr>
                <w:sz w:val="20"/>
                <w:szCs w:val="20"/>
                <w:color w:val="auto"/>
              </w:rPr>
            </w:pPr>
            <w:r>
              <w:rPr>
                <w:rFonts w:ascii="Arial" w:cs="Arial" w:eastAsia="Arial" w:hAnsi="Arial"/>
                <w:sz w:val="14"/>
                <w:szCs w:val="14"/>
                <w:color w:val="auto"/>
              </w:rPr>
              <w:t>Consolidated</w:t>
            </w:r>
          </w:p>
        </w:tc>
        <w:tc>
          <w:tcPr>
            <w:tcW w:w="4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color w:val="auto"/>
              </w:rPr>
              <w:t>SDG&amp;E</w:t>
            </w:r>
          </w:p>
        </w:tc>
        <w:tc>
          <w:tcPr>
            <w:tcW w:w="3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135"/>
        </w:trPr>
        <w:tc>
          <w:tcPr>
            <w:tcW w:w="4320" w:type="dxa"/>
            <w:vAlign w:val="bottom"/>
          </w:tcPr>
          <w:p>
            <w:pPr>
              <w:spacing w:after="0" w:line="135" w:lineRule="exact"/>
              <w:rPr>
                <w:sz w:val="20"/>
                <w:szCs w:val="20"/>
                <w:color w:val="auto"/>
              </w:rPr>
            </w:pPr>
            <w:r>
              <w:rPr>
                <w:rFonts w:ascii="Arial" w:cs="Arial" w:eastAsia="Arial" w:hAnsi="Arial"/>
                <w:sz w:val="15"/>
                <w:szCs w:val="15"/>
                <w:color w:val="auto"/>
              </w:rPr>
              <w:t>Unrestricted cash and cash equivalents(1)</w:t>
            </w:r>
          </w:p>
        </w:tc>
        <w:tc>
          <w:tcPr>
            <w:tcW w:w="2780" w:type="dxa"/>
            <w:vAlign w:val="bottom"/>
          </w:tcPr>
          <w:p>
            <w:pPr>
              <w:jc w:val="right"/>
              <w:ind w:right="1308"/>
              <w:spacing w:after="0" w:line="135" w:lineRule="exact"/>
              <w:rPr>
                <w:sz w:val="20"/>
                <w:szCs w:val="20"/>
                <w:color w:val="auto"/>
              </w:rPr>
            </w:pPr>
            <w:r>
              <w:rPr>
                <w:rFonts w:ascii="Arial" w:cs="Arial" w:eastAsia="Arial" w:hAnsi="Arial"/>
                <w:sz w:val="15"/>
                <w:szCs w:val="15"/>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5"/>
                <w:szCs w:val="15"/>
                <w:color w:val="auto"/>
              </w:rPr>
              <w:t>789</w:t>
            </w:r>
          </w:p>
        </w:tc>
        <w:tc>
          <w:tcPr>
            <w:tcW w:w="400" w:type="dxa"/>
            <w:vAlign w:val="bottom"/>
          </w:tcPr>
          <w:p>
            <w:pPr>
              <w:jc w:val="right"/>
              <w:ind w:right="226"/>
              <w:spacing w:after="0" w:line="135" w:lineRule="exact"/>
              <w:rPr>
                <w:sz w:val="20"/>
                <w:szCs w:val="20"/>
                <w:color w:val="auto"/>
              </w:rPr>
            </w:pPr>
            <w:r>
              <w:rPr>
                <w:rFonts w:ascii="Arial" w:cs="Arial" w:eastAsia="Arial" w:hAnsi="Arial"/>
                <w:sz w:val="15"/>
                <w:szCs w:val="15"/>
                <w:color w:val="auto"/>
                <w:w w:val="95"/>
              </w:rPr>
              <w:t>$</w:t>
            </w:r>
          </w:p>
        </w:tc>
        <w:tc>
          <w:tcPr>
            <w:tcW w:w="1520" w:type="dxa"/>
            <w:vAlign w:val="bottom"/>
          </w:tcPr>
          <w:p>
            <w:pPr>
              <w:jc w:val="right"/>
              <w:spacing w:after="0" w:line="135" w:lineRule="exact"/>
              <w:rPr>
                <w:sz w:val="20"/>
                <w:szCs w:val="20"/>
                <w:color w:val="auto"/>
              </w:rPr>
            </w:pPr>
            <w:r>
              <w:rPr>
                <w:rFonts w:ascii="Arial" w:cs="Arial" w:eastAsia="Arial" w:hAnsi="Arial"/>
                <w:sz w:val="15"/>
                <w:szCs w:val="15"/>
                <w:color w:val="auto"/>
              </w:rPr>
              <w:t>21</w:t>
            </w:r>
          </w:p>
        </w:tc>
        <w:tc>
          <w:tcPr>
            <w:tcW w:w="380" w:type="dxa"/>
            <w:vAlign w:val="bottom"/>
          </w:tcPr>
          <w:p>
            <w:pPr>
              <w:jc w:val="right"/>
              <w:ind w:right="186"/>
              <w:spacing w:after="0" w:line="135" w:lineRule="exact"/>
              <w:rPr>
                <w:sz w:val="20"/>
                <w:szCs w:val="20"/>
                <w:color w:val="auto"/>
              </w:rPr>
            </w:pPr>
            <w:r>
              <w:rPr>
                <w:rFonts w:ascii="Arial" w:cs="Arial" w:eastAsia="Arial" w:hAnsi="Arial"/>
                <w:sz w:val="15"/>
                <w:szCs w:val="15"/>
                <w:color w:val="auto"/>
              </w:rPr>
              <w:t>$</w:t>
            </w:r>
          </w:p>
        </w:tc>
        <w:tc>
          <w:tcPr>
            <w:tcW w:w="1580" w:type="dxa"/>
            <w:vAlign w:val="bottom"/>
          </w:tcPr>
          <w:p>
            <w:pPr>
              <w:jc w:val="right"/>
              <w:spacing w:after="0" w:line="135"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4"/>
        </w:trPr>
        <w:tc>
          <w:tcPr>
            <w:tcW w:w="4320" w:type="dxa"/>
            <w:vAlign w:val="bottom"/>
          </w:tcPr>
          <w:p>
            <w:pPr>
              <w:spacing w:after="0"/>
              <w:rPr>
                <w:sz w:val="20"/>
                <w:szCs w:val="20"/>
                <w:color w:val="auto"/>
              </w:rPr>
            </w:pPr>
            <w:r>
              <w:rPr>
                <w:rFonts w:ascii="Arial" w:cs="Arial" w:eastAsia="Arial" w:hAnsi="Arial"/>
                <w:sz w:val="16"/>
                <w:szCs w:val="16"/>
                <w:color w:val="auto"/>
              </w:rPr>
              <w:t>Available unused credit(2)</w:t>
            </w:r>
          </w:p>
        </w:tc>
        <w:tc>
          <w:tcPr>
            <w:tcW w:w="2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2,492</w:t>
            </w:r>
          </w:p>
        </w:tc>
        <w:tc>
          <w:tcPr>
            <w:tcW w:w="4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431</w:t>
            </w:r>
          </w:p>
        </w:tc>
        <w:tc>
          <w:tcPr>
            <w:tcW w:w="3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80"/>
        </w:trPr>
        <w:tc>
          <w:tcPr>
            <w:tcW w:w="4320" w:type="dxa"/>
            <w:vAlign w:val="bottom"/>
            <w:shd w:val="clear" w:color="auto" w:fill="C0C0C0"/>
          </w:tcPr>
          <w:p>
            <w:pPr>
              <w:spacing w:after="0"/>
              <w:rPr>
                <w:sz w:val="6"/>
                <w:szCs w:val="6"/>
                <w:color w:val="auto"/>
              </w:rPr>
            </w:pPr>
          </w:p>
        </w:tc>
        <w:tc>
          <w:tcPr>
            <w:tcW w:w="2780" w:type="dxa"/>
            <w:vAlign w:val="bottom"/>
            <w:shd w:val="clear" w:color="auto" w:fill="C0C0C0"/>
          </w:tcPr>
          <w:p>
            <w:pPr>
              <w:spacing w:after="0"/>
              <w:rPr>
                <w:sz w:val="6"/>
                <w:szCs w:val="6"/>
                <w:color w:val="auto"/>
              </w:rPr>
            </w:pPr>
          </w:p>
        </w:tc>
        <w:tc>
          <w:tcPr>
            <w:tcW w:w="440" w:type="dxa"/>
            <w:vAlign w:val="bottom"/>
            <w:shd w:val="clear" w:color="auto" w:fill="C0C0C0"/>
          </w:tcPr>
          <w:p>
            <w:pPr>
              <w:spacing w:after="0"/>
              <w:rPr>
                <w:sz w:val="6"/>
                <w:szCs w:val="6"/>
                <w:color w:val="auto"/>
              </w:rPr>
            </w:pPr>
          </w:p>
        </w:tc>
        <w:tc>
          <w:tcPr>
            <w:tcW w:w="400" w:type="dxa"/>
            <w:vAlign w:val="bottom"/>
            <w:shd w:val="clear" w:color="auto" w:fill="C0C0C0"/>
          </w:tcPr>
          <w:p>
            <w:pPr>
              <w:spacing w:after="0"/>
              <w:rPr>
                <w:sz w:val="6"/>
                <w:szCs w:val="6"/>
                <w:color w:val="auto"/>
              </w:rPr>
            </w:pPr>
          </w:p>
        </w:tc>
        <w:tc>
          <w:tcPr>
            <w:tcW w:w="1520" w:type="dxa"/>
            <w:vAlign w:val="bottom"/>
            <w:shd w:val="clear" w:color="auto" w:fill="C0C0C0"/>
          </w:tcPr>
          <w:p>
            <w:pPr>
              <w:spacing w:after="0"/>
              <w:rPr>
                <w:sz w:val="6"/>
                <w:szCs w:val="6"/>
                <w:color w:val="auto"/>
              </w:rPr>
            </w:pPr>
          </w:p>
        </w:tc>
        <w:tc>
          <w:tcPr>
            <w:tcW w:w="380" w:type="dxa"/>
            <w:vAlign w:val="bottom"/>
            <w:shd w:val="clear" w:color="auto" w:fill="C0C0C0"/>
          </w:tcPr>
          <w:p>
            <w:pPr>
              <w:spacing w:after="0"/>
              <w:rPr>
                <w:sz w:val="6"/>
                <w:szCs w:val="6"/>
                <w:color w:val="auto"/>
              </w:rPr>
            </w:pPr>
          </w:p>
        </w:tc>
        <w:tc>
          <w:tcPr>
            <w:tcW w:w="1580" w:type="dxa"/>
            <w:vAlign w:val="bottom"/>
            <w:shd w:val="clear" w:color="auto" w:fill="C0C0C0"/>
          </w:tcPr>
          <w:p>
            <w:pPr>
              <w:spacing w:after="0"/>
              <w:rPr>
                <w:sz w:val="6"/>
                <w:szCs w:val="6"/>
                <w:color w:val="auto"/>
              </w:rPr>
            </w:pPr>
          </w:p>
        </w:tc>
        <w:tc>
          <w:tcPr>
            <w:tcW w:w="0" w:type="dxa"/>
            <w:vAlign w:val="bottom"/>
          </w:tcPr>
          <w:p>
            <w:pPr>
              <w:spacing w:after="0"/>
              <w:rPr>
                <w:sz w:val="1"/>
                <w:szCs w:val="1"/>
                <w:color w:val="auto"/>
              </w:rPr>
            </w:pPr>
          </w:p>
        </w:tc>
      </w:tr>
    </w:tbl>
    <w:p>
      <w:pPr>
        <w:ind w:left="640" w:right="160" w:hanging="401"/>
        <w:spacing w:after="0" w:line="241" w:lineRule="auto"/>
        <w:tabs>
          <w:tab w:leader="none" w:pos="640" w:val="left"/>
        </w:tabs>
        <w:numPr>
          <w:ilvl w:val="0"/>
          <w:numId w:val="128"/>
        </w:numPr>
        <w:rPr>
          <w:rFonts w:ascii="Arial" w:cs="Arial" w:eastAsia="Arial" w:hAnsi="Arial"/>
          <w:sz w:val="14"/>
          <w:szCs w:val="14"/>
          <w:i w:val="1"/>
          <w:iCs w:val="1"/>
          <w:color w:val="auto"/>
        </w:rPr>
      </w:pPr>
      <w:r>
        <w:rPr>
          <w:rFonts w:ascii="Arial" w:cs="Arial" w:eastAsia="Arial" w:hAnsi="Arial"/>
          <w:sz w:val="14"/>
          <w:szCs w:val="14"/>
          <w:i w:val="1"/>
          <w:iCs w:val="1"/>
          <w:color w:val="auto"/>
        </w:rPr>
        <w:t>Amounts at Sempra Energy Consolidated include $622 million held in non-U.S. jurisdictions that are unavailable to fund U.S. operations unless repatriated, as we discuss below.</w:t>
      </w:r>
    </w:p>
    <w:p>
      <w:pPr>
        <w:ind w:left="640" w:right="40" w:hanging="401"/>
        <w:spacing w:after="0" w:line="241" w:lineRule="auto"/>
        <w:tabs>
          <w:tab w:leader="none" w:pos="640" w:val="left"/>
        </w:tabs>
        <w:numPr>
          <w:ilvl w:val="0"/>
          <w:numId w:val="128"/>
        </w:numPr>
        <w:rPr>
          <w:rFonts w:ascii="Arial" w:cs="Arial" w:eastAsia="Arial" w:hAnsi="Arial"/>
          <w:sz w:val="14"/>
          <w:szCs w:val="14"/>
          <w:i w:val="1"/>
          <w:iCs w:val="1"/>
          <w:color w:val="auto"/>
        </w:rPr>
      </w:pPr>
      <w:r>
        <w:rPr>
          <w:rFonts w:ascii="Arial" w:cs="Arial" w:eastAsia="Arial" w:hAnsi="Arial"/>
          <w:sz w:val="14"/>
          <w:szCs w:val="14"/>
          <w:i w:val="1"/>
          <w:iCs w:val="1"/>
          <w:color w:val="auto"/>
        </w:rPr>
        <w:t>Available credit on Sempra Energy's, Sempra Global's and the California Utilities' credit facilities is discussed in Note 6. Borrowings on the shared line of credit at SDG&amp;E and SoCalGas, discussed in Note 6 of the Notes to Condensed Consolidated Financial Statements herein, are limited to $658 million for each utility and a combined total of $877 million. SDG&amp;E's available funds reflect commercial paper outstanding of $227 million supported by the line. SoCalGas' available funds reflect commercial paper outstanding of $73 million supported by the line. Some of Sempra Energy's subsidiaries, primarily our foreign operations, have additional general purpose credit facilities, aggregating $781 million at June 30, 2014. Available unused credit on these lines totaled $683 million at June 30, 2014.</w:t>
      </w:r>
    </w:p>
    <w:p>
      <w:pPr>
        <w:sectPr>
          <w:pgSz w:w="11900" w:h="16838" w:orient="portrait"/>
          <w:cols w:equalWidth="0" w:num="1">
            <w:col w:w="11420"/>
          </w:cols>
          <w:pgMar w:left="240" w:top="121" w:right="239" w:bottom="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9"/>
          <w:szCs w:val="19"/>
          <w:b w:val="1"/>
          <w:bCs w:val="1"/>
          <w:i w:val="1"/>
          <w:iCs w:val="1"/>
          <w:color w:val="auto"/>
        </w:rPr>
        <w:t>Sempra Energy Consolidated</w:t>
      </w:r>
    </w:p>
    <w:p>
      <w:pPr>
        <w:spacing w:after="0" w:line="215"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We believe that these available funds and cash flows from operations, distributions from equity method investments and securities issuances, and project financing and partnering in joint ventures, will be adequate to fund operations, including to:</w:t>
      </w:r>
    </w:p>
    <w:p>
      <w:pPr>
        <w:spacing w:after="0" w:line="164" w:lineRule="exact"/>
        <w:rPr>
          <w:sz w:val="20"/>
          <w:szCs w:val="20"/>
          <w:color w:val="auto"/>
        </w:rPr>
      </w:pPr>
    </w:p>
    <w:p>
      <w:pPr>
        <w:ind w:left="320" w:hanging="172"/>
        <w:spacing w:after="0"/>
        <w:tabs>
          <w:tab w:leader="none" w:pos="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liquidity requirements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shareholder dividends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new business acquisitions or start-ups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maturing long-term debt</w:t>
      </w:r>
    </w:p>
    <w:p>
      <w:pPr>
        <w:spacing w:after="0" w:line="24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June 2014, Sempra Energy publicly offered and sold $500 million of 3.55-percent notes maturing in 2024. In March 2014, SoCalGas publicly offered and sold $250 million of 4.45-percent notes maturing in 2044. In 2013, Sempra Energy and SDG&amp;E publicly offered and sold debt securities totaling $500 million and $450 million, respectively, maturing in 2023. In 2013, Sempra Mexico issued debt securities totaling $408 million, U.S. dollar equivalent, maturing in 2018 and 2023. Changing economic conditions could affect the availability and cost of both short-term and long-term financing. If cash flows from operations were to be significantly reduced or we were unable to borrow under acceptable terms, we would likely first reduce or postpone discretionary capital expenditures (not related to safety) and investments in new businesses. If these measures were necessary, they would primarily impact certain of our Sempra International and Sempra U.S. Gas &amp; Power businesses before we would reduce funds necessary for the ongoing needs of our utilities. We continuously monitor our ability to finance the needs of our operating, investing and financing activities in a manner consistent with our intention to maintain strong, investment-grade credit ratings and capital structure.</w:t>
      </w:r>
    </w:p>
    <w:p>
      <w:pPr>
        <w:spacing w:after="0" w:line="186"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In addition to capital expenditures and changes in publicly traded securities and commercial paper borrowings, large investing and financing cash items contributing to the $115 million net decrease in Sempra Energy Consolidated cash and cash equivalents at June 30, 2014 compared to December 31, 2013 included increases (decreases) in cash of:</w:t>
      </w:r>
    </w:p>
    <w:p>
      <w:pPr>
        <w:spacing w:after="0" w:line="178" w:lineRule="exact"/>
        <w:rPr>
          <w:sz w:val="20"/>
          <w:szCs w:val="20"/>
          <w:color w:val="auto"/>
        </w:rPr>
      </w:pPr>
    </w:p>
    <w:p>
      <w:pPr>
        <w:ind w:left="320" w:hanging="172"/>
        <w:spacing w:after="0"/>
        <w:tabs>
          <w:tab w:leader="none" w:pos="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 million in payment of common dividends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 million for acquisition of a 50-percent equity interest in four solar projects in May 2014</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million cash proceeds from the sale of a 50-percent equity interest in Copper Mountain Solar 3 in March 2014, net of $2 million cash sold</w:t>
      </w:r>
    </w:p>
    <w:p>
      <w:pPr>
        <w:spacing w:after="0" w:line="244"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million in net proceeds from a construction loan related to Copper Mountain Solar 3 in March 2014; the loan was deconsolidated upon the sale. We discuss the Copper Mountain Solar 3 transactions further in Notes 3 and 6 of the Notes to Condensed Consolidated Financial Statements herein</w:t>
      </w:r>
    </w:p>
    <w:p>
      <w:pPr>
        <w:spacing w:after="0" w:line="190"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million proceeds from a construction loan related to the Energía Sierra Juárez wind generation project. We discuss this loan further in Note 6 of the Notes to Condensed Consolidated Financial Statements herein</w:t>
      </w:r>
    </w:p>
    <w:p>
      <w:pPr>
        <w:spacing w:after="0" w:line="19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At June 30, 2014, our cash and cash equivalents held in non-U.S. jurisdictions that are unavailable to fund U.S. operations unless repatriated are $622 million. As we discuss in “Results of Operations – Changes in Revenues, Costs and Earnings – Income Taxes” in “Management’s Discussion and Analysis of Financial Condition and Results of Operations” in the Annual Report, we plan to repatriate a portion of current earnings beginning in 2014 from certain of our non-U.S. subsidiaries in Mexico and Peru. Because this potential repatriation would only be from earnings since January 1, 2014, it does not change our current assertion that we intend to continue to indefinitely reinvest our cumulative undistributed non-U.S. earnings through December 31, 2013. Therefore, we do not intend to use these cumulative undistributed earnings as a source of funding for U.S. operations.</w:t>
      </w:r>
    </w:p>
    <w:p>
      <w:pPr>
        <w:spacing w:after="0" w:line="1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significant investments in several trusts to provide for future payments of pensions and other postretirement benefits, and nuclear decommissioning. Changes in asset values, which are dependent on the activity in the equity and fixed income markets, have not affected the trust funds’ abilities to make required payments, but along with a number of other factors such as changes to discount rates, assumed rates of returns and regulations, may impact funding requirements for pension and other postretirement benefit plans and the nuclear decommissioning trusts. At the California Utilities, funding requirements are generally recoverable in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discuss our principal credit agreements more fully in Note 6 of the Notes to Condensed Consolidated Financial Statements herein.</w:t>
      </w:r>
    </w:p>
    <w:p>
      <w:pPr>
        <w:spacing w:after="0" w:line="218"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Our short-term debt is primarily used to meet liquidity requirements, fund shareholder dividends, temporarily finance capital expenditures, and fund new business acquisitions or start-ups. Our corporate short-term, unsecured promissory notes, or commercial paper, were our primary source of short-term debt funding in the first six months of 2014.</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California Utilities</w:t>
      </w:r>
    </w:p>
    <w:p>
      <w:pPr>
        <w:spacing w:after="0" w:line="21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SDG&amp;E and SoCalGas expect that available funds, cash flows from operations and debt issuances will continue to be adequate to meet their working capital and capital expenditure requirements.</w:t>
      </w:r>
    </w:p>
    <w:p>
      <w:pPr>
        <w:spacing w:after="0" w:line="1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SoCalGas declared and paid $50 million in common dividends in 2013. However, as a result of the increase in SoCalGas’ capital investment programs over the next few years, and the increase in SoCalGas’ authorized common equity weighting as approved by the CPUC in the cost of capital proceeding, management expects that SoCalGas’ dividends on common stock will be reduced, when compared to the dividends on common stock declared on an annual basis historically, or temporarily suspended over the next few years to maintain SoCalGas’ authorized capital structure during the periods of high capital investments. We discuss the cost of capital proceeding in Note 14 of the Notes to Consolidated Financial Statements in the Annual Report.</w:t>
      </w:r>
    </w:p>
    <w:p>
      <w:pPr>
        <w:spacing w:after="0" w:line="18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As a result of SDG&amp;E’s large capital investment program over the past few years and the level of capital investment in 2013, SDG&amp;E did not pay common dividends to Sempra Energy in 2013. However, due to the completion of construction of the Sunrise Powerlink transmission power line in June 2012, SDG&amp;E expects to resume the declaration and payment of dividends on its common stock in 2014.</w:t>
      </w:r>
    </w:p>
    <w:p>
      <w:pPr>
        <w:sectPr>
          <w:pgSz w:w="11900" w:h="16838" w:orient="portrait"/>
          <w:cols w:equalWidth="0" w:num="1">
            <w:col w:w="11420"/>
          </w:cols>
          <w:pgMar w:left="240" w:top="325" w:right="239" w:bottom="0" w:gutter="0" w:footer="0" w:header="0"/>
        </w:sectPr>
      </w:pPr>
    </w:p>
    <w:bookmarkStart w:id="66" w:name="page67"/>
    <w:bookmarkEnd w:id="66"/>
    <w:p>
      <w:pPr>
        <w:ind w:right="80"/>
        <w:spacing w:after="0" w:line="249" w:lineRule="auto"/>
        <w:rPr>
          <w:sz w:val="20"/>
          <w:szCs w:val="20"/>
          <w:color w:val="auto"/>
        </w:rPr>
      </w:pPr>
      <w:r>
        <w:rPr>
          <w:rFonts w:ascii="Times New Roman" w:cs="Times New Roman" w:eastAsia="Times New Roman" w:hAnsi="Times New Roman"/>
          <w:sz w:val="18"/>
          <w:szCs w:val="18"/>
          <w:color w:val="auto"/>
        </w:rPr>
        <w:t>SDG&amp;E uses the Energy Resource Recovery Account (ERRA) balancing account to record the net of its actual cost incurred for electric fuel and purchased power and the amount billed to customers in rates. Primarily as a result of delays in the CPUC issuing final decisions on SDG&amp;E’s ERRA-related filings, as of June 30, 2014, SDG&amp;E’s ERRA balance is undercollected by approximately $591 million. In February 2014, the CPUC issued a decision granting SDG&amp;E authority to increase rates to recover an ERRA Trigger revenue requirement of $221 million, which rate increase was effective on April 1, 2014 and will continue through December 31, 2015. In May 2014, the CPUC issued a final decision approving SDG&amp;E’s proposed 2014 ERRA revenue requirement of $1.23 billion, an increase of $242 million, which rate increase was effective on August 1, 2014. With these rate changes, and assuming that actual energy resource costs incurred approximate what was assumed in the proposed 2014 ERRA revenue requirement, management expects the undercollected balance in ERRA to decrease between now and the end of 2015. We discuss the ERRA Trigger and the status of the ERRA filings further in Note 10 of the Notes to Condensed Consolidated Financial Statements herein and provide information on how the increasing undercollected balance in ERRA has impacted SDG&amp;E in our discussion of “Cash Flows From Operating Activities” below.</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South American Utilities</w:t>
      </w:r>
    </w:p>
    <w:p>
      <w:pPr>
        <w:spacing w:after="0" w:line="215"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We expect projects at Chilquinta Energía and Luz del Sur to be funded by available funds, funds internally generated by those businesses and by external borrowings.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Mexico</w:t>
      </w:r>
    </w:p>
    <w:p>
      <w:pPr>
        <w:spacing w:after="0" w:line="21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expect projects in Mexico to be funded through a combination of available funds, funds internally generated by the Mexico businesses, debt issuances, project financing and partnering in joint ventures. In June 2014, IEnova entered into an agreement for a $200 million, three-year term, corporate revolving credit facility to finance working capital and for general corporate purposes. In June 2014, Sempra Mexico also entered into a $240 million loan to project finance the first phase of Energía Sierra Juárez, as we discuss in Note 6 of the Notes to Condensed Consolidated Financial Statements herein. The loan agreement provides for a $31.7 million letter of credit facility. Sempra Mexico also entered into a separate, Peso-denominated credit facility for up to $35 million U.S. dollar equivalent to fund the value added tax of the project. In June 2014, Sempra Mexico drew down $82 million from the loan. In July 2014, Sempra Mexico sold a 50-percent equity interest in Energía Sierra Juárez to a wholly owned subsidiary of InterGen N.V. for cash proceeds of $44 million. After the sale, Sempra Mexico’s remaining interest in Energía Sierra Juárez will be accounted for under the equity method and the $82 million of long-term debt was deconsolidated at the time of sale.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Renewables</w:t>
      </w:r>
    </w:p>
    <w:p>
      <w:pPr>
        <w:spacing w:after="0" w:line="21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expect Sempra Renewables to require funds for the development of and investment in renewable energy projects. Projects at Sempra Renewables may be financed through a combination of operating cash flow, project financing, funds from the parent, partnering in joint ventures, and other forms of equity sales. The Sempra Renewables projects have planned in-service dates through 2016. In March 2014, Sempra Renewables received a $356 million construction loan related to Copper Mountain Solar 3, as we discuss in Note 6 of the Notes to Condensed Consolidated Financial Statements herein. Copper Mountain Solar 3 made an initial draw-down on the loan of $97 million. Later in March 2014, Sempra Renewables sold a 50-percent equity interest in Copper Mountain Solar 3 to Consolidated Edison Development (ConEdison Development). Sempra Renewables’ interest in Copper Mountain Solar 3 is now accounted for under the equity method and its long-term debt was deconsolidated upon the sale. Sempra Renewables received $66 million in net cash from the sale. In May 2014, Sempra Renewables invested $109 million to become a 50-percent partner with ConEdison Development in four solar projects in California (the California solar partnership), as we discuss in Note 4 of the Notes to Consolidated Financial Statements herein.</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Natural Gas</w:t>
      </w:r>
    </w:p>
    <w:p>
      <w:pPr>
        <w:spacing w:after="0" w:line="21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We expect Sempra Natural Gas to require funding for the expansion of its portfolio of projects, including natural gas storage facilities, pipelines and a natural gas liquefaction facility. Funding for the development and expansion of its natural gas storage and pipeline projects may be financed through a combination of operating cash flow and funding from the parent. In January 2014, management approved a plan to sell the remaining 625-MW block of the Mesquite Power plant, which we expect to yield cash proceeds at the time of sale. Sempra Natural Gas also plans to develop a natural gas liquefaction export facility at its Cameron LNG terminal. The majority of the liquefaction project will be project-financed for 16 years under three debt facilities provided by the Japan Bank for International Cooperation (JBIC) and 29 international commercial banks, some of which will benefit from insurance coverage provided by Nippon Export and Investment Insurance (NEXI), with most or all of the remainder of the capital requirements to be provided by the project partners, including Sempra Energy, through equity contributions under a joint venture agreement. We expect to provide our share of equity to the joint venture through the contribution of the existing Cameron LNG facility at an agreed value of approximately $1 billion and cash, including cash generated from the first two liquefaction trains as each achieves commercial operations in 2018.</w:t>
      </w:r>
    </w:p>
    <w:p>
      <w:pPr>
        <w:spacing w:after="0" w:line="19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On August 6, 2014, Sempra Energy and the project partners, comprised of affiliates of GDF SUEZ S.A., Mitsui &amp; Co., Ltd., and Mitsubishi Corporation (through a related company jointly established with Nippon Yusen Kabushiki Kaisha (NYK)), executed the project financing documents. Under the financing agreements, Sempra Energy signed a completion guarantee for 50.2 percent of the debt, which corresponds to $3.7 billion of the total $7.4 billion principal amount of the debt committed under the financing agreements. The project financing and completion guarantee will become effective following final regulatory approval and upon the satisfaction of the remaining equity conditions precedent to the joint venture closing and satisfaction of certain of the conditions precedent to the first disbursement of the project financing, which is expected to occur later this year. The completion guarantee will terminate upon satisfaction of certain conditions, including all three trains achieving commercial operation and meeting certain operational performance tests. The completion guarantee is anticipated to be terminated in the second half of 2019.</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Some of Sempra Natural Gas’ long-term power sale contracts contain collateral requirements which require its affiliates and/or the counterparty to post cash or other acceptable collateral to the other party for exposure in excess of established thresholds. Sempra Natural Gas may be required to provide collateral when the fair value of the contract with our counterparty exceeds established thresholds. We have neither collateral posted nor owed to counterparties at June 30, 2014 pursuant to these requirements.</w:t>
      </w: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color w:val="auto"/>
        </w:rPr>
        <w:t>CASH FLOWS FROM OPERATING ACTIVITIES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838" w:orient="portrait"/>
          <w:cols w:equalWidth="0" w:num="1">
            <w:col w:w="11420"/>
          </w:cols>
          <w:pgMar w:left="240" w:top="334" w:right="239" w:bottom="0" w:gutter="0" w:footer="0" w:header="0"/>
        </w:sectPr>
      </w:pPr>
    </w:p>
    <w:bookmarkStart w:id="67" w:name="page68"/>
    <w:bookmarkEnd w:id="67"/>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940" w:type="dxa"/>
            <w:vAlign w:val="bottom"/>
            <w:gridSpan w:val="2"/>
          </w:tcPr>
          <w:p>
            <w:pPr>
              <w:jc w:val="right"/>
              <w:ind w:right="242"/>
              <w:spacing w:after="0"/>
              <w:rPr>
                <w:sz w:val="20"/>
                <w:szCs w:val="20"/>
                <w:color w:val="auto"/>
              </w:rPr>
            </w:pPr>
            <w:r>
              <w:rPr>
                <w:rFonts w:ascii="Arial" w:cs="Arial" w:eastAsia="Arial" w:hAnsi="Arial"/>
                <w:sz w:val="14"/>
                <w:szCs w:val="14"/>
                <w:color w:val="auto"/>
              </w:rPr>
              <w:t>Six months ended</w:t>
            </w:r>
          </w:p>
        </w:tc>
        <w:tc>
          <w:tcPr>
            <w:tcW w:w="680" w:type="dxa"/>
            <w:vAlign w:val="bottom"/>
          </w:tcPr>
          <w:p>
            <w:pPr>
              <w:spacing w:after="0"/>
              <w:rPr>
                <w:sz w:val="14"/>
                <w:szCs w:val="14"/>
                <w:color w:val="auto"/>
              </w:rPr>
            </w:pPr>
          </w:p>
        </w:tc>
        <w:tc>
          <w:tcPr>
            <w:tcW w:w="1380" w:type="dxa"/>
            <w:vAlign w:val="bottom"/>
          </w:tcPr>
          <w:p>
            <w:pPr>
              <w:jc w:val="right"/>
              <w:ind w:right="64"/>
              <w:spacing w:after="0"/>
              <w:rPr>
                <w:sz w:val="20"/>
                <w:szCs w:val="20"/>
                <w:color w:val="auto"/>
              </w:rPr>
            </w:pPr>
            <w:r>
              <w:rPr>
                <w:rFonts w:ascii="Arial" w:cs="Arial" w:eastAsia="Arial" w:hAnsi="Arial"/>
                <w:sz w:val="14"/>
                <w:szCs w:val="14"/>
                <w:color w:val="auto"/>
              </w:rPr>
              <w:t>2014 Change</w:t>
            </w:r>
          </w:p>
        </w:tc>
        <w:tc>
          <w:tcPr>
            <w:tcW w:w="98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color w:val="auto"/>
              </w:rPr>
              <w:t>Six months ended</w:t>
            </w:r>
          </w:p>
        </w:tc>
      </w:tr>
      <w:tr>
        <w:trPr>
          <w:trHeight w:val="173"/>
        </w:trPr>
        <w:tc>
          <w:tcPr>
            <w:tcW w:w="36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4"/>
                <w:szCs w:val="14"/>
                <w:color w:val="auto"/>
              </w:rPr>
              <w:t>June 30, 2014</w:t>
            </w:r>
          </w:p>
        </w:tc>
        <w:tc>
          <w:tcPr>
            <w:tcW w:w="6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rPr>
              <w:t>June 30, 2013</w:t>
            </w:r>
          </w:p>
        </w:tc>
        <w:tc>
          <w:tcPr>
            <w:tcW w:w="460" w:type="dxa"/>
            <w:vAlign w:val="bottom"/>
            <w:tcBorders>
              <w:bottom w:val="single" w:sz="8" w:color="auto"/>
            </w:tcBorders>
          </w:tcPr>
          <w:p>
            <w:pPr>
              <w:spacing w:after="0"/>
              <w:rPr>
                <w:sz w:val="15"/>
                <w:szCs w:val="15"/>
                <w:color w:val="auto"/>
              </w:rPr>
            </w:pPr>
          </w:p>
        </w:tc>
      </w:tr>
      <w:tr>
        <w:trPr>
          <w:trHeight w:val="135"/>
        </w:trPr>
        <w:tc>
          <w:tcPr>
            <w:tcW w:w="3600" w:type="dxa"/>
            <w:vAlign w:val="bottom"/>
          </w:tcPr>
          <w:p>
            <w:pPr>
              <w:spacing w:after="0" w:line="135" w:lineRule="exact"/>
              <w:rPr>
                <w:sz w:val="20"/>
                <w:szCs w:val="20"/>
                <w:color w:val="auto"/>
              </w:rPr>
            </w:pPr>
            <w:r>
              <w:rPr>
                <w:rFonts w:ascii="Arial" w:cs="Arial" w:eastAsia="Arial" w:hAnsi="Arial"/>
                <w:sz w:val="15"/>
                <w:szCs w:val="15"/>
                <w:color w:val="auto"/>
              </w:rPr>
              <w:t>Sempra Energy Consolidated</w:t>
            </w:r>
          </w:p>
        </w:tc>
        <w:tc>
          <w:tcPr>
            <w:tcW w:w="2080" w:type="dxa"/>
            <w:vAlign w:val="bottom"/>
          </w:tcPr>
          <w:p>
            <w:pPr>
              <w:jc w:val="right"/>
              <w:ind w:right="328"/>
              <w:spacing w:after="0" w:line="135" w:lineRule="exact"/>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5"/>
                <w:szCs w:val="15"/>
                <w:color w:val="auto"/>
              </w:rPr>
              <w:t>1,034</w:t>
            </w:r>
          </w:p>
        </w:tc>
        <w:tc>
          <w:tcPr>
            <w:tcW w:w="680" w:type="dxa"/>
            <w:vAlign w:val="bottom"/>
          </w:tcPr>
          <w:p>
            <w:pPr>
              <w:jc w:val="right"/>
              <w:ind w:right="286"/>
              <w:spacing w:after="0" w:line="135" w:lineRule="exact"/>
              <w:rPr>
                <w:sz w:val="20"/>
                <w:szCs w:val="20"/>
                <w:color w:val="auto"/>
              </w:rPr>
            </w:pPr>
            <w:r>
              <w:rPr>
                <w:rFonts w:ascii="Arial" w:cs="Arial" w:eastAsia="Arial" w:hAnsi="Arial"/>
                <w:sz w:val="15"/>
                <w:szCs w:val="15"/>
                <w:color w:val="auto"/>
              </w:rPr>
              <w:t>$</w:t>
            </w:r>
          </w:p>
        </w:tc>
        <w:tc>
          <w:tcPr>
            <w:tcW w:w="1380" w:type="dxa"/>
            <w:vAlign w:val="bottom"/>
          </w:tcPr>
          <w:p>
            <w:pPr>
              <w:jc w:val="right"/>
              <w:ind w:right="564"/>
              <w:spacing w:after="0" w:line="135" w:lineRule="exact"/>
              <w:rPr>
                <w:sz w:val="20"/>
                <w:szCs w:val="20"/>
                <w:color w:val="auto"/>
              </w:rPr>
            </w:pPr>
            <w:r>
              <w:rPr>
                <w:rFonts w:ascii="Arial" w:cs="Arial" w:eastAsia="Arial" w:hAnsi="Arial"/>
                <w:sz w:val="15"/>
                <w:szCs w:val="15"/>
                <w:color w:val="auto"/>
              </w:rPr>
              <w:t>(71)</w:t>
            </w:r>
          </w:p>
        </w:tc>
        <w:tc>
          <w:tcPr>
            <w:tcW w:w="980" w:type="dxa"/>
            <w:vAlign w:val="bottom"/>
            <w:tcBorders>
              <w:right w:val="single" w:sz="8" w:color="auto"/>
            </w:tcBorders>
          </w:tcPr>
          <w:p>
            <w:pPr>
              <w:jc w:val="right"/>
              <w:ind w:right="322"/>
              <w:spacing w:after="0" w:line="135" w:lineRule="exact"/>
              <w:rPr>
                <w:sz w:val="20"/>
                <w:szCs w:val="20"/>
                <w:color w:val="auto"/>
              </w:rPr>
            </w:pPr>
            <w:r>
              <w:rPr>
                <w:rFonts w:ascii="Arial" w:cs="Arial" w:eastAsia="Arial" w:hAnsi="Arial"/>
                <w:sz w:val="15"/>
                <w:szCs w:val="15"/>
                <w:color w:val="auto"/>
              </w:rPr>
              <w:t>(6)%</w:t>
            </w:r>
          </w:p>
        </w:tc>
        <w:tc>
          <w:tcPr>
            <w:tcW w:w="1380" w:type="dxa"/>
            <w:vAlign w:val="bottom"/>
          </w:tcPr>
          <w:p>
            <w:pPr>
              <w:jc w:val="right"/>
              <w:ind w:right="728"/>
              <w:spacing w:after="0" w:line="135"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5"/>
                <w:szCs w:val="15"/>
                <w:color w:val="auto"/>
              </w:rPr>
              <w:t>1,105</w:t>
            </w:r>
          </w:p>
        </w:tc>
      </w:tr>
      <w:tr>
        <w:trPr>
          <w:trHeight w:val="204"/>
        </w:trPr>
        <w:tc>
          <w:tcPr>
            <w:tcW w:w="3600" w:type="dxa"/>
            <w:vAlign w:val="bottom"/>
          </w:tcPr>
          <w:p>
            <w:pPr>
              <w:spacing w:after="0" w:line="173" w:lineRule="exact"/>
              <w:rPr>
                <w:sz w:val="20"/>
                <w:szCs w:val="20"/>
                <w:color w:val="auto"/>
              </w:rPr>
            </w:pPr>
            <w:r>
              <w:rPr>
                <w:rFonts w:ascii="Arial" w:cs="Arial" w:eastAsia="Arial" w:hAnsi="Arial"/>
                <w:sz w:val="16"/>
                <w:szCs w:val="16"/>
                <w:color w:val="auto"/>
              </w:rPr>
              <w:t>SDG&amp;E</w:t>
            </w:r>
          </w:p>
        </w:tc>
        <w:tc>
          <w:tcPr>
            <w:tcW w:w="2080" w:type="dxa"/>
            <w:vAlign w:val="bottom"/>
          </w:tcPr>
          <w:p>
            <w:pPr>
              <w:spacing w:after="0"/>
              <w:rPr>
                <w:sz w:val="17"/>
                <w:szCs w:val="17"/>
                <w:color w:val="auto"/>
              </w:rPr>
            </w:pPr>
          </w:p>
        </w:tc>
        <w:tc>
          <w:tcPr>
            <w:tcW w:w="860" w:type="dxa"/>
            <w:vAlign w:val="bottom"/>
            <w:tcBorders>
              <w:right w:val="single" w:sz="8" w:color="auto"/>
            </w:tcBorders>
          </w:tcPr>
          <w:p>
            <w:pPr>
              <w:jc w:val="right"/>
              <w:spacing w:after="0" w:line="173" w:lineRule="exact"/>
              <w:rPr>
                <w:sz w:val="20"/>
                <w:szCs w:val="20"/>
                <w:color w:val="auto"/>
              </w:rPr>
            </w:pPr>
            <w:r>
              <w:rPr>
                <w:rFonts w:ascii="Arial" w:cs="Arial" w:eastAsia="Arial" w:hAnsi="Arial"/>
                <w:sz w:val="16"/>
                <w:szCs w:val="16"/>
                <w:color w:val="auto"/>
              </w:rPr>
              <w:t>408</w:t>
            </w:r>
          </w:p>
        </w:tc>
        <w:tc>
          <w:tcPr>
            <w:tcW w:w="680" w:type="dxa"/>
            <w:vAlign w:val="bottom"/>
          </w:tcPr>
          <w:p>
            <w:pPr>
              <w:spacing w:after="0"/>
              <w:rPr>
                <w:sz w:val="17"/>
                <w:szCs w:val="17"/>
                <w:color w:val="auto"/>
              </w:rPr>
            </w:pPr>
          </w:p>
        </w:tc>
        <w:tc>
          <w:tcPr>
            <w:tcW w:w="1380" w:type="dxa"/>
            <w:vAlign w:val="bottom"/>
          </w:tcPr>
          <w:p>
            <w:pPr>
              <w:jc w:val="right"/>
              <w:ind w:right="604"/>
              <w:spacing w:after="0" w:line="173" w:lineRule="exact"/>
              <w:rPr>
                <w:sz w:val="20"/>
                <w:szCs w:val="20"/>
                <w:color w:val="auto"/>
              </w:rPr>
            </w:pPr>
            <w:r>
              <w:rPr>
                <w:rFonts w:ascii="Arial" w:cs="Arial" w:eastAsia="Arial" w:hAnsi="Arial"/>
                <w:sz w:val="16"/>
                <w:szCs w:val="16"/>
                <w:color w:val="auto"/>
              </w:rPr>
              <w:t>79</w:t>
            </w:r>
          </w:p>
        </w:tc>
        <w:tc>
          <w:tcPr>
            <w:tcW w:w="980" w:type="dxa"/>
            <w:vAlign w:val="bottom"/>
            <w:tcBorders>
              <w:right w:val="single" w:sz="8" w:color="auto"/>
            </w:tcBorders>
          </w:tcPr>
          <w:p>
            <w:pPr>
              <w:jc w:val="right"/>
              <w:ind w:right="522"/>
              <w:spacing w:after="0" w:line="173" w:lineRule="exact"/>
              <w:rPr>
                <w:sz w:val="20"/>
                <w:szCs w:val="20"/>
                <w:color w:val="auto"/>
              </w:rPr>
            </w:pPr>
            <w:r>
              <w:rPr>
                <w:rFonts w:ascii="Arial" w:cs="Arial" w:eastAsia="Arial" w:hAnsi="Arial"/>
                <w:sz w:val="16"/>
                <w:szCs w:val="16"/>
                <w:color w:val="auto"/>
              </w:rPr>
              <w:t>24</w:t>
            </w:r>
          </w:p>
        </w:tc>
        <w:tc>
          <w:tcPr>
            <w:tcW w:w="1380" w:type="dxa"/>
            <w:vAlign w:val="bottom"/>
          </w:tcPr>
          <w:p>
            <w:pPr>
              <w:spacing w:after="0"/>
              <w:rPr>
                <w:sz w:val="17"/>
                <w:szCs w:val="17"/>
                <w:color w:val="auto"/>
              </w:rPr>
            </w:pPr>
          </w:p>
        </w:tc>
        <w:tc>
          <w:tcPr>
            <w:tcW w:w="460" w:type="dxa"/>
            <w:vAlign w:val="bottom"/>
          </w:tcPr>
          <w:p>
            <w:pPr>
              <w:jc w:val="right"/>
              <w:spacing w:after="0" w:line="173" w:lineRule="exact"/>
              <w:rPr>
                <w:sz w:val="20"/>
                <w:szCs w:val="20"/>
                <w:color w:val="auto"/>
              </w:rPr>
            </w:pPr>
            <w:r>
              <w:rPr>
                <w:rFonts w:ascii="Arial" w:cs="Arial" w:eastAsia="Arial" w:hAnsi="Arial"/>
                <w:sz w:val="16"/>
                <w:szCs w:val="16"/>
                <w:color w:val="auto"/>
              </w:rPr>
              <w:t>329</w:t>
            </w:r>
          </w:p>
        </w:tc>
      </w:tr>
      <w:tr>
        <w:trPr>
          <w:trHeight w:val="173"/>
        </w:trPr>
        <w:tc>
          <w:tcPr>
            <w:tcW w:w="3600" w:type="dxa"/>
            <w:vAlign w:val="bottom"/>
          </w:tcPr>
          <w:p>
            <w:pPr>
              <w:spacing w:after="0" w:line="173" w:lineRule="exact"/>
              <w:rPr>
                <w:sz w:val="20"/>
                <w:szCs w:val="20"/>
                <w:color w:val="auto"/>
              </w:rPr>
            </w:pPr>
            <w:r>
              <w:rPr>
                <w:rFonts w:ascii="Arial" w:cs="Arial" w:eastAsia="Arial" w:hAnsi="Arial"/>
                <w:sz w:val="16"/>
                <w:szCs w:val="16"/>
                <w:color w:val="auto"/>
              </w:rPr>
              <w:t>SoCalGas</w:t>
            </w:r>
          </w:p>
        </w:tc>
        <w:tc>
          <w:tcPr>
            <w:tcW w:w="208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463</w:t>
            </w:r>
          </w:p>
        </w:tc>
        <w:tc>
          <w:tcPr>
            <w:tcW w:w="680" w:type="dxa"/>
            <w:vAlign w:val="bottom"/>
          </w:tcPr>
          <w:p>
            <w:pPr>
              <w:spacing w:after="0"/>
              <w:rPr>
                <w:sz w:val="15"/>
                <w:szCs w:val="15"/>
                <w:color w:val="auto"/>
              </w:rPr>
            </w:pPr>
          </w:p>
        </w:tc>
        <w:tc>
          <w:tcPr>
            <w:tcW w:w="1380" w:type="dxa"/>
            <w:vAlign w:val="bottom"/>
          </w:tcPr>
          <w:p>
            <w:pPr>
              <w:jc w:val="right"/>
              <w:ind w:right="564"/>
              <w:spacing w:after="0" w:line="173" w:lineRule="exact"/>
              <w:rPr>
                <w:sz w:val="20"/>
                <w:szCs w:val="20"/>
                <w:color w:val="auto"/>
              </w:rPr>
            </w:pPr>
            <w:r>
              <w:rPr>
                <w:rFonts w:ascii="Arial" w:cs="Arial" w:eastAsia="Arial" w:hAnsi="Arial"/>
                <w:sz w:val="16"/>
                <w:szCs w:val="16"/>
                <w:color w:val="auto"/>
              </w:rPr>
              <w:t>(100)</w:t>
            </w:r>
          </w:p>
        </w:tc>
        <w:tc>
          <w:tcPr>
            <w:tcW w:w="980" w:type="dxa"/>
            <w:vAlign w:val="bottom"/>
          </w:tcPr>
          <w:p>
            <w:pPr>
              <w:jc w:val="right"/>
              <w:ind w:right="482"/>
              <w:spacing w:after="0" w:line="173" w:lineRule="exact"/>
              <w:rPr>
                <w:sz w:val="20"/>
                <w:szCs w:val="20"/>
                <w:color w:val="auto"/>
              </w:rPr>
            </w:pPr>
            <w:r>
              <w:rPr>
                <w:rFonts w:ascii="Arial" w:cs="Arial" w:eastAsia="Arial" w:hAnsi="Arial"/>
                <w:sz w:val="16"/>
                <w:szCs w:val="16"/>
                <w:color w:val="auto"/>
              </w:rPr>
              <w:t>(18)</w:t>
            </w:r>
          </w:p>
        </w:tc>
        <w:tc>
          <w:tcPr>
            <w:tcW w:w="1380" w:type="dxa"/>
            <w:vAlign w:val="bottom"/>
          </w:tcPr>
          <w:p>
            <w:pPr>
              <w:spacing w:after="0"/>
              <w:rPr>
                <w:sz w:val="15"/>
                <w:szCs w:val="15"/>
                <w:color w:val="auto"/>
              </w:rPr>
            </w:pPr>
          </w:p>
        </w:tc>
        <w:tc>
          <w:tcPr>
            <w:tcW w:w="460" w:type="dxa"/>
            <w:vAlign w:val="bottom"/>
          </w:tcPr>
          <w:p>
            <w:pPr>
              <w:jc w:val="right"/>
              <w:spacing w:after="0" w:line="173" w:lineRule="exact"/>
              <w:rPr>
                <w:sz w:val="20"/>
                <w:szCs w:val="20"/>
                <w:color w:val="auto"/>
              </w:rPr>
            </w:pPr>
            <w:r>
              <w:rPr>
                <w:rFonts w:ascii="Arial" w:cs="Arial" w:eastAsia="Arial" w:hAnsi="Arial"/>
                <w:sz w:val="16"/>
                <w:szCs w:val="16"/>
                <w:color w:val="auto"/>
              </w:rPr>
              <w:t>563</w:t>
            </w:r>
          </w:p>
        </w:tc>
      </w:tr>
      <w:tr>
        <w:trPr>
          <w:trHeight w:val="80"/>
        </w:trPr>
        <w:tc>
          <w:tcPr>
            <w:tcW w:w="3600" w:type="dxa"/>
            <w:vAlign w:val="bottom"/>
            <w:shd w:val="clear" w:color="auto" w:fill="C0C0C0"/>
          </w:tcPr>
          <w:p>
            <w:pPr>
              <w:spacing w:after="0"/>
              <w:rPr>
                <w:sz w:val="6"/>
                <w:szCs w:val="6"/>
                <w:color w:val="auto"/>
              </w:rPr>
            </w:pPr>
          </w:p>
        </w:tc>
        <w:tc>
          <w:tcPr>
            <w:tcW w:w="2080" w:type="dxa"/>
            <w:vAlign w:val="bottom"/>
            <w:shd w:val="clear" w:color="auto" w:fill="C0C0C0"/>
          </w:tcPr>
          <w:p>
            <w:pPr>
              <w:spacing w:after="0"/>
              <w:rPr>
                <w:sz w:val="6"/>
                <w:szCs w:val="6"/>
                <w:color w:val="auto"/>
              </w:rPr>
            </w:pPr>
          </w:p>
        </w:tc>
        <w:tc>
          <w:tcPr>
            <w:tcW w:w="860" w:type="dxa"/>
            <w:vAlign w:val="bottom"/>
            <w:tcBorders>
              <w:right w:val="single" w:sz="8" w:color="C0C0C0"/>
            </w:tcBorders>
            <w:shd w:val="clear" w:color="auto" w:fill="C0C0C0"/>
          </w:tcPr>
          <w:p>
            <w:pPr>
              <w:spacing w:after="0"/>
              <w:rPr>
                <w:sz w:val="6"/>
                <w:szCs w:val="6"/>
                <w:color w:val="auto"/>
              </w:rPr>
            </w:pPr>
          </w:p>
        </w:tc>
        <w:tc>
          <w:tcPr>
            <w:tcW w:w="680" w:type="dxa"/>
            <w:vAlign w:val="bottom"/>
            <w:shd w:val="clear" w:color="auto" w:fill="C0C0C0"/>
          </w:tcPr>
          <w:p>
            <w:pPr>
              <w:spacing w:after="0"/>
              <w:rPr>
                <w:sz w:val="6"/>
                <w:szCs w:val="6"/>
                <w:color w:val="auto"/>
              </w:rPr>
            </w:pPr>
          </w:p>
        </w:tc>
        <w:tc>
          <w:tcPr>
            <w:tcW w:w="1380" w:type="dxa"/>
            <w:vAlign w:val="bottom"/>
            <w:shd w:val="clear" w:color="auto" w:fill="C0C0C0"/>
          </w:tcPr>
          <w:p>
            <w:pPr>
              <w:spacing w:after="0"/>
              <w:rPr>
                <w:sz w:val="6"/>
                <w:szCs w:val="6"/>
                <w:color w:val="auto"/>
              </w:rPr>
            </w:pPr>
          </w:p>
        </w:tc>
        <w:tc>
          <w:tcPr>
            <w:tcW w:w="980" w:type="dxa"/>
            <w:vAlign w:val="bottom"/>
            <w:tcBorders>
              <w:right w:val="single" w:sz="8" w:color="C0C0C0"/>
            </w:tcBorders>
            <w:shd w:val="clear" w:color="auto" w:fill="C0C0C0"/>
          </w:tcPr>
          <w:p>
            <w:pPr>
              <w:spacing w:after="0"/>
              <w:rPr>
                <w:sz w:val="6"/>
                <w:szCs w:val="6"/>
                <w:color w:val="auto"/>
              </w:rPr>
            </w:pPr>
          </w:p>
        </w:tc>
        <w:tc>
          <w:tcPr>
            <w:tcW w:w="1380" w:type="dxa"/>
            <w:vAlign w:val="bottom"/>
            <w:shd w:val="clear" w:color="auto" w:fill="C0C0C0"/>
          </w:tcPr>
          <w:p>
            <w:pPr>
              <w:spacing w:after="0"/>
              <w:rPr>
                <w:sz w:val="6"/>
                <w:szCs w:val="6"/>
                <w:color w:val="auto"/>
              </w:rPr>
            </w:pPr>
          </w:p>
        </w:tc>
        <w:tc>
          <w:tcPr>
            <w:tcW w:w="460" w:type="dxa"/>
            <w:vAlign w:val="bottom"/>
            <w:shd w:val="clear" w:color="auto" w:fill="C0C0C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-172085</wp:posOffset>
            </wp:positionV>
            <wp:extent cx="33655" cy="1854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18542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-172085</wp:posOffset>
            </wp:positionV>
            <wp:extent cx="33655" cy="1854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18542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Energy Consolidated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 at Sempra Energy decreased in 2014 primarily due to:</w:t>
      </w:r>
    </w:p>
    <w:p>
      <w:pPr>
        <w:spacing w:after="0" w:line="218" w:lineRule="exact"/>
        <w:rPr>
          <w:sz w:val="20"/>
          <w:szCs w:val="20"/>
          <w:color w:val="auto"/>
        </w:rPr>
      </w:pPr>
    </w:p>
    <w:p>
      <w:pPr>
        <w:jc w:val="both"/>
        <w:ind w:left="320" w:hanging="172"/>
        <w:spacing w:after="0" w:line="256" w:lineRule="auto"/>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$289 million increase in net undercollected regulatory balancing accounts in 2014 at the California Utilities (including long-term amounts included in regulatory assets) compared to a $165 million increase in net undercollection in 2013. Over- and undercollected regulatory balancing accounts reflect the difference between customer billings and recorded or CPUC-authorized costs. These differences are required to be balanced over time. See further discussion of changes in regulatory balances at both SDG&amp;E and SoCalGas below;</w:t>
      </w:r>
    </w:p>
    <w:p>
      <w:pPr>
        <w:spacing w:after="0" w:line="206"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 million lower net income, adjusted for noncash items included in earnings, in 2014 compared to 2013, primarily due to higher current income tax expense; and</w:t>
      </w:r>
    </w:p>
    <w:p>
      <w:pPr>
        <w:spacing w:after="0" w:line="190" w:lineRule="exact"/>
        <w:rPr>
          <w:rFonts w:ascii="Times New Roman" w:cs="Times New Roman" w:eastAsia="Times New Roman" w:hAnsi="Times New Roman"/>
          <w:sz w:val="18"/>
          <w:szCs w:val="18"/>
          <w:color w:val="auto"/>
        </w:rPr>
      </w:pPr>
    </w:p>
    <w:p>
      <w:pPr>
        <w:ind w:left="320" w:hanging="172"/>
        <w:spacing w:after="0" w:line="275" w:lineRule="auto"/>
        <w:tabs>
          <w:tab w:leader="none" w:pos="36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$70 million higher income tax payments in 2014 compared to 2013, primarily due to an $81 million tax payment by IEnova related to Mexican tax reform legislation passed in December 2013; </w:t>
      </w:r>
      <w:r>
        <w:rPr>
          <w:rFonts w:ascii="Times New Roman" w:cs="Times New Roman" w:eastAsia="Times New Roman" w:hAnsi="Times New Roman"/>
          <w:sz w:val="18"/>
          <w:szCs w:val="18"/>
          <w:b w:val="1"/>
          <w:bCs w:val="1"/>
          <w:color w:val="auto"/>
        </w:rPr>
        <w:t>offset by</w:t>
      </w:r>
    </w:p>
    <w:p>
      <w:pPr>
        <w:spacing w:after="0" w:line="190" w:lineRule="exact"/>
        <w:rPr>
          <w:rFonts w:ascii="Times New Roman" w:cs="Times New Roman" w:eastAsia="Times New Roman" w:hAnsi="Times New Roman"/>
          <w:sz w:val="18"/>
          <w:szCs w:val="18"/>
          <w:color w:val="auto"/>
        </w:rPr>
      </w:pPr>
    </w:p>
    <w:p>
      <w:pPr>
        <w:jc w:val="both"/>
        <w:ind w:left="320" w:hanging="172"/>
        <w:spacing w:after="0" w:line="260" w:lineRule="auto"/>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 million decrease in accounts receivable in 2014 compared to a $119 million decrease in 2013; the 2014 decrease was mainly due to a $226 million decrease at SoCalGas primarily due to colder weather in the fourth quarter of 2013 resulting in higher natural gas demand and higher accounts receivable balances at year-end 2013 and a $62 million decrease in natural gas sales at Sempra Natural Gas;</w:t>
      </w:r>
    </w:p>
    <w:p>
      <w:pPr>
        <w:spacing w:after="0" w:line="20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increase in current income taxes payable in 2014 compared to a $101 million increase in 2013, net of income taxes paid; and</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$72 million decrease in settlement payments and associated legal fees for wildfire claims at SDG&amp;E in 2014 compared to 2013.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SDG&amp;E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 at SDG&amp;E increased in 2014 primarily due to:</w:t>
      </w:r>
    </w:p>
    <w:p>
      <w:pPr>
        <w:spacing w:after="0" w:line="218" w:lineRule="exact"/>
        <w:rPr>
          <w:sz w:val="20"/>
          <w:szCs w:val="20"/>
          <w:color w:val="auto"/>
        </w:rPr>
      </w:pPr>
    </w:p>
    <w:p>
      <w:pPr>
        <w:jc w:val="both"/>
        <w:ind w:left="320" w:hanging="172"/>
        <w:spacing w:after="0" w:line="260" w:lineRule="auto"/>
        <w:tabs>
          <w:tab w:leader="none" w:pos="3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 million increase in net undercollected regulatory balancing accounts in 2014 (including long-term amounts included in regulatory assets) compared to a $221 million increase in 2013. The impact of the change in the regulatory balancing accounts on cash provided by operating activities was primarily due to:</w:t>
      </w:r>
    </w:p>
    <w:p>
      <w:pPr>
        <w:spacing w:after="0" w:line="204" w:lineRule="exact"/>
        <w:rPr>
          <w:rFonts w:ascii="Times New Roman" w:cs="Times New Roman" w:eastAsia="Times New Roman" w:hAnsi="Times New Roman"/>
          <w:sz w:val="18"/>
          <w:szCs w:val="18"/>
          <w:color w:val="auto"/>
        </w:rPr>
      </w:pPr>
    </w:p>
    <w:p>
      <w:pPr>
        <w:ind w:left="640" w:hanging="191"/>
        <w:spacing w:after="0" w:line="275" w:lineRule="auto"/>
        <w:tabs>
          <w:tab w:leader="none" w:pos="6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$81 million decrease in 2014 in the undercollected balance for amounts due related to the adoption of the 2012 GRC compared to an increase in the undercollected balance in 2013 of $116 million, </w:t>
      </w:r>
      <w:r>
        <w:rPr>
          <w:rFonts w:ascii="Times New Roman" w:cs="Times New Roman" w:eastAsia="Times New Roman" w:hAnsi="Times New Roman"/>
          <w:sz w:val="18"/>
          <w:szCs w:val="18"/>
          <w:i w:val="1"/>
          <w:iCs w:val="1"/>
          <w:color w:val="auto"/>
        </w:rPr>
        <w:t>offset by</w:t>
      </w:r>
    </w:p>
    <w:p>
      <w:pPr>
        <w:spacing w:after="0" w:line="190" w:lineRule="exact"/>
        <w:rPr>
          <w:rFonts w:ascii="Times New Roman" w:cs="Times New Roman" w:eastAsia="Times New Roman" w:hAnsi="Times New Roman"/>
          <w:sz w:val="18"/>
          <w:szCs w:val="18"/>
          <w:color w:val="auto"/>
        </w:rPr>
      </w:pPr>
    </w:p>
    <w:p>
      <w:pPr>
        <w:ind w:left="640" w:hanging="191"/>
        <w:spacing w:after="0"/>
        <w:tabs>
          <w:tab w:leader="none" w:pos="6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 million increase in the undercollected balancing accounts for electric commodity costs in 2014 compared to a $28 million increase in 2013; and</w:t>
      </w:r>
    </w:p>
    <w:p>
      <w:pPr>
        <w:spacing w:after="0" w:line="242"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$72 million decrease in settlement payments and associated legal fees for wildfire claims in 2014 compared to 2013;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increase in accounts payable in 2014 compared to a $57 million increase in 2013.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SoCalGas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 at SoCalGas decreased in 2014 primarily due to:</w:t>
      </w:r>
    </w:p>
    <w:p>
      <w:pPr>
        <w:spacing w:after="0" w:line="218" w:lineRule="exact"/>
        <w:rPr>
          <w:sz w:val="20"/>
          <w:szCs w:val="20"/>
          <w:color w:val="auto"/>
        </w:rPr>
      </w:pPr>
    </w:p>
    <w:p>
      <w:pPr>
        <w:ind w:left="320" w:hanging="172"/>
        <w:spacing w:after="0" w:line="275" w:lineRule="auto"/>
        <w:tabs>
          <w:tab w:leader="none" w:pos="3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decrease in inventory in 2014 compared to an $82 million decrease in 2013, primarily due to seasonal changes in natural gas inventory; the decrease in 2013 was larger as a result of higher natural gas demand in the fourth quarter of 2012 due to the colder than normal winter period;</w:t>
      </w:r>
    </w:p>
    <w:p>
      <w:pPr>
        <w:spacing w:after="0" w:line="190"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decrease in accounts payable in 2014 compared to an $11 million decrease in 2013; and</w:t>
      </w:r>
    </w:p>
    <w:p>
      <w:pPr>
        <w:spacing w:after="0" w:line="244"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 million decrease in net overcollected regulatory balancing accounts in 2014 (including long-term amounts included in regulatory assets) compared to $56 million increase in 2013, primarily comprised of:</w:t>
      </w:r>
    </w:p>
    <w:p>
      <w:pPr>
        <w:spacing w:after="0" w:line="190" w:lineRule="exact"/>
        <w:rPr>
          <w:rFonts w:ascii="Times New Roman" w:cs="Times New Roman" w:eastAsia="Times New Roman" w:hAnsi="Times New Roman"/>
          <w:sz w:val="18"/>
          <w:szCs w:val="18"/>
          <w:color w:val="auto"/>
        </w:rPr>
      </w:pPr>
    </w:p>
    <w:p>
      <w:pPr>
        <w:ind w:left="640" w:hanging="191"/>
        <w:spacing w:after="0"/>
        <w:tabs>
          <w:tab w:leader="none" w:pos="6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 million decrease in 2014 in the overcollected balance associated with Public Purpose Programs compared to a $54 million increase in 2013,</w:t>
      </w:r>
    </w:p>
    <w:p>
      <w:pPr>
        <w:spacing w:after="0" w:line="244" w:lineRule="exact"/>
        <w:rPr>
          <w:rFonts w:ascii="Times New Roman" w:cs="Times New Roman" w:eastAsia="Times New Roman" w:hAnsi="Times New Roman"/>
          <w:sz w:val="18"/>
          <w:szCs w:val="18"/>
          <w:color w:val="auto"/>
        </w:rPr>
      </w:pPr>
    </w:p>
    <w:p>
      <w:pPr>
        <w:ind w:left="640" w:hanging="191"/>
        <w:spacing w:after="0" w:line="275" w:lineRule="auto"/>
        <w:tabs>
          <w:tab w:leader="none" w:pos="6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$82 million increase in 2014 in the undercollected balance associated with fixed cost balancing account compared to a $35 million reduction in 2013, </w:t>
      </w:r>
      <w:r>
        <w:rPr>
          <w:rFonts w:ascii="Times New Roman" w:cs="Times New Roman" w:eastAsia="Times New Roman" w:hAnsi="Times New Roman"/>
          <w:sz w:val="18"/>
          <w:szCs w:val="18"/>
          <w:i w:val="1"/>
          <w:iCs w:val="1"/>
          <w:color w:val="auto"/>
        </w:rPr>
        <w:t>offset by</w:t>
      </w:r>
    </w:p>
    <w:p>
      <w:pPr>
        <w:spacing w:after="0" w:line="188" w:lineRule="exact"/>
        <w:rPr>
          <w:rFonts w:ascii="Times New Roman" w:cs="Times New Roman" w:eastAsia="Times New Roman" w:hAnsi="Times New Roman"/>
          <w:sz w:val="18"/>
          <w:szCs w:val="18"/>
          <w:color w:val="auto"/>
        </w:rPr>
      </w:pPr>
    </w:p>
    <w:p>
      <w:pPr>
        <w:ind w:left="640" w:hanging="191"/>
        <w:spacing w:after="0"/>
        <w:tabs>
          <w:tab w:leader="none" w:pos="640"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$26 million reduction in 2014 in the undercollected balance in the 2012 GRC balancing account compared to a $52 million increase in 2013; </w:t>
      </w:r>
      <w:r>
        <w:rPr>
          <w:rFonts w:ascii="Times New Roman" w:cs="Times New Roman" w:eastAsia="Times New Roman" w:hAnsi="Times New Roman"/>
          <w:sz w:val="17"/>
          <w:szCs w:val="17"/>
          <w:b w:val="1"/>
          <w:bCs w:val="1"/>
          <w:color w:val="auto"/>
        </w:rPr>
        <w:t>offset by</w:t>
      </w:r>
    </w:p>
    <w:p>
      <w:pPr>
        <w:spacing w:after="0" w:line="258" w:lineRule="exact"/>
        <w:rPr>
          <w:rFonts w:ascii="Times New Roman" w:cs="Times New Roman" w:eastAsia="Times New Roman" w:hAnsi="Times New Roman"/>
          <w:sz w:val="17"/>
          <w:szCs w:val="17"/>
          <w:color w:val="auto"/>
        </w:rPr>
      </w:pPr>
    </w:p>
    <w:p>
      <w:pPr>
        <w:ind w:left="320" w:right="20" w:hanging="172"/>
        <w:spacing w:after="0" w:line="275" w:lineRule="auto"/>
        <w:tabs>
          <w:tab w:leader="none" w:pos="3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$226 million decrease in accounts receivable in 2014 compared to a $155 million decrease in 2013, primarily due to colder weather in the fourth quarter of 2013 resulting in higher natural gas demand and higher accounts receivable balances at year-end 2013;</w:t>
      </w:r>
    </w:p>
    <w:p>
      <w:pPr>
        <w:spacing w:after="0" w:line="190"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million higher net income, adjusted for noncash items included in earnings, in 2014 compared to 2013; and</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million lower income tax payments in 2014 compared to 2013.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contributions to pension and other postretirement benefit plans.</w:t>
      </w:r>
    </w:p>
    <w:p>
      <w:pPr>
        <w:sectPr>
          <w:pgSz w:w="11900" w:h="16874" w:orient="portrait"/>
          <w:cols w:equalWidth="0" w:num="1">
            <w:col w:w="11420"/>
          </w:cols>
          <w:pgMar w:left="240" w:top="125" w:right="239" w:bottom="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color w:val="auto"/>
        </w:rPr>
        <w:t>CONTRIBUTIONS TO PENSION AND OTHER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3740" w:type="dxa"/>
            <w:vAlign w:val="bottom"/>
            <w:gridSpan w:val="3"/>
            <w:vMerge w:val="restart"/>
          </w:tcPr>
          <w:p>
            <w:pPr>
              <w:ind w:left="1040"/>
              <w:spacing w:after="0"/>
              <w:rPr>
                <w:sz w:val="20"/>
                <w:szCs w:val="20"/>
                <w:color w:val="auto"/>
              </w:rPr>
            </w:pPr>
            <w:r>
              <w:rPr>
                <w:rFonts w:ascii="Arial" w:cs="Arial" w:eastAsia="Arial" w:hAnsi="Arial"/>
                <w:sz w:val="14"/>
                <w:szCs w:val="14"/>
                <w:color w:val="auto"/>
              </w:rPr>
              <w:t>Six months ended June 30, 2014</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7280" w:type="dxa"/>
            <w:vAlign w:val="bottom"/>
          </w:tcPr>
          <w:p>
            <w:pPr>
              <w:spacing w:after="0"/>
              <w:rPr>
                <w:sz w:val="10"/>
                <w:szCs w:val="10"/>
                <w:color w:val="auto"/>
              </w:rPr>
            </w:pPr>
          </w:p>
        </w:tc>
        <w:tc>
          <w:tcPr>
            <w:tcW w:w="3740" w:type="dxa"/>
            <w:vAlign w:val="bottom"/>
            <w:tcBorders>
              <w:bottom w:val="single" w:sz="8" w:color="auto"/>
            </w:tcBorders>
            <w:gridSpan w:val="3"/>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20" w:type="dxa"/>
            <w:vAlign w:val="bottom"/>
          </w:tcPr>
          <w:p>
            <w:pPr>
              <w:jc w:val="center"/>
              <w:ind w:left="128"/>
              <w:spacing w:after="0" w:line="153" w:lineRule="exact"/>
              <w:rPr>
                <w:sz w:val="20"/>
                <w:szCs w:val="20"/>
                <w:color w:val="auto"/>
              </w:rPr>
            </w:pPr>
            <w:r>
              <w:rPr>
                <w:rFonts w:ascii="Arial" w:cs="Arial" w:eastAsia="Arial" w:hAnsi="Arial"/>
                <w:sz w:val="14"/>
                <w:szCs w:val="14"/>
                <w:color w:val="auto"/>
              </w:rPr>
              <w:t>Other</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280" w:type="dxa"/>
            <w:vAlign w:val="bottom"/>
          </w:tcPr>
          <w:p>
            <w:pPr>
              <w:spacing w:after="0"/>
              <w:rPr>
                <w:sz w:val="16"/>
                <w:szCs w:val="16"/>
                <w:color w:val="auto"/>
              </w:rPr>
            </w:pPr>
          </w:p>
        </w:tc>
        <w:tc>
          <w:tcPr>
            <w:tcW w:w="1540" w:type="dxa"/>
            <w:vAlign w:val="bottom"/>
          </w:tcPr>
          <w:p>
            <w:pPr>
              <w:ind w:left="740"/>
              <w:spacing w:after="0"/>
              <w:rPr>
                <w:sz w:val="20"/>
                <w:szCs w:val="20"/>
                <w:color w:val="auto"/>
              </w:rPr>
            </w:pPr>
            <w:r>
              <w:rPr>
                <w:rFonts w:ascii="Arial" w:cs="Arial" w:eastAsia="Arial" w:hAnsi="Arial"/>
                <w:sz w:val="14"/>
                <w:szCs w:val="14"/>
                <w:color w:val="auto"/>
              </w:rPr>
              <w:t>Pension</w:t>
            </w:r>
          </w:p>
        </w:tc>
        <w:tc>
          <w:tcPr>
            <w:tcW w:w="680" w:type="dxa"/>
            <w:vAlign w:val="bottom"/>
          </w:tcPr>
          <w:p>
            <w:pPr>
              <w:spacing w:after="0"/>
              <w:rPr>
                <w:sz w:val="16"/>
                <w:szCs w:val="16"/>
                <w:color w:val="auto"/>
              </w:rPr>
            </w:pPr>
          </w:p>
        </w:tc>
        <w:tc>
          <w:tcPr>
            <w:tcW w:w="1520" w:type="dxa"/>
            <w:vAlign w:val="bottom"/>
          </w:tcPr>
          <w:p>
            <w:pPr>
              <w:jc w:val="center"/>
              <w:ind w:left="128"/>
              <w:spacing w:after="0"/>
              <w:rPr>
                <w:sz w:val="20"/>
                <w:szCs w:val="20"/>
                <w:color w:val="auto"/>
              </w:rPr>
            </w:pPr>
            <w:r>
              <w:rPr>
                <w:rFonts w:ascii="Arial" w:cs="Arial" w:eastAsia="Arial" w:hAnsi="Arial"/>
                <w:sz w:val="14"/>
                <w:szCs w:val="14"/>
                <w:color w:val="auto"/>
              </w:rPr>
              <w:t>Postretirement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Benefits</w:t>
            </w:r>
          </w:p>
        </w:tc>
        <w:tc>
          <w:tcPr>
            <w:tcW w:w="6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Benefits</w:t>
            </w: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80" w:type="dxa"/>
            <w:vAlign w:val="bottom"/>
          </w:tcPr>
          <w:p>
            <w:pPr>
              <w:spacing w:after="0" w:line="135" w:lineRule="exact"/>
              <w:rPr>
                <w:sz w:val="20"/>
                <w:szCs w:val="20"/>
                <w:color w:val="auto"/>
              </w:rPr>
            </w:pPr>
            <w:r>
              <w:rPr>
                <w:rFonts w:ascii="Arial" w:cs="Arial" w:eastAsia="Arial" w:hAnsi="Arial"/>
                <w:sz w:val="15"/>
                <w:szCs w:val="15"/>
                <w:color w:val="auto"/>
              </w:rPr>
              <w:t>Sempra Energy Consolidated</w:t>
            </w:r>
          </w:p>
        </w:tc>
        <w:tc>
          <w:tcPr>
            <w:tcW w:w="1540" w:type="dxa"/>
            <w:vAlign w:val="bottom"/>
          </w:tcPr>
          <w:p>
            <w:pPr>
              <w:jc w:val="right"/>
              <w:ind w:right="1008"/>
              <w:spacing w:after="0" w:line="135" w:lineRule="exact"/>
              <w:rPr>
                <w:sz w:val="20"/>
                <w:szCs w:val="20"/>
                <w:color w:val="auto"/>
              </w:rPr>
            </w:pPr>
            <w:r>
              <w:rPr>
                <w:rFonts w:ascii="Arial" w:cs="Arial" w:eastAsia="Arial" w:hAnsi="Arial"/>
                <w:sz w:val="15"/>
                <w:szCs w:val="15"/>
                <w:color w:val="auto"/>
              </w:rPr>
              <w:t>$</w:t>
            </w:r>
          </w:p>
        </w:tc>
        <w:tc>
          <w:tcPr>
            <w:tcW w:w="680" w:type="dxa"/>
            <w:vAlign w:val="bottom"/>
          </w:tcPr>
          <w:p>
            <w:pPr>
              <w:jc w:val="right"/>
              <w:ind w:right="122"/>
              <w:spacing w:after="0" w:line="135" w:lineRule="exact"/>
              <w:rPr>
                <w:sz w:val="20"/>
                <w:szCs w:val="20"/>
                <w:color w:val="auto"/>
              </w:rPr>
            </w:pPr>
            <w:r>
              <w:rPr>
                <w:rFonts w:ascii="Arial" w:cs="Arial" w:eastAsia="Arial" w:hAnsi="Arial"/>
                <w:sz w:val="15"/>
                <w:szCs w:val="15"/>
                <w:color w:val="auto"/>
              </w:rPr>
              <w:t>58</w:t>
            </w:r>
          </w:p>
        </w:tc>
        <w:tc>
          <w:tcPr>
            <w:tcW w:w="1520" w:type="dxa"/>
            <w:vAlign w:val="bottom"/>
          </w:tcPr>
          <w:p>
            <w:pPr>
              <w:jc w:val="right"/>
              <w:ind w:right="1148"/>
              <w:spacing w:after="0" w:line="135" w:lineRule="exact"/>
              <w:rPr>
                <w:sz w:val="20"/>
                <w:szCs w:val="20"/>
                <w:color w:val="auto"/>
              </w:rPr>
            </w:pPr>
            <w:r>
              <w:rPr>
                <w:rFonts w:ascii="Arial" w:cs="Arial" w:eastAsia="Arial" w:hAnsi="Arial"/>
                <w:sz w:val="15"/>
                <w:szCs w:val="15"/>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3"/>
        </w:trPr>
        <w:tc>
          <w:tcPr>
            <w:tcW w:w="7280" w:type="dxa"/>
            <w:vAlign w:val="bottom"/>
          </w:tcPr>
          <w:p>
            <w:pPr>
              <w:spacing w:after="0" w:line="173" w:lineRule="exact"/>
              <w:rPr>
                <w:sz w:val="20"/>
                <w:szCs w:val="20"/>
                <w:color w:val="auto"/>
              </w:rPr>
            </w:pPr>
            <w:r>
              <w:rPr>
                <w:rFonts w:ascii="Arial" w:cs="Arial" w:eastAsia="Arial" w:hAnsi="Arial"/>
                <w:sz w:val="16"/>
                <w:szCs w:val="16"/>
                <w:color w:val="auto"/>
              </w:rPr>
              <w:t>SDG&amp;E</w:t>
            </w:r>
          </w:p>
        </w:tc>
        <w:tc>
          <w:tcPr>
            <w:tcW w:w="1540" w:type="dxa"/>
            <w:vAlign w:val="bottom"/>
          </w:tcPr>
          <w:p>
            <w:pPr>
              <w:spacing w:after="0"/>
              <w:rPr>
                <w:sz w:val="15"/>
                <w:szCs w:val="15"/>
                <w:color w:val="auto"/>
              </w:rPr>
            </w:pPr>
          </w:p>
        </w:tc>
        <w:tc>
          <w:tcPr>
            <w:tcW w:w="680" w:type="dxa"/>
            <w:vAlign w:val="bottom"/>
          </w:tcPr>
          <w:p>
            <w:pPr>
              <w:jc w:val="right"/>
              <w:ind w:right="122"/>
              <w:spacing w:after="0" w:line="173" w:lineRule="exact"/>
              <w:rPr>
                <w:sz w:val="20"/>
                <w:szCs w:val="20"/>
                <w:color w:val="auto"/>
              </w:rPr>
            </w:pPr>
            <w:r>
              <w:rPr>
                <w:rFonts w:ascii="Arial" w:cs="Arial" w:eastAsia="Arial" w:hAnsi="Arial"/>
                <w:sz w:val="16"/>
                <w:szCs w:val="16"/>
                <w:color w:val="auto"/>
              </w:rPr>
              <w:t>17</w:t>
            </w:r>
          </w:p>
        </w:tc>
        <w:tc>
          <w:tcPr>
            <w:tcW w:w="1520" w:type="dxa"/>
            <w:vAlign w:val="bottom"/>
          </w:tcPr>
          <w:p>
            <w:pPr>
              <w:spacing w:after="0"/>
              <w:rPr>
                <w:sz w:val="15"/>
                <w:szCs w:val="15"/>
                <w:color w:val="auto"/>
              </w:rPr>
            </w:pPr>
          </w:p>
        </w:tc>
        <w:tc>
          <w:tcPr>
            <w:tcW w:w="4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7280" w:type="dxa"/>
            <w:vAlign w:val="bottom"/>
          </w:tcPr>
          <w:p>
            <w:pPr>
              <w:spacing w:after="0"/>
              <w:rPr>
                <w:sz w:val="20"/>
                <w:szCs w:val="20"/>
                <w:color w:val="auto"/>
              </w:rPr>
            </w:pPr>
            <w:r>
              <w:rPr>
                <w:rFonts w:ascii="Arial" w:cs="Arial" w:eastAsia="Arial" w:hAnsi="Arial"/>
                <w:sz w:val="16"/>
                <w:szCs w:val="16"/>
                <w:color w:val="auto"/>
              </w:rPr>
              <w:t>SoCalGas</w:t>
            </w:r>
          </w:p>
        </w:tc>
        <w:tc>
          <w:tcPr>
            <w:tcW w:w="1540" w:type="dxa"/>
            <w:vAlign w:val="bottom"/>
          </w:tcPr>
          <w:p>
            <w:pPr>
              <w:spacing w:after="0"/>
              <w:rPr>
                <w:sz w:val="17"/>
                <w:szCs w:val="17"/>
                <w:color w:val="auto"/>
              </w:rPr>
            </w:pPr>
          </w:p>
        </w:tc>
        <w:tc>
          <w:tcPr>
            <w:tcW w:w="680" w:type="dxa"/>
            <w:vAlign w:val="bottom"/>
          </w:tcPr>
          <w:p>
            <w:pPr>
              <w:jc w:val="right"/>
              <w:ind w:right="122"/>
              <w:spacing w:after="0"/>
              <w:rPr>
                <w:sz w:val="20"/>
                <w:szCs w:val="20"/>
                <w:color w:val="auto"/>
              </w:rPr>
            </w:pPr>
            <w:r>
              <w:rPr>
                <w:rFonts w:ascii="Arial" w:cs="Arial" w:eastAsia="Arial" w:hAnsi="Arial"/>
                <w:sz w:val="16"/>
                <w:szCs w:val="16"/>
                <w:color w:val="auto"/>
              </w:rPr>
              <w:t>16</w:t>
            </w:r>
          </w:p>
        </w:tc>
        <w:tc>
          <w:tcPr>
            <w:tcW w:w="15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0"/>
        </w:trPr>
        <w:tc>
          <w:tcPr>
            <w:tcW w:w="7280" w:type="dxa"/>
            <w:vAlign w:val="bottom"/>
            <w:shd w:val="clear" w:color="auto" w:fill="C0C0C0"/>
          </w:tcPr>
          <w:p>
            <w:pPr>
              <w:spacing w:after="0"/>
              <w:rPr>
                <w:sz w:val="6"/>
                <w:szCs w:val="6"/>
                <w:color w:val="auto"/>
              </w:rPr>
            </w:pPr>
          </w:p>
        </w:tc>
        <w:tc>
          <w:tcPr>
            <w:tcW w:w="1540" w:type="dxa"/>
            <w:vAlign w:val="bottom"/>
            <w:shd w:val="clear" w:color="auto" w:fill="C0C0C0"/>
          </w:tcPr>
          <w:p>
            <w:pPr>
              <w:spacing w:after="0"/>
              <w:rPr>
                <w:sz w:val="6"/>
                <w:szCs w:val="6"/>
                <w:color w:val="auto"/>
              </w:rPr>
            </w:pPr>
          </w:p>
        </w:tc>
        <w:tc>
          <w:tcPr>
            <w:tcW w:w="680" w:type="dxa"/>
            <w:vAlign w:val="bottom"/>
            <w:shd w:val="clear" w:color="auto" w:fill="C0C0C0"/>
          </w:tcPr>
          <w:p>
            <w:pPr>
              <w:spacing w:after="0"/>
              <w:rPr>
                <w:sz w:val="6"/>
                <w:szCs w:val="6"/>
                <w:color w:val="auto"/>
              </w:rPr>
            </w:pPr>
          </w:p>
        </w:tc>
        <w:tc>
          <w:tcPr>
            <w:tcW w:w="1520" w:type="dxa"/>
            <w:vAlign w:val="bottom"/>
            <w:shd w:val="clear" w:color="auto" w:fill="C0C0C0"/>
          </w:tcPr>
          <w:p>
            <w:pPr>
              <w:spacing w:after="0"/>
              <w:rPr>
                <w:sz w:val="6"/>
                <w:szCs w:val="6"/>
                <w:color w:val="auto"/>
              </w:rPr>
            </w:pPr>
          </w:p>
        </w:tc>
        <w:tc>
          <w:tcPr>
            <w:tcW w:w="400" w:type="dxa"/>
            <w:vAlign w:val="bottom"/>
            <w:shd w:val="clear" w:color="auto" w:fill="C0C0C0"/>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CASH FLOWS FROM INVESTING ACTIVITIES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3000" w:type="dxa"/>
            <w:vAlign w:val="bottom"/>
            <w:gridSpan w:val="2"/>
            <w:vMerge w:val="restart"/>
          </w:tcPr>
          <w:p>
            <w:pPr>
              <w:jc w:val="right"/>
              <w:ind w:right="242"/>
              <w:spacing w:after="0"/>
              <w:rPr>
                <w:sz w:val="20"/>
                <w:szCs w:val="20"/>
                <w:color w:val="auto"/>
              </w:rPr>
            </w:pPr>
            <w:r>
              <w:rPr>
                <w:rFonts w:ascii="Arial" w:cs="Arial" w:eastAsia="Arial" w:hAnsi="Arial"/>
                <w:sz w:val="14"/>
                <w:szCs w:val="14"/>
                <w:color w:val="auto"/>
              </w:rPr>
              <w:t>Six months ended</w:t>
            </w:r>
          </w:p>
        </w:tc>
        <w:tc>
          <w:tcPr>
            <w:tcW w:w="7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40" w:type="dxa"/>
            <w:vAlign w:val="bottom"/>
            <w:gridSpan w:val="2"/>
            <w:vMerge w:val="restart"/>
          </w:tcPr>
          <w:p>
            <w:pPr>
              <w:jc w:val="center"/>
              <w:spacing w:after="0"/>
              <w:rPr>
                <w:sz w:val="20"/>
                <w:szCs w:val="20"/>
                <w:color w:val="auto"/>
              </w:rPr>
            </w:pPr>
            <w:r>
              <w:rPr>
                <w:rFonts w:ascii="Arial" w:cs="Arial" w:eastAsia="Arial" w:hAnsi="Arial"/>
                <w:sz w:val="14"/>
                <w:szCs w:val="14"/>
                <w:color w:val="auto"/>
                <w:w w:val="99"/>
              </w:rPr>
              <w:t>Six months ended</w:t>
            </w:r>
          </w:p>
        </w:tc>
        <w:tc>
          <w:tcPr>
            <w:tcW w:w="0" w:type="dxa"/>
            <w:vAlign w:val="bottom"/>
          </w:tcPr>
          <w:p>
            <w:pPr>
              <w:spacing w:after="0"/>
              <w:rPr>
                <w:sz w:val="1"/>
                <w:szCs w:val="1"/>
                <w:color w:val="auto"/>
              </w:rPr>
            </w:pPr>
          </w:p>
        </w:tc>
      </w:tr>
      <w:tr>
        <w:trPr>
          <w:trHeight w:val="139"/>
        </w:trPr>
        <w:tc>
          <w:tcPr>
            <w:tcW w:w="3620" w:type="dxa"/>
            <w:vAlign w:val="bottom"/>
          </w:tcPr>
          <w:p>
            <w:pPr>
              <w:spacing w:after="0"/>
              <w:rPr>
                <w:sz w:val="12"/>
                <w:szCs w:val="12"/>
                <w:color w:val="auto"/>
              </w:rPr>
            </w:pPr>
          </w:p>
        </w:tc>
        <w:tc>
          <w:tcPr>
            <w:tcW w:w="300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4"/>
                <w:szCs w:val="14"/>
                <w:color w:val="auto"/>
              </w:rPr>
              <w:t>June 30, 2014</w:t>
            </w:r>
          </w:p>
        </w:tc>
        <w:tc>
          <w:tcPr>
            <w:tcW w:w="7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2014 Change</w:t>
            </w:r>
          </w:p>
        </w:tc>
        <w:tc>
          <w:tcPr>
            <w:tcW w:w="10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June 30, 2013</w:t>
            </w: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Arial" w:cs="Arial" w:eastAsia="Arial" w:hAnsi="Arial"/>
                <w:sz w:val="15"/>
                <w:szCs w:val="15"/>
                <w:color w:val="auto"/>
              </w:rPr>
              <w:t>Sempra Energy Consolidated</w:t>
            </w:r>
          </w:p>
        </w:tc>
        <w:tc>
          <w:tcPr>
            <w:tcW w:w="2100" w:type="dxa"/>
            <w:vAlign w:val="bottom"/>
          </w:tcPr>
          <w:p>
            <w:pPr>
              <w:jc w:val="right"/>
              <w:ind w:right="308"/>
              <w:spacing w:after="0" w:line="135" w:lineRule="exact"/>
              <w:rPr>
                <w:sz w:val="20"/>
                <w:szCs w:val="20"/>
                <w:color w:val="auto"/>
              </w:rPr>
            </w:pPr>
            <w:r>
              <w:rPr>
                <w:rFonts w:ascii="Arial" w:cs="Arial" w:eastAsia="Arial" w:hAnsi="Arial"/>
                <w:sz w:val="15"/>
                <w:szCs w:val="15"/>
                <w:color w:val="auto"/>
              </w:rPr>
              <w:t>$</w:t>
            </w:r>
          </w:p>
        </w:tc>
        <w:tc>
          <w:tcPr>
            <w:tcW w:w="90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5"/>
                <w:szCs w:val="15"/>
                <w:color w:val="auto"/>
              </w:rPr>
              <w:t>(1,621)</w:t>
            </w:r>
          </w:p>
        </w:tc>
        <w:tc>
          <w:tcPr>
            <w:tcW w:w="700" w:type="dxa"/>
            <w:vAlign w:val="bottom"/>
          </w:tcPr>
          <w:p>
            <w:pPr>
              <w:jc w:val="right"/>
              <w:ind w:right="306"/>
              <w:spacing w:after="0" w:line="135" w:lineRule="exact"/>
              <w:rPr>
                <w:sz w:val="20"/>
                <w:szCs w:val="20"/>
                <w:color w:val="auto"/>
              </w:rPr>
            </w:pPr>
            <w:r>
              <w:rPr>
                <w:rFonts w:ascii="Arial" w:cs="Arial" w:eastAsia="Arial" w:hAnsi="Arial"/>
                <w:sz w:val="15"/>
                <w:szCs w:val="15"/>
                <w:color w:val="auto"/>
              </w:rPr>
              <w:t>$</w:t>
            </w:r>
          </w:p>
        </w:tc>
        <w:tc>
          <w:tcPr>
            <w:tcW w:w="1360" w:type="dxa"/>
            <w:vAlign w:val="bottom"/>
          </w:tcPr>
          <w:p>
            <w:pPr>
              <w:jc w:val="right"/>
              <w:ind w:right="604"/>
              <w:spacing w:after="0" w:line="135" w:lineRule="exact"/>
              <w:rPr>
                <w:sz w:val="20"/>
                <w:szCs w:val="20"/>
                <w:color w:val="auto"/>
              </w:rPr>
            </w:pPr>
            <w:r>
              <w:rPr>
                <w:rFonts w:ascii="Arial" w:cs="Arial" w:eastAsia="Arial" w:hAnsi="Arial"/>
                <w:sz w:val="15"/>
                <w:szCs w:val="15"/>
                <w:color w:val="auto"/>
              </w:rPr>
              <w:t>994</w:t>
            </w:r>
          </w:p>
        </w:tc>
        <w:tc>
          <w:tcPr>
            <w:tcW w:w="1000" w:type="dxa"/>
            <w:vAlign w:val="bottom"/>
            <w:tcBorders>
              <w:right w:val="single" w:sz="8" w:color="auto"/>
            </w:tcBorders>
          </w:tcPr>
          <w:p>
            <w:pPr>
              <w:jc w:val="right"/>
              <w:ind w:right="342"/>
              <w:spacing w:after="0" w:line="135" w:lineRule="exact"/>
              <w:rPr>
                <w:sz w:val="20"/>
                <w:szCs w:val="20"/>
                <w:color w:val="auto"/>
              </w:rPr>
            </w:pPr>
            <w:r>
              <w:rPr>
                <w:rFonts w:ascii="Arial" w:cs="Arial" w:eastAsia="Arial" w:hAnsi="Arial"/>
                <w:sz w:val="15"/>
                <w:szCs w:val="15"/>
                <w:color w:val="auto"/>
              </w:rPr>
              <w:t>159 %</w:t>
            </w:r>
          </w:p>
        </w:tc>
        <w:tc>
          <w:tcPr>
            <w:tcW w:w="1340" w:type="dxa"/>
            <w:vAlign w:val="bottom"/>
          </w:tcPr>
          <w:p>
            <w:pPr>
              <w:jc w:val="right"/>
              <w:ind w:right="808"/>
              <w:spacing w:after="0" w:line="135" w:lineRule="exact"/>
              <w:rPr>
                <w:sz w:val="20"/>
                <w:szCs w:val="20"/>
                <w:color w:val="auto"/>
              </w:rPr>
            </w:pPr>
            <w:r>
              <w:rPr>
                <w:rFonts w:ascii="Arial" w:cs="Arial" w:eastAsia="Arial" w:hAnsi="Arial"/>
                <w:sz w:val="15"/>
                <w:szCs w:val="15"/>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5"/>
                <w:szCs w:val="15"/>
                <w:color w:val="auto"/>
              </w:rPr>
              <w:t>(627)</w:t>
            </w:r>
          </w:p>
        </w:tc>
        <w:tc>
          <w:tcPr>
            <w:tcW w:w="0" w:type="dxa"/>
            <w:vAlign w:val="bottom"/>
          </w:tcPr>
          <w:p>
            <w:pPr>
              <w:spacing w:after="0"/>
              <w:rPr>
                <w:sz w:val="1"/>
                <w:szCs w:val="1"/>
                <w:color w:val="auto"/>
              </w:rPr>
            </w:pPr>
          </w:p>
        </w:tc>
      </w:tr>
      <w:tr>
        <w:trPr>
          <w:trHeight w:val="204"/>
        </w:trPr>
        <w:tc>
          <w:tcPr>
            <w:tcW w:w="3620" w:type="dxa"/>
            <w:vAlign w:val="bottom"/>
          </w:tcPr>
          <w:p>
            <w:pPr>
              <w:spacing w:after="0" w:line="173" w:lineRule="exact"/>
              <w:rPr>
                <w:sz w:val="20"/>
                <w:szCs w:val="20"/>
                <w:color w:val="auto"/>
              </w:rPr>
            </w:pPr>
            <w:r>
              <w:rPr>
                <w:rFonts w:ascii="Arial" w:cs="Arial" w:eastAsia="Arial" w:hAnsi="Arial"/>
                <w:sz w:val="16"/>
                <w:szCs w:val="16"/>
                <w:color w:val="auto"/>
              </w:rPr>
              <w:t>SDG&amp;E</w:t>
            </w:r>
          </w:p>
        </w:tc>
        <w:tc>
          <w:tcPr>
            <w:tcW w:w="2100" w:type="dxa"/>
            <w:vAlign w:val="bottom"/>
          </w:tcPr>
          <w:p>
            <w:pPr>
              <w:spacing w:after="0"/>
              <w:rPr>
                <w:sz w:val="17"/>
                <w:szCs w:val="17"/>
                <w:color w:val="auto"/>
              </w:rPr>
            </w:pPr>
          </w:p>
        </w:tc>
        <w:tc>
          <w:tcPr>
            <w:tcW w:w="900" w:type="dxa"/>
            <w:vAlign w:val="bottom"/>
            <w:tcBorders>
              <w:right w:val="single" w:sz="8" w:color="auto"/>
            </w:tcBorders>
          </w:tcPr>
          <w:p>
            <w:pPr>
              <w:jc w:val="right"/>
              <w:spacing w:after="0" w:line="173" w:lineRule="exact"/>
              <w:rPr>
                <w:sz w:val="20"/>
                <w:szCs w:val="20"/>
                <w:color w:val="auto"/>
              </w:rPr>
            </w:pPr>
            <w:r>
              <w:rPr>
                <w:rFonts w:ascii="Arial" w:cs="Arial" w:eastAsia="Arial" w:hAnsi="Arial"/>
                <w:sz w:val="16"/>
                <w:szCs w:val="16"/>
                <w:color w:val="auto"/>
              </w:rPr>
              <w:t>(549)</w:t>
            </w:r>
          </w:p>
        </w:tc>
        <w:tc>
          <w:tcPr>
            <w:tcW w:w="700" w:type="dxa"/>
            <w:vAlign w:val="bottom"/>
          </w:tcPr>
          <w:p>
            <w:pPr>
              <w:spacing w:after="0"/>
              <w:rPr>
                <w:sz w:val="17"/>
                <w:szCs w:val="17"/>
                <w:color w:val="auto"/>
              </w:rPr>
            </w:pPr>
          </w:p>
        </w:tc>
        <w:tc>
          <w:tcPr>
            <w:tcW w:w="1360" w:type="dxa"/>
            <w:vAlign w:val="bottom"/>
          </w:tcPr>
          <w:p>
            <w:pPr>
              <w:jc w:val="right"/>
              <w:ind w:right="604"/>
              <w:spacing w:after="0" w:line="173" w:lineRule="exact"/>
              <w:rPr>
                <w:sz w:val="20"/>
                <w:szCs w:val="20"/>
                <w:color w:val="auto"/>
              </w:rPr>
            </w:pPr>
            <w:r>
              <w:rPr>
                <w:rFonts w:ascii="Arial" w:cs="Arial" w:eastAsia="Arial" w:hAnsi="Arial"/>
                <w:sz w:val="16"/>
                <w:szCs w:val="16"/>
                <w:color w:val="auto"/>
              </w:rPr>
              <w:t>104</w:t>
            </w:r>
          </w:p>
        </w:tc>
        <w:tc>
          <w:tcPr>
            <w:tcW w:w="1000" w:type="dxa"/>
            <w:vAlign w:val="bottom"/>
            <w:tcBorders>
              <w:right w:val="single" w:sz="8" w:color="auto"/>
            </w:tcBorders>
          </w:tcPr>
          <w:p>
            <w:pPr>
              <w:jc w:val="right"/>
              <w:ind w:right="522"/>
              <w:spacing w:after="0" w:line="173" w:lineRule="exact"/>
              <w:rPr>
                <w:sz w:val="20"/>
                <w:szCs w:val="20"/>
                <w:color w:val="auto"/>
              </w:rPr>
            </w:pPr>
            <w:r>
              <w:rPr>
                <w:rFonts w:ascii="Arial" w:cs="Arial" w:eastAsia="Arial" w:hAnsi="Arial"/>
                <w:sz w:val="16"/>
                <w:szCs w:val="16"/>
                <w:color w:val="auto"/>
              </w:rPr>
              <w:t>23</w:t>
            </w:r>
          </w:p>
        </w:tc>
        <w:tc>
          <w:tcPr>
            <w:tcW w:w="1340" w:type="dxa"/>
            <w:vAlign w:val="bottom"/>
          </w:tcPr>
          <w:p>
            <w:pPr>
              <w:spacing w:after="0"/>
              <w:rPr>
                <w:sz w:val="17"/>
                <w:szCs w:val="17"/>
                <w:color w:val="auto"/>
              </w:rPr>
            </w:pPr>
          </w:p>
        </w:tc>
        <w:tc>
          <w:tcPr>
            <w:tcW w:w="400" w:type="dxa"/>
            <w:vAlign w:val="bottom"/>
          </w:tcPr>
          <w:p>
            <w:pPr>
              <w:jc w:val="right"/>
              <w:spacing w:after="0" w:line="173" w:lineRule="exact"/>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173"/>
        </w:trPr>
        <w:tc>
          <w:tcPr>
            <w:tcW w:w="3620" w:type="dxa"/>
            <w:vAlign w:val="bottom"/>
          </w:tcPr>
          <w:p>
            <w:pPr>
              <w:spacing w:after="0" w:line="173" w:lineRule="exact"/>
              <w:rPr>
                <w:sz w:val="20"/>
                <w:szCs w:val="20"/>
                <w:color w:val="auto"/>
              </w:rPr>
            </w:pPr>
            <w:r>
              <w:rPr>
                <w:rFonts w:ascii="Arial" w:cs="Arial" w:eastAsia="Arial" w:hAnsi="Arial"/>
                <w:sz w:val="16"/>
                <w:szCs w:val="16"/>
                <w:color w:val="auto"/>
              </w:rPr>
              <w:t>SoCalGas</w:t>
            </w:r>
          </w:p>
        </w:tc>
        <w:tc>
          <w:tcPr>
            <w:tcW w:w="2100" w:type="dxa"/>
            <w:vAlign w:val="bottom"/>
          </w:tcPr>
          <w:p>
            <w:pPr>
              <w:spacing w:after="0"/>
              <w:rPr>
                <w:sz w:val="15"/>
                <w:szCs w:val="15"/>
                <w:color w:val="auto"/>
              </w:rPr>
            </w:pPr>
          </w:p>
        </w:tc>
        <w:tc>
          <w:tcPr>
            <w:tcW w:w="900" w:type="dxa"/>
            <w:vAlign w:val="bottom"/>
          </w:tcPr>
          <w:p>
            <w:pPr>
              <w:jc w:val="right"/>
              <w:spacing w:after="0" w:line="173" w:lineRule="exact"/>
              <w:rPr>
                <w:sz w:val="20"/>
                <w:szCs w:val="20"/>
                <w:color w:val="auto"/>
              </w:rPr>
            </w:pPr>
            <w:r>
              <w:rPr>
                <w:rFonts w:ascii="Arial" w:cs="Arial" w:eastAsia="Arial" w:hAnsi="Arial"/>
                <w:sz w:val="16"/>
                <w:szCs w:val="16"/>
                <w:color w:val="auto"/>
              </w:rPr>
              <w:t>(500)</w:t>
            </w:r>
          </w:p>
        </w:tc>
        <w:tc>
          <w:tcPr>
            <w:tcW w:w="700" w:type="dxa"/>
            <w:vAlign w:val="bottom"/>
          </w:tcPr>
          <w:p>
            <w:pPr>
              <w:spacing w:after="0"/>
              <w:rPr>
                <w:sz w:val="15"/>
                <w:szCs w:val="15"/>
                <w:color w:val="auto"/>
              </w:rPr>
            </w:pPr>
          </w:p>
        </w:tc>
        <w:tc>
          <w:tcPr>
            <w:tcW w:w="1360" w:type="dxa"/>
            <w:vAlign w:val="bottom"/>
          </w:tcPr>
          <w:p>
            <w:pPr>
              <w:jc w:val="right"/>
              <w:ind w:right="564"/>
              <w:spacing w:after="0" w:line="173" w:lineRule="exact"/>
              <w:rPr>
                <w:sz w:val="20"/>
                <w:szCs w:val="20"/>
                <w:color w:val="auto"/>
              </w:rPr>
            </w:pPr>
            <w:r>
              <w:rPr>
                <w:rFonts w:ascii="Arial" w:cs="Arial" w:eastAsia="Arial" w:hAnsi="Arial"/>
                <w:sz w:val="16"/>
                <w:szCs w:val="16"/>
                <w:color w:val="auto"/>
              </w:rPr>
              <w:t>(75)</w:t>
            </w:r>
          </w:p>
        </w:tc>
        <w:tc>
          <w:tcPr>
            <w:tcW w:w="1000" w:type="dxa"/>
            <w:vAlign w:val="bottom"/>
          </w:tcPr>
          <w:p>
            <w:pPr>
              <w:jc w:val="right"/>
              <w:ind w:right="482"/>
              <w:spacing w:after="0" w:line="173" w:lineRule="exact"/>
              <w:rPr>
                <w:sz w:val="20"/>
                <w:szCs w:val="20"/>
                <w:color w:val="auto"/>
              </w:rPr>
            </w:pPr>
            <w:r>
              <w:rPr>
                <w:rFonts w:ascii="Arial" w:cs="Arial" w:eastAsia="Arial" w:hAnsi="Arial"/>
                <w:sz w:val="16"/>
                <w:szCs w:val="16"/>
                <w:color w:val="auto"/>
              </w:rPr>
              <w:t>(13)</w:t>
            </w:r>
          </w:p>
        </w:tc>
        <w:tc>
          <w:tcPr>
            <w:tcW w:w="1340" w:type="dxa"/>
            <w:vAlign w:val="bottom"/>
          </w:tcPr>
          <w:p>
            <w:pPr>
              <w:spacing w:after="0"/>
              <w:rPr>
                <w:sz w:val="15"/>
                <w:szCs w:val="15"/>
                <w:color w:val="auto"/>
              </w:rPr>
            </w:pPr>
          </w:p>
        </w:tc>
        <w:tc>
          <w:tcPr>
            <w:tcW w:w="400" w:type="dxa"/>
            <w:vAlign w:val="bottom"/>
          </w:tcPr>
          <w:p>
            <w:pPr>
              <w:jc w:val="right"/>
              <w:spacing w:after="0" w:line="173" w:lineRule="exact"/>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80"/>
        </w:trPr>
        <w:tc>
          <w:tcPr>
            <w:tcW w:w="3620" w:type="dxa"/>
            <w:vAlign w:val="bottom"/>
            <w:shd w:val="clear" w:color="auto" w:fill="C0C0C0"/>
          </w:tcPr>
          <w:p>
            <w:pPr>
              <w:spacing w:after="0"/>
              <w:rPr>
                <w:sz w:val="6"/>
                <w:szCs w:val="6"/>
                <w:color w:val="auto"/>
              </w:rPr>
            </w:pPr>
          </w:p>
        </w:tc>
        <w:tc>
          <w:tcPr>
            <w:tcW w:w="2100" w:type="dxa"/>
            <w:vAlign w:val="bottom"/>
            <w:shd w:val="clear" w:color="auto" w:fill="C0C0C0"/>
          </w:tcPr>
          <w:p>
            <w:pPr>
              <w:spacing w:after="0"/>
              <w:rPr>
                <w:sz w:val="6"/>
                <w:szCs w:val="6"/>
                <w:color w:val="auto"/>
              </w:rPr>
            </w:pPr>
          </w:p>
        </w:tc>
        <w:tc>
          <w:tcPr>
            <w:tcW w:w="900" w:type="dxa"/>
            <w:vAlign w:val="bottom"/>
            <w:tcBorders>
              <w:right w:val="single" w:sz="8" w:color="C0C0C0"/>
            </w:tcBorders>
            <w:shd w:val="clear" w:color="auto" w:fill="C0C0C0"/>
          </w:tcPr>
          <w:p>
            <w:pPr>
              <w:spacing w:after="0"/>
              <w:rPr>
                <w:sz w:val="6"/>
                <w:szCs w:val="6"/>
                <w:color w:val="auto"/>
              </w:rPr>
            </w:pPr>
          </w:p>
        </w:tc>
        <w:tc>
          <w:tcPr>
            <w:tcW w:w="700" w:type="dxa"/>
            <w:vAlign w:val="bottom"/>
            <w:shd w:val="clear" w:color="auto" w:fill="C0C0C0"/>
          </w:tcPr>
          <w:p>
            <w:pPr>
              <w:spacing w:after="0"/>
              <w:rPr>
                <w:sz w:val="6"/>
                <w:szCs w:val="6"/>
                <w:color w:val="auto"/>
              </w:rPr>
            </w:pPr>
          </w:p>
        </w:tc>
        <w:tc>
          <w:tcPr>
            <w:tcW w:w="1360" w:type="dxa"/>
            <w:vAlign w:val="bottom"/>
            <w:shd w:val="clear" w:color="auto" w:fill="C0C0C0"/>
          </w:tcPr>
          <w:p>
            <w:pPr>
              <w:spacing w:after="0"/>
              <w:rPr>
                <w:sz w:val="6"/>
                <w:szCs w:val="6"/>
                <w:color w:val="auto"/>
              </w:rPr>
            </w:pPr>
          </w:p>
        </w:tc>
        <w:tc>
          <w:tcPr>
            <w:tcW w:w="1000" w:type="dxa"/>
            <w:vAlign w:val="bottom"/>
            <w:tcBorders>
              <w:right w:val="single" w:sz="8" w:color="C0C0C0"/>
            </w:tcBorders>
            <w:shd w:val="clear" w:color="auto" w:fill="C0C0C0"/>
          </w:tcPr>
          <w:p>
            <w:pPr>
              <w:spacing w:after="0"/>
              <w:rPr>
                <w:sz w:val="6"/>
                <w:szCs w:val="6"/>
                <w:color w:val="auto"/>
              </w:rPr>
            </w:pPr>
          </w:p>
        </w:tc>
        <w:tc>
          <w:tcPr>
            <w:tcW w:w="1340" w:type="dxa"/>
            <w:vAlign w:val="bottom"/>
            <w:shd w:val="clear" w:color="auto" w:fill="C0C0C0"/>
          </w:tcPr>
          <w:p>
            <w:pPr>
              <w:spacing w:after="0"/>
              <w:rPr>
                <w:sz w:val="6"/>
                <w:szCs w:val="6"/>
                <w:color w:val="auto"/>
              </w:rPr>
            </w:pPr>
          </w:p>
        </w:tc>
        <w:tc>
          <w:tcPr>
            <w:tcW w:w="400" w:type="dxa"/>
            <w:vAlign w:val="bottom"/>
            <w:shd w:val="clear" w:color="auto" w:fill="C0C0C0"/>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-172085</wp:posOffset>
            </wp:positionV>
            <wp:extent cx="33655" cy="1854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18542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-172085</wp:posOffset>
            </wp:positionV>
            <wp:extent cx="33655" cy="1854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18542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Energy Consolidated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investing activities at Sempra Energy increased in 2014 primarily due to:</w:t>
      </w:r>
    </w:p>
    <w:p>
      <w:pPr>
        <w:spacing w:after="0" w:line="218" w:lineRule="exact"/>
        <w:rPr>
          <w:sz w:val="20"/>
          <w:szCs w:val="20"/>
          <w:color w:val="auto"/>
        </w:rPr>
      </w:pPr>
    </w:p>
    <w:p>
      <w:pPr>
        <w:ind w:left="320" w:hanging="172"/>
        <w:spacing w:after="0"/>
        <w:tabs>
          <w:tab w:leader="none" w:pos="3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$383 million increase in capital expenditures;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$371 million of proceeds received in 2013 from Sempra Natural Gas’ sale of a 625-MW block of its Mesquite Power plant;</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 million invested in a 50-percent equity interest in the California solar partnership with ConEdison Development in 2014; and</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million U.S. Treasury grant proceeds in 2013.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SDG&amp;E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investing activities at SDG&amp;E increased in 2014 primarily due to a $97 million increase in capital expenditures.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SoCalGas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investing activities at SoCalGas decreased in 2014 due to:</w:t>
      </w:r>
    </w:p>
    <w:p>
      <w:pPr>
        <w:spacing w:after="0" w:line="216" w:lineRule="exact"/>
        <w:rPr>
          <w:sz w:val="20"/>
          <w:szCs w:val="20"/>
          <w:color w:val="auto"/>
        </w:rPr>
      </w:pPr>
    </w:p>
    <w:p>
      <w:pPr>
        <w:ind w:left="320" w:hanging="172"/>
        <w:spacing w:after="0"/>
        <w:tabs>
          <w:tab w:leader="none" w:pos="3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$235 million increase in advances to Sempra Energy in 2013;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 million increase in capital expenditures.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CONSTRUCTION EXPENDITURES AND INVESTMENTS</w:t>
      </w:r>
    </w:p>
    <w:p>
      <w:pPr>
        <w:spacing w:after="0" w:line="225" w:lineRule="exact"/>
        <w:rPr>
          <w:sz w:val="20"/>
          <w:szCs w:val="20"/>
          <w:color w:val="auto"/>
        </w:rPr>
      </w:pPr>
    </w:p>
    <w:p>
      <w:pPr>
        <w:jc w:val="both"/>
        <w:ind w:right="360"/>
        <w:spacing w:after="0" w:line="260" w:lineRule="auto"/>
        <w:rPr>
          <w:sz w:val="20"/>
          <w:szCs w:val="20"/>
          <w:color w:val="auto"/>
        </w:rPr>
      </w:pPr>
      <w:r>
        <w:rPr>
          <w:rFonts w:ascii="Times New Roman" w:cs="Times New Roman" w:eastAsia="Times New Roman" w:hAnsi="Times New Roman"/>
          <w:sz w:val="18"/>
          <w:szCs w:val="18"/>
          <w:color w:val="auto"/>
        </w:rPr>
        <w:t>The amounts and timing of capital expenditures are generally subject to approvals by various regulatory and other governmental and environmental bodies, including the CPUC and the FERC. However, in 2014, we expect to make annual capital expenditures and investments of approximately $3.4 billion. These expenditures include</w:t>
      </w:r>
    </w:p>
    <w:p>
      <w:pPr>
        <w:spacing w:after="0" w:line="178" w:lineRule="exact"/>
        <w:rPr>
          <w:sz w:val="20"/>
          <w:szCs w:val="20"/>
          <w:color w:val="auto"/>
        </w:rPr>
      </w:pPr>
    </w:p>
    <w:p>
      <w:pPr>
        <w:ind w:left="320" w:hanging="172"/>
        <w:spacing w:after="0"/>
        <w:tabs>
          <w:tab w:leader="none" w:pos="3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billion at the California Utilities for capital projects and plant improvements ($1.1 billion at both SDG&amp;E and SoCalGas)</w:t>
      </w:r>
    </w:p>
    <w:p>
      <w:pPr>
        <w:spacing w:after="0" w:line="244"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billion at our other subsidiaries for capital projects in Mexico and South America, and development of LNG, natural gas and renewable generation projects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hanging="172"/>
        <w:spacing w:after="0"/>
        <w:tabs>
          <w:tab w:leader="none" w:pos="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$610 million for improvements to SDG&amp;E’s natural gas and electric distribution systems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million for improvements to SDG&amp;E’s electric transmission systems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million at SDG&amp;E for substation expansions (transmission)</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for SDG&amp;E’s electric generation plants and equipment</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$880 million for improvements to SoCalGas’ distribution and transmission systems and storage, and for pipeline safety</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 million for SoCalGas’ advanced metering infrastructure</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for SoCalGas’ other natural gas projects</w:t>
      </w:r>
    </w:p>
    <w:p>
      <w:pPr>
        <w:sectPr>
          <w:pgSz w:w="11900" w:h="16838" w:orient="portrait"/>
          <w:cols w:equalWidth="0" w:num="1">
            <w:col w:w="11420"/>
          </w:cols>
          <w:pgMar w:left="240" w:top="531" w:right="239" w:bottom="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The California Utilities expect to finance these expenditures and investments with cash flows from operations and debt issuances.</w:t>
      </w:r>
    </w:p>
    <w:p>
      <w:pPr>
        <w:spacing w:after="0" w:line="218"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In 2014, the expected capital expenditures and investments of approximately $1.2 billion (excluding amounts expended by joint ventures and net of anticipated project financing and joint venture structures as noted below) at our other subsidiaries include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Sempra South American Utilities</w:t>
      </w:r>
    </w:p>
    <w:p>
      <w:pPr>
        <w:spacing w:after="0" w:line="220" w:lineRule="exact"/>
        <w:rPr>
          <w:sz w:val="20"/>
          <w:szCs w:val="20"/>
          <w:color w:val="auto"/>
        </w:rPr>
      </w:pPr>
    </w:p>
    <w:p>
      <w:pPr>
        <w:ind w:left="320" w:hanging="172"/>
        <w:spacing w:after="0" w:line="275" w:lineRule="auto"/>
        <w:tabs>
          <w:tab w:leader="none" w:pos="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$150 million to $200 million for capital projects in South America (approximately $100 million to $150 million in Peru and approximately $50 million in Chile)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Sempra Mexico</w:t>
      </w:r>
    </w:p>
    <w:p>
      <w:pPr>
        <w:spacing w:after="0" w:line="220" w:lineRule="exact"/>
        <w:rPr>
          <w:sz w:val="20"/>
          <w:szCs w:val="20"/>
          <w:color w:val="auto"/>
        </w:rPr>
      </w:pPr>
    </w:p>
    <w:p>
      <w:pPr>
        <w:ind w:left="320" w:hanging="172"/>
        <w:spacing w:after="0" w:line="275" w:lineRule="auto"/>
        <w:tabs>
          <w:tab w:leader="none" w:pos="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$300 million to $350 million for capital projects in Mexico, including approximately $300 million for the development of the Sonora Pipeline project developed solely by Sempra Mexico</w:t>
      </w:r>
    </w:p>
    <w:p>
      <w:pPr>
        <w:spacing w:after="0" w:line="190" w:lineRule="exact"/>
        <w:rPr>
          <w:rFonts w:ascii="Times New Roman" w:cs="Times New Roman" w:eastAsia="Times New Roman" w:hAnsi="Times New Roman"/>
          <w:sz w:val="18"/>
          <w:szCs w:val="18"/>
          <w:color w:val="auto"/>
        </w:rPr>
      </w:pPr>
    </w:p>
    <w:p>
      <w:pPr>
        <w:jc w:val="both"/>
        <w:ind w:left="320" w:hanging="172"/>
        <w:spacing w:after="0" w:line="260" w:lineRule="auto"/>
        <w:tabs>
          <w:tab w:leader="none" w:pos="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$450 million of expenditures for pipeline projects within our joint venture with Petróleos Mexicanos (or PEMEX, the Mexican state-owned oil company). We expect these expenditures within the joint venture to be funded by the joint venture’s cash flows from operations, project financing and additional contributions from its partners</w:t>
      </w:r>
    </w:p>
    <w:p>
      <w:pPr>
        <w:spacing w:after="0" w:line="204"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$225 million of expenditures for the Energía Sierra Juárez renewable wind project to be primarily funded by project financing at the joint venture formed in July 2014, as we discuss in Note 3 of the Notes to Condensed Consolidated Financial Statements herein</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Sempra Renewables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are net of anticipated project financing and joint venture structures:</w:t>
      </w:r>
    </w:p>
    <w:p>
      <w:pPr>
        <w:spacing w:after="0" w:line="218" w:lineRule="exact"/>
        <w:rPr>
          <w:sz w:val="20"/>
          <w:szCs w:val="20"/>
          <w:color w:val="auto"/>
        </w:rPr>
      </w:pPr>
    </w:p>
    <w:p>
      <w:pPr>
        <w:ind w:left="320" w:hanging="172"/>
        <w:spacing w:after="0"/>
        <w:tabs>
          <w:tab w:leader="none" w:pos="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$300 million for the development of renewable projects, including</w:t>
      </w:r>
    </w:p>
    <w:p>
      <w:pPr>
        <w:spacing w:after="0" w:line="244" w:lineRule="exact"/>
        <w:rPr>
          <w:rFonts w:ascii="Times New Roman" w:cs="Times New Roman" w:eastAsia="Times New Roman" w:hAnsi="Times New Roman"/>
          <w:sz w:val="18"/>
          <w:szCs w:val="18"/>
          <w:color w:val="auto"/>
        </w:rPr>
      </w:pPr>
    </w:p>
    <w:p>
      <w:pPr>
        <w:ind w:left="640" w:hanging="191"/>
        <w:spacing w:after="0"/>
        <w:tabs>
          <w:tab w:leader="none" w:pos="6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$100 million for investment in Copper Mountain Solar 3, a 250-MW solar project located near Boulder City, Nevada</w:t>
      </w:r>
    </w:p>
    <w:p>
      <w:pPr>
        <w:spacing w:after="0" w:line="244" w:lineRule="exact"/>
        <w:rPr>
          <w:rFonts w:ascii="Times New Roman" w:cs="Times New Roman" w:eastAsia="Times New Roman" w:hAnsi="Times New Roman"/>
          <w:sz w:val="18"/>
          <w:szCs w:val="18"/>
          <w:color w:val="auto"/>
        </w:rPr>
      </w:pPr>
    </w:p>
    <w:p>
      <w:pPr>
        <w:ind w:left="640" w:hanging="191"/>
        <w:spacing w:after="0" w:line="275" w:lineRule="auto"/>
        <w:tabs>
          <w:tab w:leader="none" w:pos="6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$100 million for investment in the California solar partnership with ConEdison Development that we discuss in Note 4 of the Notes to Condensed Consolidated Financial Statements herein</w:t>
      </w:r>
    </w:p>
    <w:p>
      <w:pPr>
        <w:spacing w:after="0" w:line="190" w:lineRule="exact"/>
        <w:rPr>
          <w:rFonts w:ascii="Times New Roman" w:cs="Times New Roman" w:eastAsia="Times New Roman" w:hAnsi="Times New Roman"/>
          <w:sz w:val="18"/>
          <w:szCs w:val="18"/>
          <w:color w:val="auto"/>
        </w:rPr>
      </w:pPr>
    </w:p>
    <w:p>
      <w:pPr>
        <w:ind w:left="640" w:hanging="191"/>
        <w:spacing w:after="0"/>
        <w:tabs>
          <w:tab w:leader="none" w:pos="6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$80 million for investment in the 75-MW Broken Bow 2 Wind project in Custer County, Nebraska</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Sempra Natural Gas</w:t>
      </w:r>
    </w:p>
    <w:p>
      <w:pPr>
        <w:spacing w:after="0" w:line="220" w:lineRule="exact"/>
        <w:rPr>
          <w:sz w:val="20"/>
          <w:szCs w:val="20"/>
          <w:color w:val="auto"/>
        </w:rPr>
      </w:pPr>
    </w:p>
    <w:p>
      <w:pPr>
        <w:ind w:left="320" w:hanging="172"/>
        <w:spacing w:after="0" w:line="275" w:lineRule="auto"/>
        <w:tabs>
          <w:tab w:leader="none" w:pos="3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$400 million for development of LNG and natural gas transportation and storage projects, net of anticipated joint venture partner reimbursements</w:t>
      </w:r>
    </w:p>
    <w:p>
      <w:pPr>
        <w:spacing w:after="0" w:line="19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Capital expenditure amounts include capitalized interest. At the California Utilities, the amounts also include the portion of AFUDC related to debt, but exclude the portion of AFUDC related to equity. At Sempra Mexico, the amounts also exclude AFUDC related to equity. We provide further details about AFUDC in Note 1 of the Notes to Consolidated Financial Statements in the Annual Report.</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color w:val="auto"/>
        </w:rPr>
        <w:t>CASH FLOWS FROM FINANCING ACTIVITIES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3060" w:type="dxa"/>
            <w:vAlign w:val="bottom"/>
            <w:vMerge w:val="restart"/>
          </w:tcPr>
          <w:p>
            <w:pPr>
              <w:jc w:val="center"/>
              <w:ind w:left="1768"/>
              <w:spacing w:after="0"/>
              <w:rPr>
                <w:sz w:val="20"/>
                <w:szCs w:val="20"/>
                <w:color w:val="auto"/>
              </w:rPr>
            </w:pPr>
            <w:r>
              <w:rPr>
                <w:rFonts w:ascii="Arial" w:cs="Arial" w:eastAsia="Arial" w:hAnsi="Arial"/>
                <w:sz w:val="14"/>
                <w:szCs w:val="14"/>
                <w:color w:val="auto"/>
              </w:rPr>
              <w:t>Six months ended</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0" w:type="dxa"/>
            <w:vAlign w:val="bottom"/>
            <w:vMerge w:val="restart"/>
          </w:tcPr>
          <w:p>
            <w:pPr>
              <w:jc w:val="center"/>
              <w:ind w:left="248"/>
              <w:spacing w:after="0"/>
              <w:rPr>
                <w:sz w:val="20"/>
                <w:szCs w:val="20"/>
                <w:color w:val="auto"/>
              </w:rPr>
            </w:pPr>
            <w:r>
              <w:rPr>
                <w:rFonts w:ascii="Arial" w:cs="Arial" w:eastAsia="Arial" w:hAnsi="Arial"/>
                <w:sz w:val="14"/>
                <w:szCs w:val="14"/>
                <w:color w:val="auto"/>
                <w:w w:val="99"/>
              </w:rPr>
              <w:t>Six months ended</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60" w:type="dxa"/>
            <w:vAlign w:val="bottom"/>
          </w:tcPr>
          <w:p>
            <w:pPr>
              <w:spacing w:after="0"/>
              <w:rPr>
                <w:sz w:val="12"/>
                <w:szCs w:val="12"/>
                <w:color w:val="auto"/>
              </w:rPr>
            </w:pPr>
          </w:p>
        </w:tc>
        <w:tc>
          <w:tcPr>
            <w:tcW w:w="30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jc w:val="center"/>
              <w:ind w:left="1768"/>
              <w:spacing w:after="0"/>
              <w:rPr>
                <w:sz w:val="20"/>
                <w:szCs w:val="20"/>
                <w:color w:val="auto"/>
              </w:rPr>
            </w:pPr>
            <w:r>
              <w:rPr>
                <w:rFonts w:ascii="Arial" w:cs="Arial" w:eastAsia="Arial" w:hAnsi="Arial"/>
                <w:sz w:val="14"/>
                <w:szCs w:val="14"/>
                <w:color w:val="auto"/>
              </w:rPr>
              <w:t>June 30, 2014</w:t>
            </w:r>
          </w:p>
        </w:tc>
        <w:tc>
          <w:tcPr>
            <w:tcW w:w="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color w:val="auto"/>
              </w:rPr>
              <w:t>2014 Change</w:t>
            </w:r>
          </w:p>
        </w:tc>
        <w:tc>
          <w:tcPr>
            <w:tcW w:w="16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color w:val="auto"/>
              </w:rPr>
              <w:t>June 30, 2013</w:t>
            </w: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line="135" w:lineRule="exact"/>
              <w:rPr>
                <w:sz w:val="20"/>
                <w:szCs w:val="20"/>
                <w:color w:val="auto"/>
              </w:rPr>
            </w:pPr>
            <w:r>
              <w:rPr>
                <w:rFonts w:ascii="Arial" w:cs="Arial" w:eastAsia="Arial" w:hAnsi="Arial"/>
                <w:sz w:val="15"/>
                <w:szCs w:val="15"/>
                <w:color w:val="auto"/>
              </w:rPr>
              <w:t>Sempra Energy Consolidated</w:t>
            </w:r>
          </w:p>
        </w:tc>
        <w:tc>
          <w:tcPr>
            <w:tcW w:w="3060" w:type="dxa"/>
            <w:vAlign w:val="bottom"/>
          </w:tcPr>
          <w:p>
            <w:pPr>
              <w:jc w:val="right"/>
              <w:ind w:right="968"/>
              <w:spacing w:after="0" w:line="135" w:lineRule="exact"/>
              <w:rPr>
                <w:sz w:val="20"/>
                <w:szCs w:val="20"/>
                <w:color w:val="auto"/>
              </w:rPr>
            </w:pPr>
            <w:r>
              <w:rPr>
                <w:rFonts w:ascii="Arial" w:cs="Arial" w:eastAsia="Arial" w:hAnsi="Arial"/>
                <w:sz w:val="15"/>
                <w:szCs w:val="15"/>
                <w:color w:val="auto"/>
              </w:rPr>
              <w:t>$</w:t>
            </w:r>
          </w:p>
        </w:tc>
        <w:tc>
          <w:tcPr>
            <w:tcW w:w="38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5"/>
                <w:szCs w:val="15"/>
                <w:color w:val="auto"/>
              </w:rPr>
              <w:t>472</w:t>
            </w:r>
          </w:p>
        </w:tc>
        <w:tc>
          <w:tcPr>
            <w:tcW w:w="480" w:type="dxa"/>
            <w:vAlign w:val="bottom"/>
          </w:tcPr>
          <w:p>
            <w:pPr>
              <w:jc w:val="right"/>
              <w:ind w:right="26"/>
              <w:spacing w:after="0" w:line="135" w:lineRule="exact"/>
              <w:rPr>
                <w:sz w:val="20"/>
                <w:szCs w:val="20"/>
                <w:color w:val="auto"/>
              </w:rPr>
            </w:pPr>
            <w:r>
              <w:rPr>
                <w:rFonts w:ascii="Arial" w:cs="Arial" w:eastAsia="Arial" w:hAnsi="Arial"/>
                <w:sz w:val="15"/>
                <w:szCs w:val="15"/>
                <w:color w:val="auto"/>
              </w:rPr>
              <w:t>$</w:t>
            </w:r>
          </w:p>
        </w:tc>
        <w:tc>
          <w:tcPr>
            <w:tcW w:w="1600" w:type="dxa"/>
            <w:vAlign w:val="bottom"/>
            <w:tcBorders>
              <w:right w:val="single" w:sz="8" w:color="auto"/>
            </w:tcBorders>
          </w:tcPr>
          <w:p>
            <w:pPr>
              <w:jc w:val="right"/>
              <w:ind w:right="424"/>
              <w:spacing w:after="0" w:line="135" w:lineRule="exact"/>
              <w:rPr>
                <w:sz w:val="20"/>
                <w:szCs w:val="20"/>
                <w:color w:val="auto"/>
              </w:rPr>
            </w:pPr>
            <w:r>
              <w:rPr>
                <w:rFonts w:ascii="Arial" w:cs="Arial" w:eastAsia="Arial" w:hAnsi="Arial"/>
                <w:sz w:val="15"/>
                <w:szCs w:val="15"/>
                <w:color w:val="auto"/>
              </w:rPr>
              <w:t>468</w:t>
            </w:r>
          </w:p>
        </w:tc>
        <w:tc>
          <w:tcPr>
            <w:tcW w:w="1600" w:type="dxa"/>
            <w:vAlign w:val="bottom"/>
          </w:tcPr>
          <w:p>
            <w:pPr>
              <w:jc w:val="right"/>
              <w:ind w:right="1008"/>
              <w:spacing w:after="0" w:line="135" w:lineRule="exact"/>
              <w:rPr>
                <w:sz w:val="20"/>
                <w:szCs w:val="20"/>
                <w:color w:val="auto"/>
              </w:rPr>
            </w:pPr>
            <w:r>
              <w:rPr>
                <w:rFonts w:ascii="Arial" w:cs="Arial" w:eastAsia="Arial" w:hAnsi="Arial"/>
                <w:sz w:val="15"/>
                <w:szCs w:val="15"/>
                <w:color w:val="auto"/>
              </w:rPr>
              <w:t>$</w:t>
            </w:r>
          </w:p>
        </w:tc>
        <w:tc>
          <w:tcPr>
            <w:tcW w:w="340" w:type="dxa"/>
            <w:vAlign w:val="bottom"/>
          </w:tcPr>
          <w:p>
            <w:pPr>
              <w:jc w:val="right"/>
              <w:spacing w:after="0" w:line="135"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4"/>
        </w:trPr>
        <w:tc>
          <w:tcPr>
            <w:tcW w:w="3960" w:type="dxa"/>
            <w:vAlign w:val="bottom"/>
          </w:tcPr>
          <w:p>
            <w:pPr>
              <w:spacing w:after="0" w:line="173" w:lineRule="exact"/>
              <w:rPr>
                <w:sz w:val="20"/>
                <w:szCs w:val="20"/>
                <w:color w:val="auto"/>
              </w:rPr>
            </w:pPr>
            <w:r>
              <w:rPr>
                <w:rFonts w:ascii="Arial" w:cs="Arial" w:eastAsia="Arial" w:hAnsi="Arial"/>
                <w:sz w:val="16"/>
                <w:szCs w:val="16"/>
                <w:color w:val="auto"/>
              </w:rPr>
              <w:t>SDG&amp;E</w:t>
            </w:r>
          </w:p>
        </w:tc>
        <w:tc>
          <w:tcPr>
            <w:tcW w:w="3060" w:type="dxa"/>
            <w:vAlign w:val="bottom"/>
          </w:tcPr>
          <w:p>
            <w:pPr>
              <w:spacing w:after="0"/>
              <w:rPr>
                <w:sz w:val="17"/>
                <w:szCs w:val="17"/>
                <w:color w:val="auto"/>
              </w:rPr>
            </w:pPr>
          </w:p>
        </w:tc>
        <w:tc>
          <w:tcPr>
            <w:tcW w:w="380" w:type="dxa"/>
            <w:vAlign w:val="bottom"/>
            <w:tcBorders>
              <w:right w:val="single" w:sz="8" w:color="auto"/>
            </w:tcBorders>
          </w:tcPr>
          <w:p>
            <w:pPr>
              <w:jc w:val="right"/>
              <w:spacing w:after="0" w:line="173" w:lineRule="exact"/>
              <w:rPr>
                <w:sz w:val="20"/>
                <w:szCs w:val="20"/>
                <w:color w:val="auto"/>
              </w:rPr>
            </w:pPr>
            <w:r>
              <w:rPr>
                <w:rFonts w:ascii="Arial" w:cs="Arial" w:eastAsia="Arial" w:hAnsi="Arial"/>
                <w:sz w:val="16"/>
                <w:szCs w:val="16"/>
                <w:color w:val="auto"/>
              </w:rPr>
              <w:t>135</w:t>
            </w:r>
          </w:p>
        </w:tc>
        <w:tc>
          <w:tcPr>
            <w:tcW w:w="480" w:type="dxa"/>
            <w:vAlign w:val="bottom"/>
          </w:tcPr>
          <w:p>
            <w:pPr>
              <w:spacing w:after="0"/>
              <w:rPr>
                <w:sz w:val="17"/>
                <w:szCs w:val="17"/>
                <w:color w:val="auto"/>
              </w:rPr>
            </w:pPr>
          </w:p>
        </w:tc>
        <w:tc>
          <w:tcPr>
            <w:tcW w:w="1600" w:type="dxa"/>
            <w:vAlign w:val="bottom"/>
            <w:tcBorders>
              <w:right w:val="single" w:sz="8" w:color="auto"/>
            </w:tcBorders>
          </w:tcPr>
          <w:p>
            <w:pPr>
              <w:jc w:val="right"/>
              <w:ind w:right="424"/>
              <w:spacing w:after="0" w:line="173" w:lineRule="exact"/>
              <w:rPr>
                <w:sz w:val="20"/>
                <w:szCs w:val="20"/>
                <w:color w:val="auto"/>
              </w:rPr>
            </w:pPr>
            <w:r>
              <w:rPr>
                <w:rFonts w:ascii="Arial" w:cs="Arial" w:eastAsia="Arial" w:hAnsi="Arial"/>
                <w:sz w:val="16"/>
                <w:szCs w:val="16"/>
                <w:color w:val="auto"/>
              </w:rPr>
              <w:t>93</w:t>
            </w:r>
          </w:p>
        </w:tc>
        <w:tc>
          <w:tcPr>
            <w:tcW w:w="1600" w:type="dxa"/>
            <w:vAlign w:val="bottom"/>
          </w:tcPr>
          <w:p>
            <w:pPr>
              <w:spacing w:after="0"/>
              <w:rPr>
                <w:sz w:val="17"/>
                <w:szCs w:val="17"/>
                <w:color w:val="auto"/>
              </w:rPr>
            </w:pPr>
          </w:p>
        </w:tc>
        <w:tc>
          <w:tcPr>
            <w:tcW w:w="340" w:type="dxa"/>
            <w:vAlign w:val="bottom"/>
          </w:tcPr>
          <w:p>
            <w:pPr>
              <w:jc w:val="right"/>
              <w:spacing w:after="0" w:line="173"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73"/>
        </w:trPr>
        <w:tc>
          <w:tcPr>
            <w:tcW w:w="3960" w:type="dxa"/>
            <w:vAlign w:val="bottom"/>
          </w:tcPr>
          <w:p>
            <w:pPr>
              <w:spacing w:after="0" w:line="173" w:lineRule="exact"/>
              <w:rPr>
                <w:sz w:val="20"/>
                <w:szCs w:val="20"/>
                <w:color w:val="auto"/>
              </w:rPr>
            </w:pPr>
            <w:r>
              <w:rPr>
                <w:rFonts w:ascii="Arial" w:cs="Arial" w:eastAsia="Arial" w:hAnsi="Arial"/>
                <w:sz w:val="16"/>
                <w:szCs w:val="16"/>
                <w:color w:val="auto"/>
              </w:rPr>
              <w:t>SoCalGas</w:t>
            </w:r>
          </w:p>
        </w:tc>
        <w:tc>
          <w:tcPr>
            <w:tcW w:w="3060" w:type="dxa"/>
            <w:vAlign w:val="bottom"/>
          </w:tcPr>
          <w:p>
            <w:pPr>
              <w:spacing w:after="0"/>
              <w:rPr>
                <w:sz w:val="15"/>
                <w:szCs w:val="15"/>
                <w:color w:val="auto"/>
              </w:rPr>
            </w:pPr>
          </w:p>
        </w:tc>
        <w:tc>
          <w:tcPr>
            <w:tcW w:w="380" w:type="dxa"/>
            <w:vAlign w:val="bottom"/>
          </w:tcPr>
          <w:p>
            <w:pPr>
              <w:jc w:val="right"/>
              <w:spacing w:after="0" w:line="173" w:lineRule="exact"/>
              <w:rPr>
                <w:sz w:val="20"/>
                <w:szCs w:val="20"/>
                <w:color w:val="auto"/>
              </w:rPr>
            </w:pPr>
            <w:r>
              <w:rPr>
                <w:rFonts w:ascii="Arial" w:cs="Arial" w:eastAsia="Arial" w:hAnsi="Arial"/>
                <w:sz w:val="16"/>
                <w:szCs w:val="16"/>
                <w:color w:val="auto"/>
              </w:rPr>
              <w:t>26</w:t>
            </w:r>
          </w:p>
        </w:tc>
        <w:tc>
          <w:tcPr>
            <w:tcW w:w="480" w:type="dxa"/>
            <w:vAlign w:val="bottom"/>
          </w:tcPr>
          <w:p>
            <w:pPr>
              <w:spacing w:after="0"/>
              <w:rPr>
                <w:sz w:val="15"/>
                <w:szCs w:val="15"/>
                <w:color w:val="auto"/>
              </w:rPr>
            </w:pPr>
          </w:p>
        </w:tc>
        <w:tc>
          <w:tcPr>
            <w:tcW w:w="1600" w:type="dxa"/>
            <w:vAlign w:val="bottom"/>
          </w:tcPr>
          <w:p>
            <w:pPr>
              <w:jc w:val="right"/>
              <w:ind w:right="424"/>
              <w:spacing w:after="0" w:line="173" w:lineRule="exact"/>
              <w:rPr>
                <w:sz w:val="20"/>
                <w:szCs w:val="20"/>
                <w:color w:val="auto"/>
              </w:rPr>
            </w:pPr>
            <w:r>
              <w:rPr>
                <w:rFonts w:ascii="Arial" w:cs="Arial" w:eastAsia="Arial" w:hAnsi="Arial"/>
                <w:sz w:val="16"/>
                <w:szCs w:val="16"/>
                <w:color w:val="auto"/>
              </w:rPr>
              <w:t>77</w:t>
            </w:r>
          </w:p>
        </w:tc>
        <w:tc>
          <w:tcPr>
            <w:tcW w:w="1600" w:type="dxa"/>
            <w:vAlign w:val="bottom"/>
          </w:tcPr>
          <w:p>
            <w:pPr>
              <w:spacing w:after="0"/>
              <w:rPr>
                <w:sz w:val="15"/>
                <w:szCs w:val="15"/>
                <w:color w:val="auto"/>
              </w:rPr>
            </w:pPr>
          </w:p>
        </w:tc>
        <w:tc>
          <w:tcPr>
            <w:tcW w:w="340" w:type="dxa"/>
            <w:vAlign w:val="bottom"/>
          </w:tcPr>
          <w:p>
            <w:pPr>
              <w:jc w:val="right"/>
              <w:spacing w:after="0" w:line="173"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80"/>
        </w:trPr>
        <w:tc>
          <w:tcPr>
            <w:tcW w:w="3960" w:type="dxa"/>
            <w:vAlign w:val="bottom"/>
            <w:shd w:val="clear" w:color="auto" w:fill="C0C0C0"/>
          </w:tcPr>
          <w:p>
            <w:pPr>
              <w:spacing w:after="0"/>
              <w:rPr>
                <w:sz w:val="6"/>
                <w:szCs w:val="6"/>
                <w:color w:val="auto"/>
              </w:rPr>
            </w:pPr>
          </w:p>
        </w:tc>
        <w:tc>
          <w:tcPr>
            <w:tcW w:w="3060" w:type="dxa"/>
            <w:vAlign w:val="bottom"/>
            <w:shd w:val="clear" w:color="auto" w:fill="C0C0C0"/>
          </w:tcPr>
          <w:p>
            <w:pPr>
              <w:spacing w:after="0"/>
              <w:rPr>
                <w:sz w:val="6"/>
                <w:szCs w:val="6"/>
                <w:color w:val="auto"/>
              </w:rPr>
            </w:pPr>
          </w:p>
        </w:tc>
        <w:tc>
          <w:tcPr>
            <w:tcW w:w="380" w:type="dxa"/>
            <w:vAlign w:val="bottom"/>
            <w:tcBorders>
              <w:right w:val="single" w:sz="8" w:color="C0C0C0"/>
            </w:tcBorders>
            <w:shd w:val="clear" w:color="auto" w:fill="C0C0C0"/>
          </w:tcPr>
          <w:p>
            <w:pPr>
              <w:spacing w:after="0"/>
              <w:rPr>
                <w:sz w:val="6"/>
                <w:szCs w:val="6"/>
                <w:color w:val="auto"/>
              </w:rPr>
            </w:pPr>
          </w:p>
        </w:tc>
        <w:tc>
          <w:tcPr>
            <w:tcW w:w="480" w:type="dxa"/>
            <w:vAlign w:val="bottom"/>
            <w:shd w:val="clear" w:color="auto" w:fill="C0C0C0"/>
          </w:tcPr>
          <w:p>
            <w:pPr>
              <w:spacing w:after="0"/>
              <w:rPr>
                <w:sz w:val="6"/>
                <w:szCs w:val="6"/>
                <w:color w:val="auto"/>
              </w:rPr>
            </w:pPr>
          </w:p>
        </w:tc>
        <w:tc>
          <w:tcPr>
            <w:tcW w:w="1600" w:type="dxa"/>
            <w:vAlign w:val="bottom"/>
            <w:tcBorders>
              <w:right w:val="single" w:sz="8" w:color="C0C0C0"/>
            </w:tcBorders>
            <w:shd w:val="clear" w:color="auto" w:fill="C0C0C0"/>
          </w:tcPr>
          <w:p>
            <w:pPr>
              <w:spacing w:after="0"/>
              <w:rPr>
                <w:sz w:val="6"/>
                <w:szCs w:val="6"/>
                <w:color w:val="auto"/>
              </w:rPr>
            </w:pPr>
          </w:p>
        </w:tc>
        <w:tc>
          <w:tcPr>
            <w:tcW w:w="1600" w:type="dxa"/>
            <w:vAlign w:val="bottom"/>
            <w:shd w:val="clear" w:color="auto" w:fill="C0C0C0"/>
          </w:tcPr>
          <w:p>
            <w:pPr>
              <w:spacing w:after="0"/>
              <w:rPr>
                <w:sz w:val="6"/>
                <w:szCs w:val="6"/>
                <w:color w:val="auto"/>
              </w:rPr>
            </w:pPr>
          </w:p>
        </w:tc>
        <w:tc>
          <w:tcPr>
            <w:tcW w:w="340" w:type="dxa"/>
            <w:vAlign w:val="bottom"/>
            <w:shd w:val="clear" w:color="auto" w:fill="C0C0C0"/>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4674870</wp:posOffset>
            </wp:positionH>
            <wp:positionV relativeFrom="paragraph">
              <wp:posOffset>-172085</wp:posOffset>
            </wp:positionV>
            <wp:extent cx="33655" cy="1854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18542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-172085</wp:posOffset>
            </wp:positionV>
            <wp:extent cx="33655" cy="1854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18542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Energy Consolidated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financing activities at Sempra Energy increased in 2014 primarily due to:</w:t>
      </w:r>
    </w:p>
    <w:p>
      <w:pPr>
        <w:spacing w:after="0" w:line="218" w:lineRule="exact"/>
        <w:rPr>
          <w:sz w:val="20"/>
          <w:szCs w:val="20"/>
          <w:color w:val="auto"/>
        </w:rPr>
      </w:pPr>
    </w:p>
    <w:p>
      <w:pPr>
        <w:jc w:val="both"/>
        <w:ind w:left="320" w:hanging="172"/>
        <w:spacing w:after="0" w:line="260" w:lineRule="auto"/>
        <w:tabs>
          <w:tab w:leader="none" w:pos="3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 billion higher issuances of debt, including an increase in issuances of long-term debt of $577 million ($1.2 billion in 2014 compared to $578 million in 2013) and an increase in commercial paper with maturities greater than 90 days of $874 million ($1.2 billion in 2014 compared to $316 million in 2013); </w:t>
      </w:r>
      <w:r>
        <w:rPr>
          <w:rFonts w:ascii="Times New Roman" w:cs="Times New Roman" w:eastAsia="Times New Roman" w:hAnsi="Times New Roman"/>
          <w:sz w:val="18"/>
          <w:szCs w:val="18"/>
          <w:b w:val="1"/>
          <w:bCs w:val="1"/>
          <w:color w:val="auto"/>
        </w:rPr>
        <w:t>offset by</w:t>
      </w:r>
    </w:p>
    <w:p>
      <w:pPr>
        <w:spacing w:after="0" w:line="20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$574 million net proceeds received in 2013 from the sale of noncontrolling interests at Sempra Mexico;</w:t>
      </w:r>
    </w:p>
    <w:p>
      <w:pPr>
        <w:spacing w:after="0" w:line="244" w:lineRule="exact"/>
        <w:rPr>
          <w:rFonts w:ascii="Times New Roman" w:cs="Times New Roman" w:eastAsia="Times New Roman" w:hAnsi="Times New Roman"/>
          <w:sz w:val="18"/>
          <w:szCs w:val="18"/>
          <w:color w:val="auto"/>
        </w:rPr>
      </w:pPr>
    </w:p>
    <w:p>
      <w:pPr>
        <w:jc w:val="both"/>
        <w:ind w:left="320" w:hanging="172"/>
        <w:spacing w:after="0" w:line="260" w:lineRule="auto"/>
        <w:tabs>
          <w:tab w:leader="none" w:pos="3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$341 million higher payments on debt, including higher payments of long-term debt of $609 million ($1.1 billion in 2014 compared to $494 million in 2013), offset by lower payments of commercial paper and other short-term debt with maturities greater than 90 days of $268 million ($372 million in 2014 compared to $640 million in 2013); and</w:t>
      </w:r>
    </w:p>
    <w:p>
      <w:pPr>
        <w:sectPr>
          <w:pgSz w:w="11900" w:h="16838" w:orient="portrait"/>
          <w:cols w:equalWidth="0" w:num="1">
            <w:col w:w="11420"/>
          </w:cols>
          <w:pgMar w:left="240" w:top="360" w:right="239" w:bottom="0" w:gutter="0" w:footer="0" w:header="0"/>
        </w:sectPr>
      </w:pPr>
    </w:p>
    <w:bookmarkStart w:id="70" w:name="page71"/>
    <w:bookmarkEnd w:id="70"/>
    <w:p>
      <w:pPr>
        <w:ind w:left="140"/>
        <w:spacing w:after="0"/>
        <w:rPr>
          <w:sz w:val="20"/>
          <w:szCs w:val="20"/>
          <w:color w:val="auto"/>
        </w:rPr>
      </w:pPr>
      <w:r>
        <w:rPr>
          <w:rFonts w:ascii="Times New Roman" w:cs="Times New Roman" w:eastAsia="Times New Roman" w:hAnsi="Times New Roman"/>
          <w:sz w:val="18"/>
          <w:szCs w:val="18"/>
          <w:color w:val="auto"/>
        </w:rPr>
        <w:t>§ $54 million decrease in short-term debt in 2014 compared to $10 million decrease in 2013.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SDG&amp;E</w:t>
      </w:r>
    </w:p>
    <w:p>
      <w:pPr>
        <w:spacing w:after="0" w:line="21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The cash provided by financing activities at SDG&amp;E increased in 2014 primarily due to $100 million issuances of commercial paper with maturities greater than 90 days in 2014.</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SoCalGas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SoCalGas, financing activities were a net source of cash in 2014 compared to a use of cash in 2013, primarily due to:</w:t>
      </w:r>
    </w:p>
    <w:p>
      <w:pPr>
        <w:spacing w:after="0" w:line="192" w:lineRule="exact"/>
        <w:rPr>
          <w:sz w:val="20"/>
          <w:szCs w:val="20"/>
          <w:color w:val="auto"/>
        </w:rPr>
      </w:pPr>
    </w:p>
    <w:p>
      <w:pPr>
        <w:ind w:left="320" w:hanging="172"/>
        <w:spacing w:after="0"/>
        <w:tabs>
          <w:tab w:leader="none" w:pos="3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$248 million net proceeds from the issuance of long-term debt in 2014;</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common dividends paid in 2013; and</w:t>
      </w:r>
    </w:p>
    <w:p>
      <w:pPr>
        <w:spacing w:after="0" w:line="242"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million increase in short-term debt in 2014; </w:t>
      </w:r>
      <w:r>
        <w:rPr>
          <w:rFonts w:ascii="Times New Roman" w:cs="Times New Roman" w:eastAsia="Times New Roman" w:hAnsi="Times New Roman"/>
          <w:sz w:val="18"/>
          <w:szCs w:val="18"/>
          <w:b w:val="1"/>
          <w:bCs w:val="1"/>
          <w:color w:val="auto"/>
        </w:rPr>
        <w:t>offset by</w:t>
      </w:r>
    </w:p>
    <w:p>
      <w:pPr>
        <w:spacing w:after="0" w:line="246"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million payment of long-term debt in 2014.</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5"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We discuss significant changes to contractual commitments at Sempra Energy, SDG&amp;E and SoCalGas in Note 11 of the Notes to Condensed Consolidated Financial Statements herein.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22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credit ratings of Sempra Energy, SDG&amp;E and SoCalGas remained at investment grade levels during the first six months of 2014. In January 2014, Moody’s increased SDG&amp;E’s and SoCalGas’ unsecured debt rating to A1 with a stable outlook.</w:t>
      </w:r>
    </w:p>
    <w:p>
      <w:pPr>
        <w:spacing w:after="0" w:line="16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Our credit ratings may affect the rates at which borrowings bear interest and of commitment fees on available unused credit. We provide additional information about our credit ratings at Sempra Energy, SDG&amp;E and SoCalGas in “Management’s Discussion and Analysis of Financial Condition and Results of Operations”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327025</wp:posOffset>
            </wp:positionV>
            <wp:extent cx="72656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color w:val="auto"/>
        </w:rPr>
        <w:t>FACTORS INFLUENCING FUTURE PERFORMANCE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UTILITIES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Overview</w:t>
      </w:r>
    </w:p>
    <w:p>
      <w:pPr>
        <w:spacing w:after="0" w:line="21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California Utilities’ operations have historically provided relatively stable earnings and liquidity. However, for the next few years, SoCalGas intends to limit its common stock dividends to reinvest its earnings in significant capital projects.</w:t>
      </w:r>
    </w:p>
    <w:p>
      <w:pPr>
        <w:spacing w:after="0" w:line="16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California Utilities’ performance will depend primarily on the ratemaking and regulatory process, environmental regulations, economic conditions, actions by the California legislature and the changing energy marketplace. Their performance will also depend on the successful completion of capital projects that we discuss in various sections of this report and below. We discuss certain regulatory matters below and in Note 10 of the Notes to Condensed Consolidated Financial Statements herein and Note 14 of the Notes to Consolidated Financial Statements in the Annual Report.</w:t>
      </w:r>
    </w:p>
    <w:p>
      <w:pPr>
        <w:spacing w:after="0" w:line="180"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SDG&amp;E may also continue to be significantly impacted by matters at SONGS. We discuss SONGS below, in Notes 9 and 11 of the Notes to Condensed Consolidated Financial Statements herein, in Notes 13 and 15 of the Notes to Consolidated Financial Statements in the Annual Report, and in “Risk Factors” in the Annual Report.</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Joint Matters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Natural Gas Pipeline Operations Safety Assessments</w:t>
      </w:r>
    </w:p>
    <w:p>
      <w:pPr>
        <w:spacing w:after="0" w:line="21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Pending the outcome of the various regulatory agency evaluations of natural gas pipeline safety regulations, practices and procedures, Sempra Energy, including the California Utilities, may incur incremental expense and capital investment associated with its natural gas pipeline operations and investments. In August 2011, SoCalGas, SDG&amp;E, Pacific Gas and Electric Company (PG&amp;E) and Southwest Gas filed implementation plans with the CPUC to test or replace natural gas transmission pipelines located in populated areas that have not been pressure tested, as we discuss in Note 14 of the Notes to Consolidated Financial Statements in the Annual Report. In their 2011 filing with the CPUC, the California Utilities estimated the total cost for Phase 1 of the two-phase plan to be $3.1 billion ($2.5 billion for SoCalGas and $600 million for SDG&amp;E) over the 10-year period of 2012 to 2022. As a result of on-going review since this original filing, the California Utilities have been able to eliminate over two hundred miles of pipeline from the testing scope and have revised their total estimated cost for Phase 1 to $2.1 billion ($1.6 billion for SoCalGas and $500 million for SDG&amp;E). The California Utilities requested that the incremental capital investment required as a result of any approved plan be included in rate base and that cost recovery be allowed for any other incremental cost not eligible for rate-base recovery. The costs that are the subject of these plans were outside the scope of the 2012 General Rate Case proceedings concluded in 2013.</w:t>
      </w:r>
    </w:p>
    <w:p>
      <w:pPr>
        <w:spacing w:after="0" w:line="17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In June 2014, the CPUC issued a final decision in the Triennial Cost Allocation Proceeding (TCAP) proceeding addressing SDG&amp;E’s and SoCalGas’ Pipeline Safety Enhancement Plan (PSEP). Specifically, the decision:</w:t>
      </w:r>
    </w:p>
    <w:p>
      <w:pPr>
        <w:sectPr>
          <w:pgSz w:w="11900" w:h="16838" w:orient="portrait"/>
          <w:cols w:equalWidth="0" w:num="1">
            <w:col w:w="11420"/>
          </w:cols>
          <w:pgMar w:left="240" w:top="121" w:right="239" w:bottom="0" w:gutter="0" w:footer="0" w:header="0"/>
        </w:sectPr>
      </w:pPr>
    </w:p>
    <w:bookmarkStart w:id="71" w:name="page72"/>
    <w:bookmarkEnd w:id="71"/>
    <w:p>
      <w:pPr>
        <w:ind w:left="320" w:hanging="172"/>
        <w:spacing w:after="0"/>
        <w:tabs>
          <w:tab w:leader="none" w:pos="3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utilities’ model for implementing PSEP;</w:t>
      </w:r>
    </w:p>
    <w:p>
      <w:pPr>
        <w:spacing w:after="0" w:line="244"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 process, including a reasonableness review, to determine the amount that the utilities will be authorized to recover from ratepayers of interim costs incurred to implement PSEP, which are recorded in the regulatory accounts authorized by the CPUC in 2012;</w:t>
      </w:r>
    </w:p>
    <w:p>
      <w:pPr>
        <w:spacing w:after="0" w:line="190"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balancing account treatment, subject to a reasonableness review, for incremental costs yet to be incurred to implement PSEP; and</w:t>
      </w:r>
    </w:p>
    <w:p>
      <w:pPr>
        <w:spacing w:after="0" w:line="244" w:lineRule="exact"/>
        <w:rPr>
          <w:rFonts w:ascii="Times New Roman" w:cs="Times New Roman" w:eastAsia="Times New Roman" w:hAnsi="Times New Roman"/>
          <w:sz w:val="18"/>
          <w:szCs w:val="18"/>
          <w:color w:val="auto"/>
        </w:rPr>
      </w:pPr>
    </w:p>
    <w:p>
      <w:pPr>
        <w:jc w:val="both"/>
        <w:ind w:left="320" w:hanging="172"/>
        <w:spacing w:after="0" w:line="260" w:lineRule="auto"/>
        <w:tabs>
          <w:tab w:leader="none" w:pos="3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criteria to determine the amounts that would not be eligible for cost recovery, including certain costs incurred or to be incurred associated with records review, the cost of pressure testing pipelines installed after July 1, 1961 for which the company has not found sufficient records of testing, and any undepreciated balances for pipelines that were replaced as a result of this program.</w:t>
      </w:r>
    </w:p>
    <w:p>
      <w:pPr>
        <w:spacing w:after="0" w:line="20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 July 2014, the CPUC Office of Ratepayer Advocates (ORA) and The Utility Reform Network (TURN) filed a joint application for rehearing of the CPUC’s June 2014 final decision. The ORA and TURN allege that the CPUC made a legal error in directing that ratepayers, not shareholders, be responsible for the costs associated with testing or replacing transmission pipelines that were installed between January 1, 1956 and July 1, 1961 for which the California Utilities do not have a record of a pressure test. In early August 2014, the California Utilities filed their response to the application for rehearing objecting to the assertions by the ORA and TURN. The CPUC is not obligated to act on the application for rehearing by a certain date. The California Utilities are continuing to implement PSEP in accordance with the June 2014 decision.</w:t>
      </w:r>
    </w:p>
    <w:p>
      <w:pPr>
        <w:spacing w:after="0" w:line="184"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As a result of this decision, SoCalGas recorded an after-tax earnings charge of $6 million for costs incurred in prior periods for which SoCalGas was disallowed recovery. After taking the amounts disallowed for recovery into consideration, as of June 30, 2014, SDG&amp;E and SoCalGas have recorded PSEP implementation costs of $1 million and $48 million, respectively, in the CPUC-authorized regulatory account. SDG&amp;E and SoCalGas expect to file a request with the CPUC by the end of 2014 for the recovery of these costs from customers.</w:t>
      </w:r>
    </w:p>
    <w:p>
      <w:pPr>
        <w:spacing w:after="0" w:line="180" w:lineRule="exact"/>
        <w:rPr>
          <w:sz w:val="20"/>
          <w:szCs w:val="20"/>
          <w:color w:val="auto"/>
        </w:rPr>
      </w:pPr>
    </w:p>
    <w:p>
      <w:pPr>
        <w:jc w:val="both"/>
        <w:ind w:right="540"/>
        <w:spacing w:after="0" w:line="260" w:lineRule="auto"/>
        <w:rPr>
          <w:sz w:val="20"/>
          <w:szCs w:val="20"/>
          <w:color w:val="auto"/>
        </w:rPr>
      </w:pPr>
      <w:r>
        <w:rPr>
          <w:rFonts w:ascii="Times New Roman" w:cs="Times New Roman" w:eastAsia="Times New Roman" w:hAnsi="Times New Roman"/>
          <w:sz w:val="18"/>
          <w:szCs w:val="18"/>
          <w:color w:val="auto"/>
        </w:rPr>
        <w:t>If the CPUC were to decide as part of any future reasonableness review that rate recovery not be allowed for certain gas pipeline safety costs incurred by SDG&amp;E and SoCalGas, or if the CPUC were to decide in favor of the ORA/TURN joint application for rehearing, it could materially adversely affect the respective company’s cash flows, financial condition, results of operations and prospects in implementing the PSEP.</w:t>
      </w:r>
    </w:p>
    <w:p>
      <w:pPr>
        <w:spacing w:after="0" w:line="17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We provide additional information regarding these rulemaking proceedings and the California Utilities’ PSEP in Note 14 of the Notes to Consolidated Financial Statements in the Annual Report and in Note 10 of the Notes to Condensed Consolidated Financial Statements herein.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Safety Enforcement</w:t>
      </w:r>
    </w:p>
    <w:p>
      <w:pPr>
        <w:spacing w:after="0" w:line="21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California Senate Bill (SB) 291, enacted in October 2013, requires the CPUC to develop and implement a safety enforcement program that includes procedures for monitoring, data tracking and analysis, and investigations, as well as delegating citation authority to CPUC staff personnel under the direction of the CPUC Executive Director. SB 291 requires the CPUC to implement the enforcement program for gas safety by July 1, 2014 and for electric safety by January 1, 2015. In exercising the citation authority, the CPUC staff will take into account voluntary reporting of potential violations, voluntary resolution efforts undertaken, prior history of violations, the gravity of the violation, and the degree of culpability. The CPUC is planning to adopt an administrative limit on the maximum monetary penalty that may be set by the CPUC staff. In May 2014, the CPUC initiated a rulemaking proceeding to develop the necessary enforcement programs pursuant to the requirements of SB 291. We expect a CPUC decision in the second half of 2014.</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2011, the CPUC adopted a gas safety citation program whereby natural gas distribution companies can be fined by CPUC staff for violations of the CPUC’s safety standards or federal standards. Each day of an ongoing violation may be counted as an additional offense. The maximum penalty is $50,000 per offense. In September 2013, the CPUC issued its Standard Operating Procedures setting forth its principles and management process for the gas safety citation program.</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SDG&amp;E Matters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2007 Wildfire Litigation</w:t>
      </w:r>
    </w:p>
    <w:p>
      <w:pPr>
        <w:spacing w:after="0" w:line="21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In regard to the 2007 wildfire litigation, SDG&amp;E’s payments for claims settlements plus funds estimated to be required for settlement of outstanding claims and legal fees total approximately $2.4 billion, which is in excess of the $1.1 billion of liability insurance coverage and the approximately $824 million recovered from third parties. However, SDG&amp;E has concluded that it is probable that it will be permitted to recover in rates a substantial portion of the reasonably incurred costs of resolving wildfire claims in excess of its liability insurance coverage and amounts recovered from third parties. Consequently, Sempra Energy and SDG&amp;E expect no significant earnings impact from the resolution of the remaining wildfire claims. At June 30, 2014, Sempra Energy’s and SDG&amp;E’s Condensed Consolidated Balance Sheets include assets of $373 million in Other Regulatory Assets (long-term), of which $354 million is related to CPUC-regulated operations and $19 million is related to FERC-regulated operations, for costs incurred and the estimated settlement of pending claims. However, SDG&amp;E’s cash flow may be materially adversely affected by timing differences between the resolution of claims and recoveries in rates, which may extend over a number of years. In addition, recovery in rates will require future regulatory approval, and a failure to obtain substantial or full recovery, or any negative assessment of the likelihood of recovery, would likely have a material adverse effect on Sempra Energy’s and SDG&amp;E’s financial condition, cash flows and results of operations.</w:t>
      </w:r>
    </w:p>
    <w:p>
      <w:pPr>
        <w:spacing w:after="0" w:line="189"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SDG&amp;E will continue to gather information to evaluate and assess the remaining wildfire claims and the likelihood, amount and timing of recoveries in rates and will make appropriate adjustments to wildfire reserves and the related regulatory assets as additional information becomes available.</w:t>
      </w:r>
    </w:p>
    <w:p>
      <w:pPr>
        <w:spacing w:after="0" w:line="16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Should SDG&amp;E conclude that recovery of excess wildfire costs in rates is no longer probable, at that time SDG&amp;E will record a charge against earnings. If SDG&amp;E had concluded that the recovery of regulatory assets related to CPUC-regulated operations was no longer probable or was less than currently estimated, at June 30, 2014, the resulting after-tax charge against earnings would have been up to approximately $210 million. In addition, in periods following any such conclusion by SDG&amp;E that recovery is no longer probable, Sempra Energy’s and SDG&amp;E’s earnings will be adversely impacted by increases in the estimated costs to litigate or settle pending wildfire claims. We discuss how we assess the probability of recovery of our regulatory assets in Note 1 of the Notes to Consolidated Financial Statements in the Annual Report.</w:t>
      </w:r>
    </w:p>
    <w:p>
      <w:pPr>
        <w:spacing w:after="0" w:line="184"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We provide additional information concerning these matters in Notes 10 and 11 of the Notes to Condensed Consolidated Financial Statements herein and in Notes 14 and 15 of the Notes to Consolidated Financial Statements in the Annual Report.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SONGS</w:t>
      </w:r>
    </w:p>
    <w:p>
      <w:pPr>
        <w:sectPr>
          <w:pgSz w:w="11900" w:h="16838" w:orient="portrait"/>
          <w:cols w:equalWidth="0" w:num="1">
            <w:col w:w="11420"/>
          </w:cols>
          <w:pgMar w:left="240" w:top="334" w:right="239" w:bottom="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We discuss regulatory and other matters related to SONGS in the Notes to Condensed Consolidated Financial Statements herein as follows: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Note 9:</w:t>
      </w:r>
    </w:p>
    <w:p>
      <w:pPr>
        <w:spacing w:after="0" w:line="218" w:lineRule="exact"/>
        <w:rPr>
          <w:sz w:val="20"/>
          <w:szCs w:val="20"/>
          <w:color w:val="auto"/>
        </w:rPr>
      </w:pPr>
    </w:p>
    <w:p>
      <w:pPr>
        <w:ind w:left="320" w:hanging="172"/>
        <w:spacing w:after="0"/>
        <w:tabs>
          <w:tab w:leader="none" w:pos="3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SONGS Outage and Retirement</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Settlement Agreement to Resolve the CPUC’s Order Instituting Investigation (OII) into the SONGS Outage (SONGS OII)</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Nuclear Regulatory Commission Proceedings</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Nuclear Decommissioning and Funding</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Nuclear Decommissioning Trusts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Note 11:</w:t>
      </w:r>
    </w:p>
    <w:p>
      <w:pPr>
        <w:spacing w:after="0" w:line="218" w:lineRule="exact"/>
        <w:rPr>
          <w:sz w:val="20"/>
          <w:szCs w:val="20"/>
          <w:color w:val="auto"/>
        </w:rPr>
      </w:pPr>
    </w:p>
    <w:p>
      <w:pPr>
        <w:ind w:left="320" w:hanging="172"/>
        <w:spacing w:after="0"/>
        <w:tabs>
          <w:tab w:leader="none" w:pos="3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 Against Mitsubishi Heavy Industries, Ltd.</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Nuclear Insurance</w:t>
      </w:r>
    </w:p>
    <w:p>
      <w:pPr>
        <w:spacing w:after="0" w:line="244" w:lineRule="exact"/>
        <w:rPr>
          <w:rFonts w:ascii="Times New Roman" w:cs="Times New Roman" w:eastAsia="Times New Roman" w:hAnsi="Times New Roman"/>
          <w:sz w:val="18"/>
          <w:szCs w:val="18"/>
          <w:color w:val="auto"/>
        </w:rPr>
      </w:pPr>
    </w:p>
    <w:p>
      <w:pPr>
        <w:ind w:left="320" w:hanging="172"/>
        <w:spacing w:after="0"/>
        <w:tabs>
          <w:tab w:leader="none" w:pos="3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Department of Energy Nuclear Fuel Disposal</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Investment in Wind Farm</w:t>
      </w:r>
    </w:p>
    <w:p>
      <w:pPr>
        <w:spacing w:after="0" w:line="213"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In 2011, the CPUC and FERC approved SDG&amp;E’s estimated $285 million tax equity investment in the Rim Rock wind farm project. SDG&amp;E and the project developer are in dispute regarding whether all conditions precedent in the contribution agreement have been achieved by the developer of the project. As a result, SDG&amp;E has not made the investment, and the project developer and SDG&amp;E are in dispute regarding SDG&amp;E’s contractual obligation to invest in the project, as we discuss in Note 11 of the Notes to Condensed Consolidated Financial Statements herein and in Note 15 of the Notes to Consolidated Financial Statements in the Annual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Electric Rate Reform – State of California Assembly Bill 327</w:t>
      </w:r>
    </w:p>
    <w:p>
      <w:pPr>
        <w:spacing w:after="0" w:line="21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October 2013, the Governor of California signed Assembly Bill (AB) 327. This bill became law on January 1, 2014. This new law restores the authority to establish electric residential rates for electric utility companies in California to the CPUC and removes the rate caps established in AB 1X adopted in early 2001 during California’s energy crisis, as well as SB 695 adopted in 2009. Additionally, the bill provides the CPUC the authority to adopt up to a $10.00 monthly fixed charge for all non-CARE (California Alternative Rates for Energy) residential customers and up to a $5.00 monthly fixed charge for CARE customers. In February 2014, SDG&amp;E filed comprehensive proposals with the CPUC that provide a roadmap to reforming electric residential rate design beginning in 2015 and continuing through 2018, consistent with the provisions of AB 327. We expect a CPUC decision in the first half of 2015.</w:t>
      </w:r>
    </w:p>
    <w:p>
      <w:pPr>
        <w:spacing w:after="0" w:line="1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July 2014, the CPUC initiated a rulemaking proceeding to develop a successor tariff to the state’s existing net energy metering (NEM) program, pursuant to the provisions of AB 327, which require the CPUC to establish a revised NEM tariff or similar program by December 31, 2015. The NEM program is an electric billing tariff mechanism designed to promote the installation of on-site renewable generation. It was originally established in California in 1995 with the adoption of Senate Bill 656, as codified in Section 2827 of the Public Utilities Code. Customers who install and operate eligible renewable generation facilities of 1 megawatt or less may choose to participate in the NEM program. Under NEM, customer-generators receive a full retail-rate bill credit for the power they generate that is fed back to the utility’s power grid during times when the customer’s generation exceeds their own energy usage.</w:t>
      </w:r>
    </w:p>
    <w:p>
      <w:pPr>
        <w:spacing w:after="0" w:line="184"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8"/>
          <w:szCs w:val="18"/>
          <w:color w:val="auto"/>
        </w:rPr>
        <w:t>Meaningful rate reform is necessary due to, among other issues, the increased power supply from renewable energy sources and the growth in distributed and local power generation. If the CPUC fails to reform SDG&amp;E’s rate structures to maintain competitive and affordable electric rates by adopting both fixed and variable rate components, such failure could have a material adverse effect on SDG&amp;E’s business, cash flows, financial condition, results of operations and/or prospects. For additional discussion, see “Risk Factors” in the Annual Report.</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Industry Developments and Capital Projects</w:t>
      </w:r>
    </w:p>
    <w:p>
      <w:pPr>
        <w:spacing w:after="0" w:line="21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We describe capital projects, electric and natural gas regulation and rates, and other pending proceedings and investigations that affect the California Utilities in Note 10 of the Notes to Condensed Consolidated Financial Statements herein and in Note 14 of the Notes to Consolidated Financial Statements in the Annual Report.</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INTERNATIONAL</w:t>
      </w:r>
    </w:p>
    <w:p>
      <w:pPr>
        <w:spacing w:after="0" w:line="225"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7"/>
          <w:szCs w:val="17"/>
          <w:color w:val="auto"/>
        </w:rPr>
        <w:t>As we discuss in “Cash Flows From Investing Activities,” our investments will significantly impact our future performance. In addition to the discussion below, we provide information about these investments in “Capital Resources and Liquidity” herein and in the “Capital Resources and Liquidity” and “Factors Influencing Future Performance” sections of “Management’s Discussion and Analysis of Financial Condition and Results of Operations” in the Annual Report.</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South American Utilities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Overview</w:t>
      </w:r>
    </w:p>
    <w:p>
      <w:pPr>
        <w:spacing w:after="0" w:line="21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April 2011, Sempra South American Utilities increased its investment in two utilities in South America, Chilquinta Energía and Luz del Sur. In connection with our increased interests in these utilities, Sempra Energy has $903 million in goodwill on its Condensed Consolidated Balance Sheet at June 30, 2014. Goodwill is subject to impairment testing, annually and under other potential circumstances, which may cause its fair value to vary if differing estimates and assumptions are used in the valuation techniques applied as indicated by changing market or other conditions. We discuss the acquisition in Note 3 of the Notes to Consolidated Financial Statements in the Annual Report.</w:t>
      </w:r>
    </w:p>
    <w:p>
      <w:pPr>
        <w:sectPr>
          <w:pgSz w:w="11900" w:h="16838" w:orient="portrait"/>
          <w:cols w:equalWidth="0" w:num="1">
            <w:col w:w="11400"/>
          </w:cols>
          <w:pgMar w:left="240" w:top="334" w:right="259" w:bottom="0" w:gutter="0" w:footer="0" w:header="0"/>
        </w:sectPr>
      </w:pPr>
    </w:p>
    <w:bookmarkStart w:id="73" w:name="page74"/>
    <w:bookmarkEnd w:id="73"/>
    <w:p>
      <w:pPr>
        <w:spacing w:after="0" w:line="47"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Sempra South American Utilities is also expected to provide earnings from construction projects when completed and from other investments, but will require substantial funding for these investments.</w:t>
      </w:r>
    </w:p>
    <w:p>
      <w:pPr>
        <w:spacing w:after="0" w:line="164" w:lineRule="exact"/>
        <w:rPr>
          <w:sz w:val="20"/>
          <w:szCs w:val="20"/>
          <w:color w:val="auto"/>
        </w:rPr>
      </w:pPr>
    </w:p>
    <w:p>
      <w:pPr>
        <w:ind w:right="760"/>
        <w:spacing w:after="0" w:line="275" w:lineRule="auto"/>
        <w:rPr>
          <w:sz w:val="20"/>
          <w:szCs w:val="20"/>
          <w:color w:val="auto"/>
        </w:rPr>
      </w:pPr>
      <w:r>
        <w:rPr>
          <w:rFonts w:ascii="Times New Roman" w:cs="Times New Roman" w:eastAsia="Times New Roman" w:hAnsi="Times New Roman"/>
          <w:sz w:val="18"/>
          <w:szCs w:val="18"/>
          <w:color w:val="auto"/>
        </w:rPr>
        <w:t>Sempra South American Utilities has historically provided relatively stable earnings and liquidity, and its performance should depend primarily on the ratemaking and regulatory process, environmental regulations, foreign currency rate fluctuations and economic conditions.</w:t>
      </w:r>
    </w:p>
    <w:p>
      <w:pPr>
        <w:spacing w:after="0" w:line="16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Revenues at Chilquinta Energía are based on tariffs set by the National Energy Commission (Comisión Nacional de Energía, or CNE) every four years. Rates for four-year periods related to distribution and sub-transmission are reviewed separately on an alternating basis every two years. In late 2011, Chilquinta Energía initiated the process to establish its distribution rates for the period from November 2012 to October 2016. This process was completed in November 2012, with rates published in April 2013, and tariff adjustments going into effect retroactively from November 2012. This resulted in a 3.2 percent decrease in rates.</w:t>
      </w:r>
    </w:p>
    <w:p>
      <w:pPr>
        <w:spacing w:after="0" w:line="16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April 2013, the CNE completed the process to establish sub-transmission rates for the period January 2011 to December 2014, with tariff adjustments going into effect retroactively from January 2011. In 2013, the CNE published the methodology to be used to recalculate the average node prices (price at which distribution companies buy energy from generators) for years 2011, 2012 and 2013 and requested comments. We expect the CNE’s final decision in the second half of 2014.</w:t>
      </w:r>
    </w:p>
    <w:p>
      <w:pPr>
        <w:spacing w:after="0" w:line="180"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next reviews are scheduled to be completed, with tariff adjustments also going into effect, in January 2015 for sub-transmission, and again for distribution in November 2016.</w:t>
      </w:r>
    </w:p>
    <w:p>
      <w:pPr>
        <w:spacing w:after="0" w:line="16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Luz del Sur serves primarily regulated customers in Peru and revenues are based on rates set by the Energy and Mining Investment Supervisory Body (Organismo Supervisor de la Inversión en Energía y Minería, or OSINERGMIN). The rates are reviewed and adjusted every four years. OSINERGMIN’s final distribution rate setting resolution for the 2013-2017 period was published in October 2013 and went into effect on November 1, 2013. There was no material change in the rates.</w:t>
      </w:r>
    </w:p>
    <w:p>
      <w:pPr>
        <w:spacing w:after="0" w:line="180"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In April 2014, Chile’s President presented a tax reform proposal to the Chilean Congress which introduces a number of amendments to the current laws and regulations, as we discuss in “Changes in Revenues, Costs and Earnings – Income Taxes” above.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Santa Teresa</w:t>
      </w:r>
    </w:p>
    <w:p>
      <w:pPr>
        <w:spacing w:after="0" w:line="21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Luz del Sur is in the final stages of construction of Santa Teresa, a 100-MW hydroelectric power plant in Peru’s Cusco region. It is scheduled to be completed in 2014.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Transmission Projects</w:t>
      </w:r>
    </w:p>
    <w:p>
      <w:pPr>
        <w:spacing w:after="0" w:line="213"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color w:val="auto"/>
        </w:rPr>
        <w:t>Chilquinta Energía has entered into two 50-percent owned joint ventures, Eletrans S.A. and Eletrans II S.A., with Sociedad Austral de Electricidad Sociedad Anónima (SAESA) to construct transmission lines in Chile.</w:t>
      </w:r>
    </w:p>
    <w:p>
      <w:pPr>
        <w:spacing w:after="0" w:line="151"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In May 2012, Eletrans S.A. was awarded two 220-kilovolt (kV) transmission lines in Chile. The transmission lines will extend 150 miles, and we estimate the project will cost approximately $150 million and be completed in 2016.</w:t>
      </w:r>
    </w:p>
    <w:p>
      <w:pPr>
        <w:spacing w:after="0" w:line="15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In June 2013, Eletrans II S.A. was awarded two 220-kV transmission lines in Chile. The transmission lines will extend approximately 70 miles, and we estimate the project will cost approximately $80 million and be completed in 2018.</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projects will be financed by the joint venture partners. Other financing may be pursued upon completion of the projects.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Mexico</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Overview</w:t>
      </w:r>
    </w:p>
    <w:p>
      <w:pPr>
        <w:spacing w:after="0" w:line="21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Sempra Mexico is expected to provide earnings from construction projects when completed and from other investments. We expect projects in Mexico to be funded through a combination of available funds, funds internally generated by the Mexico businesses, debt issuances, project financing, partnering in joint ventures, and the proceeds from IEnova’s debt and equity offerings in early 2013. We discuss the debt offering further in Note 5 of the Notes to the Consolidated Financial Statements in the Annual Report.</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March 2013, Sempra Mexico sold common shares of IEnova in a private placement in the U.S. and outside of Mexico and, concurrently, in a registered public offering in Mexico, as we discuss in Note 5 of the Notes to Condensed Consolidated Financial Statements herein. The shares sold represent approximately 18.9 percent of the ownership interests in IEnova, which reduce our earnings from Sempra Mexico and have a dilutive effect on our earnings per share. The earnings attributable to IEnova’s noncontrolling interests were $19 million for the six months ended June 30, 2014.</w:t>
      </w:r>
    </w:p>
    <w:p>
      <w:pPr>
        <w:spacing w:after="0" w:line="1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June 2014, IEnova entered into an agreement for a $200 million, three-year term corporate revolving credit facility to finance working capital and for general corporate purposes. The lender is Banco Santander, (México), S.A., Institución de Banca Múltiple, Grupo Financiero Santander Mexico.</w:t>
      </w:r>
    </w:p>
    <w:p>
      <w:pPr>
        <w:spacing w:after="0" w:line="151"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We discuss the impact of Mexican tax reform in “Results of Operations – Changes in Revenues, Costs and Earnings – Income Taxes” in “Management’s Discussion and Analysis of Financial Condition and Results of Operations” in the Annual Report.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Pipeline Projects</w:t>
      </w:r>
    </w:p>
    <w:p>
      <w:pPr>
        <w:spacing w:after="0" w:line="213"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In October 2012, Sempra Mexico was awarded two contracts by Federal Electricity Commission (Comisión Federal de Electricidad, or CFE) to build and operate an approximately 500-mile pipeline network (Sonora Pipeline) to transport natural gas from the U.S.-Mexico border south of Tucson, Arizona through the Mexican state of Sonora to the northern part of the Mexican state of Sinaloa along the Gulf of California. The network will be comprised of two segments that will interconnect to the U.S. interstate pipeline system. We estimate it will cost approximately $1 billion. The first segment of the project, approximately 300 miles, began construction in September 2013 and we expect to complete it in the second half of 2014; we expect to complete the remaining segment in the second half of 2016. The capacity is fully contracted by CFE under two 25-year contracts denominated in U.S. dollars.</w:t>
      </w:r>
    </w:p>
    <w:p>
      <w:pPr>
        <w:spacing w:after="0" w:line="169"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In December 2012, through its joint venture with PEMEX, the Mexican state-owned oil company, Sempra Mexico executed an ethane transportation services agreement with PEMEX to construct and operate an approximately 140-mile pipeline (Ethane Pipeline) to transport ethane from Tabasco, Mexico to Veracruz,</w:t>
      </w:r>
    </w:p>
    <w:p>
      <w:pPr>
        <w:sectPr>
          <w:pgSz w:w="11900" w:h="16886" w:orient="portrait"/>
          <w:cols w:equalWidth="0" w:num="1">
            <w:col w:w="11420"/>
          </w:cols>
          <w:pgMar w:left="240" w:top="334" w:right="239" w:bottom="0" w:gutter="0" w:footer="0" w:header="0"/>
        </w:sectPr>
      </w:pPr>
    </w:p>
    <w:bookmarkStart w:id="74" w:name="page75"/>
    <w:bookmarkEnd w:id="74"/>
    <w:p>
      <w:pPr>
        <w:ind w:right="200"/>
        <w:spacing w:after="0" w:line="259" w:lineRule="auto"/>
        <w:rPr>
          <w:sz w:val="20"/>
          <w:szCs w:val="20"/>
          <w:color w:val="auto"/>
        </w:rPr>
      </w:pPr>
      <w:r>
        <w:rPr>
          <w:rFonts w:ascii="Times New Roman" w:cs="Times New Roman" w:eastAsia="Times New Roman" w:hAnsi="Times New Roman"/>
          <w:sz w:val="18"/>
          <w:szCs w:val="18"/>
          <w:color w:val="auto"/>
        </w:rPr>
        <w:t>Mexico. We estimate it will cost approximately $330 million and be funded by the joint venture without additional capital contributions from the partners. We expect to complete it in the first half of 2015. PEMEX has fully contracted the capacity under a 21-year contract denominated in U.S. dollars.</w:t>
      </w:r>
    </w:p>
    <w:p>
      <w:pPr>
        <w:spacing w:after="0" w:line="1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January 2013, PEMEX announced that the first phase of the Los Ramones pipeline project was assigned to and will be developed by our joint venture with PEMEX. The project will consist of a 70-mile natural gas pipeline (Los Ramones I) from the northern portion of the state of Tamaulipas bordering the United States to Los Ramones in the Mexican state of Nuevo León. The capacity is fully contracted under a 25-year transportation services agreement with PEMEX denominated in Mexican pesos, with a contract rate based on the U.S. dollar investment, adjusted annually for inflation and fluctuation of the exchange rate. The project is scheduled to begin operations at the end of 2014.</w:t>
      </w:r>
    </w:p>
    <w:p>
      <w:pPr>
        <w:spacing w:after="0" w:line="18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In addition, in 2014, our joint venture with PEMEX and affiliates of PEMEX executed agreements for the development of Los Ramones Norte, a natural gas pipeline of approximately 275 miles and two compression stations, which will connect with the first phase of Los Ramones and run to the vicinity of San Luis Potosi, with an estimated cost of approximately $1.3 billion to $1.5 billion. Our joint venture with PEMEX has a 50-percent interest in the project. In June 2014, the project executed an engineering, procurement and construction contract with a consortium formed by Arendal, S. de R.L. de C.V., Construtora Norberto Odebrecht S.A., and Techint, S.A. de C.V., and in July 2014, the project issued the notice to proceed. We expect expenditures for the project to be funded by the joint venture’s cash flows from operations and project financing, plus additional contributions from its partners. Any additional contributions from partners will depend on the amount of project financing obtained. The pipeline’s capacity is fully contracted under a 25-year transportation services agreement with PEMEX denominated in Mexican pesos, with a contract rate based on the U.S. dollar investment, adjusted annually for inflation and fluctuation of the exchange rate.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Energía Sierra Juárez</w:t>
      </w:r>
    </w:p>
    <w:p>
      <w:pPr>
        <w:spacing w:after="0" w:line="213" w:lineRule="exact"/>
        <w:rPr>
          <w:sz w:val="20"/>
          <w:szCs w:val="20"/>
          <w:color w:val="auto"/>
        </w:rPr>
      </w:pPr>
    </w:p>
    <w:p>
      <w:pPr>
        <w:jc w:val="both"/>
        <w:ind w:right="140"/>
        <w:spacing w:after="0" w:line="245" w:lineRule="auto"/>
        <w:rPr>
          <w:sz w:val="20"/>
          <w:szCs w:val="20"/>
          <w:color w:val="auto"/>
        </w:rPr>
      </w:pPr>
      <w:r>
        <w:rPr>
          <w:rFonts w:ascii="Times New Roman" w:cs="Times New Roman" w:eastAsia="Times New Roman" w:hAnsi="Times New Roman"/>
          <w:sz w:val="18"/>
          <w:szCs w:val="18"/>
          <w:color w:val="auto"/>
        </w:rPr>
        <w:t>In April 2011, SDG&amp;E entered into a 20-year contract for up to 155 MW of renewable power supplied from the first phase of Sempra Mexico’s Energía Sierra Juárez wind generation project in Baja California, Mexico. The contract was approved by the CPUC in March 2012 and by the FERC in July 2012. In October 2013, Sempra Mexico issued full notice to proceed to the construction contractor.</w:t>
      </w:r>
    </w:p>
    <w:p>
      <w:pPr>
        <w:spacing w:after="0" w:line="163"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In June 2014, the Energía Sierra Juárez wind project entered into an 18-year, $240 million loan to project finance the construction and drew down $82 million from the loan. The loan agreement also provides for a $31.7 million letter of credit facility. Energía Sierra Juárez also entered into a separate Peso-denominated credit facility for up to $35 million U.S. dollar equivalent to fund the value added tax of the project.</w:t>
      </w:r>
    </w:p>
    <w:p>
      <w:pPr>
        <w:spacing w:after="0" w:line="163" w:lineRule="exact"/>
        <w:rPr>
          <w:sz w:val="20"/>
          <w:szCs w:val="20"/>
          <w:color w:val="auto"/>
        </w:rPr>
      </w:pPr>
    </w:p>
    <w:p>
      <w:pPr>
        <w:jc w:val="both"/>
        <w:ind w:right="220"/>
        <w:spacing w:after="0" w:line="245" w:lineRule="auto"/>
        <w:rPr>
          <w:sz w:val="20"/>
          <w:szCs w:val="20"/>
          <w:color w:val="auto"/>
        </w:rPr>
      </w:pPr>
      <w:r>
        <w:rPr>
          <w:rFonts w:ascii="Times New Roman" w:cs="Times New Roman" w:eastAsia="Times New Roman" w:hAnsi="Times New Roman"/>
          <w:sz w:val="18"/>
          <w:szCs w:val="18"/>
          <w:color w:val="auto"/>
        </w:rPr>
        <w:t>In July 2014, after obtaining the required regulatory approvals in Mexico and the U.S., we consummated the sale of a 50-percent interest in the first phase of Energía Sierra Juárez to a wholly owned subsidiary of InterGen N.V. for $44 million in cash, as we discuss in Note 3 of the Notes to Condensed Consolidated Financial Statements herein. Upon consummation of the sale, the indebtedness under the credit facilities was deconsolidated.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U.S. GAS &amp; POWER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Renewables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Overview</w:t>
      </w:r>
    </w:p>
    <w:p>
      <w:pPr>
        <w:spacing w:after="0" w:line="21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Sempra Renewables is developing and investing in renewable energy generation projects that have long-term contracts with utilities. The renewable energy projects have planned in-service dates through 2016. These projects require construction financing, which may come from a variety of sources including operating cash flow, project financing, funds from the parent, partnering in joint ventures and, potentially, other forms of equity sales. The varying costs of these alternative financing sources impact the projects’ returns.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Sempra Renewables’ future performance and the demand for renewable energy is impacted by various market factors, most notably state mandated requirements to deliver a portion of total energy load from renewable energy sources. The rules governing these requirements are generally known as Renewables Portfolio Standards (RPS). Additionally, the phase out or extension of U.S. federal income tax incentives, primarily investment tax credits and production tax credits, and grant programs could significantly impact future renewable energy resource availability and investment decisions.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Copper Mountain Solar</w:t>
      </w:r>
    </w:p>
    <w:p>
      <w:pPr>
        <w:spacing w:after="0" w:line="21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Copper Mountain Solar is a photovoltaic generation facility operated and under development by Sempra Renewables in Boulder City, Nevada. When fully developed, the project will be capable of producing up to approximately 550 MW of solar power; it is being developed in multiple phases as power sales become contracted. Copper Mountain Solar is comprised of four separate projects. Copper Mountain Solar 1 is a 58-MW photovoltaic generation facility currently in operation, which includes the 10-MW facility previously referred to as El Dorado Solar. PG&amp;E has contracted for all of the solar power at Copper Mountain Solar 1 for 20 years.</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Copper Mountain Solar 2 began construction in December 2011 and will total 150 MW when completed. Copper Mountain Solar 2 is divided into two phases, with the first phase of 92 MW placed in service in November 2012 and the remaining 58 MW planned to be placed in service in 2015. PG&amp;E has contracted for all of the solar power at Copper Mountain Solar 2 for 25 years. In July 2013, we completed the sale of 50 percent of our equity in Copper Mountain Solar 2 to ConEdison Development as we discuss in Notes 3, 4 and 5 of the Notes to Consolidated Financial Statements in the Annual Report.</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Copper Mountain Solar 3 started construction in March 2013 and will total 250 MW when completed. Copper Mountain Solar 3 will be placed in service as each of the ten blocks of solar panels is installed and is planned to be entirely in service in 2015. The cities of Los Angeles and Burbank have contracted for all of the solar power at Copper Mountain Solar 3 for 20 years. In addition to solar power, the power sales agreement provides the cities of Los Angeles and Burbank the option to purchase the Copper Mountain Solar 3 facility at years 10, 15 and 20 of the contract term, or upon earlier termination of the agreement. In March 2014, we completed the sale of 50 percent of our equity in Copper Mountain Solar 3 to ConEdison Development, as we discuss in Note 3 of the Notes to Condensed Consolidated Financial Statements herein.</w:t>
      </w:r>
    </w:p>
    <w:p>
      <w:pPr>
        <w:spacing w:after="0" w:line="18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 July 2014, Sempra Renewables signed a 20-year power sale agreement with Southern California Edison for all of the solar power from Copper Mountain Solar 4 beginning in 2020. We expect Copper Mountain Solar 4 to be in service in 2016 and total 94 MW when completed. The power sale agreement is subject to approval by the CPUC.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Mesquite Solar</w:t>
      </w:r>
    </w:p>
    <w:p>
      <w:pPr>
        <w:sectPr>
          <w:pgSz w:w="11900" w:h="16838" w:orient="portrait"/>
          <w:cols w:equalWidth="0" w:num="1">
            <w:col w:w="11400"/>
          </w:cols>
          <w:pgMar w:left="240" w:top="121" w:right="259" w:bottom="0" w:gutter="0" w:footer="0" w:header="0"/>
        </w:sectPr>
      </w:pPr>
    </w:p>
    <w:p>
      <w:pPr>
        <w:spacing w:after="0" w:line="21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Mesquite Solar is a photovoltaic generation facility under development by Sempra Renewables in Maricopa County, Arizona. If fully developed, the project will be capable of producing up to approximately 700 MW of solar power. Construction on the first phase (Mesquite Solar 1) of 150 MW was completed in</w:t>
      </w:r>
    </w:p>
    <w:p>
      <w:pPr>
        <w:sectPr>
          <w:pgSz w:w="11900" w:h="16838" w:orient="portrait"/>
          <w:cols w:equalWidth="0" w:num="1">
            <w:col w:w="11400"/>
          </w:cols>
          <w:pgMar w:left="240" w:top="121" w:right="259" w:bottom="0" w:gutter="0" w:footer="0" w:header="0"/>
          <w:type w:val="continuous"/>
        </w:sectPr>
      </w:pPr>
    </w:p>
    <w:bookmarkStart w:id="75" w:name="page76"/>
    <w:bookmarkEnd w:id="75"/>
    <w:p>
      <w:pPr>
        <w:spacing w:after="0" w:line="260" w:lineRule="auto"/>
        <w:rPr>
          <w:sz w:val="20"/>
          <w:szCs w:val="20"/>
          <w:color w:val="auto"/>
        </w:rPr>
      </w:pPr>
      <w:r>
        <w:rPr>
          <w:rFonts w:ascii="Times New Roman" w:cs="Times New Roman" w:eastAsia="Times New Roman" w:hAnsi="Times New Roman"/>
          <w:sz w:val="18"/>
          <w:szCs w:val="18"/>
          <w:color w:val="auto"/>
        </w:rPr>
        <w:t>December 2012. PG&amp;E has contracted for all of the solar power at Mesquite Solar 1 for 20 years. In September 2013, we completed the sale of 50 percent of our equity in Mesquite Solar 1 to ConEdison Development as we discuss in Notes 3, 4 and 5 of the Notes to Consolidated Financial Statements in the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Broken Bow 2 Wind Project</w:t>
      </w:r>
    </w:p>
    <w:p>
      <w:pPr>
        <w:spacing w:after="0" w:line="21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September 2013, Sempra Renewables acquired the rights to develop the Broken Bow 2 Wind project in Custer County, Nebraska. Sempra Renewables will develop the 75-MW wind farm. We began construction on the project in 2013, and we expect the project to be fully operational in late 2014. Nebraska Public Power District has contracted for all of the wind energy from the project for 25 years. Sempra Renewables intends to develop and finance the project within the framework of a joint venture.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California Solar Partnership with ConEdison Development</w:t>
      </w:r>
    </w:p>
    <w:p>
      <w:pPr>
        <w:spacing w:after="0" w:line="21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May 2014, Sempra Renewables and ConEdison Development consummated an agreement to partner in four solar projects in California. The joint venture includes ConEdison Development’s CED California Holdings, LLC portfolio, which consists of the 50-MW Alpaugh 50, the 20-MW Alpaugh North and the 20-MW White River 1 facilities in Tulare County, and the 20-MW Corcoran 1 facility in Kings County. The renewable power from all of the projects has been sold under long-term contracts. Sempra Renewables and ConEdison Development each own a 50-percent interest in the four fully operating solar facilities. We discuss the joint venture further in Note 4 of the Notes to Condensed Consolidated Financial Statements herein.</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Natural Gas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Overview</w:t>
      </w:r>
    </w:p>
    <w:p>
      <w:pPr>
        <w:spacing w:after="0" w:line="213"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In June 2011, Sempra Natural Gas entered into a 25-year power contract with various members of Southwest Public Power Resources Group (SPPR Group), an association of 40 not-for-profit utilities in Arizona and southern Nevada. The contract was expanded to a total of 271 MW in February 2013. Under the terms of the agreement, Sempra Natural Gas will provide 21 participating SPPR Group members with firm, day-ahead dispatchable power from its Mesquite Power plant delivered to the Palo Verde hub beginning in January 2015.</w:t>
      </w:r>
    </w:p>
    <w:p>
      <w:pPr>
        <w:spacing w:after="0" w:line="18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February 2013, Sempra Natural Gas completed the sale of one 625-MW block of its Mesquite Power plant to the Salt River Project Agricultural Improvement and Power District for $371 million in cash. Sempra Natural Gas retained ownership of the second 625-MW block of the Mesquite Power plant that will support the contract with the participating SPPR Group members.</w:t>
      </w:r>
    </w:p>
    <w:p>
      <w:pPr>
        <w:spacing w:after="0" w:line="178"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In January 2014, management approved a plan to market and sell the remaining 625-MW block of the plant. We expect to complete the sale in 2014. We discuss the plan to sell the second 625-MW block of Mesquite Power in Note 3 of the Notes to Condensed Consolidated Financial Statements herein. In the event of the sale, we expect to assign the contract with the SPPR Group to the buyer.</w:t>
      </w:r>
    </w:p>
    <w:p>
      <w:pPr>
        <w:spacing w:after="0" w:line="17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Sempra Natural Gas owns a 25-percent interest in Rockies Express Pipeline LLC (Rockies Express), a partnership that operates a natural gas pipeline, the Rockies Express Pipeline (REX), which links the Rocky Mountains region to the upper Midwest and the eastern United States. All of REX’s original capacity sales provide for west-to-east service. Sempra Rockies Marketing, a subsidiary of Sempra Natural Gas, has an agreement for such capacity on REX through November 2019. The capacity costs are offset by revenues from releases of the capacity contracted to third parties. Certain capacity release commitments totaling $22 million concluded during 2013. Contracting activity related to that capacity has not been sufficient to offset all of our capacity payments to Rockies Express.</w:t>
      </w:r>
    </w:p>
    <w:p>
      <w:pPr>
        <w:spacing w:after="0" w:line="184" w:lineRule="exact"/>
        <w:rPr>
          <w:sz w:val="20"/>
          <w:szCs w:val="20"/>
          <w:color w:val="auto"/>
        </w:rPr>
      </w:pPr>
    </w:p>
    <w:p>
      <w:pPr>
        <w:jc w:val="both"/>
        <w:ind w:right="80"/>
        <w:spacing w:after="0" w:line="283" w:lineRule="auto"/>
        <w:rPr>
          <w:sz w:val="20"/>
          <w:szCs w:val="20"/>
          <w:color w:val="auto"/>
        </w:rPr>
      </w:pPr>
      <w:r>
        <w:rPr>
          <w:rFonts w:ascii="Times New Roman" w:cs="Times New Roman" w:eastAsia="Times New Roman" w:hAnsi="Times New Roman"/>
          <w:sz w:val="17"/>
          <w:szCs w:val="17"/>
          <w:color w:val="auto"/>
        </w:rPr>
        <w:t>In November 2013, FERC issued a decision ruling that east-to-west service offerings within a single REX rate zone would not result in potential rate reductions under provisions in the original customers’ west-to-east contracts (“most favored nation” provisions). In December 2013, certain west-to-east customers sought rehearing of that decision. The triggering of these provisions would result in significantly reduced revenue to REX from these west-to-east contracts.</w:t>
      </w:r>
    </w:p>
    <w:p>
      <w:pPr>
        <w:spacing w:after="0" w:line="15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April 2014, prior to the launching of an open season, Rockies Express had secured binding financial commitments with four shippers totaling 1.2 billion cubic feet (Bcf) per day of capacity for east-to-west transportation services at a rate of $0.50 per dekatherm for a term of twenty years originating at or near Clarington, Ohio. We expect the capacity to be in service by mid-2015. In June 2014, Rockies Express finished constructing the Seneca lateral, an initial 0.25 Bcf per day capacity project that connects natural gas production sources in Ohio to REX, with further plans to expand the lateral’s capability to 0.6 Bcf per day of capacity by the end of 2014. The lateral is fully contracted through September 2021.</w:t>
      </w:r>
    </w:p>
    <w:p>
      <w:pPr>
        <w:spacing w:after="0" w:line="185"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Our carrying value in Rockies Express at June 30, 2014 is $343 million. We recorded noncash, after-tax impairment charges totaling $239 million in 2012 to write down our investment in the partnership. We discuss our investment in Rockies Express and the impairment charges in Notes 4 and 10 of the Notes to Consolidated Financial Statements in the Annual Report.</w:t>
      </w:r>
    </w:p>
    <w:p>
      <w:pPr>
        <w:spacing w:after="0" w:line="178"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7"/>
          <w:szCs w:val="17"/>
          <w:color w:val="auto"/>
        </w:rPr>
        <w:t>Our natural gas storage assets include operational and development assets at Bay Gas in Alabama and Mississippi Hub in Mississippi, as well as our development project, LA Storage in Louisiana. LA Storage could be positioned to support LNG export from Cameron and other liquefaction projects, if anticipated cash flows support further investment. However, changes in the U.S. natural gas market could also lead to diminished natural gas storage values.</w:t>
      </w:r>
    </w:p>
    <w:p>
      <w:pPr>
        <w:spacing w:after="0" w:line="15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Historically, the value of natural gas storage services has positively correlated with the difference between the seasonal prices of natural gas, among other factors. In general, over the past several years, seasonal differences in natural gas prices have declined, which have contributed to lower prices for storage services. As our legacy (higher rate) sales contracts mature at Bay Gas and Mississippi Hub, replacement sales contract rates could be lower than has historically been the case. Lower sales revenues may not be offset by cost reductions, which could lead to depressed asset values. In addition, our LA Storage development project may be unable to attract cash flow commitments sufficient to support further investment. These market conditions could result in the need to perform recovery testing of our recorded asset values. In the event such values are not recoverable, we would consider the fair value of these assets relative to their recorded value. To the extent excess book value over fair value is indicated, an impairment charge would be required to be recorded. The book value of our natural gas storage assets at June 30, 2014 is $1.3 billion.</w:t>
      </w:r>
    </w:p>
    <w:p>
      <w:pPr>
        <w:spacing w:after="0" w:line="189" w:lineRule="exact"/>
        <w:rPr>
          <w:sz w:val="20"/>
          <w:szCs w:val="20"/>
          <w:color w:val="auto"/>
        </w:rPr>
      </w:pPr>
    </w:p>
    <w:p>
      <w:pPr>
        <w:jc w:val="both"/>
        <w:ind w:right="260"/>
        <w:spacing w:after="0" w:line="260" w:lineRule="auto"/>
        <w:rPr>
          <w:sz w:val="20"/>
          <w:szCs w:val="20"/>
          <w:color w:val="auto"/>
        </w:rPr>
      </w:pPr>
      <w:r>
        <w:rPr>
          <w:rFonts w:ascii="Times New Roman" w:cs="Times New Roman" w:eastAsia="Times New Roman" w:hAnsi="Times New Roman"/>
          <w:sz w:val="18"/>
          <w:szCs w:val="18"/>
          <w:color w:val="auto"/>
        </w:rPr>
        <w:t>After placing additional capacity in service at Bay Gas and Mississippi Hub in June 2014, Sempra Natural Gas has 42 Bcf of operational working natural gas storage capacity (20 Bcf at Bay Gas and 22 Bcf at Mississippi Hub). Sempra Natural Gas may, over the long term, develop as much as 76 Bcf of total storage capacity at all of its facilities.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Sempra Natural Gas’ natural gas storage facilities and projects include</w:t>
      </w:r>
    </w:p>
    <w:p>
      <w:pPr>
        <w:sectPr>
          <w:pgSz w:w="11900" w:h="16838" w:orient="portrait"/>
          <w:cols w:equalWidth="0" w:num="1">
            <w:col w:w="11420"/>
          </w:cols>
          <w:pgMar w:left="240" w:top="121" w:right="239" w:bottom="0" w:gutter="0" w:footer="0" w:header="0"/>
        </w:sectPr>
      </w:pPr>
    </w:p>
    <w:bookmarkStart w:id="76" w:name="page77"/>
    <w:bookmarkEnd w:id="76"/>
    <w:p>
      <w:pPr>
        <w:jc w:val="both"/>
        <w:ind w:left="320" w:hanging="172"/>
        <w:spacing w:after="0" w:line="260" w:lineRule="auto"/>
        <w:tabs>
          <w:tab w:leader="none" w:pos="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Bay Gas, a facility located 40 miles north of Mobile, Alabama, that provides underground storage and delivery of natural gas. Sempra Natural Gas owns 91 percent of the project. It is the easternmost salt dome storage facility on the Gulf Coast, with direct service to the Florida market and markets across the Southeast, Mid-Atlantic and Northeast regions.</w:t>
      </w:r>
    </w:p>
    <w:p>
      <w:pPr>
        <w:spacing w:after="0" w:line="204" w:lineRule="exact"/>
        <w:rPr>
          <w:rFonts w:ascii="Times New Roman" w:cs="Times New Roman" w:eastAsia="Times New Roman" w:hAnsi="Times New Roman"/>
          <w:sz w:val="18"/>
          <w:szCs w:val="18"/>
          <w:color w:val="auto"/>
        </w:rPr>
      </w:pPr>
    </w:p>
    <w:p>
      <w:pPr>
        <w:ind w:left="320" w:right="20" w:hanging="172"/>
        <w:spacing w:after="0" w:line="275" w:lineRule="auto"/>
        <w:tabs>
          <w:tab w:leader="none" w:pos="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Mississippi Hub, located 45 miles southeast of Jackson, Mississippi, an underground salt dome natural gas storage project with access to shale basins of East Texas and Louisiana, traditional gulf supplies and LNG, with multiple interconnections to serve the Southeast and Northeast regions.</w:t>
      </w:r>
    </w:p>
    <w:p>
      <w:pPr>
        <w:spacing w:after="0" w:line="190" w:lineRule="exact"/>
        <w:rPr>
          <w:rFonts w:ascii="Times New Roman" w:cs="Times New Roman" w:eastAsia="Times New Roman" w:hAnsi="Times New Roman"/>
          <w:sz w:val="18"/>
          <w:szCs w:val="18"/>
          <w:color w:val="auto"/>
        </w:rPr>
      </w:pPr>
    </w:p>
    <w:p>
      <w:pPr>
        <w:ind w:left="320" w:hanging="172"/>
        <w:spacing w:after="0" w:line="275" w:lineRule="auto"/>
        <w:tabs>
          <w:tab w:leader="none" w:pos="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 Storage, a salt cavern development project in Cameron Parish, Louisiana. Sempra Natural Gas owns 75 percent of the project and ProLiance Transportation LLC owns the remaining 25 percent. The project’s location provides access to several LNG facilities in the area.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Cameron Liquefaction Project</w:t>
      </w:r>
    </w:p>
    <w:p>
      <w:pPr>
        <w:spacing w:after="0" w:line="21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Cameron liquefaction project will utilize Cameron LNG’s existing facilities, including two marine berths, three LNG storage tanks, and vaporization capability of 1.5 Bcf per day. In January 2012, the Department of Energy (DOE) approved Cameron LNG’s application for authorization to export LNG to Free Trade Agreement countries.</w:t>
      </w:r>
    </w:p>
    <w:p>
      <w:pPr>
        <w:spacing w:after="0" w:line="17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 2012, Sempra Natural Gas signed commercial development agreements with Mitsubishi Corporation, Mitsui &amp; Co., Ltd., and a subsidiary of GDF SUEZ S.A. to develop a natural gas liquefaction export facility at the Cameron LNG terminal. The Cameron liquefaction project is comprised of three liquefaction trains and is being designed to a nameplate capacity of 13.5 million tonnes per annum (Mtpa) of LNG with an expected export capability of 12 Mtpa of LNG, or approximately 1.7 Bcf per day. We expect to receive all necessary regulatory approvals, close the project financing, and start construction in 2014. This should allow us to achieve commercial operation of all three trains in 2018, and have the first year of full operations in 2019. The anticipated incremental investment in the three-train liquefaction project is estimated to be approximately $7 billion, which includes the cost of the lump-sum, turnkey construction contract, development engineering costs and permitting costs, and excludes capitalized interest and other financing costs. The majority of the incremental investment will be project-financed and the balance provided by the project partners through the joint-venture agreements we discuss below. We discuss the construction contract further in Note 11 of the Notes to Condensed Consolidated Financial Statements herein. The total cost of the facility, including the cost of our original facility plus interest during construction, financing costs and required reserves, is estimated to be approximately $10 billion.</w:t>
      </w:r>
    </w:p>
    <w:p>
      <w:pPr>
        <w:spacing w:after="0" w:line="19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It is our expectation that our equity contribution requirement will be covered by the contribution of our existing assets and by cash, including cash generated from each liquefaction train as it comes on line. If construction, financing or other project costs are higher than we currently expect, we may have to contribute additional cash. In May 2013, we signed a joint venture agreement with affiliates of GDF SUEZ S.A., Mitsubishi Corporation (through a related company jointly established with Nippon Yusen Kabushiki Kaisha (NYK)), and Mitsui &amp; Co., Ltd. each to acquire 16.6 percent equity in the existing facilities and the liquefaction project. We will have a 50.2-percent interest in the joint venture. The joint venture agreement, the three tolling agreements and the engineering, procurement and construction contracts described below are subject to closing conditions, as well as receipt of the final DOE Non-Free Trade Agreement authorization described below to export from the Cameron liquefaction project, and satisfaction of certain conditions related to the first draw under the project financing.</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are unable to satisfy the remaining equity conditions precedent to the joint venture closing and the conditions precedent for the first draw under the project financing, the project may be substantially delayed, reduced or terminated. If the project is terminated, we may not recover our share of any project development or other related costs expended, and we may be required to write off our share of any such previously capitalized costs. In addition, this project may be delayed, reduced or terminated in the event we are unable to obtain all of the necessary permits, licenses and authorizations in a timely manner, including the final DOE Non-Free Trade Agreement authorization.</w:t>
      </w:r>
    </w:p>
    <w:p>
      <w:pPr>
        <w:spacing w:after="0" w:line="18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The commercial development agreements executed in 2012 bind the parties to fund certain development costs, including design, permitting and engineering, as well as to negotiate in good faith 20-year tolling agreements, based on agreed-upon key terms outlined in the commercial development agreements. In May 2013, we signed 20-year liquefaction and regasification tolling capacity agreements with GDF SUEZ S.A. and affiliates of Mitsubishi Corporation and Mitsui &amp; Co., Ltd. which subscribe the full nameplate capacity of the facility. Each tolling agreement is for 4.5 Mtpa of capacity to enable 4.0 Mtpa of LNG export.</w:t>
      </w:r>
    </w:p>
    <w:p>
      <w:pPr>
        <w:spacing w:after="0" w:line="1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June and November 2013, Sempra Natural Gas signed agreements totaling 1.45 Bcf per day of firm natural gas transportation service to Cameron LNG on the Cameron Interstate Pipeline (subject to effectiveness of the liquefaction and regasification tolling capacity agreements) with GDF SUEZ S.A. and affiliates of Mitsubishi Corporation and Mitsui &amp; Co., Ltd. The terms of these agreements are concurrent with the liquefaction and regasification tolling capacity agreements.</w:t>
      </w:r>
    </w:p>
    <w:p>
      <w:pPr>
        <w:spacing w:after="0" w:line="18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February 11, 2014, the DOE issued an order (Order) granting Cameron LNG, LLC conditional authorization to export from its Cameron liquefaction project approximately 1.7 billion cubic feet per day of domestically produced LNG to countries with which the United States does not have agreements for free trade in natural gas (Non-Free Trade Agreement). The conditional authorization granted in the Order is for a term of 20 years commencing on the earlier of the date of first commercial export or seven years from the date of the Order. Under the terms of the Order, Cameron LNG is authorized to export LNG either on its own behalf or as agent for the customers of the project. The authorization is conditioned on Cameron’s completion of the environmental review process under the National Environmental Policy Act (NEPA) in connection with the project’s FERC application and the issuance by DOE of a final DOE order that completes the DOE NEPA process. As we describe below, FERC has completed its NEPA review, and the project is awaiting issuance of its final DOE Non-Free Trade Agreement order.</w:t>
      </w:r>
    </w:p>
    <w:p>
      <w:pPr>
        <w:spacing w:after="0" w:line="18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In March 2014, we signed an engineering, procurement and construction contract with a joint venture between CB&amp;I Shaw Constructors, Inc., a wholly owned subsidiary of Chicago Bridge &amp; Iron Company N.V., and Chiyoda International Corporation, a wholly owned subsidiary of Chiyoda Corporation. We discuss this contract further in Note 11 of the Notes to Condensed Consolidated Financial Statements herein.</w:t>
      </w:r>
    </w:p>
    <w:p>
      <w:pPr>
        <w:spacing w:after="0" w:line="178"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On April 30, 2014, FERC issued the Final Environmental Impact Statement for the project, which concludes that the project would not result in significant environmental impacts, after taking into account mitigation requirements that will be implemented by Cameron LNG. On June 19, 2014, Cameron LNG received an order from the FERC authorizing the siting, construction and operation of the three-train liquefaction facility. In the same order, the FERC also authorized Cameron Interstate Pipeline’s 21-mile, 42-inch natural gas pipeline expansion, new compressor station and ancillary equipment that will provide natural gas transportation to the liquefaction facilities. On July 9, 2014, the FERC issued its initial authorization to commence site preparation activities at the Cameron LNG site.</w:t>
      </w:r>
    </w:p>
    <w:p>
      <w:pPr>
        <w:spacing w:after="0" w:line="18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August 6, 2014, Sempra Energy and the project partners provided their respective final investment decision with respect to the investment in the development, construction and operation of the project. The effective date of the Cameron LNG joint venture, which is subject to final regulatory approval and satisfaction of the remaining equity conditions precedent to the joint venture closing and certain of the conditions precedent to the first disbursement of the project financing, is expected to occur later this year. Beginning from the joint venture effective date, Cameron LNG will no longer be wholly owned or</w:t>
      </w:r>
    </w:p>
    <w:p>
      <w:pPr>
        <w:sectPr>
          <w:pgSz w:w="11900" w:h="16838" w:orient="portrait"/>
          <w:cols w:equalWidth="0" w:num="1">
            <w:col w:w="11420"/>
          </w:cols>
          <w:pgMar w:left="240" w:top="121" w:right="239" w:bottom="0" w:gutter="0" w:footer="0" w:header="0"/>
        </w:sectPr>
      </w:pPr>
    </w:p>
    <w:bookmarkStart w:id="77" w:name="page78"/>
    <w:bookmarkEnd w:id="77"/>
    <w:p>
      <w:pPr>
        <w:ind w:right="380"/>
        <w:spacing w:after="0" w:line="275" w:lineRule="auto"/>
        <w:rPr>
          <w:sz w:val="20"/>
          <w:szCs w:val="20"/>
          <w:color w:val="auto"/>
        </w:rPr>
      </w:pPr>
      <w:r>
        <w:rPr>
          <w:rFonts w:ascii="Times New Roman" w:cs="Times New Roman" w:eastAsia="Times New Roman" w:hAnsi="Times New Roman"/>
          <w:sz w:val="18"/>
          <w:szCs w:val="18"/>
          <w:color w:val="auto"/>
        </w:rPr>
        <w:t>controlled by Sempra Energy, and will be owned 50.2 percent by Sempra Energy and 49.8 percent by the project partners. At that time, Sempra Energy will account for its investment in the Cameron LNG joint venture under the equity method.</w:t>
      </w:r>
    </w:p>
    <w:p>
      <w:pPr>
        <w:spacing w:after="0" w:line="164"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Also on August 6, 2014, Sempra Energy and the project partners executed the project financing documents. The financing agreement is for senior secured debt in an initial aggregate principal amount up to $7.4 billion for the purpose of financing the cost of development and construction of the Cameron LNG project. The project financing is subject to the satisfaction of certain conditions precedent prior to initial disbursement, including receipt of the final DOE Non-Free Trade Agreement authorization and satisfaction of the remaining equity conditions precedent to the joint venture closing. Under the financing agreements, Sempra Energy signed a completion guarantee for 50.2 percent of the debt, or $3.7 billion. The guarantee will terminate upon satisfaction of certain conditions, including all three trains achieving commercial operation and meeting certain operational performance tests. The completion guarantee is anticipated to be terminated in the second half of 2019.</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RBS Sempra Commodities</w:t>
      </w:r>
    </w:p>
    <w:p>
      <w:pPr>
        <w:spacing w:after="0" w:line="215"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In three separate transactions in 2010 and one in early 2011, we and RBS sold substantially all of the businesses and assets of our commodities-marketing partnership. The investment balance of $73 million at June 30, 2014 reflects remaining distributions expected to be received from the partnership as it is dissolved. The timing and amount of distributions may be impacted by the matters we discuss related to RBS Sempra Commodities under “Other Litigation” in Note 11 of the Notes to Condensed Consolidated Financial Statements herein. In addition, amounts may be retained by the partnership for an extended period of time to help offset unanticipated future general and administrative costs necessary to complete the dissolution of the partnership. We provide additional information in Notes 4 and 11 of the Notes to Condensed Consolidated Financial Statements herein and in Notes 4, 5 and 15 of the Notes to Consolidated Financial Statements in the Annual Report.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SEMPRA ENERGY MATTERS</w:t>
      </w:r>
    </w:p>
    <w:p>
      <w:pPr>
        <w:spacing w:after="0" w:line="22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discuss proposed Chilean tax reform in “Management’s Discussion and Analysis of Financial Condition and Results of Operations – Changes in Revenues, Costs and Earnings – Income Taxes” herein, and the impacts of the American Taxpayer Relief Act of 2012, the Tax Relief, Unemployment Insurance Reauthorization, and Job Creation Act of 2010 and the Mexican tax reform legislation passed in December 2013 on our income tax expense, earnings and cash flows in “Management’s Discussion and Analysis of Financial Condition and Results of Operations – Changes in Revenues, Costs and Earnings – Income Taxes” in the Annual Report.</w:t>
      </w:r>
    </w:p>
    <w:p>
      <w:pPr>
        <w:spacing w:after="0" w:line="18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may be further impacted by depressed and rapidly changing economic conditions. Moreover, the dollar may fluctuate significantly compared to some foreign currencies, especially in Mexico and South America where we have significant operations. We discuss foreign currency rate risk further under “Foreign Currency Rate Risk” in Item 3. “Quantitative and Qualitative Disclosures About Market Risk” below. North American natural gas prices, which affect profitability at Sempra Renewables and Sempra Natural Gas, are currently significantly below Asian and European prices. These factors could, if they remain unchanged, adversely affect profitability. However, management expects that future export capability at Sempra Natural Gas’ Cameron LNG facility would benefit from lower gas prices in North America compared to other regions.</w:t>
      </w:r>
    </w:p>
    <w:p>
      <w:pPr>
        <w:spacing w:after="0" w:line="18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 July 2010, federal legislation to reform financial markets was enacted that significantly alters how over-the-counter (OTC) derivatives are regulated, which may impact all of our businesses. The law increased regulatory oversight of OTC energy derivatives, including (1) requiring standardized OTC derivatives to be traded on registered exchanges regulated by the U.S. Commodity Futures Trading Commission (CFTC), (2) imposing new and potentially higher capital and margin requirements and (3) authorizing the establishment of overall volume and position limits. The law gives the CFTC authority to exempt end users of energy commodities which could reduce, but not eliminate, the applicability of these measures to us and other end users. These requirements could cause our OTC transactions to be more costly and have a material adverse effect on our liquidity due to additional capital requirements. In addition, as these reforms aim to standardize OTC products, they could limit the effectiveness of our hedging programs, because we would have less ability to tailor OTC derivatives to match the precise risk we are seeking to mitigate.</w:t>
      </w:r>
    </w:p>
    <w:p>
      <w:pPr>
        <w:spacing w:after="0" w:line="189"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7"/>
          <w:szCs w:val="17"/>
          <w:color w:val="auto"/>
        </w:rPr>
        <w:t>Our future performance depends substantially on the timing and success of our business development efforts and our construction, maintenance and capital projects. We discuss this and additional matters that could affect our future performance in Notes 10 and 11 of the Notes to Condensed Consolidated Financial Statements herein, in Notes 14 and 15 of the Notes to Consolidated Financial Statements in the Annual Report, and in “Risk Factors” in the Annual Report.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5"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We describe legal proceedings which could adversely affect our future performance in Note 11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452755</wp:posOffset>
            </wp:positionV>
            <wp:extent cx="72656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9"/>
          <w:szCs w:val="19"/>
          <w:color w:val="auto"/>
        </w:rPr>
        <w:t>CRITICAL ACCOUNTING POLICIES AND ESTIMATES</w:t>
      </w:r>
    </w:p>
    <w:p>
      <w:pPr>
        <w:spacing w:after="0" w:line="216"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We view certain accounting policies as critical because their application is the most relevant, judgmental, and/or material to our financial position and results of operations, and/or because they require the use of material judgments and estimates. We discuss these accounting policies in “Management’s Discussion and Analysis of Financial Condition and Results of Operations” in the Annual Report.</w:t>
      </w:r>
    </w:p>
    <w:p>
      <w:pPr>
        <w:spacing w:after="0" w:line="178"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auto"/>
        </w:rPr>
        <w:t>We describe our significant accounting policies in Note 1 of the Notes to Consolidated Financial Statements in the Annual Report. We follow the same accounting policies for interim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318135</wp:posOffset>
            </wp:positionV>
            <wp:extent cx="72656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color w:val="auto"/>
        </w:rPr>
        <w:t>NEW ACCOUNTING STANDARDS</w:t>
      </w:r>
    </w:p>
    <w:p>
      <w:pPr>
        <w:spacing w:after="0" w:line="21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We discuss the relevant pronouncements that have recently become effective and have had or may have an impact on our financial statements and/or disclosures in Note 2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318135</wp:posOffset>
            </wp:positionV>
            <wp:extent cx="72656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ectPr>
          <w:pgSz w:w="11900" w:h="16838" w:orient="portrait"/>
          <w:cols w:equalWidth="0" w:num="1">
            <w:col w:w="11420"/>
          </w:cols>
          <w:pgMar w:left="240" w:top="121" w:right="239" w:bottom="130" w:gutter="0" w:footer="0" w:header="0"/>
        </w:sectPr>
      </w:pPr>
    </w:p>
    <w:bookmarkStart w:id="78" w:name="page79"/>
    <w:bookmarkEnd w:id="78"/>
    <w:p>
      <w:pPr>
        <w:spacing w:after="0"/>
        <w:rPr>
          <w:sz w:val="20"/>
          <w:szCs w:val="20"/>
          <w:color w:val="auto"/>
        </w:rPr>
      </w:pPr>
      <w:r>
        <w:rPr>
          <w:rFonts w:ascii="Arial" w:cs="Arial" w:eastAsia="Arial" w:hAnsi="Arial"/>
          <w:sz w:val="19"/>
          <w:szCs w:val="19"/>
          <w:color w:val="auto"/>
        </w:rPr>
        <w:t>ITEM 3. QUANTITATIVE AND QUALITATIVE DISCLOSURES ABOUT MARKET RISK</w:t>
      </w:r>
    </w:p>
    <w:p>
      <w:pPr>
        <w:spacing w:after="0" w:line="216"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We provide disclosure regarding derivative activity in Note 7 of the Notes to Condensed Consolidated Financial Statements herein. We discuss our market risk and risk policies in detail in "Management's Discussion and Analysis of Financial Condition and Results of Operations" in the Annual Report.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nominal amount and the one-year Value at Risk (VaR) for long-term debt at June 30, 2014 and December 31, 2013:</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NOMINAL AMOUNT AND ONE-YEAR VALUE AT RISK OF LONG-TERM DEBT(1)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48525" cy="2197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300" w:type="dxa"/>
            <w:vAlign w:val="bottom"/>
          </w:tcPr>
          <w:p>
            <w:pPr>
              <w:spacing w:after="0"/>
              <w:rPr>
                <w:sz w:val="16"/>
                <w:szCs w:val="16"/>
                <w:color w:val="auto"/>
              </w:rPr>
            </w:pPr>
          </w:p>
        </w:tc>
        <w:tc>
          <w:tcPr>
            <w:tcW w:w="1760" w:type="dxa"/>
            <w:vAlign w:val="bottom"/>
            <w:gridSpan w:val="2"/>
            <w:vMerge w:val="restart"/>
          </w:tcPr>
          <w:p>
            <w:pPr>
              <w:jc w:val="right"/>
              <w:ind w:right="325"/>
              <w:spacing w:after="0"/>
              <w:rPr>
                <w:sz w:val="20"/>
                <w:szCs w:val="20"/>
                <w:color w:val="auto"/>
              </w:rPr>
            </w:pPr>
            <w:r>
              <w:rPr>
                <w:rFonts w:ascii="Arial" w:cs="Arial" w:eastAsia="Arial" w:hAnsi="Arial"/>
                <w:sz w:val="14"/>
                <w:szCs w:val="14"/>
                <w:color w:val="auto"/>
              </w:rPr>
              <w:t>Sempra Energy</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3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right"/>
              <w:ind w:right="405"/>
              <w:spacing w:after="0"/>
              <w:rPr>
                <w:sz w:val="20"/>
                <w:szCs w:val="20"/>
                <w:color w:val="auto"/>
              </w:rPr>
            </w:pPr>
            <w:r>
              <w:rPr>
                <w:rFonts w:ascii="Arial" w:cs="Arial" w:eastAsia="Arial" w:hAnsi="Arial"/>
                <w:sz w:val="14"/>
                <w:szCs w:val="14"/>
                <w:color w:val="auto"/>
              </w:rPr>
              <w:t>Consolidated</w:t>
            </w: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right"/>
              <w:ind w:right="585"/>
              <w:spacing w:after="0"/>
              <w:rPr>
                <w:sz w:val="20"/>
                <w:szCs w:val="20"/>
                <w:color w:val="auto"/>
              </w:rPr>
            </w:pPr>
            <w:r>
              <w:rPr>
                <w:rFonts w:ascii="Arial" w:cs="Arial" w:eastAsia="Arial" w:hAnsi="Arial"/>
                <w:sz w:val="14"/>
                <w:szCs w:val="14"/>
                <w:color w:val="auto"/>
              </w:rPr>
              <w:t>SDG&amp;E</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525"/>
              <w:spacing w:after="0"/>
              <w:rPr>
                <w:sz w:val="20"/>
                <w:szCs w:val="20"/>
                <w:color w:val="auto"/>
              </w:rPr>
            </w:pPr>
            <w:r>
              <w:rPr>
                <w:rFonts w:ascii="Arial" w:cs="Arial" w:eastAsia="Arial" w:hAnsi="Arial"/>
                <w:sz w:val="14"/>
                <w:szCs w:val="14"/>
                <w:color w:val="auto"/>
              </w:rPr>
              <w:t>SoCalGas</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344"/>
              <w:spacing w:after="0" w:line="139" w:lineRule="exact"/>
              <w:rPr>
                <w:sz w:val="20"/>
                <w:szCs w:val="20"/>
                <w:color w:val="auto"/>
              </w:rPr>
            </w:pPr>
            <w:r>
              <w:rPr>
                <w:rFonts w:ascii="Arial" w:cs="Arial" w:eastAsia="Arial" w:hAnsi="Arial"/>
                <w:sz w:val="14"/>
                <w:szCs w:val="14"/>
                <w:color w:val="auto"/>
              </w:rPr>
              <w:t>Nominal</w:t>
            </w:r>
          </w:p>
        </w:tc>
        <w:tc>
          <w:tcPr>
            <w:tcW w:w="800" w:type="dxa"/>
            <w:vAlign w:val="bottom"/>
          </w:tcPr>
          <w:p>
            <w:pPr>
              <w:jc w:val="right"/>
              <w:spacing w:after="0" w:line="139" w:lineRule="exact"/>
              <w:rPr>
                <w:sz w:val="20"/>
                <w:szCs w:val="20"/>
                <w:color w:val="auto"/>
              </w:rPr>
            </w:pPr>
            <w:r>
              <w:rPr>
                <w:rFonts w:ascii="Arial" w:cs="Arial" w:eastAsia="Arial" w:hAnsi="Arial"/>
                <w:sz w:val="14"/>
                <w:szCs w:val="14"/>
                <w:color w:val="auto"/>
              </w:rPr>
              <w:t>One-Year</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ind w:right="363"/>
              <w:spacing w:after="0" w:line="139" w:lineRule="exact"/>
              <w:rPr>
                <w:sz w:val="20"/>
                <w:szCs w:val="20"/>
                <w:color w:val="auto"/>
              </w:rPr>
            </w:pPr>
            <w:r>
              <w:rPr>
                <w:rFonts w:ascii="Arial" w:cs="Arial" w:eastAsia="Arial" w:hAnsi="Arial"/>
                <w:sz w:val="14"/>
                <w:szCs w:val="14"/>
                <w:color w:val="auto"/>
                <w:w w:val="97"/>
              </w:rPr>
              <w:t>Nominal</w:t>
            </w:r>
          </w:p>
        </w:tc>
        <w:tc>
          <w:tcPr>
            <w:tcW w:w="800" w:type="dxa"/>
            <w:vAlign w:val="bottom"/>
          </w:tcPr>
          <w:p>
            <w:pPr>
              <w:jc w:val="right"/>
              <w:spacing w:after="0" w:line="139" w:lineRule="exact"/>
              <w:rPr>
                <w:sz w:val="20"/>
                <w:szCs w:val="20"/>
                <w:color w:val="auto"/>
              </w:rPr>
            </w:pPr>
            <w:r>
              <w:rPr>
                <w:rFonts w:ascii="Arial" w:cs="Arial" w:eastAsia="Arial" w:hAnsi="Arial"/>
                <w:sz w:val="14"/>
                <w:szCs w:val="14"/>
                <w:color w:val="auto"/>
              </w:rPr>
              <w:t>One-Year</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ind w:right="383"/>
              <w:spacing w:after="0" w:line="139" w:lineRule="exact"/>
              <w:rPr>
                <w:sz w:val="20"/>
                <w:szCs w:val="20"/>
                <w:color w:val="auto"/>
              </w:rPr>
            </w:pPr>
            <w:r>
              <w:rPr>
                <w:rFonts w:ascii="Arial" w:cs="Arial" w:eastAsia="Arial" w:hAnsi="Arial"/>
                <w:sz w:val="14"/>
                <w:szCs w:val="14"/>
                <w:color w:val="auto"/>
                <w:w w:val="97"/>
              </w:rPr>
              <w:t>Nominal</w:t>
            </w:r>
          </w:p>
        </w:tc>
        <w:tc>
          <w:tcPr>
            <w:tcW w:w="820" w:type="dxa"/>
            <w:vAlign w:val="bottom"/>
          </w:tcPr>
          <w:p>
            <w:pPr>
              <w:jc w:val="right"/>
              <w:spacing w:after="0" w:line="139" w:lineRule="exact"/>
              <w:rPr>
                <w:sz w:val="20"/>
                <w:szCs w:val="20"/>
                <w:color w:val="auto"/>
              </w:rPr>
            </w:pPr>
            <w:r>
              <w:rPr>
                <w:rFonts w:ascii="Arial" w:cs="Arial" w:eastAsia="Arial" w:hAnsi="Arial"/>
                <w:sz w:val="14"/>
                <w:szCs w:val="14"/>
                <w:color w:val="auto"/>
              </w:rPr>
              <w:t>One-Year</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color w:val="auto"/>
              </w:rPr>
              <w:t>Debt</w:t>
            </w:r>
          </w:p>
        </w:tc>
        <w:tc>
          <w:tcPr>
            <w:tcW w:w="80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VaR(2)</w:t>
            </w: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Debt</w:t>
            </w:r>
          </w:p>
        </w:tc>
        <w:tc>
          <w:tcPr>
            <w:tcW w:w="80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VaR(2)</w:t>
            </w: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color w:val="auto"/>
              </w:rPr>
              <w:t>Debt</w:t>
            </w:r>
          </w:p>
        </w:tc>
        <w:tc>
          <w:tcPr>
            <w:tcW w:w="82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VaR(2)</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line="135" w:lineRule="exact"/>
              <w:rPr>
                <w:sz w:val="20"/>
                <w:szCs w:val="20"/>
                <w:color w:val="auto"/>
              </w:rPr>
            </w:pPr>
            <w:r>
              <w:rPr>
                <w:rFonts w:ascii="Arial" w:cs="Arial" w:eastAsia="Arial" w:hAnsi="Arial"/>
                <w:sz w:val="15"/>
                <w:szCs w:val="15"/>
                <w:color w:val="auto"/>
              </w:rPr>
              <w:t>At June 30, 2014:</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40" w:type="dxa"/>
            <w:vAlign w:val="bottom"/>
          </w:tcPr>
          <w:p>
            <w:pPr>
              <w:ind w:left="480"/>
              <w:spacing w:after="0" w:line="173" w:lineRule="exact"/>
              <w:rPr>
                <w:sz w:val="20"/>
                <w:szCs w:val="20"/>
                <w:color w:val="auto"/>
              </w:rPr>
            </w:pPr>
            <w:r>
              <w:rPr>
                <w:rFonts w:ascii="Arial" w:cs="Arial" w:eastAsia="Arial" w:hAnsi="Arial"/>
                <w:sz w:val="16"/>
                <w:szCs w:val="16"/>
                <w:color w:val="auto"/>
              </w:rPr>
              <w:t>California Utilities fixed-rate</w:t>
            </w:r>
          </w:p>
        </w:tc>
        <w:tc>
          <w:tcPr>
            <w:tcW w:w="3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44"/>
              <w:spacing w:after="0" w:line="173" w:lineRule="exact"/>
              <w:rPr>
                <w:sz w:val="20"/>
                <w:szCs w:val="20"/>
                <w:color w:val="auto"/>
              </w:rPr>
            </w:pPr>
            <w:r>
              <w:rPr>
                <w:rFonts w:ascii="Arial" w:cs="Arial" w:eastAsia="Arial" w:hAnsi="Arial"/>
                <w:sz w:val="16"/>
                <w:szCs w:val="16"/>
                <w:color w:val="auto"/>
              </w:rPr>
              <w:t>5,449</w:t>
            </w:r>
          </w:p>
        </w:tc>
        <w:tc>
          <w:tcPr>
            <w:tcW w:w="800" w:type="dxa"/>
            <w:vAlign w:val="bottom"/>
          </w:tcPr>
          <w:p>
            <w:pPr>
              <w:jc w:val="right"/>
              <w:ind w:right="505"/>
              <w:spacing w:after="0" w:line="173" w:lineRule="exact"/>
              <w:rPr>
                <w:sz w:val="20"/>
                <w:szCs w:val="20"/>
                <w:color w:val="auto"/>
              </w:rPr>
            </w:pPr>
            <w:r>
              <w:rPr>
                <w:rFonts w:ascii="Arial" w:cs="Arial" w:eastAsia="Arial" w:hAnsi="Arial"/>
                <w:sz w:val="16"/>
                <w:szCs w:val="16"/>
                <w:color w:val="auto"/>
              </w:rPr>
              <w:t>$</w:t>
            </w:r>
          </w:p>
        </w:tc>
        <w:tc>
          <w:tcPr>
            <w:tcW w:w="300" w:type="dxa"/>
            <w:vAlign w:val="bottom"/>
          </w:tcPr>
          <w:p>
            <w:pPr>
              <w:jc w:val="right"/>
              <w:spacing w:after="0" w:line="173" w:lineRule="exact"/>
              <w:rPr>
                <w:sz w:val="20"/>
                <w:szCs w:val="20"/>
                <w:color w:val="auto"/>
              </w:rPr>
            </w:pPr>
            <w:r>
              <w:rPr>
                <w:rFonts w:ascii="Arial" w:cs="Arial" w:eastAsia="Arial" w:hAnsi="Arial"/>
                <w:sz w:val="16"/>
                <w:szCs w:val="16"/>
                <w:color w:val="auto"/>
                <w:w w:val="89"/>
              </w:rPr>
              <w:t>463</w:t>
            </w:r>
          </w:p>
        </w:tc>
        <w:tc>
          <w:tcPr>
            <w:tcW w:w="560" w:type="dxa"/>
            <w:vAlign w:val="bottom"/>
            <w:gridSpan w:val="2"/>
          </w:tcPr>
          <w:p>
            <w:pPr>
              <w:jc w:val="right"/>
              <w:ind w:right="20"/>
              <w:spacing w:after="0" w:line="173"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43"/>
              <w:spacing w:after="0" w:line="173" w:lineRule="exact"/>
              <w:rPr>
                <w:sz w:val="20"/>
                <w:szCs w:val="20"/>
                <w:color w:val="auto"/>
              </w:rPr>
            </w:pPr>
            <w:r>
              <w:rPr>
                <w:rFonts w:ascii="Arial" w:cs="Arial" w:eastAsia="Arial" w:hAnsi="Arial"/>
                <w:sz w:val="16"/>
                <w:szCs w:val="16"/>
                <w:color w:val="auto"/>
              </w:rPr>
              <w:t>4,036</w:t>
            </w:r>
          </w:p>
        </w:tc>
        <w:tc>
          <w:tcPr>
            <w:tcW w:w="800" w:type="dxa"/>
            <w:vAlign w:val="bottom"/>
          </w:tcPr>
          <w:p>
            <w:pPr>
              <w:jc w:val="right"/>
              <w:ind w:right="505"/>
              <w:spacing w:after="0" w:line="173" w:lineRule="exact"/>
              <w:rPr>
                <w:sz w:val="20"/>
                <w:szCs w:val="20"/>
                <w:color w:val="auto"/>
              </w:rPr>
            </w:pPr>
            <w:r>
              <w:rPr>
                <w:rFonts w:ascii="Arial" w:cs="Arial" w:eastAsia="Arial" w:hAnsi="Arial"/>
                <w:sz w:val="16"/>
                <w:szCs w:val="16"/>
                <w:color w:val="auto"/>
              </w:rPr>
              <w:t>$</w:t>
            </w:r>
          </w:p>
        </w:tc>
        <w:tc>
          <w:tcPr>
            <w:tcW w:w="320" w:type="dxa"/>
            <w:vAlign w:val="bottom"/>
          </w:tcPr>
          <w:p>
            <w:pPr>
              <w:jc w:val="right"/>
              <w:spacing w:after="0" w:line="173" w:lineRule="exact"/>
              <w:rPr>
                <w:sz w:val="20"/>
                <w:szCs w:val="20"/>
                <w:color w:val="auto"/>
              </w:rPr>
            </w:pPr>
            <w:r>
              <w:rPr>
                <w:rFonts w:ascii="Arial" w:cs="Arial" w:eastAsia="Arial" w:hAnsi="Arial"/>
                <w:sz w:val="16"/>
                <w:szCs w:val="16"/>
                <w:color w:val="auto"/>
                <w:w w:val="97"/>
              </w:rPr>
              <w:t>330</w:t>
            </w:r>
          </w:p>
        </w:tc>
        <w:tc>
          <w:tcPr>
            <w:tcW w:w="56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63"/>
              <w:spacing w:after="0" w:line="173" w:lineRule="exact"/>
              <w:rPr>
                <w:sz w:val="20"/>
                <w:szCs w:val="20"/>
                <w:color w:val="auto"/>
              </w:rPr>
            </w:pPr>
            <w:r>
              <w:rPr>
                <w:rFonts w:ascii="Arial" w:cs="Arial" w:eastAsia="Arial" w:hAnsi="Arial"/>
                <w:sz w:val="16"/>
                <w:szCs w:val="16"/>
                <w:color w:val="auto"/>
              </w:rPr>
              <w:t>1,413</w:t>
            </w:r>
          </w:p>
        </w:tc>
        <w:tc>
          <w:tcPr>
            <w:tcW w:w="820" w:type="dxa"/>
            <w:vAlign w:val="bottom"/>
          </w:tcPr>
          <w:p>
            <w:pPr>
              <w:jc w:val="right"/>
              <w:ind w:right="525"/>
              <w:spacing w:after="0" w:line="173" w:lineRule="exact"/>
              <w:rPr>
                <w:sz w:val="20"/>
                <w:szCs w:val="20"/>
                <w:color w:val="auto"/>
              </w:rPr>
            </w:pPr>
            <w:r>
              <w:rPr>
                <w:rFonts w:ascii="Arial" w:cs="Arial" w:eastAsia="Arial" w:hAnsi="Arial"/>
                <w:sz w:val="16"/>
                <w:szCs w:val="16"/>
                <w:color w:val="auto"/>
              </w:rPr>
              <w:t>$</w:t>
            </w:r>
          </w:p>
        </w:tc>
        <w:tc>
          <w:tcPr>
            <w:tcW w:w="320" w:type="dxa"/>
            <w:vAlign w:val="bottom"/>
          </w:tcPr>
          <w:p>
            <w:pPr>
              <w:jc w:val="right"/>
              <w:spacing w:after="0" w:line="173" w:lineRule="exact"/>
              <w:rPr>
                <w:sz w:val="20"/>
                <w:szCs w:val="20"/>
                <w:color w:val="auto"/>
              </w:rPr>
            </w:pPr>
            <w:r>
              <w:rPr>
                <w:rFonts w:ascii="Arial" w:cs="Arial" w:eastAsia="Arial" w:hAnsi="Arial"/>
                <w:sz w:val="16"/>
                <w:szCs w:val="16"/>
                <w:color w:val="auto"/>
                <w:w w:val="97"/>
              </w:rPr>
              <w:t>133</w:t>
            </w:r>
          </w:p>
        </w:tc>
        <w:tc>
          <w:tcPr>
            <w:tcW w:w="0" w:type="dxa"/>
            <w:vAlign w:val="bottom"/>
          </w:tcPr>
          <w:p>
            <w:pPr>
              <w:spacing w:after="0"/>
              <w:rPr>
                <w:sz w:val="1"/>
                <w:szCs w:val="1"/>
                <w:color w:val="auto"/>
              </w:rPr>
            </w:pPr>
          </w:p>
        </w:tc>
      </w:tr>
      <w:tr>
        <w:trPr>
          <w:trHeight w:val="173"/>
        </w:trPr>
        <w:tc>
          <w:tcPr>
            <w:tcW w:w="3740" w:type="dxa"/>
            <w:vAlign w:val="bottom"/>
          </w:tcPr>
          <w:p>
            <w:pPr>
              <w:ind w:left="480"/>
              <w:spacing w:after="0" w:line="173" w:lineRule="exact"/>
              <w:rPr>
                <w:sz w:val="20"/>
                <w:szCs w:val="20"/>
                <w:color w:val="auto"/>
              </w:rPr>
            </w:pPr>
            <w:r>
              <w:rPr>
                <w:rFonts w:ascii="Arial" w:cs="Arial" w:eastAsia="Arial" w:hAnsi="Arial"/>
                <w:sz w:val="16"/>
                <w:szCs w:val="16"/>
                <w:color w:val="auto"/>
              </w:rPr>
              <w:t>California Utilities variable-rate</w:t>
            </w:r>
          </w:p>
        </w:tc>
        <w:tc>
          <w:tcPr>
            <w:tcW w:w="300" w:type="dxa"/>
            <w:vAlign w:val="bottom"/>
          </w:tcPr>
          <w:p>
            <w:pPr>
              <w:spacing w:after="0"/>
              <w:rPr>
                <w:sz w:val="15"/>
                <w:szCs w:val="15"/>
                <w:color w:val="auto"/>
              </w:rPr>
            </w:pPr>
          </w:p>
        </w:tc>
        <w:tc>
          <w:tcPr>
            <w:tcW w:w="960" w:type="dxa"/>
            <w:vAlign w:val="bottom"/>
          </w:tcPr>
          <w:p>
            <w:pPr>
              <w:jc w:val="right"/>
              <w:ind w:right="44"/>
              <w:spacing w:after="0" w:line="173" w:lineRule="exact"/>
              <w:rPr>
                <w:sz w:val="20"/>
                <w:szCs w:val="20"/>
                <w:color w:val="auto"/>
              </w:rPr>
            </w:pPr>
            <w:r>
              <w:rPr>
                <w:rFonts w:ascii="Arial" w:cs="Arial" w:eastAsia="Arial" w:hAnsi="Arial"/>
                <w:sz w:val="16"/>
                <w:szCs w:val="16"/>
                <w:color w:val="auto"/>
              </w:rPr>
              <w:t>430</w:t>
            </w:r>
          </w:p>
        </w:tc>
        <w:tc>
          <w:tcPr>
            <w:tcW w:w="800" w:type="dxa"/>
            <w:vAlign w:val="bottom"/>
          </w:tcPr>
          <w:p>
            <w:pPr>
              <w:spacing w:after="0"/>
              <w:rPr>
                <w:sz w:val="15"/>
                <w:szCs w:val="15"/>
                <w:color w:val="auto"/>
              </w:rPr>
            </w:pPr>
          </w:p>
        </w:tc>
        <w:tc>
          <w:tcPr>
            <w:tcW w:w="300" w:type="dxa"/>
            <w:vAlign w:val="bottom"/>
          </w:tcPr>
          <w:p>
            <w:pPr>
              <w:jc w:val="right"/>
              <w:spacing w:after="0" w:line="173" w:lineRule="exact"/>
              <w:rPr>
                <w:sz w:val="20"/>
                <w:szCs w:val="20"/>
                <w:color w:val="auto"/>
              </w:rPr>
            </w:pPr>
            <w:r>
              <w:rPr>
                <w:rFonts w:ascii="Arial" w:cs="Arial" w:eastAsia="Arial" w:hAnsi="Arial"/>
                <w:sz w:val="16"/>
                <w:szCs w:val="16"/>
                <w:color w:val="auto"/>
              </w:rPr>
              <w:t>10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43"/>
              <w:spacing w:after="0" w:line="173" w:lineRule="exact"/>
              <w:rPr>
                <w:sz w:val="20"/>
                <w:szCs w:val="20"/>
                <w:color w:val="auto"/>
              </w:rPr>
            </w:pPr>
            <w:r>
              <w:rPr>
                <w:rFonts w:ascii="Arial" w:cs="Arial" w:eastAsia="Arial" w:hAnsi="Arial"/>
                <w:sz w:val="16"/>
                <w:szCs w:val="16"/>
                <w:color w:val="auto"/>
              </w:rPr>
              <w:t>430</w:t>
            </w:r>
          </w:p>
        </w:tc>
        <w:tc>
          <w:tcPr>
            <w:tcW w:w="800" w:type="dxa"/>
            <w:vAlign w:val="bottom"/>
          </w:tcPr>
          <w:p>
            <w:pPr>
              <w:spacing w:after="0"/>
              <w:rPr>
                <w:sz w:val="15"/>
                <w:szCs w:val="15"/>
                <w:color w:val="auto"/>
              </w:rPr>
            </w:pPr>
          </w:p>
        </w:tc>
        <w:tc>
          <w:tcPr>
            <w:tcW w:w="320" w:type="dxa"/>
            <w:vAlign w:val="bottom"/>
          </w:tcPr>
          <w:p>
            <w:pPr>
              <w:jc w:val="right"/>
              <w:spacing w:after="0" w:line="173" w:lineRule="exact"/>
              <w:rPr>
                <w:sz w:val="20"/>
                <w:szCs w:val="20"/>
                <w:color w:val="auto"/>
              </w:rPr>
            </w:pPr>
            <w:r>
              <w:rPr>
                <w:rFonts w:ascii="Arial" w:cs="Arial" w:eastAsia="Arial" w:hAnsi="Arial"/>
                <w:sz w:val="16"/>
                <w:szCs w:val="16"/>
                <w:color w:val="auto"/>
              </w:rPr>
              <w:t>10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63"/>
              <w:spacing w:after="0" w:line="173" w:lineRule="exact"/>
              <w:rPr>
                <w:sz w:val="20"/>
                <w:szCs w:val="20"/>
                <w:color w:val="auto"/>
              </w:rPr>
            </w:pPr>
            <w:r>
              <w:rPr>
                <w:rFonts w:ascii="Arial" w:cs="Arial" w:eastAsia="Arial" w:hAnsi="Arial"/>
                <w:sz w:val="16"/>
                <w:szCs w:val="16"/>
                <w:color w:val="auto"/>
              </w:rPr>
              <w:t>―</w:t>
            </w:r>
          </w:p>
        </w:tc>
        <w:tc>
          <w:tcPr>
            <w:tcW w:w="820" w:type="dxa"/>
            <w:vAlign w:val="bottom"/>
          </w:tcPr>
          <w:p>
            <w:pPr>
              <w:spacing w:after="0"/>
              <w:rPr>
                <w:sz w:val="15"/>
                <w:szCs w:val="15"/>
                <w:color w:val="auto"/>
              </w:rPr>
            </w:pPr>
          </w:p>
        </w:tc>
        <w:tc>
          <w:tcPr>
            <w:tcW w:w="3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3740" w:type="dxa"/>
            <w:vAlign w:val="bottom"/>
          </w:tcPr>
          <w:p>
            <w:pPr>
              <w:ind w:left="480"/>
              <w:spacing w:after="0" w:line="173" w:lineRule="exact"/>
              <w:rPr>
                <w:sz w:val="20"/>
                <w:szCs w:val="20"/>
                <w:color w:val="auto"/>
              </w:rPr>
            </w:pPr>
            <w:r>
              <w:rPr>
                <w:rFonts w:ascii="Arial" w:cs="Arial" w:eastAsia="Arial" w:hAnsi="Arial"/>
                <w:sz w:val="16"/>
                <w:szCs w:val="16"/>
                <w:color w:val="auto"/>
              </w:rPr>
              <w:t>All other, fixed-rate and variable-rate</w:t>
            </w:r>
          </w:p>
        </w:tc>
        <w:tc>
          <w:tcPr>
            <w:tcW w:w="300" w:type="dxa"/>
            <w:vAlign w:val="bottom"/>
          </w:tcPr>
          <w:p>
            <w:pPr>
              <w:spacing w:after="0"/>
              <w:rPr>
                <w:sz w:val="15"/>
                <w:szCs w:val="15"/>
                <w:color w:val="auto"/>
              </w:rPr>
            </w:pPr>
          </w:p>
        </w:tc>
        <w:tc>
          <w:tcPr>
            <w:tcW w:w="960" w:type="dxa"/>
            <w:vAlign w:val="bottom"/>
          </w:tcPr>
          <w:p>
            <w:pPr>
              <w:jc w:val="right"/>
              <w:ind w:right="44"/>
              <w:spacing w:after="0" w:line="173" w:lineRule="exact"/>
              <w:rPr>
                <w:sz w:val="20"/>
                <w:szCs w:val="20"/>
                <w:color w:val="auto"/>
              </w:rPr>
            </w:pPr>
            <w:r>
              <w:rPr>
                <w:rFonts w:ascii="Arial" w:cs="Arial" w:eastAsia="Arial" w:hAnsi="Arial"/>
                <w:sz w:val="16"/>
                <w:szCs w:val="16"/>
                <w:color w:val="auto"/>
              </w:rPr>
              <w:t>6,069</w:t>
            </w:r>
          </w:p>
        </w:tc>
        <w:tc>
          <w:tcPr>
            <w:tcW w:w="800" w:type="dxa"/>
            <w:vAlign w:val="bottom"/>
          </w:tcPr>
          <w:p>
            <w:pPr>
              <w:spacing w:after="0"/>
              <w:rPr>
                <w:sz w:val="15"/>
                <w:szCs w:val="15"/>
                <w:color w:val="auto"/>
              </w:rPr>
            </w:pPr>
          </w:p>
        </w:tc>
        <w:tc>
          <w:tcPr>
            <w:tcW w:w="300" w:type="dxa"/>
            <w:vAlign w:val="bottom"/>
          </w:tcPr>
          <w:p>
            <w:pPr>
              <w:jc w:val="right"/>
              <w:spacing w:after="0" w:line="173" w:lineRule="exact"/>
              <w:rPr>
                <w:sz w:val="20"/>
                <w:szCs w:val="20"/>
                <w:color w:val="auto"/>
              </w:rPr>
            </w:pPr>
            <w:r>
              <w:rPr>
                <w:rFonts w:ascii="Arial" w:cs="Arial" w:eastAsia="Arial" w:hAnsi="Arial"/>
                <w:sz w:val="16"/>
                <w:szCs w:val="16"/>
                <w:color w:val="auto"/>
                <w:w w:val="89"/>
              </w:rPr>
              <w:t>247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43"/>
              <w:spacing w:after="0" w:line="173" w:lineRule="exact"/>
              <w:rPr>
                <w:sz w:val="20"/>
                <w:szCs w:val="20"/>
                <w:color w:val="auto"/>
              </w:rPr>
            </w:pPr>
            <w:r>
              <w:rPr>
                <w:rFonts w:ascii="Arial" w:cs="Arial" w:eastAsia="Arial" w:hAnsi="Arial"/>
                <w:sz w:val="16"/>
                <w:szCs w:val="16"/>
                <w:color w:val="auto"/>
              </w:rPr>
              <w:t>―</w:t>
            </w:r>
          </w:p>
        </w:tc>
        <w:tc>
          <w:tcPr>
            <w:tcW w:w="800" w:type="dxa"/>
            <w:vAlign w:val="bottom"/>
          </w:tcPr>
          <w:p>
            <w:pPr>
              <w:spacing w:after="0"/>
              <w:rPr>
                <w:sz w:val="15"/>
                <w:szCs w:val="15"/>
                <w:color w:val="auto"/>
              </w:rPr>
            </w:pPr>
          </w:p>
        </w:tc>
        <w:tc>
          <w:tcPr>
            <w:tcW w:w="3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63"/>
              <w:spacing w:after="0" w:line="173" w:lineRule="exact"/>
              <w:rPr>
                <w:sz w:val="20"/>
                <w:szCs w:val="20"/>
                <w:color w:val="auto"/>
              </w:rPr>
            </w:pPr>
            <w:r>
              <w:rPr>
                <w:rFonts w:ascii="Arial" w:cs="Arial" w:eastAsia="Arial" w:hAnsi="Arial"/>
                <w:sz w:val="16"/>
                <w:szCs w:val="16"/>
                <w:color w:val="auto"/>
              </w:rPr>
              <w:t>―</w:t>
            </w:r>
          </w:p>
        </w:tc>
        <w:tc>
          <w:tcPr>
            <w:tcW w:w="820" w:type="dxa"/>
            <w:vAlign w:val="bottom"/>
          </w:tcPr>
          <w:p>
            <w:pPr>
              <w:spacing w:after="0"/>
              <w:rPr>
                <w:sz w:val="15"/>
                <w:szCs w:val="15"/>
                <w:color w:val="auto"/>
              </w:rPr>
            </w:pPr>
          </w:p>
        </w:tc>
        <w:tc>
          <w:tcPr>
            <w:tcW w:w="3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3740" w:type="dxa"/>
            <w:vAlign w:val="bottom"/>
          </w:tcPr>
          <w:p>
            <w:pPr>
              <w:spacing w:after="0" w:line="173" w:lineRule="exact"/>
              <w:rPr>
                <w:sz w:val="20"/>
                <w:szCs w:val="20"/>
                <w:color w:val="auto"/>
              </w:rPr>
            </w:pPr>
            <w:r>
              <w:rPr>
                <w:rFonts w:ascii="Arial" w:cs="Arial" w:eastAsia="Arial" w:hAnsi="Arial"/>
                <w:sz w:val="16"/>
                <w:szCs w:val="16"/>
                <w:color w:val="auto"/>
              </w:rPr>
              <w:t>At December 31, 2013:</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40" w:type="dxa"/>
            <w:vAlign w:val="bottom"/>
          </w:tcPr>
          <w:p>
            <w:pPr>
              <w:ind w:left="480"/>
              <w:spacing w:after="0" w:line="173" w:lineRule="exact"/>
              <w:rPr>
                <w:sz w:val="20"/>
                <w:szCs w:val="20"/>
                <w:color w:val="auto"/>
              </w:rPr>
            </w:pPr>
            <w:r>
              <w:rPr>
                <w:rFonts w:ascii="Arial" w:cs="Arial" w:eastAsia="Arial" w:hAnsi="Arial"/>
                <w:sz w:val="16"/>
                <w:szCs w:val="16"/>
                <w:color w:val="auto"/>
              </w:rPr>
              <w:t>California Utilities fixed-rate</w:t>
            </w:r>
          </w:p>
        </w:tc>
        <w:tc>
          <w:tcPr>
            <w:tcW w:w="3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44"/>
              <w:spacing w:after="0" w:line="173" w:lineRule="exact"/>
              <w:rPr>
                <w:sz w:val="20"/>
                <w:szCs w:val="20"/>
                <w:color w:val="auto"/>
              </w:rPr>
            </w:pPr>
            <w:r>
              <w:rPr>
                <w:rFonts w:ascii="Arial" w:cs="Arial" w:eastAsia="Arial" w:hAnsi="Arial"/>
                <w:sz w:val="16"/>
                <w:szCs w:val="16"/>
                <w:color w:val="auto"/>
              </w:rPr>
              <w:t>5,464</w:t>
            </w:r>
          </w:p>
        </w:tc>
        <w:tc>
          <w:tcPr>
            <w:tcW w:w="800" w:type="dxa"/>
            <w:vAlign w:val="bottom"/>
          </w:tcPr>
          <w:p>
            <w:pPr>
              <w:jc w:val="right"/>
              <w:ind w:right="505"/>
              <w:spacing w:after="0" w:line="173" w:lineRule="exact"/>
              <w:rPr>
                <w:sz w:val="20"/>
                <w:szCs w:val="20"/>
                <w:color w:val="auto"/>
              </w:rPr>
            </w:pPr>
            <w:r>
              <w:rPr>
                <w:rFonts w:ascii="Arial" w:cs="Arial" w:eastAsia="Arial" w:hAnsi="Arial"/>
                <w:sz w:val="16"/>
                <w:szCs w:val="16"/>
                <w:color w:val="auto"/>
              </w:rPr>
              <w:t>$</w:t>
            </w:r>
          </w:p>
        </w:tc>
        <w:tc>
          <w:tcPr>
            <w:tcW w:w="300" w:type="dxa"/>
            <w:vAlign w:val="bottom"/>
          </w:tcPr>
          <w:p>
            <w:pPr>
              <w:jc w:val="right"/>
              <w:spacing w:after="0" w:line="173" w:lineRule="exact"/>
              <w:rPr>
                <w:sz w:val="20"/>
                <w:szCs w:val="20"/>
                <w:color w:val="auto"/>
              </w:rPr>
            </w:pPr>
            <w:r>
              <w:rPr>
                <w:rFonts w:ascii="Arial" w:cs="Arial" w:eastAsia="Arial" w:hAnsi="Arial"/>
                <w:sz w:val="16"/>
                <w:szCs w:val="16"/>
                <w:color w:val="auto"/>
                <w:w w:val="89"/>
              </w:rPr>
              <w:t>531</w:t>
            </w:r>
          </w:p>
        </w:tc>
        <w:tc>
          <w:tcPr>
            <w:tcW w:w="560" w:type="dxa"/>
            <w:vAlign w:val="bottom"/>
            <w:gridSpan w:val="2"/>
          </w:tcPr>
          <w:p>
            <w:pPr>
              <w:jc w:val="right"/>
              <w:ind w:right="20"/>
              <w:spacing w:after="0" w:line="173"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43"/>
              <w:spacing w:after="0" w:line="173" w:lineRule="exact"/>
              <w:rPr>
                <w:sz w:val="20"/>
                <w:szCs w:val="20"/>
                <w:color w:val="auto"/>
              </w:rPr>
            </w:pPr>
            <w:r>
              <w:rPr>
                <w:rFonts w:ascii="Arial" w:cs="Arial" w:eastAsia="Arial" w:hAnsi="Arial"/>
                <w:sz w:val="16"/>
                <w:szCs w:val="16"/>
                <w:color w:val="auto"/>
              </w:rPr>
              <w:t>4,051</w:t>
            </w:r>
          </w:p>
        </w:tc>
        <w:tc>
          <w:tcPr>
            <w:tcW w:w="800" w:type="dxa"/>
            <w:vAlign w:val="bottom"/>
          </w:tcPr>
          <w:p>
            <w:pPr>
              <w:jc w:val="right"/>
              <w:ind w:right="505"/>
              <w:spacing w:after="0" w:line="173" w:lineRule="exact"/>
              <w:rPr>
                <w:sz w:val="20"/>
                <w:szCs w:val="20"/>
                <w:color w:val="auto"/>
              </w:rPr>
            </w:pPr>
            <w:r>
              <w:rPr>
                <w:rFonts w:ascii="Arial" w:cs="Arial" w:eastAsia="Arial" w:hAnsi="Arial"/>
                <w:sz w:val="16"/>
                <w:szCs w:val="16"/>
                <w:color w:val="auto"/>
              </w:rPr>
              <w:t>$</w:t>
            </w:r>
          </w:p>
        </w:tc>
        <w:tc>
          <w:tcPr>
            <w:tcW w:w="320" w:type="dxa"/>
            <w:vAlign w:val="bottom"/>
          </w:tcPr>
          <w:p>
            <w:pPr>
              <w:jc w:val="right"/>
              <w:spacing w:after="0" w:line="173" w:lineRule="exact"/>
              <w:rPr>
                <w:sz w:val="20"/>
                <w:szCs w:val="20"/>
                <w:color w:val="auto"/>
              </w:rPr>
            </w:pPr>
            <w:r>
              <w:rPr>
                <w:rFonts w:ascii="Arial" w:cs="Arial" w:eastAsia="Arial" w:hAnsi="Arial"/>
                <w:sz w:val="16"/>
                <w:szCs w:val="16"/>
                <w:color w:val="auto"/>
                <w:w w:val="97"/>
              </w:rPr>
              <w:t>407</w:t>
            </w:r>
          </w:p>
        </w:tc>
        <w:tc>
          <w:tcPr>
            <w:tcW w:w="56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63"/>
              <w:spacing w:after="0" w:line="173" w:lineRule="exact"/>
              <w:rPr>
                <w:sz w:val="20"/>
                <w:szCs w:val="20"/>
                <w:color w:val="auto"/>
              </w:rPr>
            </w:pPr>
            <w:r>
              <w:rPr>
                <w:rFonts w:ascii="Arial" w:cs="Arial" w:eastAsia="Arial" w:hAnsi="Arial"/>
                <w:sz w:val="16"/>
                <w:szCs w:val="16"/>
                <w:color w:val="auto"/>
              </w:rPr>
              <w:t>1,413</w:t>
            </w:r>
          </w:p>
        </w:tc>
        <w:tc>
          <w:tcPr>
            <w:tcW w:w="820" w:type="dxa"/>
            <w:vAlign w:val="bottom"/>
          </w:tcPr>
          <w:p>
            <w:pPr>
              <w:jc w:val="right"/>
              <w:ind w:right="525"/>
              <w:spacing w:after="0" w:line="173" w:lineRule="exact"/>
              <w:rPr>
                <w:sz w:val="20"/>
                <w:szCs w:val="20"/>
                <w:color w:val="auto"/>
              </w:rPr>
            </w:pPr>
            <w:r>
              <w:rPr>
                <w:rFonts w:ascii="Arial" w:cs="Arial" w:eastAsia="Arial" w:hAnsi="Arial"/>
                <w:sz w:val="16"/>
                <w:szCs w:val="16"/>
                <w:color w:val="auto"/>
              </w:rPr>
              <w:t>$</w:t>
            </w:r>
          </w:p>
        </w:tc>
        <w:tc>
          <w:tcPr>
            <w:tcW w:w="320" w:type="dxa"/>
            <w:vAlign w:val="bottom"/>
          </w:tcPr>
          <w:p>
            <w:pPr>
              <w:jc w:val="right"/>
              <w:spacing w:after="0" w:line="173" w:lineRule="exact"/>
              <w:rPr>
                <w:sz w:val="20"/>
                <w:szCs w:val="20"/>
                <w:color w:val="auto"/>
              </w:rPr>
            </w:pPr>
            <w:r>
              <w:rPr>
                <w:rFonts w:ascii="Arial" w:cs="Arial" w:eastAsia="Arial" w:hAnsi="Arial"/>
                <w:sz w:val="16"/>
                <w:szCs w:val="16"/>
                <w:color w:val="auto"/>
                <w:w w:val="97"/>
              </w:rPr>
              <w:t>124</w:t>
            </w:r>
          </w:p>
        </w:tc>
        <w:tc>
          <w:tcPr>
            <w:tcW w:w="0" w:type="dxa"/>
            <w:vAlign w:val="bottom"/>
          </w:tcPr>
          <w:p>
            <w:pPr>
              <w:spacing w:after="0"/>
              <w:rPr>
                <w:sz w:val="1"/>
                <w:szCs w:val="1"/>
                <w:color w:val="auto"/>
              </w:rPr>
            </w:pPr>
          </w:p>
        </w:tc>
      </w:tr>
      <w:tr>
        <w:trPr>
          <w:trHeight w:val="173"/>
        </w:trPr>
        <w:tc>
          <w:tcPr>
            <w:tcW w:w="3740" w:type="dxa"/>
            <w:vAlign w:val="bottom"/>
          </w:tcPr>
          <w:p>
            <w:pPr>
              <w:ind w:left="480"/>
              <w:spacing w:after="0" w:line="173" w:lineRule="exact"/>
              <w:rPr>
                <w:sz w:val="20"/>
                <w:szCs w:val="20"/>
                <w:color w:val="auto"/>
              </w:rPr>
            </w:pPr>
            <w:r>
              <w:rPr>
                <w:rFonts w:ascii="Arial" w:cs="Arial" w:eastAsia="Arial" w:hAnsi="Arial"/>
                <w:sz w:val="16"/>
                <w:szCs w:val="16"/>
                <w:color w:val="auto"/>
              </w:rPr>
              <w:t>California Utilities variable-rate</w:t>
            </w:r>
          </w:p>
        </w:tc>
        <w:tc>
          <w:tcPr>
            <w:tcW w:w="300" w:type="dxa"/>
            <w:vAlign w:val="bottom"/>
          </w:tcPr>
          <w:p>
            <w:pPr>
              <w:spacing w:after="0"/>
              <w:rPr>
                <w:sz w:val="15"/>
                <w:szCs w:val="15"/>
                <w:color w:val="auto"/>
              </w:rPr>
            </w:pPr>
          </w:p>
        </w:tc>
        <w:tc>
          <w:tcPr>
            <w:tcW w:w="960" w:type="dxa"/>
            <w:vAlign w:val="bottom"/>
          </w:tcPr>
          <w:p>
            <w:pPr>
              <w:jc w:val="right"/>
              <w:ind w:right="44"/>
              <w:spacing w:after="0" w:line="173" w:lineRule="exact"/>
              <w:rPr>
                <w:sz w:val="20"/>
                <w:szCs w:val="20"/>
                <w:color w:val="auto"/>
              </w:rPr>
            </w:pPr>
            <w:r>
              <w:rPr>
                <w:rFonts w:ascii="Arial" w:cs="Arial" w:eastAsia="Arial" w:hAnsi="Arial"/>
                <w:sz w:val="16"/>
                <w:szCs w:val="16"/>
                <w:color w:val="auto"/>
              </w:rPr>
              <w:t>335</w:t>
            </w:r>
          </w:p>
        </w:tc>
        <w:tc>
          <w:tcPr>
            <w:tcW w:w="800" w:type="dxa"/>
            <w:vAlign w:val="bottom"/>
          </w:tcPr>
          <w:p>
            <w:pPr>
              <w:spacing w:after="0"/>
              <w:rPr>
                <w:sz w:val="15"/>
                <w:szCs w:val="15"/>
                <w:color w:val="auto"/>
              </w:rPr>
            </w:pPr>
          </w:p>
        </w:tc>
        <w:tc>
          <w:tcPr>
            <w:tcW w:w="300" w:type="dxa"/>
            <w:vAlign w:val="bottom"/>
          </w:tcPr>
          <w:p>
            <w:pPr>
              <w:jc w:val="right"/>
              <w:spacing w:after="0" w:line="173" w:lineRule="exact"/>
              <w:rPr>
                <w:sz w:val="20"/>
                <w:szCs w:val="20"/>
                <w:color w:val="auto"/>
              </w:rPr>
            </w:pPr>
            <w:r>
              <w:rPr>
                <w:rFonts w:ascii="Arial" w:cs="Arial" w:eastAsia="Arial" w:hAnsi="Arial"/>
                <w:sz w:val="16"/>
                <w:szCs w:val="16"/>
                <w:color w:val="auto"/>
              </w:rPr>
              <w:t>15</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43"/>
              <w:spacing w:after="0" w:line="173" w:lineRule="exact"/>
              <w:rPr>
                <w:sz w:val="20"/>
                <w:szCs w:val="20"/>
                <w:color w:val="auto"/>
              </w:rPr>
            </w:pPr>
            <w:r>
              <w:rPr>
                <w:rFonts w:ascii="Arial" w:cs="Arial" w:eastAsia="Arial" w:hAnsi="Arial"/>
                <w:sz w:val="16"/>
                <w:szCs w:val="16"/>
                <w:color w:val="auto"/>
              </w:rPr>
              <w:t>335</w:t>
            </w:r>
          </w:p>
        </w:tc>
        <w:tc>
          <w:tcPr>
            <w:tcW w:w="800" w:type="dxa"/>
            <w:vAlign w:val="bottom"/>
          </w:tcPr>
          <w:p>
            <w:pPr>
              <w:spacing w:after="0"/>
              <w:rPr>
                <w:sz w:val="15"/>
                <w:szCs w:val="15"/>
                <w:color w:val="auto"/>
              </w:rPr>
            </w:pPr>
          </w:p>
        </w:tc>
        <w:tc>
          <w:tcPr>
            <w:tcW w:w="320" w:type="dxa"/>
            <w:vAlign w:val="bottom"/>
          </w:tcPr>
          <w:p>
            <w:pPr>
              <w:jc w:val="right"/>
              <w:spacing w:after="0" w:line="173" w:lineRule="exact"/>
              <w:rPr>
                <w:sz w:val="20"/>
                <w:szCs w:val="20"/>
                <w:color w:val="auto"/>
              </w:rPr>
            </w:pPr>
            <w:r>
              <w:rPr>
                <w:rFonts w:ascii="Arial" w:cs="Arial" w:eastAsia="Arial" w:hAnsi="Arial"/>
                <w:sz w:val="16"/>
                <w:szCs w:val="16"/>
                <w:color w:val="auto"/>
              </w:rPr>
              <w:t>15</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63"/>
              <w:spacing w:after="0" w:line="173" w:lineRule="exact"/>
              <w:rPr>
                <w:sz w:val="20"/>
                <w:szCs w:val="20"/>
                <w:color w:val="auto"/>
              </w:rPr>
            </w:pPr>
            <w:r>
              <w:rPr>
                <w:rFonts w:ascii="Arial" w:cs="Arial" w:eastAsia="Arial" w:hAnsi="Arial"/>
                <w:sz w:val="16"/>
                <w:szCs w:val="16"/>
                <w:color w:val="auto"/>
              </w:rPr>
              <w:t>―</w:t>
            </w:r>
          </w:p>
        </w:tc>
        <w:tc>
          <w:tcPr>
            <w:tcW w:w="820" w:type="dxa"/>
            <w:vAlign w:val="bottom"/>
          </w:tcPr>
          <w:p>
            <w:pPr>
              <w:spacing w:after="0"/>
              <w:rPr>
                <w:sz w:val="15"/>
                <w:szCs w:val="15"/>
                <w:color w:val="auto"/>
              </w:rPr>
            </w:pPr>
          </w:p>
        </w:tc>
        <w:tc>
          <w:tcPr>
            <w:tcW w:w="3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740" w:type="dxa"/>
            <w:vAlign w:val="bottom"/>
          </w:tcPr>
          <w:p>
            <w:pPr>
              <w:ind w:left="480"/>
              <w:spacing w:after="0"/>
              <w:rPr>
                <w:sz w:val="20"/>
                <w:szCs w:val="20"/>
                <w:color w:val="auto"/>
              </w:rPr>
            </w:pPr>
            <w:r>
              <w:rPr>
                <w:rFonts w:ascii="Arial" w:cs="Arial" w:eastAsia="Arial" w:hAnsi="Arial"/>
                <w:sz w:val="16"/>
                <w:szCs w:val="16"/>
                <w:color w:val="auto"/>
              </w:rPr>
              <w:t>All other, fixed-rate and variable-rate</w:t>
            </w:r>
          </w:p>
        </w:tc>
        <w:tc>
          <w:tcPr>
            <w:tcW w:w="300" w:type="dxa"/>
            <w:vAlign w:val="bottom"/>
          </w:tcPr>
          <w:p>
            <w:pPr>
              <w:spacing w:after="0"/>
              <w:rPr>
                <w:sz w:val="17"/>
                <w:szCs w:val="17"/>
                <w:color w:val="auto"/>
              </w:rPr>
            </w:pP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6,211</w:t>
            </w:r>
          </w:p>
        </w:tc>
        <w:tc>
          <w:tcPr>
            <w:tcW w:w="8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9"/>
              </w:rPr>
              <w:t>308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0"/>
        </w:trPr>
        <w:tc>
          <w:tcPr>
            <w:tcW w:w="3740" w:type="dxa"/>
            <w:vAlign w:val="bottom"/>
            <w:shd w:val="clear" w:color="auto" w:fill="C0C0C0"/>
          </w:tcPr>
          <w:p>
            <w:pPr>
              <w:spacing w:after="0"/>
              <w:rPr>
                <w:sz w:val="6"/>
                <w:szCs w:val="6"/>
                <w:color w:val="auto"/>
              </w:rPr>
            </w:pPr>
          </w:p>
        </w:tc>
        <w:tc>
          <w:tcPr>
            <w:tcW w:w="300" w:type="dxa"/>
            <w:vAlign w:val="bottom"/>
            <w:shd w:val="clear" w:color="auto" w:fill="C0C0C0"/>
          </w:tcPr>
          <w:p>
            <w:pPr>
              <w:spacing w:after="0"/>
              <w:rPr>
                <w:sz w:val="6"/>
                <w:szCs w:val="6"/>
                <w:color w:val="auto"/>
              </w:rPr>
            </w:pPr>
          </w:p>
        </w:tc>
        <w:tc>
          <w:tcPr>
            <w:tcW w:w="960" w:type="dxa"/>
            <w:vAlign w:val="bottom"/>
            <w:shd w:val="clear" w:color="auto" w:fill="C0C0C0"/>
          </w:tcPr>
          <w:p>
            <w:pPr>
              <w:spacing w:after="0"/>
              <w:rPr>
                <w:sz w:val="6"/>
                <w:szCs w:val="6"/>
                <w:color w:val="auto"/>
              </w:rPr>
            </w:pPr>
          </w:p>
        </w:tc>
        <w:tc>
          <w:tcPr>
            <w:tcW w:w="800" w:type="dxa"/>
            <w:vAlign w:val="bottom"/>
            <w:shd w:val="clear" w:color="auto" w:fill="C0C0C0"/>
          </w:tcPr>
          <w:p>
            <w:pPr>
              <w:spacing w:after="0"/>
              <w:rPr>
                <w:sz w:val="6"/>
                <w:szCs w:val="6"/>
                <w:color w:val="auto"/>
              </w:rPr>
            </w:pPr>
          </w:p>
        </w:tc>
        <w:tc>
          <w:tcPr>
            <w:tcW w:w="300" w:type="dxa"/>
            <w:vAlign w:val="bottom"/>
            <w:shd w:val="clear" w:color="auto" w:fill="C0C0C0"/>
          </w:tcPr>
          <w:p>
            <w:pPr>
              <w:spacing w:after="0"/>
              <w:rPr>
                <w:sz w:val="6"/>
                <w:szCs w:val="6"/>
                <w:color w:val="auto"/>
              </w:rPr>
            </w:pPr>
          </w:p>
        </w:tc>
        <w:tc>
          <w:tcPr>
            <w:tcW w:w="240" w:type="dxa"/>
            <w:vAlign w:val="bottom"/>
            <w:shd w:val="clear" w:color="auto" w:fill="C0C0C0"/>
          </w:tcPr>
          <w:p>
            <w:pPr>
              <w:spacing w:after="0"/>
              <w:rPr>
                <w:sz w:val="6"/>
                <w:szCs w:val="6"/>
                <w:color w:val="auto"/>
              </w:rPr>
            </w:pPr>
          </w:p>
        </w:tc>
        <w:tc>
          <w:tcPr>
            <w:tcW w:w="320" w:type="dxa"/>
            <w:vAlign w:val="bottom"/>
            <w:shd w:val="clear" w:color="auto" w:fill="C0C0C0"/>
          </w:tcPr>
          <w:p>
            <w:pPr>
              <w:spacing w:after="0"/>
              <w:rPr>
                <w:sz w:val="6"/>
                <w:szCs w:val="6"/>
                <w:color w:val="auto"/>
              </w:rPr>
            </w:pPr>
          </w:p>
        </w:tc>
        <w:tc>
          <w:tcPr>
            <w:tcW w:w="960" w:type="dxa"/>
            <w:vAlign w:val="bottom"/>
            <w:shd w:val="clear" w:color="auto" w:fill="C0C0C0"/>
          </w:tcPr>
          <w:p>
            <w:pPr>
              <w:spacing w:after="0"/>
              <w:rPr>
                <w:sz w:val="6"/>
                <w:szCs w:val="6"/>
                <w:color w:val="auto"/>
              </w:rPr>
            </w:pPr>
          </w:p>
        </w:tc>
        <w:tc>
          <w:tcPr>
            <w:tcW w:w="800" w:type="dxa"/>
            <w:vAlign w:val="bottom"/>
            <w:shd w:val="clear" w:color="auto" w:fill="C0C0C0"/>
          </w:tcPr>
          <w:p>
            <w:pPr>
              <w:spacing w:after="0"/>
              <w:rPr>
                <w:sz w:val="6"/>
                <w:szCs w:val="6"/>
                <w:color w:val="auto"/>
              </w:rPr>
            </w:pPr>
          </w:p>
        </w:tc>
        <w:tc>
          <w:tcPr>
            <w:tcW w:w="320" w:type="dxa"/>
            <w:vAlign w:val="bottom"/>
            <w:shd w:val="clear" w:color="auto" w:fill="C0C0C0"/>
          </w:tcPr>
          <w:p>
            <w:pPr>
              <w:spacing w:after="0"/>
              <w:rPr>
                <w:sz w:val="6"/>
                <w:szCs w:val="6"/>
                <w:color w:val="auto"/>
              </w:rPr>
            </w:pPr>
          </w:p>
        </w:tc>
        <w:tc>
          <w:tcPr>
            <w:tcW w:w="240" w:type="dxa"/>
            <w:vAlign w:val="bottom"/>
            <w:shd w:val="clear" w:color="auto" w:fill="C0C0C0"/>
          </w:tcPr>
          <w:p>
            <w:pPr>
              <w:spacing w:after="0"/>
              <w:rPr>
                <w:sz w:val="6"/>
                <w:szCs w:val="6"/>
                <w:color w:val="auto"/>
              </w:rPr>
            </w:pPr>
          </w:p>
        </w:tc>
        <w:tc>
          <w:tcPr>
            <w:tcW w:w="320" w:type="dxa"/>
            <w:vAlign w:val="bottom"/>
            <w:shd w:val="clear" w:color="auto" w:fill="C0C0C0"/>
          </w:tcPr>
          <w:p>
            <w:pPr>
              <w:spacing w:after="0"/>
              <w:rPr>
                <w:sz w:val="6"/>
                <w:szCs w:val="6"/>
                <w:color w:val="auto"/>
              </w:rPr>
            </w:pPr>
          </w:p>
        </w:tc>
        <w:tc>
          <w:tcPr>
            <w:tcW w:w="980" w:type="dxa"/>
            <w:vAlign w:val="bottom"/>
            <w:shd w:val="clear" w:color="auto" w:fill="C0C0C0"/>
          </w:tcPr>
          <w:p>
            <w:pPr>
              <w:spacing w:after="0"/>
              <w:rPr>
                <w:sz w:val="6"/>
                <w:szCs w:val="6"/>
                <w:color w:val="auto"/>
              </w:rPr>
            </w:pPr>
          </w:p>
        </w:tc>
        <w:tc>
          <w:tcPr>
            <w:tcW w:w="820" w:type="dxa"/>
            <w:vAlign w:val="bottom"/>
            <w:shd w:val="clear" w:color="auto" w:fill="C0C0C0"/>
          </w:tcPr>
          <w:p>
            <w:pPr>
              <w:spacing w:after="0"/>
              <w:rPr>
                <w:sz w:val="6"/>
                <w:szCs w:val="6"/>
                <w:color w:val="auto"/>
              </w:rPr>
            </w:pPr>
          </w:p>
        </w:tc>
        <w:tc>
          <w:tcPr>
            <w:tcW w:w="320" w:type="dxa"/>
            <w:vAlign w:val="bottom"/>
            <w:shd w:val="clear" w:color="auto" w:fill="C0C0C0"/>
          </w:tcPr>
          <w:p>
            <w:pPr>
              <w:spacing w:after="0"/>
              <w:rPr>
                <w:sz w:val="6"/>
                <w:szCs w:val="6"/>
                <w:color w:val="auto"/>
              </w:rPr>
            </w:pPr>
          </w:p>
        </w:tc>
        <w:tc>
          <w:tcPr>
            <w:tcW w:w="0" w:type="dxa"/>
            <w:vAlign w:val="bottom"/>
          </w:tcPr>
          <w:p>
            <w:pPr>
              <w:spacing w:after="0"/>
              <w:rPr>
                <w:sz w:val="1"/>
                <w:szCs w:val="1"/>
                <w:color w:val="auto"/>
              </w:rPr>
            </w:pPr>
          </w:p>
        </w:tc>
      </w:tr>
    </w:tbl>
    <w:p>
      <w:pPr>
        <w:ind w:left="480" w:right="1200" w:hanging="172"/>
        <w:spacing w:after="0" w:line="241" w:lineRule="auto"/>
        <w:rPr>
          <w:sz w:val="20"/>
          <w:szCs w:val="20"/>
          <w:color w:val="auto"/>
        </w:rPr>
      </w:pPr>
      <w:r>
        <w:rPr>
          <w:rFonts w:ascii="Arial" w:cs="Arial" w:eastAsia="Arial" w:hAnsi="Arial"/>
          <w:sz w:val="14"/>
          <w:szCs w:val="14"/>
          <w:i w:val="1"/>
          <w:iCs w:val="1"/>
          <w:color w:val="auto"/>
        </w:rPr>
        <w:t>(1)Excluding commercial paper classified as long-term debt, capital lease obligations and interest rate swaps, and before reductions/increases for unamortized discount/premium.</w:t>
      </w:r>
    </w:p>
    <w:p>
      <w:pPr>
        <w:ind w:left="320"/>
        <w:spacing w:after="0"/>
        <w:rPr>
          <w:sz w:val="20"/>
          <w:szCs w:val="20"/>
          <w:color w:val="auto"/>
        </w:rPr>
      </w:pPr>
      <w:r>
        <w:rPr>
          <w:rFonts w:ascii="Arial" w:cs="Arial" w:eastAsia="Arial" w:hAnsi="Arial"/>
          <w:sz w:val="14"/>
          <w:szCs w:val="14"/>
          <w:i w:val="1"/>
          <w:iCs w:val="1"/>
          <w:color w:val="auto"/>
        </w:rPr>
        <w:t>(2)After the effects of interest rate swaps.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additional information about interest rate swap transactions in Note 7 of the Notes to Condensed Consolidated Financial Statements herein.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pacing w:after="0" w:line="23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7"/>
          <w:szCs w:val="17"/>
          <w:color w:val="auto"/>
        </w:rPr>
        <w:t xml:space="preserve">We discuss our foreign currency exposure at our Mexican subsidiaries in “Management’s Discussion and Analysis of Financial Condition and Results of Operations </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Changes in Revenues, Costs and Earnings </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Income Taxes </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Mexican Currency Exchange Rate and Inflation Impact on Income Taxes and Related Economic Hedging Activity” herein. At June 30, 2014, there were no significant changes to our exposure to foreign currency rate risk since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322580</wp:posOffset>
            </wp:positionV>
            <wp:extent cx="72656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9"/>
          <w:szCs w:val="19"/>
          <w:color w:val="auto"/>
        </w:rPr>
        <w:t>ITEM 4. CONTROLS AND PROCEDURES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Sempra Energy, SDG&amp;E and SoCalGas have designed and maintain disclosure controls and procedures to ensure that information required to be disclosed in their respective reports is recorded, processed, summarized and reported within the time periods specified in the rules and forms of the Securities and Exchange Commission and is accumulated and communicated to the management of each company, including each respective Chief Executive Officer and Chief Financial Officer, to allow timely decisions regarding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other possible controls and procedures.</w:t>
      </w:r>
    </w:p>
    <w:p>
      <w:pPr>
        <w:spacing w:after="0" w:line="1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the Chief Executive Officers and Chief Financial Officers of Sempra Energy, SDG&amp;E and SoCalGas, each company evaluated the effectiveness of the design and operation of its disclosure controls and procedures as of June 30, 2014, the end of the period covered by this report. Based on these evaluations, the Chief Executive Officers and Chief Financial Officers of Sempra Energy, SDG&amp;E and SoCalGas concluded that their respective company’s disclosure controls and procedures were effective at the reasonable assurance level.</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There have been no changes in the companies’ internal control over financial reporting during the most recent fiscal quarter that have materially affected, or are reasonably likely to materially affect, the companies’ internal control over financial reporting.</w:t>
      </w:r>
    </w:p>
    <w:p>
      <w:pPr>
        <w:spacing w:after="0" w:line="16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May 14, 2013, the Committee of Sponsoring Organizations of the Treadway Commission (COSO) issued an updated version of its Internal Control – Integrated Framework (2013 Framework). Originally issued in 1992 (1992 Framework), the framework helps organizations design, implement and evaluate the effectiveness of internal control concepts and simplify their use and application. The 1992 Framework remains available during the transition period, which extends to December 15, 2014, after which time COSO will consider it as superseded by the 2013 Framework. As of June 30, 2014, Sempra Energy, SDG&amp;E and SoCalGas continue to utilize the 1992 Framework during the transition to the 2013 Framework by the end of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3"/>
          <w:szCs w:val="23"/>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388620</wp:posOffset>
            </wp:positionV>
            <wp:extent cx="72656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ectPr>
          <w:pgSz w:w="11900" w:h="16838" w:orient="portrait"/>
          <w:cols w:equalWidth="0" w:num="1">
            <w:col w:w="11420"/>
          </w:cols>
          <w:pgMar w:left="240" w:top="111" w:right="239" w:bottom="493" w:gutter="0" w:footer="0" w:header="0"/>
        </w:sectPr>
      </w:pPr>
    </w:p>
    <w:bookmarkStart w:id="79" w:name="page80"/>
    <w:bookmarkEnd w:id="79"/>
    <w:p>
      <w:pPr>
        <w:spacing w:after="0"/>
        <w:rPr>
          <w:sz w:val="20"/>
          <w:szCs w:val="20"/>
          <w:color w:val="auto"/>
        </w:rPr>
      </w:pPr>
      <w:r>
        <w:rPr>
          <w:rFonts w:ascii="Arial" w:cs="Arial" w:eastAsia="Arial" w:hAnsi="Arial"/>
          <w:sz w:val="19"/>
          <w:szCs w:val="19"/>
          <w:color w:val="auto"/>
        </w:rPr>
        <w:t>ITEM 1. LEGAL PROCEEDINGS</w:t>
      </w:r>
    </w:p>
    <w:p>
      <w:pPr>
        <w:spacing w:after="0" w:line="21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not party to, and our property is not the subject of, any material pending legal proceedings (other than ordinary routine litigation incidental to our businesses) except for the matters 1) described in Notes 9, 10 and 11 of the Notes to Condensed Consolidated Financial Statements herein and Notes 13, 14 and 15 of the Notes to Consolidated Financial Statements in the Annual Report, or 2) referred to in “Management's Discussion and Analysis of Financial Condition and Results of Operations” herein and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328295</wp:posOffset>
            </wp:positionV>
            <wp:extent cx="72656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color w:val="auto"/>
        </w:rPr>
        <w:t>ITEM 1A. RISK FACTORS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have not been any material changes from the risk factors previously disclosed in our Annual Report on Form 10-K for the 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72656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ITEM 6.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relate to each registrant as indicated.</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3 -- BYLAWS AND ARTICLES OF INCORPORATION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Energy</w:t>
      </w:r>
    </w:p>
    <w:p>
      <w:pPr>
        <w:spacing w:after="0" w:line="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3.1Bylaws of Sempra Energy (as amended through May 9, 2014) (Sempra Energy Form 8-K filed on May 14, 2014, Exhibit 3.1).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12 -- STATEMENTS RE: COMPUTATION OF RATIOS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Energy</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12.1Sempra Energy Computation of Ratio of Earnings to Combined Fixed Charges and Preferred Stock Dividends.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San Diego Gas &amp; Electric Company</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12.2San Diego Gas &amp; Electric Company Computation of Ratio of Earnings to Combined Fixed Charges and Preferred Stock Dividends.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Southern California Gas Company</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12.3Southern California Gas Company Computation of Ratio of Earnings to Combined Fixed Charges and Preferred Stock Dividends.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31 -- SECTION 302 CERTIFICATIONS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Energy</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31.1Statement of Sempra Energy’s Chief Executive Officer pursuant to Rules 13a-14 and 15d-14 of the Securities Exchange Act of 1934.</w:t>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31.2Statement of Sempra Energy’s Chief Financial Officer pursuant to Rules 13a-14 and 15d-14 of the Securities Exchange Act of 1934.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San Diego Gas &amp; Electric Company</w:t>
      </w:r>
    </w:p>
    <w:p>
      <w:pPr>
        <w:spacing w:after="0" w:line="215" w:lineRule="exact"/>
        <w:rPr>
          <w:sz w:val="20"/>
          <w:szCs w:val="20"/>
          <w:color w:val="auto"/>
        </w:rPr>
      </w:pPr>
    </w:p>
    <w:p>
      <w:pPr>
        <w:ind w:left="1140" w:hanging="309"/>
        <w:spacing w:after="0" w:line="259" w:lineRule="auto"/>
        <w:rPr>
          <w:sz w:val="20"/>
          <w:szCs w:val="20"/>
          <w:color w:val="auto"/>
        </w:rPr>
      </w:pPr>
      <w:r>
        <w:rPr>
          <w:rFonts w:ascii="Times New Roman" w:cs="Times New Roman" w:eastAsia="Times New Roman" w:hAnsi="Times New Roman"/>
          <w:sz w:val="18"/>
          <w:szCs w:val="18"/>
          <w:color w:val="auto"/>
        </w:rPr>
        <w:t>31.3Statement of San Diego Gas &amp; Electric Company’s Chief Executive Officer pursuant to Rules 13a-14 and 15d-14 of the Securities Exchange Act of 1934.</w:t>
      </w:r>
    </w:p>
    <w:p>
      <w:pPr>
        <w:spacing w:after="0" w:line="165" w:lineRule="exact"/>
        <w:rPr>
          <w:sz w:val="20"/>
          <w:szCs w:val="20"/>
          <w:color w:val="auto"/>
        </w:rPr>
      </w:pPr>
    </w:p>
    <w:p>
      <w:pPr>
        <w:ind w:left="1140" w:right="60" w:hanging="309"/>
        <w:spacing w:after="0" w:line="259" w:lineRule="auto"/>
        <w:rPr>
          <w:sz w:val="20"/>
          <w:szCs w:val="20"/>
          <w:color w:val="auto"/>
        </w:rPr>
      </w:pPr>
      <w:r>
        <w:rPr>
          <w:rFonts w:ascii="Times New Roman" w:cs="Times New Roman" w:eastAsia="Times New Roman" w:hAnsi="Times New Roman"/>
          <w:sz w:val="18"/>
          <w:szCs w:val="18"/>
          <w:color w:val="auto"/>
        </w:rPr>
        <w:t>31.4Statement of San Diego Gas &amp; Electric Company’s Chief Financial Officer pursuant to Rules 13a-14 and 15d-14 of the Securities Exchange Act of 1934.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Southern California Gas Company</w:t>
      </w:r>
    </w:p>
    <w:p>
      <w:pPr>
        <w:spacing w:after="0" w:line="215" w:lineRule="exact"/>
        <w:rPr>
          <w:sz w:val="20"/>
          <w:szCs w:val="20"/>
          <w:color w:val="auto"/>
        </w:rPr>
      </w:pPr>
    </w:p>
    <w:p>
      <w:pPr>
        <w:ind w:left="1140" w:right="120" w:hanging="309"/>
        <w:spacing w:after="0" w:line="259" w:lineRule="auto"/>
        <w:rPr>
          <w:sz w:val="20"/>
          <w:szCs w:val="20"/>
          <w:color w:val="auto"/>
        </w:rPr>
      </w:pPr>
      <w:r>
        <w:rPr>
          <w:rFonts w:ascii="Times New Roman" w:cs="Times New Roman" w:eastAsia="Times New Roman" w:hAnsi="Times New Roman"/>
          <w:sz w:val="18"/>
          <w:szCs w:val="18"/>
          <w:color w:val="auto"/>
        </w:rPr>
        <w:t>31.5Statement of Southern California Gas Company’s Chief Executive Officer pursuant to Rules 13a-14 and 15d-14 of the Securities Exchange Act of 1934.</w:t>
      </w:r>
    </w:p>
    <w:p>
      <w:pPr>
        <w:spacing w:after="0" w:line="165" w:lineRule="exact"/>
        <w:rPr>
          <w:sz w:val="20"/>
          <w:szCs w:val="20"/>
          <w:color w:val="auto"/>
        </w:rPr>
      </w:pPr>
    </w:p>
    <w:p>
      <w:pPr>
        <w:ind w:left="1140" w:right="160" w:hanging="309"/>
        <w:spacing w:after="0" w:line="259" w:lineRule="auto"/>
        <w:rPr>
          <w:sz w:val="20"/>
          <w:szCs w:val="20"/>
          <w:color w:val="auto"/>
        </w:rPr>
      </w:pPr>
      <w:r>
        <w:rPr>
          <w:rFonts w:ascii="Times New Roman" w:cs="Times New Roman" w:eastAsia="Times New Roman" w:hAnsi="Times New Roman"/>
          <w:sz w:val="18"/>
          <w:szCs w:val="18"/>
          <w:color w:val="auto"/>
        </w:rPr>
        <w:t>31.6Statement of Southern California Gas Company’s Chief Financial Officer pursuant to Rules 13a-14 and 15d-14 of the Securities Exchange Act of 1934.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32 -- SECTION 906 CERTIFICATIONS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Energy</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32.1Statement of Sempra Energy’s Chief Executive Officer pursuant to 18 U.S.C. Sec. 1350.</w:t>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32.2Statement of Sempra Energy’s Chief Financial Officer pursuant to 18 U.S.C. Sec. 1350.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San Diego Gas &amp; Electric Company</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32.3Statement of San Diego Gas &amp; Electric Company’s Chief Executive Officer pursuant to 18 U.S.C. Sec. 1350.</w:t>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32.4Statement of San Diego Gas &amp; Electric Company’s Chief Financial Officer pursuant to 18 U.S.C. Sec. 1350.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Southern California Gas Company</w:t>
      </w:r>
    </w:p>
    <w:p>
      <w:pPr>
        <w:sectPr>
          <w:pgSz w:w="11900" w:h="16838" w:orient="portrait"/>
          <w:cols w:equalWidth="0" w:num="1">
            <w:col w:w="11420"/>
          </w:cols>
          <w:pgMar w:left="240" w:top="111" w:right="239" w:bottom="0" w:gutter="0" w:footer="0" w:header="0"/>
        </w:sectPr>
      </w:pPr>
    </w:p>
    <w:bookmarkStart w:id="80" w:name="page81"/>
    <w:bookmarkEnd w:id="80"/>
    <w:p>
      <w:pPr>
        <w:ind w:left="820"/>
        <w:spacing w:after="0"/>
        <w:rPr>
          <w:sz w:val="20"/>
          <w:szCs w:val="20"/>
          <w:color w:val="auto"/>
        </w:rPr>
      </w:pPr>
      <w:r>
        <w:rPr>
          <w:rFonts w:ascii="Times New Roman" w:cs="Times New Roman" w:eastAsia="Times New Roman" w:hAnsi="Times New Roman"/>
          <w:sz w:val="18"/>
          <w:szCs w:val="18"/>
          <w:color w:val="auto"/>
        </w:rPr>
        <w:t>32.5Statement of Southern California Gas Company’s Chief Executive Officer pursuant to 18 U.S.C. Sec. 1350.</w:t>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32.6Statement of Southern California Gas Company’s Chief Financial Officer pursuant to 18 U.S.C. Sec. 1350.</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101 -- INTERACTIVE DATA FILE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Sempra Energy / San Diego Gas &amp; Electric Company / Southern California Gas Company</w:t>
      </w:r>
    </w:p>
    <w:p>
      <w:pPr>
        <w:spacing w:after="0" w:line="2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101.INSXBRL Instance Document</w:t>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101.SCHXBRL Taxonomy Extension Schema Document</w:t>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101.CALXBRL Taxonomy Extension Calculation Linkbase Document</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101.DEFXBRL Taxonomy Extension Definition Linkbase Document</w:t>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101.LABXBRL Taxonomy Extension Label Linkbase Document</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101.PREXBRL Taxonomy Extension Presentation Linkbase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Sempra Energy:</w:t>
      </w:r>
    </w:p>
    <w:p>
      <w:pPr>
        <w:spacing w:after="0" w:line="18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SEMPRA ENERGY,</w:t>
      </w:r>
    </w:p>
    <w:p>
      <w:pPr>
        <w:spacing w:after="0" w:line="1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(Registrant)</w:t>
      </w:r>
    </w:p>
    <w:p>
      <w:pPr>
        <w:spacing w:after="0" w:line="185" w:lineRule="exact"/>
        <w:rPr>
          <w:sz w:val="20"/>
          <w:szCs w:val="20"/>
          <w:color w:val="auto"/>
        </w:rPr>
      </w:pPr>
    </w:p>
    <w:p>
      <w:pPr>
        <w:ind w:left="1880"/>
        <w:spacing w:after="0"/>
        <w:tabs>
          <w:tab w:leader="none" w:pos="5900" w:val="left"/>
        </w:tabs>
        <w:rPr>
          <w:sz w:val="20"/>
          <w:szCs w:val="20"/>
          <w:color w:val="auto"/>
        </w:rPr>
      </w:pPr>
      <w:r>
        <w:rPr>
          <w:rFonts w:ascii="Times New Roman" w:cs="Times New Roman" w:eastAsia="Times New Roman" w:hAnsi="Times New Roman"/>
          <w:sz w:val="18"/>
          <w:szCs w:val="18"/>
          <w:color w:val="auto"/>
        </w:rPr>
        <w:t>Date: August 7, 2014</w:t>
      </w:r>
      <w:r>
        <w:rPr>
          <w:sz w:val="20"/>
          <w:szCs w:val="20"/>
          <w:color w:val="auto"/>
        </w:rPr>
        <w:tab/>
      </w:r>
      <w:r>
        <w:rPr>
          <w:rFonts w:ascii="Times New Roman" w:cs="Times New Roman" w:eastAsia="Times New Roman" w:hAnsi="Times New Roman"/>
          <w:sz w:val="18"/>
          <w:szCs w:val="18"/>
          <w:color w:val="auto"/>
        </w:rPr>
        <w:t>By: /s/ Trevor I. Mihalik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6985</wp:posOffset>
            </wp:positionV>
            <wp:extent cx="34937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ind w:left="5920"/>
        <w:spacing w:after="0"/>
        <w:rPr>
          <w:sz w:val="20"/>
          <w:szCs w:val="20"/>
          <w:color w:val="auto"/>
        </w:rPr>
      </w:pPr>
      <w:r>
        <w:rPr>
          <w:rFonts w:ascii="Times New Roman" w:cs="Times New Roman" w:eastAsia="Times New Roman" w:hAnsi="Times New Roman"/>
          <w:sz w:val="18"/>
          <w:szCs w:val="18"/>
          <w:color w:val="auto"/>
        </w:rPr>
        <w:t>Trevor I. Mihalik</w:t>
      </w:r>
    </w:p>
    <w:p>
      <w:pPr>
        <w:ind w:left="5920"/>
        <w:spacing w:after="0" w:line="231" w:lineRule="auto"/>
        <w:rPr>
          <w:sz w:val="20"/>
          <w:szCs w:val="20"/>
          <w:color w:val="auto"/>
        </w:rPr>
      </w:pPr>
      <w:r>
        <w:rPr>
          <w:rFonts w:ascii="Times New Roman" w:cs="Times New Roman" w:eastAsia="Times New Roman" w:hAnsi="Times New Roman"/>
          <w:sz w:val="18"/>
          <w:szCs w:val="18"/>
          <w:color w:val="auto"/>
        </w:rPr>
        <w:t>Senior Vice President, Controller and</w:t>
      </w:r>
    </w:p>
    <w:p>
      <w:pPr>
        <w:ind w:left="59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 Diego Gas &amp; Electric Company:</w:t>
      </w:r>
    </w:p>
    <w:p>
      <w:pPr>
        <w:spacing w:after="0" w:line="20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SAN DIEGO GAS &amp; ELECTRIC COMPANY,</w:t>
      </w:r>
    </w:p>
    <w:p>
      <w:pPr>
        <w:spacing w:after="0" w:line="1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(Registrant)</w:t>
      </w:r>
    </w:p>
    <w:p>
      <w:pPr>
        <w:spacing w:after="0" w:line="185" w:lineRule="exact"/>
        <w:rPr>
          <w:sz w:val="20"/>
          <w:szCs w:val="20"/>
          <w:color w:val="auto"/>
        </w:rPr>
      </w:pPr>
    </w:p>
    <w:p>
      <w:pPr>
        <w:ind w:left="1880"/>
        <w:spacing w:after="0"/>
        <w:tabs>
          <w:tab w:leader="none" w:pos="5900" w:val="left"/>
        </w:tabs>
        <w:rPr>
          <w:sz w:val="20"/>
          <w:szCs w:val="20"/>
          <w:color w:val="auto"/>
        </w:rPr>
      </w:pPr>
      <w:r>
        <w:rPr>
          <w:rFonts w:ascii="Times New Roman" w:cs="Times New Roman" w:eastAsia="Times New Roman" w:hAnsi="Times New Roman"/>
          <w:sz w:val="18"/>
          <w:szCs w:val="18"/>
          <w:color w:val="auto"/>
        </w:rPr>
        <w:t>Date: August 7, 2014</w:t>
      </w:r>
      <w:r>
        <w:rPr>
          <w:sz w:val="20"/>
          <w:szCs w:val="20"/>
          <w:color w:val="auto"/>
        </w:rPr>
        <w:tab/>
      </w:r>
      <w:r>
        <w:rPr>
          <w:rFonts w:ascii="Times New Roman" w:cs="Times New Roman" w:eastAsia="Times New Roman" w:hAnsi="Times New Roman"/>
          <w:sz w:val="18"/>
          <w:szCs w:val="18"/>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6985</wp:posOffset>
            </wp:positionV>
            <wp:extent cx="34937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ind w:left="5920"/>
        <w:spacing w:after="0"/>
        <w:rPr>
          <w:sz w:val="20"/>
          <w:szCs w:val="20"/>
          <w:color w:val="auto"/>
        </w:rPr>
      </w:pPr>
      <w:r>
        <w:rPr>
          <w:rFonts w:ascii="Times New Roman" w:cs="Times New Roman" w:eastAsia="Times New Roman" w:hAnsi="Times New Roman"/>
          <w:sz w:val="18"/>
          <w:szCs w:val="18"/>
          <w:color w:val="auto"/>
        </w:rPr>
        <w:t>Robert M. Schlax</w:t>
      </w:r>
    </w:p>
    <w:p>
      <w:pPr>
        <w:ind w:left="5920"/>
        <w:spacing w:after="0"/>
        <w:rPr>
          <w:sz w:val="20"/>
          <w:szCs w:val="20"/>
          <w:color w:val="auto"/>
        </w:rPr>
      </w:pPr>
      <w:r>
        <w:rPr>
          <w:rFonts w:ascii="Times New Roman" w:cs="Times New Roman" w:eastAsia="Times New Roman" w:hAnsi="Times New Roman"/>
          <w:sz w:val="17"/>
          <w:szCs w:val="17"/>
          <w:color w:val="auto"/>
        </w:rPr>
        <w:t>Vice President, Controller, Chief Financial Officer and Chief</w:t>
      </w:r>
    </w:p>
    <w:p>
      <w:pPr>
        <w:spacing w:after="0" w:line="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Southern California Gas Company:</w:t>
      </w:r>
    </w:p>
    <w:p>
      <w:pPr>
        <w:spacing w:after="0" w:line="20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SOUTHERN CALIFORNIA GAS COMPANY,</w:t>
      </w:r>
    </w:p>
    <w:p>
      <w:pPr>
        <w:spacing w:after="0" w:line="1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(Registrant)</w:t>
      </w:r>
    </w:p>
    <w:p>
      <w:pPr>
        <w:spacing w:after="0" w:line="185" w:lineRule="exact"/>
        <w:rPr>
          <w:sz w:val="20"/>
          <w:szCs w:val="20"/>
          <w:color w:val="auto"/>
        </w:rPr>
      </w:pPr>
    </w:p>
    <w:p>
      <w:pPr>
        <w:ind w:left="1880"/>
        <w:spacing w:after="0"/>
        <w:tabs>
          <w:tab w:leader="none" w:pos="5900" w:val="left"/>
        </w:tabs>
        <w:rPr>
          <w:sz w:val="20"/>
          <w:szCs w:val="20"/>
          <w:color w:val="auto"/>
        </w:rPr>
      </w:pPr>
      <w:r>
        <w:rPr>
          <w:rFonts w:ascii="Times New Roman" w:cs="Times New Roman" w:eastAsia="Times New Roman" w:hAnsi="Times New Roman"/>
          <w:sz w:val="18"/>
          <w:szCs w:val="18"/>
          <w:color w:val="auto"/>
        </w:rPr>
        <w:t>Date: August 7, 2014</w:t>
      </w:r>
      <w:r>
        <w:rPr>
          <w:sz w:val="20"/>
          <w:szCs w:val="20"/>
          <w:color w:val="auto"/>
        </w:rPr>
        <w:tab/>
      </w:r>
      <w:r>
        <w:rPr>
          <w:rFonts w:ascii="Times New Roman" w:cs="Times New Roman" w:eastAsia="Times New Roman" w:hAnsi="Times New Roman"/>
          <w:sz w:val="18"/>
          <w:szCs w:val="18"/>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6985</wp:posOffset>
            </wp:positionV>
            <wp:extent cx="34937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ind w:left="5920"/>
        <w:spacing w:after="0"/>
        <w:rPr>
          <w:sz w:val="20"/>
          <w:szCs w:val="20"/>
          <w:color w:val="auto"/>
        </w:rPr>
      </w:pPr>
      <w:r>
        <w:rPr>
          <w:rFonts w:ascii="Times New Roman" w:cs="Times New Roman" w:eastAsia="Times New Roman" w:hAnsi="Times New Roman"/>
          <w:sz w:val="18"/>
          <w:szCs w:val="18"/>
          <w:color w:val="auto"/>
        </w:rPr>
        <w:t>Robert M. Schlax</w:t>
      </w:r>
    </w:p>
    <w:p>
      <w:pPr>
        <w:ind w:left="5920"/>
        <w:spacing w:after="0"/>
        <w:rPr>
          <w:sz w:val="20"/>
          <w:szCs w:val="20"/>
          <w:color w:val="auto"/>
        </w:rPr>
      </w:pPr>
      <w:r>
        <w:rPr>
          <w:rFonts w:ascii="Times New Roman" w:cs="Times New Roman" w:eastAsia="Times New Roman" w:hAnsi="Times New Roman"/>
          <w:sz w:val="17"/>
          <w:szCs w:val="17"/>
          <w:color w:val="auto"/>
        </w:rPr>
        <w:t>Vice President, Controller, Chief Financial Officer and Chief</w:t>
      </w:r>
    </w:p>
    <w:p>
      <w:pPr>
        <w:spacing w:after="0" w:line="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Accounting Officer</w:t>
      </w:r>
    </w:p>
    <w:p>
      <w:pPr>
        <w:sectPr>
          <w:pgSz w:w="11900" w:h="16838" w:orient="portrait"/>
          <w:cols w:equalWidth="0" w:num="1">
            <w:col w:w="10240"/>
          </w:cols>
          <w:pgMar w:left="240" w:top="121" w:right="1419" w:bottom="1440" w:gutter="0" w:footer="0" w:header="0"/>
        </w:sectPr>
      </w:pPr>
    </w:p>
    <w:bookmarkStart w:id="81" w:name="page82"/>
    <w:bookmarkEnd w:id="81"/>
    <w:p>
      <w:pPr>
        <w:jc w:val="center"/>
        <w:ind w:right="140"/>
        <w:spacing w:after="0"/>
        <w:rPr>
          <w:sz w:val="20"/>
          <w:szCs w:val="20"/>
          <w:color w:val="auto"/>
        </w:rPr>
      </w:pPr>
      <w:r>
        <w:rPr>
          <w:rFonts w:ascii="Arial" w:cs="Arial" w:eastAsia="Arial" w:hAnsi="Arial"/>
          <w:sz w:val="18"/>
          <w:szCs w:val="18"/>
          <w:b w:val="1"/>
          <w:bCs w:val="1"/>
          <w:color w:val="auto"/>
        </w:rPr>
        <w:t>EXHIBIT 12.1</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SEMPRA ENERGY</w:t>
      </w:r>
    </w:p>
    <w:p>
      <w:pPr>
        <w:jc w:val="center"/>
        <w:ind w:right="140"/>
        <w:spacing w:after="0" w:line="231"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140"/>
        <w:spacing w:after="0" w:line="231" w:lineRule="auto"/>
        <w:rPr>
          <w:sz w:val="20"/>
          <w:szCs w:val="20"/>
          <w:color w:val="auto"/>
        </w:rPr>
      </w:pPr>
      <w:r>
        <w:rPr>
          <w:rFonts w:ascii="Arial" w:cs="Arial" w:eastAsia="Arial" w:hAnsi="Arial"/>
          <w:sz w:val="18"/>
          <w:szCs w:val="18"/>
          <w:b w:val="1"/>
          <w:bCs w:val="1"/>
          <w:color w:val="auto"/>
        </w:rPr>
        <w:t>AND PREFERRED STOCK DIVIDENDS</w:t>
      </w:r>
    </w:p>
    <w:p>
      <w:pPr>
        <w:jc w:val="center"/>
        <w:ind w:right="140"/>
        <w:spacing w:after="0"/>
        <w:rPr>
          <w:sz w:val="20"/>
          <w:szCs w:val="20"/>
          <w:color w:val="auto"/>
        </w:rPr>
      </w:pPr>
      <w:r>
        <w:rPr>
          <w:rFonts w:ascii="Arial" w:cs="Arial" w:eastAsia="Arial" w:hAnsi="Arial"/>
          <w:sz w:val="18"/>
          <w:szCs w:val="18"/>
          <w:b w:val="1"/>
          <w:bCs w:val="1"/>
          <w:color w:val="auto"/>
        </w:rPr>
        <w:t>(Dollars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June</w:t>
            </w:r>
          </w:p>
        </w:tc>
        <w:tc>
          <w:tcPr>
            <w:tcW w:w="0" w:type="dxa"/>
            <w:vAlign w:val="bottom"/>
          </w:tcPr>
          <w:p>
            <w:pPr>
              <w:spacing w:after="0"/>
              <w:rPr>
                <w:sz w:val="1"/>
                <w:szCs w:val="1"/>
                <w:color w:val="auto"/>
              </w:rPr>
            </w:pPr>
          </w:p>
        </w:tc>
      </w:tr>
      <w:tr>
        <w:trPr>
          <w:trHeight w:val="199"/>
        </w:trPr>
        <w:tc>
          <w:tcPr>
            <w:tcW w:w="2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211"/>
              <w:spacing w:after="0" w:line="200"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2100" w:type="dxa"/>
            <w:vAlign w:val="bottom"/>
            <w:vMerge w:val="restart"/>
          </w:tcPr>
          <w:p>
            <w:pPr>
              <w:spacing w:after="0"/>
              <w:rPr>
                <w:sz w:val="20"/>
                <w:szCs w:val="20"/>
                <w:color w:val="auto"/>
              </w:rPr>
            </w:pPr>
            <w:r>
              <w:rPr>
                <w:rFonts w:ascii="Arial" w:cs="Arial" w:eastAsia="Arial" w:hAnsi="Arial"/>
                <w:sz w:val="18"/>
                <w:szCs w:val="18"/>
                <w:color w:val="auto"/>
              </w:rPr>
              <w:t>Fixed charges and</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2009</w:t>
            </w:r>
          </w:p>
        </w:tc>
        <w:tc>
          <w:tcPr>
            <w:tcW w:w="3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2010</w:t>
            </w:r>
          </w:p>
        </w:tc>
        <w:tc>
          <w:tcPr>
            <w:tcW w:w="3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2011</w:t>
            </w:r>
          </w:p>
        </w:tc>
        <w:tc>
          <w:tcPr>
            <w:tcW w:w="3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2012</w:t>
            </w:r>
          </w:p>
        </w:tc>
        <w:tc>
          <w:tcPr>
            <w:tcW w:w="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70"/>
        </w:trPr>
        <w:tc>
          <w:tcPr>
            <w:tcW w:w="21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100" w:type="dxa"/>
            <w:vAlign w:val="bottom"/>
          </w:tcPr>
          <w:p>
            <w:pPr>
              <w:ind w:left="240"/>
              <w:spacing w:after="0" w:line="200" w:lineRule="exact"/>
              <w:rPr>
                <w:sz w:val="20"/>
                <w:szCs w:val="20"/>
                <w:color w:val="auto"/>
              </w:rPr>
            </w:pPr>
            <w:r>
              <w:rPr>
                <w:rFonts w:ascii="Arial" w:cs="Arial" w:eastAsia="Arial" w:hAnsi="Arial"/>
                <w:sz w:val="18"/>
                <w:szCs w:val="18"/>
                <w:color w:val="auto"/>
              </w:rPr>
              <w:t>preferred stock</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240"/>
              <w:spacing w:after="0"/>
              <w:rPr>
                <w:sz w:val="20"/>
                <w:szCs w:val="20"/>
                <w:color w:val="auto"/>
              </w:rPr>
            </w:pPr>
            <w:r>
              <w:rPr>
                <w:rFonts w:ascii="Arial" w:cs="Arial" w:eastAsia="Arial" w:hAnsi="Arial"/>
                <w:sz w:val="18"/>
                <w:szCs w:val="18"/>
                <w:color w:val="auto"/>
              </w:rPr>
              <w:t>dividends:</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100" w:type="dxa"/>
            <w:vAlign w:val="bottom"/>
          </w:tcPr>
          <w:p>
            <w:pPr>
              <w:spacing w:after="0" w:line="200" w:lineRule="exact"/>
              <w:rPr>
                <w:sz w:val="20"/>
                <w:szCs w:val="20"/>
                <w:color w:val="auto"/>
              </w:rPr>
            </w:pPr>
            <w:r>
              <w:rPr>
                <w:rFonts w:ascii="Arial" w:cs="Arial" w:eastAsia="Arial" w:hAnsi="Arial"/>
                <w:sz w:val="18"/>
                <w:szCs w:val="18"/>
                <w:color w:val="auto"/>
              </w:rPr>
              <w:t>Interest</w:t>
            </w:r>
          </w:p>
        </w:tc>
        <w:tc>
          <w:tcPr>
            <w:tcW w:w="480" w:type="dxa"/>
            <w:vAlign w:val="bottom"/>
          </w:tcPr>
          <w:p>
            <w:pPr>
              <w:jc w:val="right"/>
              <w:ind w:right="71"/>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455</w:t>
            </w:r>
          </w:p>
        </w:tc>
        <w:tc>
          <w:tcPr>
            <w:tcW w:w="80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51"/>
              <w:spacing w:after="0" w:line="200" w:lineRule="exact"/>
              <w:rPr>
                <w:sz w:val="20"/>
                <w:szCs w:val="20"/>
                <w:color w:val="auto"/>
              </w:rPr>
            </w:pPr>
            <w:r>
              <w:rPr>
                <w:rFonts w:ascii="Arial" w:cs="Arial" w:eastAsia="Arial" w:hAnsi="Arial"/>
                <w:sz w:val="18"/>
                <w:szCs w:val="18"/>
                <w:color w:val="auto"/>
              </w:rPr>
              <w:t>492</w:t>
            </w:r>
          </w:p>
        </w:tc>
        <w:tc>
          <w:tcPr>
            <w:tcW w:w="82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549</w:t>
            </w:r>
          </w:p>
        </w:tc>
        <w:tc>
          <w:tcPr>
            <w:tcW w:w="80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31"/>
              <w:spacing w:after="0" w:line="200" w:lineRule="exact"/>
              <w:rPr>
                <w:sz w:val="20"/>
                <w:szCs w:val="20"/>
                <w:color w:val="auto"/>
              </w:rPr>
            </w:pPr>
            <w:r>
              <w:rPr>
                <w:rFonts w:ascii="Arial" w:cs="Arial" w:eastAsia="Arial" w:hAnsi="Arial"/>
                <w:sz w:val="18"/>
                <w:szCs w:val="18"/>
                <w:color w:val="auto"/>
              </w:rPr>
              <w:t>601</w:t>
            </w:r>
          </w:p>
        </w:tc>
        <w:tc>
          <w:tcPr>
            <w:tcW w:w="82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51"/>
              <w:spacing w:after="0" w:line="200" w:lineRule="exact"/>
              <w:rPr>
                <w:sz w:val="20"/>
                <w:szCs w:val="20"/>
                <w:color w:val="auto"/>
              </w:rPr>
            </w:pPr>
            <w:r>
              <w:rPr>
                <w:rFonts w:ascii="Arial" w:cs="Arial" w:eastAsia="Arial" w:hAnsi="Arial"/>
                <w:sz w:val="18"/>
                <w:szCs w:val="18"/>
                <w:color w:val="auto"/>
              </w:rPr>
              <w:t>620</w:t>
            </w:r>
          </w:p>
        </w:tc>
        <w:tc>
          <w:tcPr>
            <w:tcW w:w="82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31"/>
              <w:spacing w:after="0" w:line="200" w:lineRule="exact"/>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199"/>
        </w:trPr>
        <w:tc>
          <w:tcPr>
            <w:tcW w:w="2100" w:type="dxa"/>
            <w:vAlign w:val="bottom"/>
          </w:tcPr>
          <w:p>
            <w:pPr>
              <w:spacing w:after="0" w:line="200" w:lineRule="exact"/>
              <w:rPr>
                <w:sz w:val="20"/>
                <w:szCs w:val="20"/>
                <w:color w:val="auto"/>
              </w:rPr>
            </w:pPr>
            <w:r>
              <w:rPr>
                <w:rFonts w:ascii="Arial" w:cs="Arial" w:eastAsia="Arial" w:hAnsi="Arial"/>
                <w:sz w:val="18"/>
                <w:szCs w:val="18"/>
                <w:color w:val="auto"/>
              </w:rPr>
              <w:t>Interest portion of</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00" w:type="dxa"/>
            <w:vAlign w:val="bottom"/>
          </w:tcPr>
          <w:p>
            <w:pPr>
              <w:ind w:left="240"/>
              <w:spacing w:after="0" w:line="200" w:lineRule="exact"/>
              <w:rPr>
                <w:sz w:val="20"/>
                <w:szCs w:val="20"/>
                <w:color w:val="auto"/>
              </w:rPr>
            </w:pPr>
            <w:r>
              <w:rPr>
                <w:rFonts w:ascii="Arial" w:cs="Arial" w:eastAsia="Arial" w:hAnsi="Arial"/>
                <w:sz w:val="18"/>
                <w:szCs w:val="18"/>
                <w:color w:val="auto"/>
              </w:rPr>
              <w:t>annual rentals</w:t>
            </w:r>
          </w:p>
        </w:tc>
        <w:tc>
          <w:tcPr>
            <w:tcW w:w="480" w:type="dxa"/>
            <w:vAlign w:val="bottom"/>
          </w:tcPr>
          <w:p>
            <w:pPr>
              <w:spacing w:after="0"/>
              <w:rPr>
                <w:sz w:val="17"/>
                <w:szCs w:val="17"/>
                <w:color w:val="auto"/>
              </w:rPr>
            </w:pPr>
          </w:p>
        </w:tc>
        <w:tc>
          <w:tcPr>
            <w:tcW w:w="7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51"/>
              <w:spacing w:after="0" w:line="200"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51"/>
              <w:spacing w:after="0" w:line="200"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9"/>
        </w:trPr>
        <w:tc>
          <w:tcPr>
            <w:tcW w:w="2100" w:type="dxa"/>
            <w:vAlign w:val="bottom"/>
          </w:tcPr>
          <w:p>
            <w:pPr>
              <w:spacing w:after="0" w:line="200" w:lineRule="exact"/>
              <w:rPr>
                <w:sz w:val="20"/>
                <w:szCs w:val="20"/>
                <w:color w:val="auto"/>
              </w:rPr>
            </w:pPr>
            <w:r>
              <w:rPr>
                <w:rFonts w:ascii="Arial" w:cs="Arial" w:eastAsia="Arial" w:hAnsi="Arial"/>
                <w:sz w:val="18"/>
                <w:szCs w:val="18"/>
                <w:color w:val="auto"/>
              </w:rPr>
              <w:t>Preferred dividends</w:t>
            </w:r>
          </w:p>
        </w:tc>
        <w:tc>
          <w:tcPr>
            <w:tcW w:w="480" w:type="dxa"/>
            <w:vAlign w:val="bottom"/>
          </w:tcPr>
          <w:p>
            <w:pPr>
              <w:spacing w:after="0"/>
              <w:rPr>
                <w:sz w:val="17"/>
                <w:szCs w:val="17"/>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2100" w:type="dxa"/>
            <w:vAlign w:val="bottom"/>
          </w:tcPr>
          <w:p>
            <w:pPr>
              <w:ind w:left="240"/>
              <w:spacing w:after="0"/>
              <w:rPr>
                <w:sz w:val="20"/>
                <w:szCs w:val="20"/>
                <w:color w:val="auto"/>
              </w:rPr>
            </w:pPr>
            <w:r>
              <w:rPr>
                <w:rFonts w:ascii="Arial" w:cs="Arial" w:eastAsia="Arial" w:hAnsi="Arial"/>
                <w:sz w:val="18"/>
                <w:szCs w:val="18"/>
                <w:color w:val="auto"/>
              </w:rPr>
              <w:t>of subsidiaries (1)</w:t>
            </w: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100" w:type="dxa"/>
            <w:vAlign w:val="bottom"/>
          </w:tcPr>
          <w:p>
            <w:pPr>
              <w:ind w:left="240"/>
              <w:spacing w:after="0" w:line="170" w:lineRule="exact"/>
              <w:rPr>
                <w:sz w:val="20"/>
                <w:szCs w:val="20"/>
                <w:color w:val="auto"/>
              </w:rPr>
            </w:pPr>
            <w:r>
              <w:rPr>
                <w:rFonts w:ascii="Arial" w:cs="Arial" w:eastAsia="Arial" w:hAnsi="Arial"/>
                <w:sz w:val="18"/>
                <w:szCs w:val="18"/>
                <w:color w:val="auto"/>
              </w:rPr>
              <w:t>Total fixed</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100" w:type="dxa"/>
            <w:vAlign w:val="bottom"/>
          </w:tcPr>
          <w:p>
            <w:pPr>
              <w:ind w:left="240"/>
              <w:spacing w:after="0" w:line="200" w:lineRule="exact"/>
              <w:rPr>
                <w:sz w:val="20"/>
                <w:szCs w:val="20"/>
                <w:color w:val="auto"/>
              </w:rPr>
            </w:pPr>
            <w:r>
              <w:rPr>
                <w:rFonts w:ascii="Arial" w:cs="Arial" w:eastAsia="Arial" w:hAnsi="Arial"/>
                <w:sz w:val="18"/>
                <w:szCs w:val="18"/>
                <w:color w:val="auto"/>
              </w:rPr>
              <w:t>charges</w:t>
            </w:r>
          </w:p>
        </w:tc>
        <w:tc>
          <w:tcPr>
            <w:tcW w:w="480" w:type="dxa"/>
            <w:vAlign w:val="bottom"/>
          </w:tcPr>
          <w:p>
            <w:pPr>
              <w:spacing w:after="0"/>
              <w:rPr>
                <w:sz w:val="17"/>
                <w:szCs w:val="17"/>
                <w:color w:val="auto"/>
              </w:rPr>
            </w:pPr>
          </w:p>
        </w:tc>
        <w:tc>
          <w:tcPr>
            <w:tcW w:w="7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470</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51"/>
              <w:spacing w:after="0" w:line="200" w:lineRule="exact"/>
              <w:rPr>
                <w:sz w:val="20"/>
                <w:szCs w:val="20"/>
                <w:color w:val="auto"/>
              </w:rPr>
            </w:pPr>
            <w:r>
              <w:rPr>
                <w:rFonts w:ascii="Arial" w:cs="Arial" w:eastAsia="Arial" w:hAnsi="Arial"/>
                <w:sz w:val="18"/>
                <w:szCs w:val="18"/>
                <w:color w:val="auto"/>
              </w:rPr>
              <w:t>506</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561</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31"/>
              <w:spacing w:after="0" w:line="200" w:lineRule="exact"/>
              <w:rPr>
                <w:sz w:val="20"/>
                <w:szCs w:val="20"/>
                <w:color w:val="auto"/>
              </w:rPr>
            </w:pPr>
            <w:r>
              <w:rPr>
                <w:rFonts w:ascii="Arial" w:cs="Arial" w:eastAsia="Arial" w:hAnsi="Arial"/>
                <w:sz w:val="18"/>
                <w:szCs w:val="18"/>
                <w:color w:val="auto"/>
              </w:rPr>
              <w:t>609</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51"/>
              <w:spacing w:after="0" w:line="200" w:lineRule="exact"/>
              <w:rPr>
                <w:sz w:val="20"/>
                <w:szCs w:val="20"/>
                <w:color w:val="auto"/>
              </w:rPr>
            </w:pPr>
            <w:r>
              <w:rPr>
                <w:rFonts w:ascii="Arial" w:cs="Arial" w:eastAsia="Arial" w:hAnsi="Arial"/>
                <w:sz w:val="18"/>
                <w:szCs w:val="18"/>
                <w:color w:val="auto"/>
              </w:rPr>
              <w:t>628</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31"/>
              <w:spacing w:after="0" w:line="200" w:lineRule="exact"/>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199"/>
        </w:trPr>
        <w:tc>
          <w:tcPr>
            <w:tcW w:w="2100" w:type="dxa"/>
            <w:vAlign w:val="bottom"/>
          </w:tcPr>
          <w:p>
            <w:pPr>
              <w:spacing w:after="0" w:line="200" w:lineRule="exact"/>
              <w:rPr>
                <w:sz w:val="20"/>
                <w:szCs w:val="20"/>
                <w:color w:val="auto"/>
              </w:rPr>
            </w:pPr>
            <w:r>
              <w:rPr>
                <w:rFonts w:ascii="Arial" w:cs="Arial" w:eastAsia="Arial" w:hAnsi="Arial"/>
                <w:sz w:val="18"/>
                <w:szCs w:val="18"/>
                <w:color w:val="auto"/>
              </w:rPr>
              <w:t>Preferred dividends</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00" w:type="dxa"/>
            <w:vAlign w:val="bottom"/>
          </w:tcPr>
          <w:p>
            <w:pPr>
              <w:ind w:left="240"/>
              <w:spacing w:after="0" w:line="200" w:lineRule="exact"/>
              <w:rPr>
                <w:sz w:val="20"/>
                <w:szCs w:val="20"/>
                <w:color w:val="auto"/>
              </w:rPr>
            </w:pPr>
            <w:r>
              <w:rPr>
                <w:rFonts w:ascii="Arial" w:cs="Arial" w:eastAsia="Arial" w:hAnsi="Arial"/>
                <w:sz w:val="18"/>
                <w:szCs w:val="18"/>
                <w:color w:val="auto"/>
              </w:rPr>
              <w:t>for purpose of</w:t>
            </w:r>
          </w:p>
        </w:tc>
        <w:tc>
          <w:tcPr>
            <w:tcW w:w="480" w:type="dxa"/>
            <w:vAlign w:val="bottom"/>
          </w:tcPr>
          <w:p>
            <w:pPr>
              <w:spacing w:after="0"/>
              <w:rPr>
                <w:sz w:val="17"/>
                <w:szCs w:val="17"/>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100" w:type="dxa"/>
            <w:vAlign w:val="bottom"/>
          </w:tcPr>
          <w:p>
            <w:pPr>
              <w:ind w:left="240"/>
              <w:spacing w:after="0"/>
              <w:rPr>
                <w:sz w:val="20"/>
                <w:szCs w:val="20"/>
                <w:color w:val="auto"/>
              </w:rPr>
            </w:pPr>
            <w:r>
              <w:rPr>
                <w:rFonts w:ascii="Arial" w:cs="Arial" w:eastAsia="Arial" w:hAnsi="Arial"/>
                <w:sz w:val="18"/>
                <w:szCs w:val="18"/>
                <w:color w:val="auto"/>
              </w:rPr>
              <w:t>ratio</w:t>
            </w: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100" w:type="dxa"/>
            <w:vAlign w:val="bottom"/>
          </w:tcPr>
          <w:p>
            <w:pPr>
              <w:spacing w:after="0" w:line="170" w:lineRule="exact"/>
              <w:rPr>
                <w:sz w:val="20"/>
                <w:szCs w:val="20"/>
                <w:color w:val="auto"/>
              </w:rPr>
            </w:pPr>
            <w:r>
              <w:rPr>
                <w:rFonts w:ascii="Arial" w:cs="Arial" w:eastAsia="Arial" w:hAnsi="Arial"/>
                <w:sz w:val="18"/>
                <w:szCs w:val="18"/>
                <w:color w:val="auto"/>
              </w:rPr>
              <w:t>Total fixed charges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100" w:type="dxa"/>
            <w:vAlign w:val="bottom"/>
          </w:tcPr>
          <w:p>
            <w:pPr>
              <w:ind w:left="240"/>
              <w:spacing w:after="0" w:line="200" w:lineRule="exact"/>
              <w:rPr>
                <w:sz w:val="20"/>
                <w:szCs w:val="20"/>
                <w:color w:val="auto"/>
              </w:rPr>
            </w:pPr>
            <w:r>
              <w:rPr>
                <w:rFonts w:ascii="Arial" w:cs="Arial" w:eastAsia="Arial" w:hAnsi="Arial"/>
                <w:sz w:val="18"/>
                <w:szCs w:val="18"/>
                <w:color w:val="auto"/>
              </w:rPr>
              <w:t>and preferred</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00" w:type="dxa"/>
            <w:vAlign w:val="bottom"/>
          </w:tcPr>
          <w:p>
            <w:pPr>
              <w:ind w:left="240"/>
              <w:spacing w:after="0" w:line="200" w:lineRule="exact"/>
              <w:rPr>
                <w:sz w:val="20"/>
                <w:szCs w:val="20"/>
                <w:color w:val="auto"/>
              </w:rPr>
            </w:pPr>
            <w:r>
              <w:rPr>
                <w:rFonts w:ascii="Arial" w:cs="Arial" w:eastAsia="Arial" w:hAnsi="Arial"/>
                <w:sz w:val="18"/>
                <w:szCs w:val="18"/>
                <w:color w:val="auto"/>
              </w:rPr>
              <w:t>dividends for</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100" w:type="dxa"/>
            <w:vAlign w:val="bottom"/>
          </w:tcPr>
          <w:p>
            <w:pPr>
              <w:ind w:left="240"/>
              <w:spacing w:after="0"/>
              <w:rPr>
                <w:sz w:val="20"/>
                <w:szCs w:val="20"/>
                <w:color w:val="auto"/>
              </w:rPr>
            </w:pPr>
            <w:r>
              <w:rPr>
                <w:rFonts w:ascii="Arial" w:cs="Arial" w:eastAsia="Arial" w:hAnsi="Arial"/>
                <w:sz w:val="18"/>
                <w:szCs w:val="18"/>
                <w:color w:val="auto"/>
              </w:rPr>
              <w:t>purpose of ratio</w:t>
            </w:r>
          </w:p>
        </w:tc>
        <w:tc>
          <w:tcPr>
            <w:tcW w:w="48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470</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51"/>
              <w:spacing w:after="0"/>
              <w:rPr>
                <w:sz w:val="20"/>
                <w:szCs w:val="20"/>
                <w:color w:val="auto"/>
              </w:rPr>
            </w:pPr>
            <w:r>
              <w:rPr>
                <w:rFonts w:ascii="Arial" w:cs="Arial" w:eastAsia="Arial" w:hAnsi="Arial"/>
                <w:sz w:val="18"/>
                <w:szCs w:val="18"/>
                <w:color w:val="auto"/>
              </w:rPr>
              <w:t>506</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561</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color w:val="auto"/>
              </w:rPr>
              <w:t>609</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51"/>
              <w:spacing w:after="0"/>
              <w:rPr>
                <w:sz w:val="20"/>
                <w:szCs w:val="20"/>
                <w:color w:val="auto"/>
              </w:rPr>
            </w:pPr>
            <w:r>
              <w:rPr>
                <w:rFonts w:ascii="Arial" w:cs="Arial" w:eastAsia="Arial" w:hAnsi="Arial"/>
                <w:sz w:val="18"/>
                <w:szCs w:val="18"/>
                <w:color w:val="auto"/>
              </w:rPr>
              <w:t>628</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143"/>
        </w:trPr>
        <w:tc>
          <w:tcPr>
            <w:tcW w:w="2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1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100" w:type="dxa"/>
            <w:vAlign w:val="bottom"/>
          </w:tcPr>
          <w:p>
            <w:pPr>
              <w:spacing w:after="0" w:line="200" w:lineRule="exact"/>
              <w:rPr>
                <w:sz w:val="20"/>
                <w:szCs w:val="20"/>
                <w:color w:val="auto"/>
              </w:rPr>
            </w:pPr>
            <w:r>
              <w:rPr>
                <w:rFonts w:ascii="Arial" w:cs="Arial" w:eastAsia="Arial" w:hAnsi="Arial"/>
                <w:sz w:val="18"/>
                <w:szCs w:val="18"/>
                <w:color w:val="auto"/>
              </w:rPr>
              <w:t>Pretax income from</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00" w:type="dxa"/>
            <w:vAlign w:val="bottom"/>
          </w:tcPr>
          <w:p>
            <w:pPr>
              <w:ind w:left="240"/>
              <w:spacing w:after="0" w:line="200" w:lineRule="exact"/>
              <w:rPr>
                <w:sz w:val="20"/>
                <w:szCs w:val="20"/>
                <w:color w:val="auto"/>
              </w:rPr>
            </w:pPr>
            <w:r>
              <w:rPr>
                <w:rFonts w:ascii="Arial" w:cs="Arial" w:eastAsia="Arial" w:hAnsi="Arial"/>
                <w:sz w:val="18"/>
                <w:szCs w:val="18"/>
                <w:color w:val="auto"/>
              </w:rPr>
              <w:t>continuing</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00" w:type="dxa"/>
            <w:vAlign w:val="bottom"/>
          </w:tcPr>
          <w:p>
            <w:pPr>
              <w:ind w:left="240"/>
              <w:spacing w:after="0" w:line="200" w:lineRule="exact"/>
              <w:rPr>
                <w:sz w:val="20"/>
                <w:szCs w:val="20"/>
                <w:color w:val="auto"/>
              </w:rPr>
            </w:pPr>
            <w:r>
              <w:rPr>
                <w:rFonts w:ascii="Arial" w:cs="Arial" w:eastAsia="Arial" w:hAnsi="Arial"/>
                <w:sz w:val="18"/>
                <w:szCs w:val="18"/>
                <w:color w:val="auto"/>
              </w:rPr>
              <w:t>operations before</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00" w:type="dxa"/>
            <w:vAlign w:val="bottom"/>
          </w:tcPr>
          <w:p>
            <w:pPr>
              <w:ind w:left="240"/>
              <w:spacing w:after="0" w:line="200" w:lineRule="exact"/>
              <w:rPr>
                <w:sz w:val="20"/>
                <w:szCs w:val="20"/>
                <w:color w:val="auto"/>
              </w:rPr>
            </w:pPr>
            <w:r>
              <w:rPr>
                <w:rFonts w:ascii="Arial" w:cs="Arial" w:eastAsia="Arial" w:hAnsi="Arial"/>
                <w:sz w:val="18"/>
                <w:szCs w:val="18"/>
                <w:color w:val="auto"/>
              </w:rPr>
              <w:t>adjustment for</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00" w:type="dxa"/>
            <w:vAlign w:val="bottom"/>
          </w:tcPr>
          <w:p>
            <w:pPr>
              <w:ind w:left="240"/>
              <w:spacing w:after="0" w:line="200" w:lineRule="exact"/>
              <w:rPr>
                <w:sz w:val="20"/>
                <w:szCs w:val="20"/>
                <w:color w:val="auto"/>
              </w:rPr>
            </w:pPr>
            <w:r>
              <w:rPr>
                <w:rFonts w:ascii="Arial" w:cs="Arial" w:eastAsia="Arial" w:hAnsi="Arial"/>
                <w:sz w:val="18"/>
                <w:szCs w:val="18"/>
                <w:color w:val="auto"/>
              </w:rPr>
              <w:t>income or loss</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00" w:type="dxa"/>
            <w:vAlign w:val="bottom"/>
          </w:tcPr>
          <w:p>
            <w:pPr>
              <w:ind w:left="240"/>
              <w:spacing w:after="0" w:line="200" w:lineRule="exact"/>
              <w:rPr>
                <w:sz w:val="20"/>
                <w:szCs w:val="20"/>
                <w:color w:val="auto"/>
              </w:rPr>
            </w:pPr>
            <w:r>
              <w:rPr>
                <w:rFonts w:ascii="Arial" w:cs="Arial" w:eastAsia="Arial" w:hAnsi="Arial"/>
                <w:sz w:val="18"/>
                <w:szCs w:val="18"/>
                <w:color w:val="auto"/>
              </w:rPr>
              <w:t>from equity</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240"/>
              <w:spacing w:after="0"/>
              <w:rPr>
                <w:sz w:val="20"/>
                <w:szCs w:val="20"/>
                <w:color w:val="auto"/>
              </w:rPr>
            </w:pPr>
            <w:r>
              <w:rPr>
                <w:rFonts w:ascii="Arial" w:cs="Arial" w:eastAsia="Arial" w:hAnsi="Arial"/>
                <w:sz w:val="18"/>
                <w:szCs w:val="18"/>
                <w:color w:val="auto"/>
              </w:rPr>
              <w:t>investees</w:t>
            </w:r>
          </w:p>
        </w:tc>
        <w:tc>
          <w:tcPr>
            <w:tcW w:w="4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977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1,078</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1,747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1,255</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1,399</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199"/>
        </w:trPr>
        <w:tc>
          <w:tcPr>
            <w:tcW w:w="2100" w:type="dxa"/>
            <w:vAlign w:val="bottom"/>
          </w:tcPr>
          <w:p>
            <w:pPr>
              <w:spacing w:after="0" w:line="200" w:lineRule="exact"/>
              <w:rPr>
                <w:sz w:val="20"/>
                <w:szCs w:val="20"/>
                <w:color w:val="auto"/>
              </w:rPr>
            </w:pPr>
            <w:r>
              <w:rPr>
                <w:rFonts w:ascii="Arial" w:cs="Arial" w:eastAsia="Arial" w:hAnsi="Arial"/>
                <w:sz w:val="18"/>
                <w:szCs w:val="18"/>
                <w:color w:val="auto"/>
              </w:rPr>
              <w:t>Add:</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00" w:type="dxa"/>
            <w:vAlign w:val="bottom"/>
          </w:tcPr>
          <w:p>
            <w:pPr>
              <w:ind w:left="80"/>
              <w:spacing w:after="0" w:line="200" w:lineRule="exact"/>
              <w:rPr>
                <w:sz w:val="20"/>
                <w:szCs w:val="20"/>
                <w:color w:val="auto"/>
              </w:rPr>
            </w:pPr>
            <w:r>
              <w:rPr>
                <w:rFonts w:ascii="Arial" w:cs="Arial" w:eastAsia="Arial" w:hAnsi="Arial"/>
                <w:sz w:val="18"/>
                <w:szCs w:val="18"/>
                <w:color w:val="auto"/>
              </w:rPr>
              <w:t>Total fixed charges</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00" w:type="dxa"/>
            <w:vAlign w:val="bottom"/>
          </w:tcPr>
          <w:p>
            <w:pPr>
              <w:ind w:left="240"/>
              <w:spacing w:after="0" w:line="200" w:lineRule="exact"/>
              <w:rPr>
                <w:sz w:val="20"/>
                <w:szCs w:val="20"/>
                <w:color w:val="auto"/>
              </w:rPr>
            </w:pPr>
            <w:r>
              <w:rPr>
                <w:rFonts w:ascii="Arial" w:cs="Arial" w:eastAsia="Arial" w:hAnsi="Arial"/>
                <w:sz w:val="18"/>
                <w:szCs w:val="18"/>
                <w:color w:val="auto"/>
              </w:rPr>
              <w:t>(from above)</w:t>
            </w:r>
          </w:p>
        </w:tc>
        <w:tc>
          <w:tcPr>
            <w:tcW w:w="480" w:type="dxa"/>
            <w:vAlign w:val="bottom"/>
          </w:tcPr>
          <w:p>
            <w:pPr>
              <w:spacing w:after="0"/>
              <w:rPr>
                <w:sz w:val="17"/>
                <w:szCs w:val="17"/>
                <w:color w:val="auto"/>
              </w:rPr>
            </w:pPr>
          </w:p>
        </w:tc>
        <w:tc>
          <w:tcPr>
            <w:tcW w:w="7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470</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51"/>
              <w:spacing w:after="0" w:line="200" w:lineRule="exact"/>
              <w:rPr>
                <w:sz w:val="20"/>
                <w:szCs w:val="20"/>
                <w:color w:val="auto"/>
              </w:rPr>
            </w:pPr>
            <w:r>
              <w:rPr>
                <w:rFonts w:ascii="Arial" w:cs="Arial" w:eastAsia="Arial" w:hAnsi="Arial"/>
                <w:sz w:val="18"/>
                <w:szCs w:val="18"/>
                <w:color w:val="auto"/>
              </w:rPr>
              <w:t>506</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561</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31"/>
              <w:spacing w:after="0" w:line="200" w:lineRule="exact"/>
              <w:rPr>
                <w:sz w:val="20"/>
                <w:szCs w:val="20"/>
                <w:color w:val="auto"/>
              </w:rPr>
            </w:pPr>
            <w:r>
              <w:rPr>
                <w:rFonts w:ascii="Arial" w:cs="Arial" w:eastAsia="Arial" w:hAnsi="Arial"/>
                <w:sz w:val="18"/>
                <w:szCs w:val="18"/>
                <w:color w:val="auto"/>
              </w:rPr>
              <w:t>609</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51"/>
              <w:spacing w:after="0" w:line="200" w:lineRule="exact"/>
              <w:rPr>
                <w:sz w:val="20"/>
                <w:szCs w:val="20"/>
                <w:color w:val="auto"/>
              </w:rPr>
            </w:pPr>
            <w:r>
              <w:rPr>
                <w:rFonts w:ascii="Arial" w:cs="Arial" w:eastAsia="Arial" w:hAnsi="Arial"/>
                <w:sz w:val="18"/>
                <w:szCs w:val="18"/>
                <w:color w:val="auto"/>
              </w:rPr>
              <w:t>628</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31"/>
              <w:spacing w:after="0" w:line="200" w:lineRule="exact"/>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199"/>
        </w:trPr>
        <w:tc>
          <w:tcPr>
            <w:tcW w:w="2100" w:type="dxa"/>
            <w:vAlign w:val="bottom"/>
          </w:tcPr>
          <w:p>
            <w:pPr>
              <w:ind w:left="100"/>
              <w:spacing w:after="0" w:line="200" w:lineRule="exact"/>
              <w:rPr>
                <w:sz w:val="20"/>
                <w:szCs w:val="20"/>
                <w:color w:val="auto"/>
              </w:rPr>
            </w:pPr>
            <w:r>
              <w:rPr>
                <w:rFonts w:ascii="Arial" w:cs="Arial" w:eastAsia="Arial" w:hAnsi="Arial"/>
                <w:sz w:val="18"/>
                <w:szCs w:val="18"/>
                <w:color w:val="auto"/>
              </w:rPr>
              <w:t>Distributed income</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00" w:type="dxa"/>
            <w:vAlign w:val="bottom"/>
          </w:tcPr>
          <w:p>
            <w:pPr>
              <w:ind w:left="240"/>
              <w:spacing w:after="0" w:line="200" w:lineRule="exact"/>
              <w:rPr>
                <w:sz w:val="20"/>
                <w:szCs w:val="20"/>
                <w:color w:val="auto"/>
              </w:rPr>
            </w:pPr>
            <w:r>
              <w:rPr>
                <w:rFonts w:ascii="Arial" w:cs="Arial" w:eastAsia="Arial" w:hAnsi="Arial"/>
                <w:sz w:val="18"/>
                <w:szCs w:val="18"/>
                <w:color w:val="auto"/>
              </w:rPr>
              <w:t>of equity</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240"/>
              <w:spacing w:after="0"/>
              <w:rPr>
                <w:sz w:val="20"/>
                <w:szCs w:val="20"/>
                <w:color w:val="auto"/>
              </w:rPr>
            </w:pPr>
            <w:r>
              <w:rPr>
                <w:rFonts w:ascii="Arial" w:cs="Arial" w:eastAsia="Arial" w:hAnsi="Arial"/>
                <w:sz w:val="18"/>
                <w:szCs w:val="18"/>
                <w:color w:val="auto"/>
              </w:rPr>
              <w:t>investees</w:t>
            </w:r>
          </w:p>
        </w:tc>
        <w:tc>
          <w:tcPr>
            <w:tcW w:w="480" w:type="dxa"/>
            <w:vAlign w:val="bottom"/>
          </w:tcPr>
          <w:p>
            <w:pPr>
              <w:spacing w:after="0"/>
              <w:rPr>
                <w:sz w:val="18"/>
                <w:szCs w:val="18"/>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493</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260</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3"/>
        </w:trPr>
        <w:tc>
          <w:tcPr>
            <w:tcW w:w="2100" w:type="dxa"/>
            <w:vAlign w:val="bottom"/>
          </w:tcPr>
          <w:p>
            <w:pPr>
              <w:spacing w:after="0"/>
              <w:rPr>
                <w:sz w:val="20"/>
                <w:szCs w:val="20"/>
                <w:color w:val="auto"/>
              </w:rPr>
            </w:pPr>
            <w:r>
              <w:rPr>
                <w:rFonts w:ascii="Arial" w:cs="Arial" w:eastAsia="Arial" w:hAnsi="Arial"/>
                <w:sz w:val="18"/>
                <w:szCs w:val="18"/>
                <w:color w:val="auto"/>
              </w:rPr>
              <w:t>Less:</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100" w:type="dxa"/>
            <w:vAlign w:val="bottom"/>
          </w:tcPr>
          <w:p>
            <w:pPr>
              <w:ind w:left="100"/>
              <w:spacing w:after="0" w:line="200" w:lineRule="exact"/>
              <w:rPr>
                <w:sz w:val="20"/>
                <w:szCs w:val="20"/>
                <w:color w:val="auto"/>
              </w:rPr>
            </w:pPr>
            <w:r>
              <w:rPr>
                <w:rFonts w:ascii="Arial" w:cs="Arial" w:eastAsia="Arial" w:hAnsi="Arial"/>
                <w:sz w:val="18"/>
                <w:szCs w:val="18"/>
                <w:color w:val="auto"/>
              </w:rPr>
              <w:t>Interest capitalized</w:t>
            </w:r>
          </w:p>
        </w:tc>
        <w:tc>
          <w:tcPr>
            <w:tcW w:w="480" w:type="dxa"/>
            <w:vAlign w:val="bottom"/>
          </w:tcPr>
          <w:p>
            <w:pPr>
              <w:spacing w:after="0"/>
              <w:rPr>
                <w:sz w:val="17"/>
                <w:szCs w:val="17"/>
                <w:color w:val="auto"/>
              </w:rPr>
            </w:pPr>
          </w:p>
        </w:tc>
        <w:tc>
          <w:tcPr>
            <w:tcW w:w="7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73</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51"/>
              <w:spacing w:after="0" w:line="200" w:lineRule="exact"/>
              <w:rPr>
                <w:sz w:val="20"/>
                <w:szCs w:val="20"/>
                <w:color w:val="auto"/>
              </w:rPr>
            </w:pPr>
            <w:r>
              <w:rPr>
                <w:rFonts w:ascii="Arial" w:cs="Arial" w:eastAsia="Arial" w:hAnsi="Arial"/>
                <w:sz w:val="18"/>
                <w:szCs w:val="18"/>
                <w:color w:val="auto"/>
              </w:rPr>
              <w:t>74</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27</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31"/>
              <w:spacing w:after="0" w:line="200" w:lineRule="exact"/>
              <w:rPr>
                <w:sz w:val="20"/>
                <w:szCs w:val="20"/>
                <w:color w:val="auto"/>
              </w:rPr>
            </w:pPr>
            <w:r>
              <w:rPr>
                <w:rFonts w:ascii="Arial" w:cs="Arial" w:eastAsia="Arial" w:hAnsi="Arial"/>
                <w:sz w:val="18"/>
                <w:szCs w:val="18"/>
                <w:color w:val="auto"/>
              </w:rPr>
              <w:t>53</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51"/>
              <w:spacing w:after="0" w:line="200" w:lineRule="exact"/>
              <w:rPr>
                <w:sz w:val="20"/>
                <w:szCs w:val="20"/>
                <w:color w:val="auto"/>
              </w:rPr>
            </w:pPr>
            <w:r>
              <w:rPr>
                <w:rFonts w:ascii="Arial" w:cs="Arial" w:eastAsia="Arial" w:hAnsi="Arial"/>
                <w:sz w:val="18"/>
                <w:szCs w:val="18"/>
                <w:color w:val="auto"/>
              </w:rPr>
              <w:t>23</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9"/>
        </w:trPr>
        <w:tc>
          <w:tcPr>
            <w:tcW w:w="2100" w:type="dxa"/>
            <w:vAlign w:val="bottom"/>
          </w:tcPr>
          <w:p>
            <w:pPr>
              <w:ind w:left="100"/>
              <w:spacing w:after="0" w:line="200" w:lineRule="exact"/>
              <w:rPr>
                <w:sz w:val="20"/>
                <w:szCs w:val="20"/>
                <w:color w:val="auto"/>
              </w:rPr>
            </w:pPr>
            <w:r>
              <w:rPr>
                <w:rFonts w:ascii="Arial" w:cs="Arial" w:eastAsia="Arial" w:hAnsi="Arial"/>
                <w:sz w:val="18"/>
                <w:szCs w:val="18"/>
                <w:color w:val="auto"/>
              </w:rPr>
              <w:t>Preferred dividends</w:t>
            </w:r>
          </w:p>
        </w:tc>
        <w:tc>
          <w:tcPr>
            <w:tcW w:w="480" w:type="dxa"/>
            <w:vAlign w:val="bottom"/>
          </w:tcPr>
          <w:p>
            <w:pPr>
              <w:spacing w:after="0"/>
              <w:rPr>
                <w:sz w:val="17"/>
                <w:szCs w:val="17"/>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2100" w:type="dxa"/>
            <w:vAlign w:val="bottom"/>
          </w:tcPr>
          <w:p>
            <w:pPr>
              <w:ind w:left="240"/>
              <w:spacing w:after="0"/>
              <w:rPr>
                <w:sz w:val="20"/>
                <w:szCs w:val="20"/>
                <w:color w:val="auto"/>
              </w:rPr>
            </w:pPr>
            <w:r>
              <w:rPr>
                <w:rFonts w:ascii="Arial" w:cs="Arial" w:eastAsia="Arial" w:hAnsi="Arial"/>
                <w:sz w:val="18"/>
                <w:szCs w:val="18"/>
                <w:color w:val="auto"/>
              </w:rPr>
              <w:t>of subsidiaries (1)</w:t>
            </w: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100" w:type="dxa"/>
            <w:vAlign w:val="bottom"/>
          </w:tcPr>
          <w:p>
            <w:pPr>
              <w:spacing w:after="0" w:line="170" w:lineRule="exact"/>
              <w:rPr>
                <w:sz w:val="20"/>
                <w:szCs w:val="20"/>
                <w:color w:val="auto"/>
              </w:rPr>
            </w:pPr>
            <w:r>
              <w:rPr>
                <w:rFonts w:ascii="Arial" w:cs="Arial" w:eastAsia="Arial" w:hAnsi="Arial"/>
                <w:sz w:val="18"/>
                <w:szCs w:val="18"/>
                <w:color w:val="auto"/>
              </w:rPr>
              <w:t>Total earnings for</w:t>
            </w:r>
          </w:p>
        </w:tc>
        <w:tc>
          <w:tcPr>
            <w:tcW w:w="48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1,854</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51"/>
              <w:spacing w:after="0"/>
              <w:rPr>
                <w:sz w:val="20"/>
                <w:szCs w:val="20"/>
                <w:color w:val="auto"/>
              </w:rPr>
            </w:pPr>
            <w:r>
              <w:rPr>
                <w:rFonts w:ascii="Arial" w:cs="Arial" w:eastAsia="Arial" w:hAnsi="Arial"/>
                <w:sz w:val="18"/>
                <w:szCs w:val="18"/>
                <w:color w:val="auto"/>
              </w:rPr>
              <w:t>1,759</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2,367</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color w:val="auto"/>
              </w:rPr>
              <w:t>1,855</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51"/>
              <w:spacing w:after="0"/>
              <w:rPr>
                <w:sz w:val="20"/>
                <w:szCs w:val="20"/>
                <w:color w:val="auto"/>
              </w:rPr>
            </w:pPr>
            <w:r>
              <w:rPr>
                <w:rFonts w:ascii="Arial" w:cs="Arial" w:eastAsia="Arial" w:hAnsi="Arial"/>
                <w:sz w:val="18"/>
                <w:szCs w:val="18"/>
                <w:color w:val="auto"/>
              </w:rPr>
              <w:t>2,049</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182"/>
        </w:trPr>
        <w:tc>
          <w:tcPr>
            <w:tcW w:w="2100" w:type="dxa"/>
            <w:vAlign w:val="bottom"/>
          </w:tcPr>
          <w:p>
            <w:pPr>
              <w:ind w:left="240"/>
              <w:spacing w:after="0" w:line="163" w:lineRule="exact"/>
              <w:rPr>
                <w:sz w:val="20"/>
                <w:szCs w:val="20"/>
                <w:color w:val="auto"/>
              </w:rPr>
            </w:pPr>
            <w:r>
              <w:rPr>
                <w:rFonts w:ascii="Arial" w:cs="Arial" w:eastAsia="Arial" w:hAnsi="Arial"/>
                <w:sz w:val="18"/>
                <w:szCs w:val="18"/>
                <w:color w:val="auto"/>
              </w:rPr>
              <w:t>purpose of ratio</w:t>
            </w:r>
          </w:p>
        </w:tc>
        <w:tc>
          <w:tcPr>
            <w:tcW w:w="4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21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100" w:type="dxa"/>
            <w:vAlign w:val="bottom"/>
          </w:tcPr>
          <w:p>
            <w:pPr>
              <w:ind w:left="240"/>
              <w:spacing w:after="0" w:line="200" w:lineRule="exact"/>
              <w:rPr>
                <w:sz w:val="20"/>
                <w:szCs w:val="20"/>
                <w:color w:val="auto"/>
              </w:rPr>
            </w:pPr>
            <w:r>
              <w:rPr>
                <w:rFonts w:ascii="Arial" w:cs="Arial" w:eastAsia="Arial" w:hAnsi="Arial"/>
                <w:sz w:val="18"/>
                <w:szCs w:val="18"/>
                <w:color w:val="auto"/>
              </w:rPr>
              <w:t>combined fixed</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00" w:type="dxa"/>
            <w:vAlign w:val="bottom"/>
          </w:tcPr>
          <w:p>
            <w:pPr>
              <w:ind w:left="240"/>
              <w:spacing w:after="0" w:line="200" w:lineRule="exact"/>
              <w:rPr>
                <w:sz w:val="20"/>
                <w:szCs w:val="20"/>
                <w:color w:val="auto"/>
              </w:rPr>
            </w:pPr>
            <w:r>
              <w:rPr>
                <w:rFonts w:ascii="Arial" w:cs="Arial" w:eastAsia="Arial" w:hAnsi="Arial"/>
                <w:sz w:val="18"/>
                <w:szCs w:val="18"/>
                <w:color w:val="auto"/>
              </w:rPr>
              <w:t>charges and</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00" w:type="dxa"/>
            <w:vAlign w:val="bottom"/>
          </w:tcPr>
          <w:p>
            <w:pPr>
              <w:ind w:left="240"/>
              <w:spacing w:after="0" w:line="200" w:lineRule="exact"/>
              <w:rPr>
                <w:sz w:val="20"/>
                <w:szCs w:val="20"/>
                <w:color w:val="auto"/>
              </w:rPr>
            </w:pPr>
            <w:r>
              <w:rPr>
                <w:rFonts w:ascii="Arial" w:cs="Arial" w:eastAsia="Arial" w:hAnsi="Arial"/>
                <w:sz w:val="18"/>
                <w:szCs w:val="18"/>
                <w:color w:val="auto"/>
              </w:rPr>
              <w:t>preferred stock</w:t>
            </w:r>
          </w:p>
        </w:tc>
        <w:tc>
          <w:tcPr>
            <w:tcW w:w="480" w:type="dxa"/>
            <w:vAlign w:val="bottom"/>
          </w:tcPr>
          <w:p>
            <w:pPr>
              <w:spacing w:after="0"/>
              <w:rPr>
                <w:sz w:val="17"/>
                <w:szCs w:val="17"/>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3.94</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4.22</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color w:val="auto"/>
              </w:rPr>
              <w:t>3.05</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8"/>
                <w:szCs w:val="18"/>
                <w:color w:val="auto"/>
              </w:rPr>
              <w:t>3.26</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182"/>
        </w:trPr>
        <w:tc>
          <w:tcPr>
            <w:tcW w:w="2100" w:type="dxa"/>
            <w:vAlign w:val="bottom"/>
          </w:tcPr>
          <w:p>
            <w:pPr>
              <w:ind w:left="240"/>
              <w:spacing w:after="0" w:line="163" w:lineRule="exact"/>
              <w:rPr>
                <w:sz w:val="20"/>
                <w:szCs w:val="20"/>
                <w:color w:val="auto"/>
              </w:rPr>
            </w:pPr>
            <w:r>
              <w:rPr>
                <w:rFonts w:ascii="Arial" w:cs="Arial" w:eastAsia="Arial" w:hAnsi="Arial"/>
                <w:sz w:val="18"/>
                <w:szCs w:val="18"/>
                <w:color w:val="auto"/>
              </w:rPr>
              <w:t>dividends</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21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3.94</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4.22</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color w:val="auto"/>
              </w:rPr>
              <w:t>3.05</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8"/>
                <w:szCs w:val="18"/>
                <w:color w:val="auto"/>
              </w:rPr>
              <w:t>3.26</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182"/>
        </w:trPr>
        <w:tc>
          <w:tcPr>
            <w:tcW w:w="2100" w:type="dxa"/>
            <w:vAlign w:val="bottom"/>
          </w:tcPr>
          <w:p>
            <w:pPr>
              <w:ind w:left="240"/>
              <w:spacing w:after="0" w:line="163" w:lineRule="exact"/>
              <w:rPr>
                <w:sz w:val="20"/>
                <w:szCs w:val="20"/>
                <w:color w:val="auto"/>
              </w:rPr>
            </w:pPr>
            <w:r>
              <w:rPr>
                <w:rFonts w:ascii="Arial" w:cs="Arial" w:eastAsia="Arial" w:hAnsi="Arial"/>
                <w:sz w:val="18"/>
                <w:szCs w:val="18"/>
                <w:color w:val="auto"/>
              </w:rPr>
              <w:t>fixed charges</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520" w:right="680" w:hanging="503"/>
        <w:spacing w:after="0" w:line="267" w:lineRule="auto"/>
        <w:tabs>
          <w:tab w:leader="none" w:pos="5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1280"/>
          </w:cols>
          <w:pgMar w:left="380" w:top="1072" w:right="239" w:bottom="1440" w:gutter="0" w:footer="0" w:header="0"/>
        </w:sectPr>
      </w:pPr>
    </w:p>
    <w:bookmarkStart w:id="82" w:name="page83"/>
    <w:bookmarkEnd w:id="82"/>
    <w:p>
      <w:pPr>
        <w:jc w:val="center"/>
        <w:ind w:right="114"/>
        <w:spacing w:after="0"/>
        <w:rPr>
          <w:sz w:val="20"/>
          <w:szCs w:val="20"/>
          <w:color w:val="auto"/>
        </w:rPr>
      </w:pPr>
      <w:r>
        <w:rPr>
          <w:rFonts w:ascii="Arial" w:cs="Arial" w:eastAsia="Arial" w:hAnsi="Arial"/>
          <w:sz w:val="18"/>
          <w:szCs w:val="18"/>
          <w:b w:val="1"/>
          <w:bCs w:val="1"/>
          <w:color w:val="auto"/>
        </w:rPr>
        <w:t>EXHIBIT 12.2</w:t>
      </w:r>
    </w:p>
    <w:p>
      <w:pPr>
        <w:spacing w:after="0" w:line="9" w:lineRule="exact"/>
        <w:rPr>
          <w:sz w:val="20"/>
          <w:szCs w:val="20"/>
          <w:color w:val="auto"/>
        </w:rPr>
      </w:pPr>
    </w:p>
    <w:p>
      <w:pPr>
        <w:jc w:val="center"/>
        <w:ind w:right="114"/>
        <w:spacing w:after="0"/>
        <w:rPr>
          <w:sz w:val="20"/>
          <w:szCs w:val="20"/>
          <w:color w:val="auto"/>
        </w:rPr>
      </w:pPr>
      <w:r>
        <w:rPr>
          <w:rFonts w:ascii="Arial" w:cs="Arial" w:eastAsia="Arial" w:hAnsi="Arial"/>
          <w:sz w:val="18"/>
          <w:szCs w:val="18"/>
          <w:b w:val="1"/>
          <w:bCs w:val="1"/>
          <w:color w:val="auto"/>
        </w:rPr>
        <w:t>SAN DIEGO GAS &amp; ELECTRIC COMPANY</w:t>
      </w:r>
    </w:p>
    <w:p>
      <w:pPr>
        <w:jc w:val="center"/>
        <w:ind w:right="114"/>
        <w:spacing w:after="0" w:line="231"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114"/>
        <w:spacing w:after="0" w:line="231" w:lineRule="auto"/>
        <w:rPr>
          <w:sz w:val="20"/>
          <w:szCs w:val="20"/>
          <w:color w:val="auto"/>
        </w:rPr>
      </w:pPr>
      <w:r>
        <w:rPr>
          <w:rFonts w:ascii="Arial" w:cs="Arial" w:eastAsia="Arial" w:hAnsi="Arial"/>
          <w:sz w:val="18"/>
          <w:szCs w:val="18"/>
          <w:b w:val="1"/>
          <w:bCs w:val="1"/>
          <w:color w:val="auto"/>
        </w:rPr>
        <w:t>AND PREFERRED STOCK DIVIDENDS</w:t>
      </w:r>
    </w:p>
    <w:p>
      <w:pPr>
        <w:jc w:val="center"/>
        <w:ind w:right="114"/>
        <w:spacing w:after="0"/>
        <w:rPr>
          <w:sz w:val="20"/>
          <w:szCs w:val="20"/>
          <w:color w:val="auto"/>
        </w:rPr>
      </w:pPr>
      <w:r>
        <w:rPr>
          <w:rFonts w:ascii="Arial" w:cs="Arial" w:eastAsia="Arial" w:hAnsi="Arial"/>
          <w:sz w:val="18"/>
          <w:szCs w:val="18"/>
          <w:b w:val="1"/>
          <w:bCs w:val="1"/>
          <w:color w:val="auto"/>
        </w:rPr>
        <w:t>(Dollars in millions)</w:t>
      </w:r>
    </w:p>
    <w:p>
      <w:pPr>
        <w:spacing w:after="0" w:line="189"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22"/>
        </w:trPr>
        <w:tc>
          <w:tcPr>
            <w:tcW w:w="1520" w:type="dxa"/>
            <w:vAlign w:val="bottom"/>
            <w:vMerge w:val="restart"/>
          </w:tcPr>
          <w:p>
            <w:pPr>
              <w:spacing w:after="0"/>
              <w:rPr>
                <w:sz w:val="20"/>
                <w:szCs w:val="20"/>
                <w:color w:val="auto"/>
              </w:rPr>
            </w:pPr>
            <w:r>
              <w:rPr>
                <w:rFonts w:ascii="Arial" w:cs="Arial" w:eastAsia="Arial" w:hAnsi="Arial"/>
                <w:sz w:val="18"/>
                <w:szCs w:val="18"/>
                <w:color w:val="auto"/>
              </w:rPr>
              <w:t>Fixed</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2009</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2010</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2011</w:t>
            </w: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70"/>
        </w:trPr>
        <w:tc>
          <w:tcPr>
            <w:tcW w:w="15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and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Preferred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Stock</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20" w:type="dxa"/>
            <w:vAlign w:val="bottom"/>
          </w:tcPr>
          <w:p>
            <w:pPr>
              <w:ind w:left="240"/>
              <w:spacing w:after="0"/>
              <w:rPr>
                <w:sz w:val="20"/>
                <w:szCs w:val="20"/>
                <w:color w:val="auto"/>
              </w:rPr>
            </w:pPr>
            <w:r>
              <w:rPr>
                <w:rFonts w:ascii="Arial" w:cs="Arial" w:eastAsia="Arial" w:hAnsi="Arial"/>
                <w:sz w:val="18"/>
                <w:szCs w:val="18"/>
                <w:color w:val="auto"/>
              </w:rPr>
              <w:t>Dividends:</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520" w:type="dxa"/>
            <w:vAlign w:val="bottom"/>
          </w:tcPr>
          <w:p>
            <w:pPr>
              <w:spacing w:after="0" w:line="200" w:lineRule="exact"/>
              <w:rPr>
                <w:sz w:val="20"/>
                <w:szCs w:val="20"/>
                <w:color w:val="auto"/>
              </w:rPr>
            </w:pPr>
            <w:r>
              <w:rPr>
                <w:rFonts w:ascii="Arial" w:cs="Arial" w:eastAsia="Arial" w:hAnsi="Arial"/>
                <w:sz w:val="18"/>
                <w:szCs w:val="18"/>
                <w:color w:val="auto"/>
              </w:rPr>
              <w:t>Interest</w:t>
            </w:r>
          </w:p>
        </w:tc>
        <w:tc>
          <w:tcPr>
            <w:tcW w:w="460" w:type="dxa"/>
            <w:vAlign w:val="bottom"/>
          </w:tcPr>
          <w:p>
            <w:pPr>
              <w:jc w:val="right"/>
              <w:ind w:right="131"/>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118</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153</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193</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220</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231</w:t>
            </w:r>
          </w:p>
        </w:tc>
        <w:tc>
          <w:tcPr>
            <w:tcW w:w="74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9"/>
        </w:trPr>
        <w:tc>
          <w:tcPr>
            <w:tcW w:w="1520" w:type="dxa"/>
            <w:vAlign w:val="bottom"/>
          </w:tcPr>
          <w:p>
            <w:pPr>
              <w:spacing w:after="0" w:line="200" w:lineRule="exact"/>
              <w:rPr>
                <w:sz w:val="20"/>
                <w:szCs w:val="20"/>
                <w:color w:val="auto"/>
              </w:rPr>
            </w:pPr>
            <w:r>
              <w:rPr>
                <w:rFonts w:ascii="Arial" w:cs="Arial" w:eastAsia="Arial" w:hAnsi="Arial"/>
                <w:sz w:val="18"/>
                <w:szCs w:val="18"/>
                <w:color w:val="auto"/>
              </w:rPr>
              <w:t>Interest</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portion of</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annual</w:t>
            </w: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20" w:type="dxa"/>
            <w:vAlign w:val="bottom"/>
          </w:tcPr>
          <w:p>
            <w:pPr>
              <w:ind w:left="240"/>
              <w:spacing w:after="0"/>
              <w:rPr>
                <w:sz w:val="20"/>
                <w:szCs w:val="20"/>
                <w:color w:val="auto"/>
              </w:rPr>
            </w:pPr>
            <w:r>
              <w:rPr>
                <w:rFonts w:ascii="Arial" w:cs="Arial" w:eastAsia="Arial" w:hAnsi="Arial"/>
                <w:sz w:val="18"/>
                <w:szCs w:val="18"/>
                <w:color w:val="auto"/>
              </w:rPr>
              <w:t>rentals</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520" w:type="dxa"/>
            <w:vAlign w:val="bottom"/>
          </w:tcPr>
          <w:p>
            <w:pPr>
              <w:spacing w:after="0" w:line="170" w:lineRule="exact"/>
              <w:rPr>
                <w:sz w:val="20"/>
                <w:szCs w:val="20"/>
                <w:color w:val="auto"/>
              </w:rPr>
            </w:pPr>
            <w:r>
              <w:rPr>
                <w:rFonts w:ascii="Arial" w:cs="Arial" w:eastAsia="Arial" w:hAnsi="Arial"/>
                <w:sz w:val="18"/>
                <w:szCs w:val="18"/>
                <w:color w:val="auto"/>
              </w:rPr>
              <w:t>Total fixed</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119</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154</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194</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221</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232</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9"/>
        </w:trPr>
        <w:tc>
          <w:tcPr>
            <w:tcW w:w="1520" w:type="dxa"/>
            <w:vAlign w:val="bottom"/>
          </w:tcPr>
          <w:p>
            <w:pPr>
              <w:spacing w:after="0" w:line="200" w:lineRule="exact"/>
              <w:rPr>
                <w:sz w:val="20"/>
                <w:szCs w:val="20"/>
                <w:color w:val="auto"/>
              </w:rPr>
            </w:pPr>
            <w:r>
              <w:rPr>
                <w:rFonts w:ascii="Arial" w:cs="Arial" w:eastAsia="Arial" w:hAnsi="Arial"/>
                <w:sz w:val="18"/>
                <w:szCs w:val="18"/>
                <w:color w:val="auto"/>
              </w:rPr>
              <w:t>Preferred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stock</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dividends</w:t>
            </w: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20" w:type="dxa"/>
            <w:vAlign w:val="bottom"/>
          </w:tcPr>
          <w:p>
            <w:pPr>
              <w:ind w:left="240"/>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520" w:type="dxa"/>
            <w:vAlign w:val="bottom"/>
          </w:tcPr>
          <w:p>
            <w:pPr>
              <w:spacing w:after="0" w:line="170" w:lineRule="exact"/>
              <w:rPr>
                <w:sz w:val="20"/>
                <w:szCs w:val="20"/>
                <w:color w:val="auto"/>
              </w:rPr>
            </w:pPr>
            <w:r>
              <w:rPr>
                <w:rFonts w:ascii="Arial" w:cs="Arial" w:eastAsia="Arial" w:hAnsi="Arial"/>
                <w:sz w:val="18"/>
                <w:szCs w:val="18"/>
                <w:color w:val="auto"/>
              </w:rPr>
              <w:t>Combined</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fixed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and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preferred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stock</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dividends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for</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purpose of</w:t>
            </w:r>
          </w:p>
        </w:tc>
        <w:tc>
          <w:tcPr>
            <w:tcW w:w="460" w:type="dxa"/>
            <w:vAlign w:val="bottom"/>
            <w:vMerge w:val="restart"/>
          </w:tcPr>
          <w:p>
            <w:pPr>
              <w:jc w:val="right"/>
              <w:ind w:right="131"/>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126</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161</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201</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228</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237</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82"/>
        </w:trPr>
        <w:tc>
          <w:tcPr>
            <w:tcW w:w="1520" w:type="dxa"/>
            <w:vAlign w:val="bottom"/>
          </w:tcPr>
          <w:p>
            <w:pPr>
              <w:ind w:left="240"/>
              <w:spacing w:after="0" w:line="163" w:lineRule="exact"/>
              <w:rPr>
                <w:sz w:val="20"/>
                <w:szCs w:val="20"/>
                <w:color w:val="auto"/>
              </w:rPr>
            </w:pPr>
            <w:r>
              <w:rPr>
                <w:rFonts w:ascii="Arial" w:cs="Arial" w:eastAsia="Arial" w:hAnsi="Arial"/>
                <w:sz w:val="18"/>
                <w:szCs w:val="18"/>
                <w:color w:val="auto"/>
              </w:rPr>
              <w:t>ratio</w:t>
            </w: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5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520" w:type="dxa"/>
            <w:vAlign w:val="bottom"/>
          </w:tcPr>
          <w:p>
            <w:pPr>
              <w:spacing w:after="0" w:line="200" w:lineRule="exact"/>
              <w:rPr>
                <w:sz w:val="20"/>
                <w:szCs w:val="20"/>
                <w:color w:val="auto"/>
              </w:rPr>
            </w:pPr>
            <w:r>
              <w:rPr>
                <w:rFonts w:ascii="Arial" w:cs="Arial" w:eastAsia="Arial" w:hAnsi="Arial"/>
                <w:sz w:val="18"/>
                <w:szCs w:val="18"/>
                <w:color w:val="auto"/>
              </w:rPr>
              <w:t>Pretax</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income</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from</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continuing</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operations</w:t>
            </w:r>
          </w:p>
        </w:tc>
        <w:tc>
          <w:tcPr>
            <w:tcW w:w="460" w:type="dxa"/>
            <w:vAlign w:val="bottom"/>
          </w:tcPr>
          <w:p>
            <w:pPr>
              <w:jc w:val="right"/>
              <w:ind w:right="131"/>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550</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531</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692</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705</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626</w:t>
            </w:r>
          </w:p>
        </w:tc>
        <w:tc>
          <w:tcPr>
            <w:tcW w:w="74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199"/>
        </w:trPr>
        <w:tc>
          <w:tcPr>
            <w:tcW w:w="1520" w:type="dxa"/>
            <w:vAlign w:val="bottom"/>
          </w:tcPr>
          <w:p>
            <w:pPr>
              <w:spacing w:after="0" w:line="200" w:lineRule="exact"/>
              <w:rPr>
                <w:sz w:val="20"/>
                <w:szCs w:val="20"/>
                <w:color w:val="auto"/>
              </w:rPr>
            </w:pPr>
            <w:r>
              <w:rPr>
                <w:rFonts w:ascii="Arial" w:cs="Arial" w:eastAsia="Arial" w:hAnsi="Arial"/>
                <w:sz w:val="18"/>
                <w:szCs w:val="18"/>
                <w:color w:val="auto"/>
              </w:rPr>
              <w:t>Total fixed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(from</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above)</w:t>
            </w:r>
          </w:p>
        </w:tc>
        <w:tc>
          <w:tcPr>
            <w:tcW w:w="46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119</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154</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194</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221</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232</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3"/>
        </w:trPr>
        <w:tc>
          <w:tcPr>
            <w:tcW w:w="1520" w:type="dxa"/>
            <w:vAlign w:val="bottom"/>
          </w:tcPr>
          <w:p>
            <w:pPr>
              <w:spacing w:after="0"/>
              <w:rPr>
                <w:sz w:val="20"/>
                <w:szCs w:val="20"/>
                <w:color w:val="auto"/>
              </w:rPr>
            </w:pPr>
            <w:r>
              <w:rPr>
                <w:rFonts w:ascii="Arial" w:cs="Arial" w:eastAsia="Arial" w:hAnsi="Arial"/>
                <w:sz w:val="18"/>
                <w:szCs w:val="18"/>
                <w:color w:val="auto"/>
              </w:rPr>
              <w:t>Less: Interest</w:t>
            </w:r>
          </w:p>
        </w:tc>
        <w:tc>
          <w:tcPr>
            <w:tcW w:w="460" w:type="dxa"/>
            <w:vAlign w:val="bottom"/>
          </w:tcPr>
          <w:p>
            <w:pPr>
              <w:spacing w:after="0"/>
              <w:rPr>
                <w:sz w:val="18"/>
                <w:szCs w:val="18"/>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20" w:type="dxa"/>
            <w:vAlign w:val="bottom"/>
          </w:tcPr>
          <w:p>
            <w:pPr>
              <w:ind w:left="240"/>
              <w:spacing w:after="0"/>
              <w:rPr>
                <w:sz w:val="20"/>
                <w:szCs w:val="20"/>
                <w:color w:val="auto"/>
              </w:rPr>
            </w:pPr>
            <w:r>
              <w:rPr>
                <w:rFonts w:ascii="Arial" w:cs="Arial" w:eastAsia="Arial" w:hAnsi="Arial"/>
                <w:sz w:val="18"/>
                <w:szCs w:val="18"/>
                <w:color w:val="auto"/>
              </w:rPr>
              <w:t>capitalized</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52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earnings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for</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purpose of</w:t>
            </w:r>
          </w:p>
        </w:tc>
        <w:tc>
          <w:tcPr>
            <w:tcW w:w="460" w:type="dxa"/>
            <w:vAlign w:val="bottom"/>
            <w:vMerge w:val="restart"/>
          </w:tcPr>
          <w:p>
            <w:pPr>
              <w:jc w:val="right"/>
              <w:ind w:right="131"/>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665</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684</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885</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926</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858</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182"/>
        </w:trPr>
        <w:tc>
          <w:tcPr>
            <w:tcW w:w="1520" w:type="dxa"/>
            <w:vAlign w:val="bottom"/>
          </w:tcPr>
          <w:p>
            <w:pPr>
              <w:ind w:left="240"/>
              <w:spacing w:after="0" w:line="163" w:lineRule="exact"/>
              <w:rPr>
                <w:sz w:val="20"/>
                <w:szCs w:val="20"/>
                <w:color w:val="auto"/>
              </w:rPr>
            </w:pPr>
            <w:r>
              <w:rPr>
                <w:rFonts w:ascii="Arial" w:cs="Arial" w:eastAsia="Arial" w:hAnsi="Arial"/>
                <w:sz w:val="18"/>
                <w:szCs w:val="18"/>
                <w:color w:val="auto"/>
              </w:rPr>
              <w:t>ratio</w:t>
            </w: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vMerge w:val="restart"/>
          </w:tcPr>
          <w:p>
            <w:pPr>
              <w:spacing w:after="0"/>
              <w:rPr>
                <w:sz w:val="20"/>
                <w:szCs w:val="20"/>
                <w:color w:val="auto"/>
              </w:rPr>
            </w:pPr>
            <w:r>
              <w:rPr>
                <w:rFonts w:ascii="Arial" w:cs="Arial" w:eastAsia="Arial" w:hAnsi="Arial"/>
                <w:sz w:val="18"/>
                <w:szCs w:val="18"/>
                <w:color w:val="auto"/>
              </w:rPr>
              <w:t>Ratio of</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15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earnings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to</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combined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fixed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340"/>
              <w:spacing w:after="0" w:line="200" w:lineRule="exact"/>
              <w:rPr>
                <w:sz w:val="20"/>
                <w:szCs w:val="20"/>
                <w:color w:val="auto"/>
              </w:rPr>
            </w:pPr>
            <w:r>
              <w:rPr>
                <w:rFonts w:ascii="Arial" w:cs="Arial" w:eastAsia="Arial" w:hAnsi="Arial"/>
                <w:sz w:val="18"/>
                <w:szCs w:val="18"/>
                <w:color w:val="auto"/>
              </w:rPr>
              <w:t>and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preferred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stock</w:t>
            </w: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5.28</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4.25</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4.40</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4.06</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3.62</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182"/>
        </w:trPr>
        <w:tc>
          <w:tcPr>
            <w:tcW w:w="1520" w:type="dxa"/>
            <w:vAlign w:val="bottom"/>
          </w:tcPr>
          <w:p>
            <w:pPr>
              <w:ind w:left="240"/>
              <w:spacing w:after="0" w:line="163" w:lineRule="exact"/>
              <w:rPr>
                <w:sz w:val="20"/>
                <w:szCs w:val="20"/>
                <w:color w:val="auto"/>
              </w:rPr>
            </w:pPr>
            <w:r>
              <w:rPr>
                <w:rFonts w:ascii="Arial" w:cs="Arial" w:eastAsia="Arial" w:hAnsi="Arial"/>
                <w:sz w:val="18"/>
                <w:szCs w:val="18"/>
                <w:color w:val="auto"/>
              </w:rPr>
              <w:t>dividends</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vMerge w:val="restart"/>
          </w:tcPr>
          <w:p>
            <w:pPr>
              <w:spacing w:after="0"/>
              <w:rPr>
                <w:sz w:val="20"/>
                <w:szCs w:val="20"/>
                <w:color w:val="auto"/>
              </w:rPr>
            </w:pPr>
            <w:r>
              <w:rPr>
                <w:rFonts w:ascii="Arial" w:cs="Arial" w:eastAsia="Arial" w:hAnsi="Arial"/>
                <w:sz w:val="18"/>
                <w:szCs w:val="18"/>
                <w:color w:val="auto"/>
              </w:rPr>
              <w:t>Ratio of</w:t>
            </w: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15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earnings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to fixed</w:t>
            </w: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5.59</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4.44</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4.56</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4.19</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3.70</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182"/>
        </w:trPr>
        <w:tc>
          <w:tcPr>
            <w:tcW w:w="1520" w:type="dxa"/>
            <w:vAlign w:val="bottom"/>
          </w:tcPr>
          <w:p>
            <w:pPr>
              <w:ind w:left="240"/>
              <w:spacing w:after="0" w:line="163" w:lineRule="exact"/>
              <w:rPr>
                <w:sz w:val="20"/>
                <w:szCs w:val="20"/>
                <w:color w:val="auto"/>
              </w:rPr>
            </w:pPr>
            <w:r>
              <w:rPr>
                <w:rFonts w:ascii="Arial" w:cs="Arial" w:eastAsia="Arial" w:hAnsi="Arial"/>
                <w:sz w:val="18"/>
                <w:szCs w:val="18"/>
                <w:color w:val="auto"/>
              </w:rPr>
              <w:t>charges</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86" w:right="220" w:hanging="486"/>
        <w:spacing w:after="0" w:line="267" w:lineRule="auto"/>
        <w:tabs>
          <w:tab w:leader="none" w:pos="48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386"/>
          </w:cols>
          <w:pgMar w:left="374" w:top="1071" w:right="139" w:bottom="866" w:gutter="0" w:footer="0" w:header="0"/>
        </w:sectPr>
      </w:pPr>
    </w:p>
    <w:bookmarkStart w:id="83" w:name="page84"/>
    <w:bookmarkEnd w:id="83"/>
    <w:p>
      <w:pPr>
        <w:jc w:val="center"/>
        <w:ind w:right="117"/>
        <w:spacing w:after="0"/>
        <w:rPr>
          <w:sz w:val="20"/>
          <w:szCs w:val="20"/>
          <w:color w:val="auto"/>
        </w:rPr>
      </w:pPr>
      <w:r>
        <w:rPr>
          <w:rFonts w:ascii="Arial" w:cs="Arial" w:eastAsia="Arial" w:hAnsi="Arial"/>
          <w:sz w:val="18"/>
          <w:szCs w:val="18"/>
          <w:b w:val="1"/>
          <w:bCs w:val="1"/>
          <w:color w:val="auto"/>
        </w:rPr>
        <w:t>EXHIBIT 12.3</w:t>
      </w:r>
    </w:p>
    <w:p>
      <w:pPr>
        <w:spacing w:after="0" w:line="9" w:lineRule="exact"/>
        <w:rPr>
          <w:sz w:val="20"/>
          <w:szCs w:val="20"/>
          <w:color w:val="auto"/>
        </w:rPr>
      </w:pPr>
    </w:p>
    <w:p>
      <w:pPr>
        <w:jc w:val="center"/>
        <w:ind w:right="117"/>
        <w:spacing w:after="0"/>
        <w:rPr>
          <w:sz w:val="20"/>
          <w:szCs w:val="20"/>
          <w:color w:val="auto"/>
        </w:rPr>
      </w:pPr>
      <w:r>
        <w:rPr>
          <w:rFonts w:ascii="Arial" w:cs="Arial" w:eastAsia="Arial" w:hAnsi="Arial"/>
          <w:sz w:val="18"/>
          <w:szCs w:val="18"/>
          <w:b w:val="1"/>
          <w:bCs w:val="1"/>
          <w:color w:val="auto"/>
        </w:rPr>
        <w:t>SOUTHERN CALIFORNIA GAS COMPANY</w:t>
      </w:r>
    </w:p>
    <w:p>
      <w:pPr>
        <w:jc w:val="center"/>
        <w:ind w:right="117"/>
        <w:spacing w:after="0" w:line="231"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117"/>
        <w:spacing w:after="0" w:line="231" w:lineRule="auto"/>
        <w:rPr>
          <w:sz w:val="20"/>
          <w:szCs w:val="20"/>
          <w:color w:val="auto"/>
        </w:rPr>
      </w:pPr>
      <w:r>
        <w:rPr>
          <w:rFonts w:ascii="Arial" w:cs="Arial" w:eastAsia="Arial" w:hAnsi="Arial"/>
          <w:sz w:val="18"/>
          <w:szCs w:val="18"/>
          <w:b w:val="1"/>
          <w:bCs w:val="1"/>
          <w:color w:val="auto"/>
        </w:rPr>
        <w:t>AND PREFERRED STOCK DIVIDENDS</w:t>
      </w:r>
    </w:p>
    <w:p>
      <w:pPr>
        <w:jc w:val="center"/>
        <w:ind w:right="117"/>
        <w:spacing w:after="0"/>
        <w:rPr>
          <w:sz w:val="20"/>
          <w:szCs w:val="20"/>
          <w:color w:val="auto"/>
        </w:rPr>
      </w:pPr>
      <w:r>
        <w:rPr>
          <w:rFonts w:ascii="Arial" w:cs="Arial" w:eastAsia="Arial" w:hAnsi="Arial"/>
          <w:sz w:val="18"/>
          <w:szCs w:val="18"/>
          <w:b w:val="1"/>
          <w:bCs w:val="1"/>
          <w:color w:val="auto"/>
        </w:rPr>
        <w:t>(Dollars in millions)</w:t>
      </w:r>
    </w:p>
    <w:p>
      <w:pPr>
        <w:spacing w:after="0" w:line="189" w:lineRule="exact"/>
        <w:rPr>
          <w:sz w:val="20"/>
          <w:szCs w:val="20"/>
          <w:color w:val="auto"/>
        </w:rPr>
      </w:pPr>
    </w:p>
    <w:tbl>
      <w:tblPr>
        <w:tblLayout w:type="fixed"/>
        <w:tblInd w:w="3"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71"/>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22"/>
        </w:trPr>
        <w:tc>
          <w:tcPr>
            <w:tcW w:w="1520" w:type="dxa"/>
            <w:vAlign w:val="bottom"/>
            <w:vMerge w:val="restart"/>
          </w:tcPr>
          <w:p>
            <w:pPr>
              <w:spacing w:after="0"/>
              <w:rPr>
                <w:sz w:val="20"/>
                <w:szCs w:val="20"/>
                <w:color w:val="auto"/>
              </w:rPr>
            </w:pPr>
            <w:r>
              <w:rPr>
                <w:rFonts w:ascii="Arial" w:cs="Arial" w:eastAsia="Arial" w:hAnsi="Arial"/>
                <w:sz w:val="18"/>
                <w:szCs w:val="18"/>
                <w:color w:val="auto"/>
              </w:rPr>
              <w:t>Fixed</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2009</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2010</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2011</w:t>
            </w: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4"/>
              </w:rPr>
              <w:t>2014</w:t>
            </w:r>
          </w:p>
        </w:tc>
        <w:tc>
          <w:tcPr>
            <w:tcW w:w="0" w:type="dxa"/>
            <w:vAlign w:val="bottom"/>
          </w:tcPr>
          <w:p>
            <w:pPr>
              <w:spacing w:after="0"/>
              <w:rPr>
                <w:sz w:val="1"/>
                <w:szCs w:val="1"/>
                <w:color w:val="auto"/>
              </w:rPr>
            </w:pPr>
          </w:p>
        </w:tc>
      </w:tr>
      <w:tr>
        <w:trPr>
          <w:trHeight w:val="170"/>
        </w:trPr>
        <w:tc>
          <w:tcPr>
            <w:tcW w:w="15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520" w:type="dxa"/>
            <w:vAlign w:val="bottom"/>
          </w:tcPr>
          <w:p>
            <w:pPr>
              <w:ind w:left="240"/>
              <w:spacing w:after="0"/>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520" w:type="dxa"/>
            <w:vAlign w:val="bottom"/>
          </w:tcPr>
          <w:p>
            <w:pPr>
              <w:spacing w:after="0" w:line="200" w:lineRule="exact"/>
              <w:rPr>
                <w:sz w:val="20"/>
                <w:szCs w:val="20"/>
                <w:color w:val="auto"/>
              </w:rPr>
            </w:pPr>
            <w:r>
              <w:rPr>
                <w:rFonts w:ascii="Arial" w:cs="Arial" w:eastAsia="Arial" w:hAnsi="Arial"/>
                <w:sz w:val="18"/>
                <w:szCs w:val="18"/>
                <w:color w:val="auto"/>
              </w:rPr>
              <w:t>Interest</w:t>
            </w:r>
          </w:p>
        </w:tc>
        <w:tc>
          <w:tcPr>
            <w:tcW w:w="460" w:type="dxa"/>
            <w:vAlign w:val="bottom"/>
          </w:tcPr>
          <w:p>
            <w:pPr>
              <w:jc w:val="right"/>
              <w:ind w:right="131"/>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74</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72</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77</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77</w:t>
            </w:r>
          </w:p>
        </w:tc>
        <w:tc>
          <w:tcPr>
            <w:tcW w:w="78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76</w:t>
            </w:r>
          </w:p>
        </w:tc>
        <w:tc>
          <w:tcPr>
            <w:tcW w:w="7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9"/>
        </w:trPr>
        <w:tc>
          <w:tcPr>
            <w:tcW w:w="1520" w:type="dxa"/>
            <w:vAlign w:val="bottom"/>
          </w:tcPr>
          <w:p>
            <w:pPr>
              <w:spacing w:after="0" w:line="200" w:lineRule="exact"/>
              <w:rPr>
                <w:sz w:val="20"/>
                <w:szCs w:val="20"/>
                <w:color w:val="auto"/>
              </w:rPr>
            </w:pPr>
            <w:r>
              <w:rPr>
                <w:rFonts w:ascii="Arial" w:cs="Arial" w:eastAsia="Arial" w:hAnsi="Arial"/>
                <w:sz w:val="18"/>
                <w:szCs w:val="18"/>
                <w:color w:val="auto"/>
              </w:rPr>
              <w:t>Interest</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portion of</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annual</w:t>
            </w: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520" w:type="dxa"/>
            <w:vAlign w:val="bottom"/>
          </w:tcPr>
          <w:p>
            <w:pPr>
              <w:ind w:left="240"/>
              <w:spacing w:after="0"/>
              <w:rPr>
                <w:sz w:val="20"/>
                <w:szCs w:val="20"/>
                <w:color w:val="auto"/>
              </w:rPr>
            </w:pPr>
            <w:r>
              <w:rPr>
                <w:rFonts w:ascii="Arial" w:cs="Arial" w:eastAsia="Arial" w:hAnsi="Arial"/>
                <w:sz w:val="18"/>
                <w:szCs w:val="18"/>
                <w:color w:val="auto"/>
              </w:rPr>
              <w:t>rentals</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520" w:type="dxa"/>
            <w:vAlign w:val="bottom"/>
          </w:tcPr>
          <w:p>
            <w:pPr>
              <w:spacing w:after="0" w:line="170" w:lineRule="exact"/>
              <w:rPr>
                <w:sz w:val="20"/>
                <w:szCs w:val="20"/>
                <w:color w:val="auto"/>
              </w:rPr>
            </w:pPr>
            <w:r>
              <w:rPr>
                <w:rFonts w:ascii="Arial" w:cs="Arial" w:eastAsia="Arial" w:hAnsi="Arial"/>
                <w:sz w:val="18"/>
                <w:szCs w:val="18"/>
                <w:color w:val="auto"/>
              </w:rPr>
              <w:t>Total fixed</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75</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74</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78</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78</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77</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9"/>
        </w:trPr>
        <w:tc>
          <w:tcPr>
            <w:tcW w:w="1520" w:type="dxa"/>
            <w:vAlign w:val="bottom"/>
          </w:tcPr>
          <w:p>
            <w:pPr>
              <w:spacing w:after="0" w:line="200" w:lineRule="exact"/>
              <w:rPr>
                <w:sz w:val="20"/>
                <w:szCs w:val="20"/>
                <w:color w:val="auto"/>
              </w:rPr>
            </w:pPr>
            <w:r>
              <w:rPr>
                <w:rFonts w:ascii="Arial" w:cs="Arial" w:eastAsia="Arial" w:hAnsi="Arial"/>
                <w:sz w:val="18"/>
                <w:szCs w:val="18"/>
                <w:color w:val="auto"/>
              </w:rPr>
              <w:t>Preferred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stock</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dividends</w:t>
            </w: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520" w:type="dxa"/>
            <w:vAlign w:val="bottom"/>
          </w:tcPr>
          <w:p>
            <w:pPr>
              <w:ind w:left="240"/>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520" w:type="dxa"/>
            <w:vAlign w:val="bottom"/>
          </w:tcPr>
          <w:p>
            <w:pPr>
              <w:spacing w:after="0" w:line="170" w:lineRule="exact"/>
              <w:rPr>
                <w:sz w:val="20"/>
                <w:szCs w:val="20"/>
                <w:color w:val="auto"/>
              </w:rPr>
            </w:pPr>
            <w:r>
              <w:rPr>
                <w:rFonts w:ascii="Arial" w:cs="Arial" w:eastAsia="Arial" w:hAnsi="Arial"/>
                <w:sz w:val="18"/>
                <w:szCs w:val="18"/>
                <w:color w:val="auto"/>
              </w:rPr>
              <w:t>Combined</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fixed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and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preferred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stock</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dividends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for</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purpose of</w:t>
            </w:r>
          </w:p>
        </w:tc>
        <w:tc>
          <w:tcPr>
            <w:tcW w:w="460" w:type="dxa"/>
            <w:vAlign w:val="bottom"/>
            <w:vMerge w:val="restart"/>
          </w:tcPr>
          <w:p>
            <w:pPr>
              <w:jc w:val="right"/>
              <w:ind w:right="131"/>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77</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76</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80</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80</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79</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00" w:type="dxa"/>
            <w:vAlign w:val="bottom"/>
            <w:vMerge w:val="restart"/>
          </w:tcPr>
          <w:p>
            <w:pPr>
              <w:jc w:val="right"/>
              <w:ind w:right="3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2"/>
        </w:trPr>
        <w:tc>
          <w:tcPr>
            <w:tcW w:w="1520" w:type="dxa"/>
            <w:vAlign w:val="bottom"/>
          </w:tcPr>
          <w:p>
            <w:pPr>
              <w:ind w:left="240"/>
              <w:spacing w:after="0" w:line="163" w:lineRule="exact"/>
              <w:rPr>
                <w:sz w:val="20"/>
                <w:szCs w:val="20"/>
                <w:color w:val="auto"/>
              </w:rPr>
            </w:pPr>
            <w:r>
              <w:rPr>
                <w:rFonts w:ascii="Arial" w:cs="Arial" w:eastAsia="Arial" w:hAnsi="Arial"/>
                <w:sz w:val="18"/>
                <w:szCs w:val="18"/>
                <w:color w:val="auto"/>
              </w:rPr>
              <w:t>ratio</w:t>
            </w: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5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520" w:type="dxa"/>
            <w:vAlign w:val="bottom"/>
          </w:tcPr>
          <w:p>
            <w:pPr>
              <w:spacing w:after="0" w:line="200" w:lineRule="exact"/>
              <w:rPr>
                <w:sz w:val="20"/>
                <w:szCs w:val="20"/>
                <w:color w:val="auto"/>
              </w:rPr>
            </w:pPr>
            <w:r>
              <w:rPr>
                <w:rFonts w:ascii="Arial" w:cs="Arial" w:eastAsia="Arial" w:hAnsi="Arial"/>
                <w:sz w:val="18"/>
                <w:szCs w:val="18"/>
                <w:color w:val="auto"/>
              </w:rPr>
              <w:t>Pretax</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income</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from</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continuing</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operations</w:t>
            </w:r>
          </w:p>
        </w:tc>
        <w:tc>
          <w:tcPr>
            <w:tcW w:w="460" w:type="dxa"/>
            <w:vAlign w:val="bottom"/>
          </w:tcPr>
          <w:p>
            <w:pPr>
              <w:jc w:val="right"/>
              <w:ind w:right="131"/>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418</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463</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431</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369</w:t>
            </w:r>
          </w:p>
        </w:tc>
        <w:tc>
          <w:tcPr>
            <w:tcW w:w="78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481</w:t>
            </w:r>
          </w:p>
        </w:tc>
        <w:tc>
          <w:tcPr>
            <w:tcW w:w="7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99"/>
        </w:trPr>
        <w:tc>
          <w:tcPr>
            <w:tcW w:w="1520" w:type="dxa"/>
            <w:vAlign w:val="bottom"/>
          </w:tcPr>
          <w:p>
            <w:pPr>
              <w:spacing w:after="0" w:line="200" w:lineRule="exact"/>
              <w:rPr>
                <w:sz w:val="20"/>
                <w:szCs w:val="20"/>
                <w:color w:val="auto"/>
              </w:rPr>
            </w:pPr>
            <w:r>
              <w:rPr>
                <w:rFonts w:ascii="Arial" w:cs="Arial" w:eastAsia="Arial" w:hAnsi="Arial"/>
                <w:sz w:val="18"/>
                <w:szCs w:val="18"/>
                <w:color w:val="auto"/>
              </w:rPr>
              <w:t>Add: Total</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fixed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(from</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above)</w:t>
            </w:r>
          </w:p>
        </w:tc>
        <w:tc>
          <w:tcPr>
            <w:tcW w:w="46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75</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74</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78</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78</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77</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9"/>
        </w:trPr>
        <w:tc>
          <w:tcPr>
            <w:tcW w:w="1520" w:type="dxa"/>
            <w:vAlign w:val="bottom"/>
          </w:tcPr>
          <w:p>
            <w:pPr>
              <w:spacing w:after="0" w:line="200" w:lineRule="exact"/>
              <w:rPr>
                <w:sz w:val="20"/>
                <w:szCs w:val="20"/>
                <w:color w:val="auto"/>
              </w:rPr>
            </w:pPr>
            <w:r>
              <w:rPr>
                <w:rFonts w:ascii="Arial" w:cs="Arial" w:eastAsia="Arial" w:hAnsi="Arial"/>
                <w:sz w:val="18"/>
                <w:szCs w:val="18"/>
                <w:color w:val="auto"/>
              </w:rPr>
              <w:t>Less: Interest</w:t>
            </w: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20" w:type="dxa"/>
            <w:vAlign w:val="bottom"/>
          </w:tcPr>
          <w:p>
            <w:pPr>
              <w:ind w:left="240"/>
              <w:spacing w:after="0"/>
              <w:rPr>
                <w:sz w:val="20"/>
                <w:szCs w:val="20"/>
                <w:color w:val="auto"/>
              </w:rPr>
            </w:pPr>
            <w:r>
              <w:rPr>
                <w:rFonts w:ascii="Arial" w:cs="Arial" w:eastAsia="Arial" w:hAnsi="Arial"/>
                <w:sz w:val="18"/>
                <w:szCs w:val="18"/>
                <w:color w:val="auto"/>
              </w:rPr>
              <w:t>capitalized</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52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earnings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for</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purpose of</w:t>
            </w:r>
          </w:p>
        </w:tc>
        <w:tc>
          <w:tcPr>
            <w:tcW w:w="460" w:type="dxa"/>
            <w:vAlign w:val="bottom"/>
            <w:vMerge w:val="restart"/>
          </w:tcPr>
          <w:p>
            <w:pPr>
              <w:jc w:val="right"/>
              <w:ind w:right="131"/>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492</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536</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508</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446</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557</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00" w:type="dxa"/>
            <w:vAlign w:val="bottom"/>
            <w:vMerge w:val="restart"/>
          </w:tcPr>
          <w:p>
            <w:pPr>
              <w:jc w:val="right"/>
              <w:ind w:right="3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182"/>
        </w:trPr>
        <w:tc>
          <w:tcPr>
            <w:tcW w:w="1520" w:type="dxa"/>
            <w:vAlign w:val="bottom"/>
          </w:tcPr>
          <w:p>
            <w:pPr>
              <w:ind w:left="240"/>
              <w:spacing w:after="0" w:line="163" w:lineRule="exact"/>
              <w:rPr>
                <w:sz w:val="20"/>
                <w:szCs w:val="20"/>
                <w:color w:val="auto"/>
              </w:rPr>
            </w:pPr>
            <w:r>
              <w:rPr>
                <w:rFonts w:ascii="Arial" w:cs="Arial" w:eastAsia="Arial" w:hAnsi="Arial"/>
                <w:sz w:val="18"/>
                <w:szCs w:val="18"/>
                <w:color w:val="auto"/>
              </w:rPr>
              <w:t>ratio</w:t>
            </w: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vMerge w:val="restart"/>
          </w:tcPr>
          <w:p>
            <w:pPr>
              <w:spacing w:after="0"/>
              <w:rPr>
                <w:sz w:val="20"/>
                <w:szCs w:val="20"/>
                <w:color w:val="auto"/>
              </w:rPr>
            </w:pPr>
            <w:r>
              <w:rPr>
                <w:rFonts w:ascii="Arial" w:cs="Arial" w:eastAsia="Arial" w:hAnsi="Arial"/>
                <w:sz w:val="18"/>
                <w:szCs w:val="18"/>
                <w:color w:val="auto"/>
              </w:rPr>
              <w:t>Ratio of</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15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earnings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to</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combined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fixed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and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preferred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stock</w:t>
            </w: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6.39</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7.05</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6.35</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5.58</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7.05</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vMerge w:val="restart"/>
          </w:tcPr>
          <w:p>
            <w:pPr>
              <w:jc w:val="right"/>
              <w:ind w:right="31"/>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182"/>
        </w:trPr>
        <w:tc>
          <w:tcPr>
            <w:tcW w:w="1520" w:type="dxa"/>
            <w:vAlign w:val="bottom"/>
          </w:tcPr>
          <w:p>
            <w:pPr>
              <w:ind w:left="240"/>
              <w:spacing w:after="0" w:line="163" w:lineRule="exact"/>
              <w:rPr>
                <w:sz w:val="20"/>
                <w:szCs w:val="20"/>
                <w:color w:val="auto"/>
              </w:rPr>
            </w:pPr>
            <w:r>
              <w:rPr>
                <w:rFonts w:ascii="Arial" w:cs="Arial" w:eastAsia="Arial" w:hAnsi="Arial"/>
                <w:sz w:val="18"/>
                <w:szCs w:val="18"/>
                <w:color w:val="auto"/>
              </w:rPr>
              <w:t>dividends</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vMerge w:val="restart"/>
          </w:tcPr>
          <w:p>
            <w:pPr>
              <w:spacing w:after="0"/>
              <w:rPr>
                <w:sz w:val="20"/>
                <w:szCs w:val="20"/>
                <w:color w:val="auto"/>
              </w:rPr>
            </w:pPr>
            <w:r>
              <w:rPr>
                <w:rFonts w:ascii="Arial" w:cs="Arial" w:eastAsia="Arial" w:hAnsi="Arial"/>
                <w:sz w:val="18"/>
                <w:szCs w:val="18"/>
                <w:color w:val="auto"/>
              </w:rPr>
              <w:t>Ratio of</w:t>
            </w: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15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earnings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to fixed</w:t>
            </w: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6.56</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7.24</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6.51</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5.72</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7.23</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vMerge w:val="restart"/>
          </w:tcPr>
          <w:p>
            <w:pPr>
              <w:jc w:val="right"/>
              <w:ind w:right="31"/>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182"/>
        </w:trPr>
        <w:tc>
          <w:tcPr>
            <w:tcW w:w="1520" w:type="dxa"/>
            <w:vAlign w:val="bottom"/>
          </w:tcPr>
          <w:p>
            <w:pPr>
              <w:ind w:left="240"/>
              <w:spacing w:after="0" w:line="163" w:lineRule="exact"/>
              <w:rPr>
                <w:sz w:val="20"/>
                <w:szCs w:val="20"/>
                <w:color w:val="auto"/>
              </w:rPr>
            </w:pPr>
            <w:r>
              <w:rPr>
                <w:rFonts w:ascii="Arial" w:cs="Arial" w:eastAsia="Arial" w:hAnsi="Arial"/>
                <w:sz w:val="18"/>
                <w:szCs w:val="18"/>
                <w:color w:val="auto"/>
              </w:rPr>
              <w:t>charges</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83" w:right="120" w:hanging="483"/>
        <w:spacing w:after="0" w:line="267" w:lineRule="auto"/>
        <w:tabs>
          <w:tab w:leader="none" w:pos="48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283"/>
          </w:cols>
          <w:pgMar w:left="377" w:top="1071"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1"/>
          <w:szCs w:val="21"/>
          <w:color w:val="auto"/>
        </w:rPr>
        <w:t>EXHIBIT 31.1</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Debra L. Reed, certify that:</w:t>
      </w:r>
    </w:p>
    <w:p>
      <w:pPr>
        <w:spacing w:after="0" w:line="264" w:lineRule="exact"/>
        <w:rPr>
          <w:sz w:val="20"/>
          <w:szCs w:val="20"/>
          <w:color w:val="auto"/>
        </w:rPr>
      </w:pPr>
    </w:p>
    <w:p>
      <w:pPr>
        <w:ind w:left="320" w:hanging="314"/>
        <w:spacing w:after="0"/>
        <w:tabs>
          <w:tab w:leader="none" w:pos="32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report on Form 10-Q of Sempra Energy;</w:t>
      </w:r>
    </w:p>
    <w:p>
      <w:pPr>
        <w:spacing w:after="0" w:line="263" w:lineRule="exact"/>
        <w:rPr>
          <w:rFonts w:ascii="Times New Roman" w:cs="Times New Roman" w:eastAsia="Times New Roman" w:hAnsi="Times New Roman"/>
          <w:sz w:val="21"/>
          <w:szCs w:val="21"/>
          <w:color w:val="auto"/>
        </w:rPr>
      </w:pPr>
    </w:p>
    <w:p>
      <w:pPr>
        <w:ind w:left="320" w:right="400" w:hanging="314"/>
        <w:spacing w:after="0" w:line="255" w:lineRule="auto"/>
        <w:tabs>
          <w:tab w:leader="none" w:pos="32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Times New Roman" w:cs="Times New Roman" w:eastAsia="Times New Roman" w:hAnsi="Times New Roman"/>
          <w:sz w:val="21"/>
          <w:szCs w:val="21"/>
          <w:color w:val="auto"/>
        </w:rPr>
      </w:pPr>
    </w:p>
    <w:p>
      <w:pPr>
        <w:ind w:left="320" w:right="60" w:hanging="314"/>
        <w:spacing w:after="0" w:line="255" w:lineRule="auto"/>
        <w:tabs>
          <w:tab w:leader="none" w:pos="32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Times New Roman" w:cs="Times New Roman" w:eastAsia="Times New Roman" w:hAnsi="Times New Roman"/>
          <w:sz w:val="21"/>
          <w:szCs w:val="21"/>
          <w:color w:val="auto"/>
        </w:rPr>
      </w:pPr>
    </w:p>
    <w:p>
      <w:pPr>
        <w:ind w:left="320" w:right="60" w:hanging="314"/>
        <w:spacing w:after="0" w:line="255" w:lineRule="auto"/>
        <w:tabs>
          <w:tab w:leader="none" w:pos="32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Times New Roman" w:cs="Times New Roman" w:eastAsia="Times New Roman" w:hAnsi="Times New Roman"/>
          <w:sz w:val="21"/>
          <w:szCs w:val="21"/>
          <w:color w:val="auto"/>
        </w:rPr>
      </w:pPr>
    </w:p>
    <w:p>
      <w:pPr>
        <w:ind w:left="960" w:right="40" w:hanging="316"/>
        <w:spacing w:after="0" w:line="255" w:lineRule="auto"/>
        <w:tabs>
          <w:tab w:leader="none" w:pos="960"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3" w:lineRule="exact"/>
        <w:rPr>
          <w:rFonts w:ascii="Times New Roman" w:cs="Times New Roman" w:eastAsia="Times New Roman" w:hAnsi="Times New Roman"/>
          <w:sz w:val="21"/>
          <w:szCs w:val="21"/>
          <w:color w:val="auto"/>
        </w:rPr>
      </w:pPr>
    </w:p>
    <w:p>
      <w:pPr>
        <w:ind w:left="960" w:right="380" w:hanging="316"/>
        <w:spacing w:after="0" w:line="255" w:lineRule="auto"/>
        <w:tabs>
          <w:tab w:leader="none" w:pos="960"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Times New Roman" w:cs="Times New Roman" w:eastAsia="Times New Roman" w:hAnsi="Times New Roman"/>
          <w:sz w:val="21"/>
          <w:szCs w:val="21"/>
          <w:color w:val="auto"/>
        </w:rPr>
      </w:pPr>
    </w:p>
    <w:p>
      <w:pPr>
        <w:ind w:left="960" w:right="240" w:hanging="316"/>
        <w:spacing w:after="0" w:line="255" w:lineRule="auto"/>
        <w:tabs>
          <w:tab w:leader="none" w:pos="960"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Times New Roman" w:cs="Times New Roman" w:eastAsia="Times New Roman" w:hAnsi="Times New Roman"/>
          <w:sz w:val="21"/>
          <w:szCs w:val="21"/>
          <w:color w:val="auto"/>
        </w:rPr>
      </w:pPr>
    </w:p>
    <w:p>
      <w:pPr>
        <w:ind w:left="960" w:right="20" w:hanging="316"/>
        <w:spacing w:after="0" w:line="255" w:lineRule="auto"/>
        <w:tabs>
          <w:tab w:leader="none" w:pos="960"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Times New Roman" w:cs="Times New Roman" w:eastAsia="Times New Roman" w:hAnsi="Times New Roman"/>
          <w:sz w:val="21"/>
          <w:szCs w:val="21"/>
          <w:color w:val="auto"/>
        </w:rPr>
      </w:pPr>
    </w:p>
    <w:p>
      <w:pPr>
        <w:ind w:left="320" w:right="40" w:hanging="314"/>
        <w:spacing w:after="0" w:line="255" w:lineRule="auto"/>
        <w:tabs>
          <w:tab w:leader="none" w:pos="32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13" w:lineRule="exact"/>
        <w:rPr>
          <w:rFonts w:ascii="Times New Roman" w:cs="Times New Roman" w:eastAsia="Times New Roman" w:hAnsi="Times New Roman"/>
          <w:sz w:val="21"/>
          <w:szCs w:val="21"/>
          <w:color w:val="auto"/>
        </w:rPr>
      </w:pPr>
    </w:p>
    <w:p>
      <w:pPr>
        <w:ind w:left="960" w:right="140" w:hanging="316"/>
        <w:spacing w:after="0" w:line="255" w:lineRule="auto"/>
        <w:tabs>
          <w:tab w:leader="none" w:pos="960"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Times New Roman" w:cs="Times New Roman" w:eastAsia="Times New Roman" w:hAnsi="Times New Roman"/>
          <w:sz w:val="21"/>
          <w:szCs w:val="21"/>
          <w:color w:val="auto"/>
        </w:rPr>
      </w:pPr>
    </w:p>
    <w:p>
      <w:pPr>
        <w:ind w:left="960" w:right="580" w:hanging="316"/>
        <w:spacing w:after="0" w:line="273" w:lineRule="auto"/>
        <w:tabs>
          <w:tab w:leader="none" w:pos="960"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August 7, 2014</w:t>
      </w:r>
    </w:p>
    <w:p>
      <w:pPr>
        <w:spacing w:after="0" w:line="273"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15240</wp:posOffset>
            </wp:positionV>
            <wp:extent cx="26581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58110" cy="8255"/>
                    </a:xfrm>
                    <a:prstGeom prst="rect">
                      <a:avLst/>
                    </a:prstGeom>
                    <a:noFill/>
                  </pic:spPr>
                </pic:pic>
              </a:graphicData>
            </a:graphic>
          </wp:anchor>
        </w:drawing>
      </w:r>
    </w:p>
    <w:p>
      <w:pPr>
        <w:spacing w:after="0" w:line="5"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8"/>
          <w:szCs w:val="18"/>
          <w:color w:val="auto"/>
        </w:rPr>
        <w:t>Debra L. Reed</w:t>
      </w:r>
    </w:p>
    <w:p>
      <w:pPr>
        <w:spacing w:after="0" w:line="19"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11"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1"/>
          <w:szCs w:val="21"/>
          <w:color w:val="auto"/>
        </w:rPr>
        <w:t>EXHIBIT 31.2</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Joseph A. Householder, certify that:</w:t>
      </w:r>
    </w:p>
    <w:p>
      <w:pPr>
        <w:spacing w:after="0" w:line="264" w:lineRule="exact"/>
        <w:rPr>
          <w:sz w:val="20"/>
          <w:szCs w:val="20"/>
          <w:color w:val="auto"/>
        </w:rPr>
      </w:pPr>
    </w:p>
    <w:p>
      <w:pPr>
        <w:ind w:left="320" w:hanging="314"/>
        <w:spacing w:after="0"/>
        <w:tabs>
          <w:tab w:leader="none" w:pos="32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report on Form 10-Q of Sempra Energy;</w:t>
      </w:r>
    </w:p>
    <w:p>
      <w:pPr>
        <w:spacing w:after="0" w:line="263" w:lineRule="exact"/>
        <w:rPr>
          <w:rFonts w:ascii="Times New Roman" w:cs="Times New Roman" w:eastAsia="Times New Roman" w:hAnsi="Times New Roman"/>
          <w:sz w:val="21"/>
          <w:szCs w:val="21"/>
          <w:color w:val="auto"/>
        </w:rPr>
      </w:pPr>
    </w:p>
    <w:p>
      <w:pPr>
        <w:ind w:left="320" w:right="400" w:hanging="314"/>
        <w:spacing w:after="0" w:line="255" w:lineRule="auto"/>
        <w:tabs>
          <w:tab w:leader="none" w:pos="32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Times New Roman" w:cs="Times New Roman" w:eastAsia="Times New Roman" w:hAnsi="Times New Roman"/>
          <w:sz w:val="21"/>
          <w:szCs w:val="21"/>
          <w:color w:val="auto"/>
        </w:rPr>
      </w:pPr>
    </w:p>
    <w:p>
      <w:pPr>
        <w:ind w:left="320" w:right="60" w:hanging="314"/>
        <w:spacing w:after="0" w:line="255" w:lineRule="auto"/>
        <w:tabs>
          <w:tab w:leader="none" w:pos="32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Times New Roman" w:cs="Times New Roman" w:eastAsia="Times New Roman" w:hAnsi="Times New Roman"/>
          <w:sz w:val="21"/>
          <w:szCs w:val="21"/>
          <w:color w:val="auto"/>
        </w:rPr>
      </w:pPr>
    </w:p>
    <w:p>
      <w:pPr>
        <w:ind w:left="320" w:right="60" w:hanging="314"/>
        <w:spacing w:after="0" w:line="255" w:lineRule="auto"/>
        <w:tabs>
          <w:tab w:leader="none" w:pos="32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Times New Roman" w:cs="Times New Roman" w:eastAsia="Times New Roman" w:hAnsi="Times New Roman"/>
          <w:sz w:val="21"/>
          <w:szCs w:val="21"/>
          <w:color w:val="auto"/>
        </w:rPr>
      </w:pPr>
    </w:p>
    <w:p>
      <w:pPr>
        <w:ind w:left="960" w:right="40" w:hanging="316"/>
        <w:spacing w:after="0" w:line="255" w:lineRule="auto"/>
        <w:tabs>
          <w:tab w:leader="none" w:pos="960"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3" w:lineRule="exact"/>
        <w:rPr>
          <w:rFonts w:ascii="Times New Roman" w:cs="Times New Roman" w:eastAsia="Times New Roman" w:hAnsi="Times New Roman"/>
          <w:sz w:val="21"/>
          <w:szCs w:val="21"/>
          <w:color w:val="auto"/>
        </w:rPr>
      </w:pPr>
    </w:p>
    <w:p>
      <w:pPr>
        <w:ind w:left="960" w:right="380" w:hanging="316"/>
        <w:spacing w:after="0" w:line="255" w:lineRule="auto"/>
        <w:tabs>
          <w:tab w:leader="none" w:pos="960"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Times New Roman" w:cs="Times New Roman" w:eastAsia="Times New Roman" w:hAnsi="Times New Roman"/>
          <w:sz w:val="21"/>
          <w:szCs w:val="21"/>
          <w:color w:val="auto"/>
        </w:rPr>
      </w:pPr>
    </w:p>
    <w:p>
      <w:pPr>
        <w:ind w:left="960" w:right="240" w:hanging="316"/>
        <w:spacing w:after="0" w:line="255" w:lineRule="auto"/>
        <w:tabs>
          <w:tab w:leader="none" w:pos="960"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Times New Roman" w:cs="Times New Roman" w:eastAsia="Times New Roman" w:hAnsi="Times New Roman"/>
          <w:sz w:val="21"/>
          <w:szCs w:val="21"/>
          <w:color w:val="auto"/>
        </w:rPr>
      </w:pPr>
    </w:p>
    <w:p>
      <w:pPr>
        <w:ind w:left="960" w:right="20" w:hanging="316"/>
        <w:spacing w:after="0" w:line="255" w:lineRule="auto"/>
        <w:tabs>
          <w:tab w:leader="none" w:pos="960"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Times New Roman" w:cs="Times New Roman" w:eastAsia="Times New Roman" w:hAnsi="Times New Roman"/>
          <w:sz w:val="21"/>
          <w:szCs w:val="21"/>
          <w:color w:val="auto"/>
        </w:rPr>
      </w:pPr>
    </w:p>
    <w:p>
      <w:pPr>
        <w:ind w:left="320" w:right="40" w:hanging="314"/>
        <w:spacing w:after="0" w:line="255" w:lineRule="auto"/>
        <w:tabs>
          <w:tab w:leader="none" w:pos="32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13" w:lineRule="exact"/>
        <w:rPr>
          <w:rFonts w:ascii="Times New Roman" w:cs="Times New Roman" w:eastAsia="Times New Roman" w:hAnsi="Times New Roman"/>
          <w:sz w:val="21"/>
          <w:szCs w:val="21"/>
          <w:color w:val="auto"/>
        </w:rPr>
      </w:pPr>
    </w:p>
    <w:p>
      <w:pPr>
        <w:ind w:left="960" w:right="140" w:hanging="316"/>
        <w:spacing w:after="0" w:line="255" w:lineRule="auto"/>
        <w:tabs>
          <w:tab w:leader="none" w:pos="960"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Times New Roman" w:cs="Times New Roman" w:eastAsia="Times New Roman" w:hAnsi="Times New Roman"/>
          <w:sz w:val="21"/>
          <w:szCs w:val="21"/>
          <w:color w:val="auto"/>
        </w:rPr>
      </w:pPr>
    </w:p>
    <w:p>
      <w:pPr>
        <w:ind w:left="960" w:right="580" w:hanging="316"/>
        <w:spacing w:after="0" w:line="273" w:lineRule="auto"/>
        <w:tabs>
          <w:tab w:leader="none" w:pos="960"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August 7, 2014</w:t>
      </w:r>
    </w:p>
    <w:p>
      <w:pPr>
        <w:spacing w:after="0" w:line="27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color w:val="auto"/>
        </w:rPr>
        <w:t>/s/ 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4645025</wp:posOffset>
            </wp:positionH>
            <wp:positionV relativeFrom="paragraph">
              <wp:posOffset>15240</wp:posOffset>
            </wp:positionV>
            <wp:extent cx="26073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07310" cy="8255"/>
                    </a:xfrm>
                    <a:prstGeom prst="rect">
                      <a:avLst/>
                    </a:prstGeom>
                    <a:noFill/>
                  </pic:spPr>
                </pic:pic>
              </a:graphicData>
            </a:graphic>
          </wp:anchor>
        </w:drawing>
      </w:r>
    </w:p>
    <w:p>
      <w:pPr>
        <w:spacing w:after="0" w:line="5"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8"/>
          <w:szCs w:val="18"/>
          <w:color w:val="auto"/>
        </w:rPr>
        <w:t>Joseph A. Householder</w:t>
      </w:r>
    </w:p>
    <w:p>
      <w:pPr>
        <w:spacing w:after="0" w:line="19"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1"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1"/>
          <w:szCs w:val="21"/>
          <w:color w:val="auto"/>
        </w:rPr>
        <w:t>EXHIBIT 31.3</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J. Walker Martin, certify that:</w:t>
      </w:r>
    </w:p>
    <w:p>
      <w:pPr>
        <w:spacing w:after="0" w:line="264" w:lineRule="exact"/>
        <w:rPr>
          <w:sz w:val="20"/>
          <w:szCs w:val="20"/>
          <w:color w:val="auto"/>
        </w:rPr>
      </w:pPr>
    </w:p>
    <w:p>
      <w:pPr>
        <w:ind w:left="320" w:hanging="314"/>
        <w:spacing w:after="0"/>
        <w:tabs>
          <w:tab w:leader="none" w:pos="32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report on Form 10-Q of San Diego Gas &amp; Electric Company;</w:t>
      </w:r>
    </w:p>
    <w:p>
      <w:pPr>
        <w:spacing w:after="0" w:line="263" w:lineRule="exact"/>
        <w:rPr>
          <w:rFonts w:ascii="Times New Roman" w:cs="Times New Roman" w:eastAsia="Times New Roman" w:hAnsi="Times New Roman"/>
          <w:sz w:val="21"/>
          <w:szCs w:val="21"/>
          <w:color w:val="auto"/>
        </w:rPr>
      </w:pPr>
    </w:p>
    <w:p>
      <w:pPr>
        <w:ind w:left="320" w:right="400" w:hanging="314"/>
        <w:spacing w:after="0" w:line="255" w:lineRule="auto"/>
        <w:tabs>
          <w:tab w:leader="none" w:pos="32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Times New Roman" w:cs="Times New Roman" w:eastAsia="Times New Roman" w:hAnsi="Times New Roman"/>
          <w:sz w:val="21"/>
          <w:szCs w:val="21"/>
          <w:color w:val="auto"/>
        </w:rPr>
      </w:pPr>
    </w:p>
    <w:p>
      <w:pPr>
        <w:ind w:left="320" w:right="60" w:hanging="314"/>
        <w:spacing w:after="0" w:line="255" w:lineRule="auto"/>
        <w:tabs>
          <w:tab w:leader="none" w:pos="32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Times New Roman" w:cs="Times New Roman" w:eastAsia="Times New Roman" w:hAnsi="Times New Roman"/>
          <w:sz w:val="21"/>
          <w:szCs w:val="21"/>
          <w:color w:val="auto"/>
        </w:rPr>
      </w:pPr>
    </w:p>
    <w:p>
      <w:pPr>
        <w:ind w:left="320" w:right="60" w:hanging="314"/>
        <w:spacing w:after="0" w:line="255" w:lineRule="auto"/>
        <w:tabs>
          <w:tab w:leader="none" w:pos="32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Times New Roman" w:cs="Times New Roman" w:eastAsia="Times New Roman" w:hAnsi="Times New Roman"/>
          <w:sz w:val="21"/>
          <w:szCs w:val="21"/>
          <w:color w:val="auto"/>
        </w:rPr>
      </w:pPr>
    </w:p>
    <w:p>
      <w:pPr>
        <w:ind w:left="960" w:right="40" w:hanging="316"/>
        <w:spacing w:after="0" w:line="255" w:lineRule="auto"/>
        <w:tabs>
          <w:tab w:leader="none" w:pos="960"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3" w:lineRule="exact"/>
        <w:rPr>
          <w:rFonts w:ascii="Times New Roman" w:cs="Times New Roman" w:eastAsia="Times New Roman" w:hAnsi="Times New Roman"/>
          <w:sz w:val="21"/>
          <w:szCs w:val="21"/>
          <w:color w:val="auto"/>
        </w:rPr>
      </w:pPr>
    </w:p>
    <w:p>
      <w:pPr>
        <w:ind w:left="960" w:right="380" w:hanging="316"/>
        <w:spacing w:after="0" w:line="255" w:lineRule="auto"/>
        <w:tabs>
          <w:tab w:leader="none" w:pos="960"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Times New Roman" w:cs="Times New Roman" w:eastAsia="Times New Roman" w:hAnsi="Times New Roman"/>
          <w:sz w:val="21"/>
          <w:szCs w:val="21"/>
          <w:color w:val="auto"/>
        </w:rPr>
      </w:pPr>
    </w:p>
    <w:p>
      <w:pPr>
        <w:ind w:left="960" w:right="240" w:hanging="316"/>
        <w:spacing w:after="0" w:line="255" w:lineRule="auto"/>
        <w:tabs>
          <w:tab w:leader="none" w:pos="960"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Times New Roman" w:cs="Times New Roman" w:eastAsia="Times New Roman" w:hAnsi="Times New Roman"/>
          <w:sz w:val="21"/>
          <w:szCs w:val="21"/>
          <w:color w:val="auto"/>
        </w:rPr>
      </w:pPr>
    </w:p>
    <w:p>
      <w:pPr>
        <w:ind w:left="960" w:right="20" w:hanging="316"/>
        <w:spacing w:after="0" w:line="255" w:lineRule="auto"/>
        <w:tabs>
          <w:tab w:leader="none" w:pos="960"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Times New Roman" w:cs="Times New Roman" w:eastAsia="Times New Roman" w:hAnsi="Times New Roman"/>
          <w:sz w:val="21"/>
          <w:szCs w:val="21"/>
          <w:color w:val="auto"/>
        </w:rPr>
      </w:pPr>
    </w:p>
    <w:p>
      <w:pPr>
        <w:ind w:left="320" w:right="40" w:hanging="314"/>
        <w:spacing w:after="0" w:line="255" w:lineRule="auto"/>
        <w:tabs>
          <w:tab w:leader="none" w:pos="32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13" w:lineRule="exact"/>
        <w:rPr>
          <w:rFonts w:ascii="Times New Roman" w:cs="Times New Roman" w:eastAsia="Times New Roman" w:hAnsi="Times New Roman"/>
          <w:sz w:val="21"/>
          <w:szCs w:val="21"/>
          <w:color w:val="auto"/>
        </w:rPr>
      </w:pPr>
    </w:p>
    <w:p>
      <w:pPr>
        <w:ind w:left="960" w:right="140" w:hanging="316"/>
        <w:spacing w:after="0" w:line="255" w:lineRule="auto"/>
        <w:tabs>
          <w:tab w:leader="none" w:pos="960"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Times New Roman" w:cs="Times New Roman" w:eastAsia="Times New Roman" w:hAnsi="Times New Roman"/>
          <w:sz w:val="21"/>
          <w:szCs w:val="21"/>
          <w:color w:val="auto"/>
        </w:rPr>
      </w:pPr>
    </w:p>
    <w:p>
      <w:pPr>
        <w:ind w:left="960" w:right="580" w:hanging="316"/>
        <w:spacing w:after="0" w:line="273" w:lineRule="auto"/>
        <w:tabs>
          <w:tab w:leader="none" w:pos="960"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August 7, 2014</w:t>
      </w:r>
    </w:p>
    <w:p>
      <w:pPr>
        <w:spacing w:after="0" w:line="273"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8"/>
          <w:szCs w:val="18"/>
          <w:color w:val="auto"/>
        </w:rPr>
        <w:t>/s/ J. Walker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4544060</wp:posOffset>
            </wp:positionH>
            <wp:positionV relativeFrom="paragraph">
              <wp:posOffset>15240</wp:posOffset>
            </wp:positionV>
            <wp:extent cx="27089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8"/>
          <w:szCs w:val="18"/>
          <w:color w:val="auto"/>
        </w:rPr>
        <w:t>J. Walker Martin</w:t>
      </w:r>
    </w:p>
    <w:p>
      <w:pPr>
        <w:spacing w:after="0" w:line="19"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11"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1"/>
          <w:szCs w:val="21"/>
          <w:color w:val="auto"/>
        </w:rPr>
        <w:t>EXHIBIT 31.4</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Robert M. Schlax, certify that:</w:t>
      </w:r>
    </w:p>
    <w:p>
      <w:pPr>
        <w:spacing w:after="0" w:line="264" w:lineRule="exact"/>
        <w:rPr>
          <w:sz w:val="20"/>
          <w:szCs w:val="20"/>
          <w:color w:val="auto"/>
        </w:rPr>
      </w:pPr>
    </w:p>
    <w:p>
      <w:pPr>
        <w:ind w:left="320" w:hanging="314"/>
        <w:spacing w:after="0"/>
        <w:tabs>
          <w:tab w:leader="none" w:pos="32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report on Form 10-Q of San Diego Gas &amp; Electric Company;</w:t>
      </w:r>
    </w:p>
    <w:p>
      <w:pPr>
        <w:spacing w:after="0" w:line="263" w:lineRule="exact"/>
        <w:rPr>
          <w:rFonts w:ascii="Times New Roman" w:cs="Times New Roman" w:eastAsia="Times New Roman" w:hAnsi="Times New Roman"/>
          <w:sz w:val="21"/>
          <w:szCs w:val="21"/>
          <w:color w:val="auto"/>
        </w:rPr>
      </w:pPr>
    </w:p>
    <w:p>
      <w:pPr>
        <w:ind w:left="320" w:right="400" w:hanging="314"/>
        <w:spacing w:after="0" w:line="255" w:lineRule="auto"/>
        <w:tabs>
          <w:tab w:leader="none" w:pos="32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Times New Roman" w:cs="Times New Roman" w:eastAsia="Times New Roman" w:hAnsi="Times New Roman"/>
          <w:sz w:val="21"/>
          <w:szCs w:val="21"/>
          <w:color w:val="auto"/>
        </w:rPr>
      </w:pPr>
    </w:p>
    <w:p>
      <w:pPr>
        <w:ind w:left="320" w:right="60" w:hanging="314"/>
        <w:spacing w:after="0" w:line="255" w:lineRule="auto"/>
        <w:tabs>
          <w:tab w:leader="none" w:pos="32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Times New Roman" w:cs="Times New Roman" w:eastAsia="Times New Roman" w:hAnsi="Times New Roman"/>
          <w:sz w:val="21"/>
          <w:szCs w:val="21"/>
          <w:color w:val="auto"/>
        </w:rPr>
      </w:pPr>
    </w:p>
    <w:p>
      <w:pPr>
        <w:ind w:left="320" w:right="60" w:hanging="314"/>
        <w:spacing w:after="0" w:line="255" w:lineRule="auto"/>
        <w:tabs>
          <w:tab w:leader="none" w:pos="32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Times New Roman" w:cs="Times New Roman" w:eastAsia="Times New Roman" w:hAnsi="Times New Roman"/>
          <w:sz w:val="21"/>
          <w:szCs w:val="21"/>
          <w:color w:val="auto"/>
        </w:rPr>
      </w:pPr>
    </w:p>
    <w:p>
      <w:pPr>
        <w:ind w:left="960" w:right="40" w:hanging="316"/>
        <w:spacing w:after="0" w:line="255" w:lineRule="auto"/>
        <w:tabs>
          <w:tab w:leader="none" w:pos="960"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3" w:lineRule="exact"/>
        <w:rPr>
          <w:rFonts w:ascii="Times New Roman" w:cs="Times New Roman" w:eastAsia="Times New Roman" w:hAnsi="Times New Roman"/>
          <w:sz w:val="21"/>
          <w:szCs w:val="21"/>
          <w:color w:val="auto"/>
        </w:rPr>
      </w:pPr>
    </w:p>
    <w:p>
      <w:pPr>
        <w:ind w:left="960" w:right="380" w:hanging="316"/>
        <w:spacing w:after="0" w:line="255" w:lineRule="auto"/>
        <w:tabs>
          <w:tab w:leader="none" w:pos="960"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Times New Roman" w:cs="Times New Roman" w:eastAsia="Times New Roman" w:hAnsi="Times New Roman"/>
          <w:sz w:val="21"/>
          <w:szCs w:val="21"/>
          <w:color w:val="auto"/>
        </w:rPr>
      </w:pPr>
    </w:p>
    <w:p>
      <w:pPr>
        <w:ind w:left="960" w:right="240" w:hanging="316"/>
        <w:spacing w:after="0" w:line="255" w:lineRule="auto"/>
        <w:tabs>
          <w:tab w:leader="none" w:pos="960"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Times New Roman" w:cs="Times New Roman" w:eastAsia="Times New Roman" w:hAnsi="Times New Roman"/>
          <w:sz w:val="21"/>
          <w:szCs w:val="21"/>
          <w:color w:val="auto"/>
        </w:rPr>
      </w:pPr>
    </w:p>
    <w:p>
      <w:pPr>
        <w:ind w:left="960" w:right="20" w:hanging="316"/>
        <w:spacing w:after="0" w:line="255" w:lineRule="auto"/>
        <w:tabs>
          <w:tab w:leader="none" w:pos="960"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Times New Roman" w:cs="Times New Roman" w:eastAsia="Times New Roman" w:hAnsi="Times New Roman"/>
          <w:sz w:val="21"/>
          <w:szCs w:val="21"/>
          <w:color w:val="auto"/>
        </w:rPr>
      </w:pPr>
    </w:p>
    <w:p>
      <w:pPr>
        <w:ind w:left="320" w:right="40" w:hanging="314"/>
        <w:spacing w:after="0" w:line="255" w:lineRule="auto"/>
        <w:tabs>
          <w:tab w:leader="none" w:pos="32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13" w:lineRule="exact"/>
        <w:rPr>
          <w:rFonts w:ascii="Times New Roman" w:cs="Times New Roman" w:eastAsia="Times New Roman" w:hAnsi="Times New Roman"/>
          <w:sz w:val="21"/>
          <w:szCs w:val="21"/>
          <w:color w:val="auto"/>
        </w:rPr>
      </w:pPr>
    </w:p>
    <w:p>
      <w:pPr>
        <w:ind w:left="960" w:right="140" w:hanging="316"/>
        <w:spacing w:after="0" w:line="255" w:lineRule="auto"/>
        <w:tabs>
          <w:tab w:leader="none" w:pos="960"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Times New Roman" w:cs="Times New Roman" w:eastAsia="Times New Roman" w:hAnsi="Times New Roman"/>
          <w:sz w:val="21"/>
          <w:szCs w:val="21"/>
          <w:color w:val="auto"/>
        </w:rPr>
      </w:pPr>
    </w:p>
    <w:p>
      <w:pPr>
        <w:ind w:left="960" w:right="580" w:hanging="316"/>
        <w:spacing w:after="0" w:line="273" w:lineRule="auto"/>
        <w:tabs>
          <w:tab w:leader="none" w:pos="960"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August 7, 2014</w:t>
      </w:r>
    </w:p>
    <w:p>
      <w:pPr>
        <w:spacing w:after="0" w:line="273"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8"/>
          <w:szCs w:val="18"/>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15240</wp:posOffset>
            </wp:positionV>
            <wp:extent cx="25571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57145" cy="8255"/>
                    </a:xfrm>
                    <a:prstGeom prst="rect">
                      <a:avLst/>
                    </a:prstGeom>
                    <a:noFill/>
                  </pic:spPr>
                </pic:pic>
              </a:graphicData>
            </a:graphic>
          </wp:anchor>
        </w:drawing>
      </w:r>
    </w:p>
    <w:p>
      <w:pPr>
        <w:spacing w:after="0" w:line="5"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8"/>
          <w:szCs w:val="18"/>
          <w:color w:val="auto"/>
        </w:rPr>
        <w:t>Robert M. Schlax</w:t>
      </w:r>
    </w:p>
    <w:p>
      <w:pPr>
        <w:spacing w:after="0" w:line="19"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1"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1"/>
          <w:szCs w:val="21"/>
          <w:color w:val="auto"/>
        </w:rPr>
        <w:t>EXHIBIT 31.5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Dennis V. Arriola, certify that:</w:t>
      </w:r>
    </w:p>
    <w:p>
      <w:pPr>
        <w:spacing w:after="0" w:line="264" w:lineRule="exact"/>
        <w:rPr>
          <w:sz w:val="20"/>
          <w:szCs w:val="20"/>
          <w:color w:val="auto"/>
        </w:rPr>
      </w:pPr>
    </w:p>
    <w:p>
      <w:pPr>
        <w:ind w:left="320" w:hanging="314"/>
        <w:spacing w:after="0"/>
        <w:tabs>
          <w:tab w:leader="none" w:pos="32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report on Form 10-Q of Southern California Gas Company;</w:t>
      </w:r>
    </w:p>
    <w:p>
      <w:pPr>
        <w:spacing w:after="0" w:line="263" w:lineRule="exact"/>
        <w:rPr>
          <w:rFonts w:ascii="Times New Roman" w:cs="Times New Roman" w:eastAsia="Times New Roman" w:hAnsi="Times New Roman"/>
          <w:sz w:val="21"/>
          <w:szCs w:val="21"/>
          <w:color w:val="auto"/>
        </w:rPr>
      </w:pPr>
    </w:p>
    <w:p>
      <w:pPr>
        <w:ind w:left="320" w:right="400" w:hanging="314"/>
        <w:spacing w:after="0" w:line="255" w:lineRule="auto"/>
        <w:tabs>
          <w:tab w:leader="none" w:pos="32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Times New Roman" w:cs="Times New Roman" w:eastAsia="Times New Roman" w:hAnsi="Times New Roman"/>
          <w:sz w:val="21"/>
          <w:szCs w:val="21"/>
          <w:color w:val="auto"/>
        </w:rPr>
      </w:pPr>
    </w:p>
    <w:p>
      <w:pPr>
        <w:ind w:left="320" w:right="60" w:hanging="314"/>
        <w:spacing w:after="0" w:line="255" w:lineRule="auto"/>
        <w:tabs>
          <w:tab w:leader="none" w:pos="32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Times New Roman" w:cs="Times New Roman" w:eastAsia="Times New Roman" w:hAnsi="Times New Roman"/>
          <w:sz w:val="21"/>
          <w:szCs w:val="21"/>
          <w:color w:val="auto"/>
        </w:rPr>
      </w:pPr>
    </w:p>
    <w:p>
      <w:pPr>
        <w:ind w:left="320" w:right="60" w:hanging="314"/>
        <w:spacing w:after="0" w:line="255" w:lineRule="auto"/>
        <w:tabs>
          <w:tab w:leader="none" w:pos="32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Times New Roman" w:cs="Times New Roman" w:eastAsia="Times New Roman" w:hAnsi="Times New Roman"/>
          <w:sz w:val="21"/>
          <w:szCs w:val="21"/>
          <w:color w:val="auto"/>
        </w:rPr>
      </w:pPr>
    </w:p>
    <w:p>
      <w:pPr>
        <w:ind w:left="960" w:right="40" w:hanging="316"/>
        <w:spacing w:after="0" w:line="255" w:lineRule="auto"/>
        <w:tabs>
          <w:tab w:leader="none" w:pos="960"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3" w:lineRule="exact"/>
        <w:rPr>
          <w:rFonts w:ascii="Times New Roman" w:cs="Times New Roman" w:eastAsia="Times New Roman" w:hAnsi="Times New Roman"/>
          <w:sz w:val="21"/>
          <w:szCs w:val="21"/>
          <w:color w:val="auto"/>
        </w:rPr>
      </w:pPr>
    </w:p>
    <w:p>
      <w:pPr>
        <w:ind w:left="960" w:right="380" w:hanging="316"/>
        <w:spacing w:after="0" w:line="255" w:lineRule="auto"/>
        <w:tabs>
          <w:tab w:leader="none" w:pos="960"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Times New Roman" w:cs="Times New Roman" w:eastAsia="Times New Roman" w:hAnsi="Times New Roman"/>
          <w:sz w:val="21"/>
          <w:szCs w:val="21"/>
          <w:color w:val="auto"/>
        </w:rPr>
      </w:pPr>
    </w:p>
    <w:p>
      <w:pPr>
        <w:ind w:left="960" w:right="240" w:hanging="316"/>
        <w:spacing w:after="0" w:line="255" w:lineRule="auto"/>
        <w:tabs>
          <w:tab w:leader="none" w:pos="960"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Times New Roman" w:cs="Times New Roman" w:eastAsia="Times New Roman" w:hAnsi="Times New Roman"/>
          <w:sz w:val="21"/>
          <w:szCs w:val="21"/>
          <w:color w:val="auto"/>
        </w:rPr>
      </w:pPr>
    </w:p>
    <w:p>
      <w:pPr>
        <w:ind w:left="960" w:right="20" w:hanging="316"/>
        <w:spacing w:after="0" w:line="255" w:lineRule="auto"/>
        <w:tabs>
          <w:tab w:leader="none" w:pos="960"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Times New Roman" w:cs="Times New Roman" w:eastAsia="Times New Roman" w:hAnsi="Times New Roman"/>
          <w:sz w:val="21"/>
          <w:szCs w:val="21"/>
          <w:color w:val="auto"/>
        </w:rPr>
      </w:pPr>
    </w:p>
    <w:p>
      <w:pPr>
        <w:ind w:left="320" w:right="40" w:hanging="314"/>
        <w:spacing w:after="0" w:line="255" w:lineRule="auto"/>
        <w:tabs>
          <w:tab w:leader="none" w:pos="32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13" w:lineRule="exact"/>
        <w:rPr>
          <w:rFonts w:ascii="Times New Roman" w:cs="Times New Roman" w:eastAsia="Times New Roman" w:hAnsi="Times New Roman"/>
          <w:sz w:val="21"/>
          <w:szCs w:val="21"/>
          <w:color w:val="auto"/>
        </w:rPr>
      </w:pPr>
    </w:p>
    <w:p>
      <w:pPr>
        <w:ind w:left="960" w:right="140" w:hanging="316"/>
        <w:spacing w:after="0" w:line="255" w:lineRule="auto"/>
        <w:tabs>
          <w:tab w:leader="none" w:pos="960"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Times New Roman" w:cs="Times New Roman" w:eastAsia="Times New Roman" w:hAnsi="Times New Roman"/>
          <w:sz w:val="21"/>
          <w:szCs w:val="21"/>
          <w:color w:val="auto"/>
        </w:rPr>
      </w:pPr>
    </w:p>
    <w:p>
      <w:pPr>
        <w:ind w:left="960" w:right="580" w:hanging="316"/>
        <w:spacing w:after="0" w:line="273" w:lineRule="auto"/>
        <w:tabs>
          <w:tab w:leader="none" w:pos="960"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August 7, 2014</w:t>
      </w:r>
    </w:p>
    <w:p>
      <w:pPr>
        <w:spacing w:after="0" w:line="273"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8"/>
          <w:szCs w:val="18"/>
          <w:color w:val="auto"/>
        </w:rPr>
        <w:t>/s/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4746625</wp:posOffset>
            </wp:positionH>
            <wp:positionV relativeFrom="paragraph">
              <wp:posOffset>15240</wp:posOffset>
            </wp:positionV>
            <wp:extent cx="25063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06345" cy="8255"/>
                    </a:xfrm>
                    <a:prstGeom prst="rect">
                      <a:avLst/>
                    </a:prstGeom>
                    <a:noFill/>
                  </pic:spPr>
                </pic:pic>
              </a:graphicData>
            </a:graphic>
          </wp:anchor>
        </w:drawing>
      </w:r>
    </w:p>
    <w:p>
      <w:pPr>
        <w:spacing w:after="0" w:line="5"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8"/>
          <w:szCs w:val="18"/>
          <w:color w:val="auto"/>
        </w:rPr>
        <w:t>Dennis V. Arriola</w:t>
      </w:r>
    </w:p>
    <w:p>
      <w:pPr>
        <w:spacing w:after="0" w:line="19"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11" w:right="2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1"/>
          <w:szCs w:val="21"/>
          <w:color w:val="auto"/>
        </w:rPr>
        <w:t>EXHIBIT 31.6</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Robert M. Schlax, certify that:</w:t>
      </w:r>
    </w:p>
    <w:p>
      <w:pPr>
        <w:spacing w:after="0" w:line="264" w:lineRule="exact"/>
        <w:rPr>
          <w:sz w:val="20"/>
          <w:szCs w:val="20"/>
          <w:color w:val="auto"/>
        </w:rPr>
      </w:pPr>
    </w:p>
    <w:p>
      <w:pPr>
        <w:ind w:left="320" w:hanging="314"/>
        <w:spacing w:after="0"/>
        <w:tabs>
          <w:tab w:leader="none" w:pos="32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report on Form 10-Q of Southern California Gas Company;</w:t>
      </w:r>
    </w:p>
    <w:p>
      <w:pPr>
        <w:spacing w:after="0" w:line="263" w:lineRule="exact"/>
        <w:rPr>
          <w:rFonts w:ascii="Times New Roman" w:cs="Times New Roman" w:eastAsia="Times New Roman" w:hAnsi="Times New Roman"/>
          <w:sz w:val="21"/>
          <w:szCs w:val="21"/>
          <w:color w:val="auto"/>
        </w:rPr>
      </w:pPr>
    </w:p>
    <w:p>
      <w:pPr>
        <w:ind w:left="320" w:right="400" w:hanging="314"/>
        <w:spacing w:after="0" w:line="255" w:lineRule="auto"/>
        <w:tabs>
          <w:tab w:leader="none" w:pos="32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Times New Roman" w:cs="Times New Roman" w:eastAsia="Times New Roman" w:hAnsi="Times New Roman"/>
          <w:sz w:val="21"/>
          <w:szCs w:val="21"/>
          <w:color w:val="auto"/>
        </w:rPr>
      </w:pPr>
    </w:p>
    <w:p>
      <w:pPr>
        <w:ind w:left="320" w:right="60" w:hanging="314"/>
        <w:spacing w:after="0" w:line="255" w:lineRule="auto"/>
        <w:tabs>
          <w:tab w:leader="none" w:pos="32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Times New Roman" w:cs="Times New Roman" w:eastAsia="Times New Roman" w:hAnsi="Times New Roman"/>
          <w:sz w:val="21"/>
          <w:szCs w:val="21"/>
          <w:color w:val="auto"/>
        </w:rPr>
      </w:pPr>
    </w:p>
    <w:p>
      <w:pPr>
        <w:ind w:left="320" w:right="60" w:hanging="314"/>
        <w:spacing w:after="0" w:line="255" w:lineRule="auto"/>
        <w:tabs>
          <w:tab w:leader="none" w:pos="32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Times New Roman" w:cs="Times New Roman" w:eastAsia="Times New Roman" w:hAnsi="Times New Roman"/>
          <w:sz w:val="21"/>
          <w:szCs w:val="21"/>
          <w:color w:val="auto"/>
        </w:rPr>
      </w:pPr>
    </w:p>
    <w:p>
      <w:pPr>
        <w:ind w:left="960" w:right="40" w:hanging="316"/>
        <w:spacing w:after="0" w:line="255" w:lineRule="auto"/>
        <w:tabs>
          <w:tab w:leader="none" w:pos="960"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3" w:lineRule="exact"/>
        <w:rPr>
          <w:rFonts w:ascii="Times New Roman" w:cs="Times New Roman" w:eastAsia="Times New Roman" w:hAnsi="Times New Roman"/>
          <w:sz w:val="21"/>
          <w:szCs w:val="21"/>
          <w:color w:val="auto"/>
        </w:rPr>
      </w:pPr>
    </w:p>
    <w:p>
      <w:pPr>
        <w:ind w:left="960" w:right="380" w:hanging="316"/>
        <w:spacing w:after="0" w:line="255" w:lineRule="auto"/>
        <w:tabs>
          <w:tab w:leader="none" w:pos="960"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Times New Roman" w:cs="Times New Roman" w:eastAsia="Times New Roman" w:hAnsi="Times New Roman"/>
          <w:sz w:val="21"/>
          <w:szCs w:val="21"/>
          <w:color w:val="auto"/>
        </w:rPr>
      </w:pPr>
    </w:p>
    <w:p>
      <w:pPr>
        <w:ind w:left="960" w:right="240" w:hanging="316"/>
        <w:spacing w:after="0" w:line="255" w:lineRule="auto"/>
        <w:tabs>
          <w:tab w:leader="none" w:pos="960"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Times New Roman" w:cs="Times New Roman" w:eastAsia="Times New Roman" w:hAnsi="Times New Roman"/>
          <w:sz w:val="21"/>
          <w:szCs w:val="21"/>
          <w:color w:val="auto"/>
        </w:rPr>
      </w:pPr>
    </w:p>
    <w:p>
      <w:pPr>
        <w:ind w:left="960" w:right="20" w:hanging="316"/>
        <w:spacing w:after="0" w:line="255" w:lineRule="auto"/>
        <w:tabs>
          <w:tab w:leader="none" w:pos="960"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Times New Roman" w:cs="Times New Roman" w:eastAsia="Times New Roman" w:hAnsi="Times New Roman"/>
          <w:sz w:val="21"/>
          <w:szCs w:val="21"/>
          <w:color w:val="auto"/>
        </w:rPr>
      </w:pPr>
    </w:p>
    <w:p>
      <w:pPr>
        <w:ind w:left="320" w:right="40" w:hanging="314"/>
        <w:spacing w:after="0" w:line="255" w:lineRule="auto"/>
        <w:tabs>
          <w:tab w:leader="none" w:pos="32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13" w:lineRule="exact"/>
        <w:rPr>
          <w:rFonts w:ascii="Times New Roman" w:cs="Times New Roman" w:eastAsia="Times New Roman" w:hAnsi="Times New Roman"/>
          <w:sz w:val="21"/>
          <w:szCs w:val="21"/>
          <w:color w:val="auto"/>
        </w:rPr>
      </w:pPr>
    </w:p>
    <w:p>
      <w:pPr>
        <w:ind w:left="960" w:right="140" w:hanging="316"/>
        <w:spacing w:after="0" w:line="255" w:lineRule="auto"/>
        <w:tabs>
          <w:tab w:leader="none" w:pos="960"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Times New Roman" w:cs="Times New Roman" w:eastAsia="Times New Roman" w:hAnsi="Times New Roman"/>
          <w:sz w:val="21"/>
          <w:szCs w:val="21"/>
          <w:color w:val="auto"/>
        </w:rPr>
      </w:pPr>
    </w:p>
    <w:p>
      <w:pPr>
        <w:ind w:left="960" w:right="580" w:hanging="316"/>
        <w:spacing w:after="0" w:line="273" w:lineRule="auto"/>
        <w:tabs>
          <w:tab w:leader="none" w:pos="960"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August 7, 2014</w:t>
      </w:r>
    </w:p>
    <w:p>
      <w:pPr>
        <w:spacing w:after="0" w:line="273"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8"/>
          <w:szCs w:val="18"/>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4847590</wp:posOffset>
            </wp:positionH>
            <wp:positionV relativeFrom="paragraph">
              <wp:posOffset>15240</wp:posOffset>
            </wp:positionV>
            <wp:extent cx="24047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5"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8"/>
          <w:szCs w:val="18"/>
          <w:color w:val="auto"/>
        </w:rPr>
        <w:t>Robert M. Schlax</w:t>
      </w:r>
    </w:p>
    <w:p>
      <w:pPr>
        <w:spacing w:after="0" w:line="19"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1" w:right="2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1"/>
          <w:szCs w:val="21"/>
          <w:color w:val="auto"/>
        </w:rPr>
        <w:t>Exhibit 32.1</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Statement of Chief Executive Officer</w:t>
      </w:r>
    </w:p>
    <w:p>
      <w:pPr>
        <w:spacing w:after="0" w:line="237" w:lineRule="exact"/>
        <w:rPr>
          <w:sz w:val="20"/>
          <w:szCs w:val="20"/>
          <w:color w:val="auto"/>
        </w:rPr>
      </w:pPr>
    </w:p>
    <w:p>
      <w:pPr>
        <w:ind w:right="520"/>
        <w:spacing w:after="0" w:line="273" w:lineRule="auto"/>
        <w:rPr>
          <w:sz w:val="20"/>
          <w:szCs w:val="20"/>
          <w:color w:val="auto"/>
        </w:rPr>
      </w:pPr>
      <w:r>
        <w:rPr>
          <w:rFonts w:ascii="Times New Roman" w:cs="Times New Roman" w:eastAsia="Times New Roman" w:hAnsi="Times New Roman"/>
          <w:sz w:val="21"/>
          <w:szCs w:val="21"/>
          <w:color w:val="auto"/>
        </w:rPr>
        <w:t>Pursuant to 18 U.S.C. Sec 1350, as created by Section 906 of the Sarbanes-Oxley Act of 2002, the undersigned Chief Executive Officer of Sempra Energy (the "Company") certifies that:</w:t>
      </w:r>
    </w:p>
    <w:p>
      <w:pPr>
        <w:spacing w:after="0" w:line="195" w:lineRule="exact"/>
        <w:rPr>
          <w:sz w:val="20"/>
          <w:szCs w:val="20"/>
          <w:color w:val="auto"/>
        </w:rPr>
      </w:pPr>
    </w:p>
    <w:p>
      <w:pPr>
        <w:ind w:left="1280" w:right="80" w:hanging="636"/>
        <w:spacing w:after="0" w:line="255" w:lineRule="auto"/>
        <w:tabs>
          <w:tab w:leader="none" w:pos="128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of the Company filed with the Securities and Exchange Commission for the quarter ended June 30, 2014 (the "Quarterly Report") fully complies with the requirements of Section 13(a) or Section 15(d), as applicable, of the Securities Exchange Act of 1934, as amended; and</w:t>
      </w:r>
    </w:p>
    <w:p>
      <w:pPr>
        <w:spacing w:after="0" w:line="213" w:lineRule="exact"/>
        <w:rPr>
          <w:rFonts w:ascii="Times New Roman" w:cs="Times New Roman" w:eastAsia="Times New Roman" w:hAnsi="Times New Roman"/>
          <w:sz w:val="21"/>
          <w:szCs w:val="21"/>
          <w:color w:val="auto"/>
        </w:rPr>
      </w:pPr>
    </w:p>
    <w:p>
      <w:pPr>
        <w:ind w:left="1280" w:right="240" w:hanging="636"/>
        <w:spacing w:after="0" w:line="273" w:lineRule="auto"/>
        <w:tabs>
          <w:tab w:leader="none" w:pos="128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August 7, 2014</w:t>
      </w:r>
    </w:p>
    <w:p>
      <w:pPr>
        <w:spacing w:after="0" w:line="366"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4898390</wp:posOffset>
            </wp:positionH>
            <wp:positionV relativeFrom="paragraph">
              <wp:posOffset>15240</wp:posOffset>
            </wp:positionV>
            <wp:extent cx="2354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5"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8"/>
          <w:szCs w:val="18"/>
          <w:color w:val="auto"/>
        </w:rPr>
        <w:t>Debra L. Reed</w:t>
      </w:r>
    </w:p>
    <w:p>
      <w:pPr>
        <w:spacing w:after="0" w:line="19"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11" w:right="2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1"/>
          <w:szCs w:val="21"/>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Statement of Chief Financial Officer</w:t>
      </w:r>
    </w:p>
    <w:p>
      <w:pPr>
        <w:spacing w:after="0" w:line="237" w:lineRule="exact"/>
        <w:rPr>
          <w:sz w:val="20"/>
          <w:szCs w:val="20"/>
          <w:color w:val="auto"/>
        </w:rPr>
      </w:pPr>
    </w:p>
    <w:p>
      <w:pPr>
        <w:ind w:right="580"/>
        <w:spacing w:after="0" w:line="273" w:lineRule="auto"/>
        <w:rPr>
          <w:sz w:val="20"/>
          <w:szCs w:val="20"/>
          <w:color w:val="auto"/>
        </w:rPr>
      </w:pPr>
      <w:r>
        <w:rPr>
          <w:rFonts w:ascii="Times New Roman" w:cs="Times New Roman" w:eastAsia="Times New Roman" w:hAnsi="Times New Roman"/>
          <w:sz w:val="21"/>
          <w:szCs w:val="21"/>
          <w:color w:val="auto"/>
        </w:rPr>
        <w:t>Pursuant to 18 U.S.C. Sec 1350, as created by Section 906 of the Sarbanes-Oxley Act of 2002, the undersigned Chief Financial Officer of Sempra Energy (the "Company") certifies that:</w:t>
      </w:r>
    </w:p>
    <w:p>
      <w:pPr>
        <w:spacing w:after="0" w:line="195" w:lineRule="exact"/>
        <w:rPr>
          <w:sz w:val="20"/>
          <w:szCs w:val="20"/>
          <w:color w:val="auto"/>
        </w:rPr>
      </w:pPr>
    </w:p>
    <w:p>
      <w:pPr>
        <w:ind w:left="1280" w:right="80" w:hanging="636"/>
        <w:spacing w:after="0" w:line="255" w:lineRule="auto"/>
        <w:tabs>
          <w:tab w:leader="none" w:pos="128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of the Company filed with the Securities and Exchange Commission for the quarter ended June 30, 2014 (the "Quarterly Report") fully complies with the requirements of Section 13(a) or Section 15(d), as applicable, of the Securities Exchange Act of 1934, as amended; and</w:t>
      </w:r>
    </w:p>
    <w:p>
      <w:pPr>
        <w:spacing w:after="0" w:line="213" w:lineRule="exact"/>
        <w:rPr>
          <w:rFonts w:ascii="Times New Roman" w:cs="Times New Roman" w:eastAsia="Times New Roman" w:hAnsi="Times New Roman"/>
          <w:sz w:val="21"/>
          <w:szCs w:val="21"/>
          <w:color w:val="auto"/>
        </w:rPr>
      </w:pPr>
    </w:p>
    <w:p>
      <w:pPr>
        <w:ind w:left="1280" w:right="240" w:hanging="636"/>
        <w:spacing w:after="0" w:line="273" w:lineRule="auto"/>
        <w:tabs>
          <w:tab w:leader="none" w:pos="128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August 7, 2014</w:t>
      </w:r>
    </w:p>
    <w:p>
      <w:pPr>
        <w:spacing w:after="0" w:line="36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color w:val="auto"/>
        </w:rPr>
        <w:t>/s/ 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15240</wp:posOffset>
            </wp:positionV>
            <wp:extent cx="24555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55545" cy="8255"/>
                    </a:xfrm>
                    <a:prstGeom prst="rect">
                      <a:avLst/>
                    </a:prstGeom>
                    <a:noFill/>
                  </pic:spPr>
                </pic:pic>
              </a:graphicData>
            </a:graphic>
          </wp:anchor>
        </w:drawing>
      </w:r>
    </w:p>
    <w:p>
      <w:pPr>
        <w:spacing w:after="0" w:line="5"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8"/>
          <w:szCs w:val="18"/>
          <w:color w:val="auto"/>
        </w:rPr>
        <w:t>Joseph A. Householder</w:t>
      </w:r>
    </w:p>
    <w:p>
      <w:pPr>
        <w:spacing w:after="0" w:line="19"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2" w:right="2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1"/>
          <w:szCs w:val="21"/>
          <w:color w:val="auto"/>
        </w:rPr>
        <w:t>Exhibit 32.3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Statement of Chief Executive Officer</w:t>
      </w:r>
    </w:p>
    <w:p>
      <w:pPr>
        <w:spacing w:after="0" w:line="237" w:lineRule="exact"/>
        <w:rPr>
          <w:sz w:val="20"/>
          <w:szCs w:val="20"/>
          <w:color w:val="auto"/>
        </w:rPr>
      </w:pPr>
    </w:p>
    <w:p>
      <w:pPr>
        <w:ind w:right="520"/>
        <w:spacing w:after="0" w:line="273" w:lineRule="auto"/>
        <w:rPr>
          <w:sz w:val="20"/>
          <w:szCs w:val="20"/>
          <w:color w:val="auto"/>
        </w:rPr>
      </w:pPr>
      <w:r>
        <w:rPr>
          <w:rFonts w:ascii="Times New Roman" w:cs="Times New Roman" w:eastAsia="Times New Roman" w:hAnsi="Times New Roman"/>
          <w:sz w:val="21"/>
          <w:szCs w:val="21"/>
          <w:color w:val="auto"/>
        </w:rPr>
        <w:t>Pursuant to 18 U.S.C. Sec 1350, as created by Section 906 of the Sarbanes-Oxley Act of 2002, the undersigned Chief Executive Officer of San Diego Gas &amp; Electric Company (the "Company") certifies that:</w:t>
      </w:r>
    </w:p>
    <w:p>
      <w:pPr>
        <w:spacing w:after="0" w:line="195" w:lineRule="exact"/>
        <w:rPr>
          <w:sz w:val="20"/>
          <w:szCs w:val="20"/>
          <w:color w:val="auto"/>
        </w:rPr>
      </w:pPr>
    </w:p>
    <w:p>
      <w:pPr>
        <w:ind w:left="1280" w:right="80" w:hanging="636"/>
        <w:spacing w:after="0" w:line="255" w:lineRule="auto"/>
        <w:tabs>
          <w:tab w:leader="none" w:pos="128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of the Company filed with the Securities and Exchange Commission for the quarter ended June 30, 2014 (the "Quarterly Report") fully complies with the requirements of Section 13(a) or Section 15(d), as applicable, of the Securities Exchange Act of 1934, as amended; and</w:t>
      </w:r>
    </w:p>
    <w:p>
      <w:pPr>
        <w:spacing w:after="0" w:line="213" w:lineRule="exact"/>
        <w:rPr>
          <w:rFonts w:ascii="Times New Roman" w:cs="Times New Roman" w:eastAsia="Times New Roman" w:hAnsi="Times New Roman"/>
          <w:sz w:val="21"/>
          <w:szCs w:val="21"/>
          <w:color w:val="auto"/>
        </w:rPr>
      </w:pPr>
    </w:p>
    <w:p>
      <w:pPr>
        <w:ind w:left="1280" w:right="240" w:hanging="636"/>
        <w:spacing w:after="0" w:line="273" w:lineRule="auto"/>
        <w:tabs>
          <w:tab w:leader="none" w:pos="128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August 7, 2014</w:t>
      </w:r>
    </w:p>
    <w:p>
      <w:pPr>
        <w:spacing w:after="0" w:line="366"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8"/>
          <w:szCs w:val="18"/>
          <w:color w:val="auto"/>
        </w:rPr>
        <w:t>/s/ J. Walker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4746625</wp:posOffset>
            </wp:positionH>
            <wp:positionV relativeFrom="paragraph">
              <wp:posOffset>15240</wp:posOffset>
            </wp:positionV>
            <wp:extent cx="25063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06345" cy="8255"/>
                    </a:xfrm>
                    <a:prstGeom prst="rect">
                      <a:avLst/>
                    </a:prstGeom>
                    <a:noFill/>
                  </pic:spPr>
                </pic:pic>
              </a:graphicData>
            </a:graphic>
          </wp:anchor>
        </w:drawing>
      </w:r>
    </w:p>
    <w:p>
      <w:pPr>
        <w:spacing w:after="0" w:line="5"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8"/>
          <w:szCs w:val="18"/>
          <w:color w:val="auto"/>
        </w:rPr>
        <w:t>J. Walker Martin</w:t>
      </w:r>
    </w:p>
    <w:p>
      <w:pPr>
        <w:spacing w:after="0" w:line="19"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11" w:right="2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1"/>
          <w:szCs w:val="21"/>
          <w:color w:val="auto"/>
        </w:rPr>
        <w:t>Exhibit 32.4</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Statement of Chief Financial Officer</w:t>
      </w:r>
    </w:p>
    <w:p>
      <w:pPr>
        <w:spacing w:after="0" w:line="237" w:lineRule="exact"/>
        <w:rPr>
          <w:sz w:val="20"/>
          <w:szCs w:val="20"/>
          <w:color w:val="auto"/>
        </w:rPr>
      </w:pPr>
    </w:p>
    <w:p>
      <w:pPr>
        <w:ind w:right="580"/>
        <w:spacing w:after="0" w:line="273" w:lineRule="auto"/>
        <w:rPr>
          <w:sz w:val="20"/>
          <w:szCs w:val="20"/>
          <w:color w:val="auto"/>
        </w:rPr>
      </w:pPr>
      <w:r>
        <w:rPr>
          <w:rFonts w:ascii="Times New Roman" w:cs="Times New Roman" w:eastAsia="Times New Roman" w:hAnsi="Times New Roman"/>
          <w:sz w:val="21"/>
          <w:szCs w:val="21"/>
          <w:color w:val="auto"/>
        </w:rPr>
        <w:t>Pursuant to 18 U.S.C. Sec 1350, as created by Section 906 of the Sarbanes-Oxley Act of 2002, the undersigned Chief Financial Officer of San Diego Gas &amp; Electric Company (the "Company") certifies that:</w:t>
      </w:r>
    </w:p>
    <w:p>
      <w:pPr>
        <w:spacing w:after="0" w:line="195" w:lineRule="exact"/>
        <w:rPr>
          <w:sz w:val="20"/>
          <w:szCs w:val="20"/>
          <w:color w:val="auto"/>
        </w:rPr>
      </w:pPr>
    </w:p>
    <w:p>
      <w:pPr>
        <w:ind w:left="1280" w:right="80" w:hanging="636"/>
        <w:spacing w:after="0" w:line="255" w:lineRule="auto"/>
        <w:tabs>
          <w:tab w:leader="none" w:pos="128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of the Company filed with the Securities and Exchange Commission for the quarter ended June 30, 2014 (the "Quarterly Report") fully complies with the requirements of Section 13(a) or Section 15(d), as applicable, of the Securities Exchange Act of 1934, as amended; and</w:t>
      </w:r>
    </w:p>
    <w:p>
      <w:pPr>
        <w:spacing w:after="0" w:line="213" w:lineRule="exact"/>
        <w:rPr>
          <w:rFonts w:ascii="Times New Roman" w:cs="Times New Roman" w:eastAsia="Times New Roman" w:hAnsi="Times New Roman"/>
          <w:sz w:val="21"/>
          <w:szCs w:val="21"/>
          <w:color w:val="auto"/>
        </w:rPr>
      </w:pPr>
    </w:p>
    <w:p>
      <w:pPr>
        <w:ind w:left="1280" w:right="240" w:hanging="636"/>
        <w:spacing w:after="0" w:line="273" w:lineRule="auto"/>
        <w:tabs>
          <w:tab w:leader="none" w:pos="128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August 7, 2014</w:t>
      </w:r>
    </w:p>
    <w:p>
      <w:pPr>
        <w:spacing w:after="0" w:line="366"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8"/>
          <w:szCs w:val="18"/>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15240</wp:posOffset>
            </wp:positionV>
            <wp:extent cx="24555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55545" cy="8255"/>
                    </a:xfrm>
                    <a:prstGeom prst="rect">
                      <a:avLst/>
                    </a:prstGeom>
                    <a:noFill/>
                  </pic:spPr>
                </pic:pic>
              </a:graphicData>
            </a:graphic>
          </wp:anchor>
        </w:drawing>
      </w:r>
    </w:p>
    <w:p>
      <w:pPr>
        <w:spacing w:after="0" w:line="5"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8"/>
          <w:szCs w:val="18"/>
          <w:color w:val="auto"/>
        </w:rPr>
        <w:t>Robert M. Schlax</w:t>
      </w:r>
    </w:p>
    <w:p>
      <w:pPr>
        <w:spacing w:after="0" w:line="19"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2" w:right="2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1"/>
          <w:szCs w:val="21"/>
          <w:color w:val="auto"/>
        </w:rPr>
        <w:t>Exhibit 32.5</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Statement of Chief Executive Officer</w:t>
      </w:r>
    </w:p>
    <w:p>
      <w:pPr>
        <w:spacing w:after="0" w:line="237" w:lineRule="exact"/>
        <w:rPr>
          <w:sz w:val="20"/>
          <w:szCs w:val="20"/>
          <w:color w:val="auto"/>
        </w:rPr>
      </w:pPr>
    </w:p>
    <w:p>
      <w:pPr>
        <w:ind w:right="520"/>
        <w:spacing w:after="0" w:line="273" w:lineRule="auto"/>
        <w:rPr>
          <w:sz w:val="20"/>
          <w:szCs w:val="20"/>
          <w:color w:val="auto"/>
        </w:rPr>
      </w:pPr>
      <w:r>
        <w:rPr>
          <w:rFonts w:ascii="Times New Roman" w:cs="Times New Roman" w:eastAsia="Times New Roman" w:hAnsi="Times New Roman"/>
          <w:sz w:val="21"/>
          <w:szCs w:val="21"/>
          <w:color w:val="auto"/>
        </w:rPr>
        <w:t>Pursuant to 18 U.S.C. Sec 1350, as created by Section 906 of the Sarbanes-Oxley Act of 2002, the undersigned Chief Executive Officer of Southern California Gas Company (the "Company") certifies that:</w:t>
      </w:r>
    </w:p>
    <w:p>
      <w:pPr>
        <w:spacing w:after="0" w:line="195" w:lineRule="exact"/>
        <w:rPr>
          <w:sz w:val="20"/>
          <w:szCs w:val="20"/>
          <w:color w:val="auto"/>
        </w:rPr>
      </w:pPr>
    </w:p>
    <w:p>
      <w:pPr>
        <w:ind w:left="1280" w:right="80" w:hanging="636"/>
        <w:spacing w:after="0" w:line="255" w:lineRule="auto"/>
        <w:tabs>
          <w:tab w:leader="none" w:pos="128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of the Company filed with the Securities and Exchange Commission for the quarter ended June 30, 2014 (the "Quarterly Report") fully complies with the requirements of Section 13(a) or Section 15(d), as applicable, of the Securities Exchange Act of 1934, as amended; and</w:t>
      </w:r>
    </w:p>
    <w:p>
      <w:pPr>
        <w:spacing w:after="0" w:line="213" w:lineRule="exact"/>
        <w:rPr>
          <w:rFonts w:ascii="Times New Roman" w:cs="Times New Roman" w:eastAsia="Times New Roman" w:hAnsi="Times New Roman"/>
          <w:sz w:val="21"/>
          <w:szCs w:val="21"/>
          <w:color w:val="auto"/>
        </w:rPr>
      </w:pPr>
    </w:p>
    <w:p>
      <w:pPr>
        <w:ind w:left="1280" w:right="240" w:hanging="636"/>
        <w:spacing w:after="0" w:line="273" w:lineRule="auto"/>
        <w:tabs>
          <w:tab w:leader="none" w:pos="128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August 7, 2014</w:t>
      </w:r>
    </w:p>
    <w:p>
      <w:pPr>
        <w:spacing w:after="0" w:line="366"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8"/>
          <w:szCs w:val="18"/>
          <w:color w:val="auto"/>
        </w:rPr>
        <w:t>/s/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4847590</wp:posOffset>
            </wp:positionH>
            <wp:positionV relativeFrom="paragraph">
              <wp:posOffset>15240</wp:posOffset>
            </wp:positionV>
            <wp:extent cx="24047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5"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8"/>
          <w:szCs w:val="18"/>
          <w:color w:val="auto"/>
        </w:rPr>
        <w:t>Dennis V. Arriola</w:t>
      </w:r>
    </w:p>
    <w:p>
      <w:pPr>
        <w:spacing w:after="0" w:line="19"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12" w:right="2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1"/>
          <w:szCs w:val="21"/>
          <w:color w:val="auto"/>
        </w:rPr>
        <w:t>Exhibit 32.6</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Statement of Chief Financial Officer</w:t>
      </w:r>
    </w:p>
    <w:p>
      <w:pPr>
        <w:spacing w:after="0" w:line="237" w:lineRule="exact"/>
        <w:rPr>
          <w:sz w:val="20"/>
          <w:szCs w:val="20"/>
          <w:color w:val="auto"/>
        </w:rPr>
      </w:pPr>
    </w:p>
    <w:p>
      <w:pPr>
        <w:ind w:right="580"/>
        <w:spacing w:after="0" w:line="273" w:lineRule="auto"/>
        <w:rPr>
          <w:sz w:val="20"/>
          <w:szCs w:val="20"/>
          <w:color w:val="auto"/>
        </w:rPr>
      </w:pPr>
      <w:r>
        <w:rPr>
          <w:rFonts w:ascii="Times New Roman" w:cs="Times New Roman" w:eastAsia="Times New Roman" w:hAnsi="Times New Roman"/>
          <w:sz w:val="21"/>
          <w:szCs w:val="21"/>
          <w:color w:val="auto"/>
        </w:rPr>
        <w:t>Pursuant to 18 U.S.C. Sec 1350, as created by Section 906 of the Sarbanes-Oxley Act of 2002, the undersigned Chief Financial Officer of Southern California Gas Company (the "Company") certifies that:</w:t>
      </w:r>
    </w:p>
    <w:p>
      <w:pPr>
        <w:spacing w:after="0" w:line="195" w:lineRule="exact"/>
        <w:rPr>
          <w:sz w:val="20"/>
          <w:szCs w:val="20"/>
          <w:color w:val="auto"/>
        </w:rPr>
      </w:pPr>
    </w:p>
    <w:p>
      <w:pPr>
        <w:ind w:left="1280" w:right="80" w:hanging="636"/>
        <w:spacing w:after="0" w:line="255" w:lineRule="auto"/>
        <w:tabs>
          <w:tab w:leader="none" w:pos="128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of the Company filed with the Securities and Exchange Commission for the quarter ended June 30, 2014 (the "Quarterly Report") fully complies with the requirements of Section 13(a) or Section 15(d), as applicable, of the Securities Exchange Act of 1934, as amended; and</w:t>
      </w:r>
    </w:p>
    <w:p>
      <w:pPr>
        <w:spacing w:after="0" w:line="213" w:lineRule="exact"/>
        <w:rPr>
          <w:rFonts w:ascii="Times New Roman" w:cs="Times New Roman" w:eastAsia="Times New Roman" w:hAnsi="Times New Roman"/>
          <w:sz w:val="21"/>
          <w:szCs w:val="21"/>
          <w:color w:val="auto"/>
        </w:rPr>
      </w:pPr>
    </w:p>
    <w:p>
      <w:pPr>
        <w:ind w:left="1280" w:right="240" w:hanging="636"/>
        <w:spacing w:after="0" w:line="273" w:lineRule="auto"/>
        <w:tabs>
          <w:tab w:leader="none" w:pos="128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August 7, 2014</w:t>
      </w:r>
    </w:p>
    <w:p>
      <w:pPr>
        <w:spacing w:after="0" w:line="366"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8"/>
          <w:szCs w:val="18"/>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4847590</wp:posOffset>
            </wp:positionH>
            <wp:positionV relativeFrom="paragraph">
              <wp:posOffset>15240</wp:posOffset>
            </wp:positionV>
            <wp:extent cx="24047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5"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8"/>
          <w:szCs w:val="18"/>
          <w:color w:val="auto"/>
        </w:rPr>
        <w:t>Robert M. Schlax</w:t>
      </w:r>
    </w:p>
    <w:p>
      <w:pPr>
        <w:spacing w:after="0" w:line="19"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5EE64"/>
    <w:multiLevelType w:val="hybridMultilevel"/>
    <w:lvl w:ilvl="0">
      <w:lvlJc w:val="left"/>
      <w:lvlText w:val="[%1]"/>
      <w:numFmt w:val="upperLetter"/>
      <w:start w:val="24"/>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endash "/>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1)"/>
      <w:numFmt w:val="decimal"/>
      <w:start w:val="1"/>
    </w:lvl>
  </w:abstractNum>
  <w:abstractNum w:abstractNumId="6">
    <w:nsid w:val="7FB7E0AA"/>
    <w:multiLevelType w:val="hybridMultilevel"/>
    <w:lvl w:ilvl="0">
      <w:lvlJc w:val="left"/>
      <w:lvlText w:val="(%1)"/>
      <w:numFmt w:val="decimal"/>
      <w:start w:val="1"/>
    </w:lvl>
  </w:abstractNum>
  <w:abstractNum w:abstractNumId="7">
    <w:nsid w:val="6EB5BD4"/>
    <w:multiLevelType w:val="hybridMultilevel"/>
    <w:lvl w:ilvl="0">
      <w:lvlJc w:val="left"/>
      <w:lvlText w:val="(%1)"/>
      <w:numFmt w:val="decimal"/>
      <w:start w:val="13"/>
    </w:lvl>
  </w:abstractNum>
  <w:abstractNum w:abstractNumId="8">
    <w:nsid w:val="6F6DD9AC"/>
    <w:multiLevelType w:val="hybridMultilevel"/>
    <w:lvl w:ilvl="0">
      <w:lvlJc w:val="left"/>
      <w:lvlText w:val="(%1)"/>
      <w:numFmt w:val="decimal"/>
      <w:start w:val="3"/>
    </w:lvl>
  </w:abstractNum>
  <w:abstractNum w:abstractNumId="9">
    <w:nsid w:val="94211F2"/>
    <w:multiLevelType w:val="hybridMultilevel"/>
    <w:lvl w:ilvl="0">
      <w:lvlJc w:val="left"/>
      <w:lvlText w:val="(%1)"/>
      <w:numFmt w:val="decimal"/>
      <w:start w:val="24"/>
    </w:lvl>
  </w:abstractNum>
  <w:abstractNum w:abstractNumId="10">
    <w:nsid w:val="885E1B"/>
    <w:multiLevelType w:val="hybridMultilevel"/>
    <w:lvl w:ilvl="0">
      <w:lvlJc w:val="left"/>
      <w:lvlText w:val="(%1)"/>
      <w:numFmt w:val="decimal"/>
      <w:start w:val="231"/>
    </w:lvl>
  </w:abstractNum>
  <w:abstractNum w:abstractNumId="11">
    <w:nsid w:val="76272110"/>
    <w:multiLevelType w:val="hybridMultilevel"/>
    <w:lvl w:ilvl="0">
      <w:lvlJc w:val="left"/>
      <w:lvlText w:val="(%1)"/>
      <w:numFmt w:val="decimal"/>
      <w:start w:val="543"/>
    </w:lvl>
  </w:abstractNum>
  <w:abstractNum w:abstractNumId="12">
    <w:nsid w:val="4C04A8AF"/>
    <w:multiLevelType w:val="hybridMultilevel"/>
    <w:lvl w:ilvl="0">
      <w:lvlJc w:val="left"/>
      <w:lvlText w:val="(%1)"/>
      <w:numFmt w:val="decimal"/>
      <w:start w:val="354"/>
    </w:lvl>
  </w:abstractNum>
  <w:abstractNum w:abstractNumId="13">
    <w:nsid w:val="1716703B"/>
    <w:multiLevelType w:val="hybridMultilevel"/>
    <w:lvl w:ilvl="0">
      <w:lvlJc w:val="left"/>
      <w:lvlText w:val="(%1)"/>
      <w:numFmt w:val="decimal"/>
      <w:start w:val="64"/>
    </w:lvl>
  </w:abstractNum>
  <w:abstractNum w:abstractNumId="14">
    <w:nsid w:val="14E17E33"/>
    <w:multiLevelType w:val="hybridMultilevel"/>
    <w:lvl w:ilvl="0">
      <w:lvlJc w:val="left"/>
      <w:lvlText w:val="(%1)"/>
      <w:numFmt w:val="decimal"/>
      <w:start w:val="549"/>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1"/>
      <w:numFmt w:val="decimal"/>
      <w:start w:val="100"/>
    </w:lvl>
    <w:lvl w:ilvl="1">
      <w:lvlJc w:val="left"/>
      <w:lvlText w:val="(%2)"/>
      <w:numFmt w:val="decimal"/>
      <w:start w:val="20"/>
    </w:lvl>
  </w:abstractNum>
  <w:abstractNum w:abstractNumId="17">
    <w:nsid w:val="68EBC550"/>
    <w:multiLevelType w:val="hybridMultilevel"/>
    <w:lvl w:ilvl="0">
      <w:lvlJc w:val="left"/>
      <w:lvlText w:val="(%1)"/>
      <w:numFmt w:val="decimal"/>
      <w:start w:val="13"/>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1)"/>
      <w:numFmt w:val="decimal"/>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1)"/>
      <w:numFmt w:val="decimal"/>
      <w:start w:val="1"/>
    </w:lvl>
  </w:abstractNum>
  <w:abstractNum w:abstractNumId="23">
    <w:nsid w:val="CC1016F"/>
    <w:multiLevelType w:val="hybridMultilevel"/>
    <w:lvl w:ilvl="0">
      <w:lvlJc w:val="left"/>
      <w:lvlText w:val="(%1)"/>
      <w:numFmt w:val="decimal"/>
      <w:start w:val="1"/>
    </w:lvl>
  </w:abstractNum>
  <w:abstractNum w:abstractNumId="24">
    <w:nsid w:val="43F18422"/>
    <w:multiLevelType w:val="hybridMultilevel"/>
    <w:lvl w:ilvl="0">
      <w:lvlJc w:val="left"/>
      <w:lvlText w:val="(%1)"/>
      <w:numFmt w:val="decimal"/>
      <w:start w:val="1"/>
    </w:lvl>
  </w:abstractNum>
  <w:abstractNum w:abstractNumId="25">
    <w:nsid w:val="60EF0119"/>
    <w:multiLevelType w:val="hybridMultilevel"/>
    <w:lvl w:ilvl="0">
      <w:lvlJc w:val="left"/>
      <w:lvlText w:val="(%1)"/>
      <w:numFmt w:val="decimal"/>
      <w:start w:val="1"/>
    </w:lvl>
  </w:abstractNum>
  <w:abstractNum w:abstractNumId="26">
    <w:nsid w:val="26F324BA"/>
    <w:multiLevelType w:val="hybridMultilevel"/>
    <w:lvl w:ilvl="0">
      <w:lvlJc w:val="left"/>
      <w:lvlText w:val="(%1)"/>
      <w:numFmt w:val="decimal"/>
      <w:start w:val="1"/>
    </w:lvl>
  </w:abstractNum>
  <w:abstractNum w:abstractNumId="27">
    <w:nsid w:val="7F01579B"/>
    <w:multiLevelType w:val="hybridMultilevel"/>
    <w:lvl w:ilvl="0">
      <w:lvlJc w:val="left"/>
      <w:lvlText w:val="(%1)"/>
      <w:numFmt w:val="decimal"/>
      <w:start w:val="1"/>
    </w:lvl>
  </w:abstractNum>
  <w:abstractNum w:abstractNumId="28">
    <w:nsid w:val="49DA307D"/>
    <w:multiLevelType w:val="hybridMultilevel"/>
    <w:lvl w:ilvl="0">
      <w:lvlJc w:val="left"/>
      <w:lvlText w:val="(%1)"/>
      <w:numFmt w:val="decimal"/>
      <w:start w:val="1"/>
    </w:lvl>
  </w:abstractNum>
  <w:abstractNum w:abstractNumId="29">
    <w:nsid w:val="7055A5F5"/>
    <w:multiLevelType w:val="hybridMultilevel"/>
    <w:lvl w:ilvl="0">
      <w:lvlJc w:val="left"/>
      <w:lvlText w:val="(%1)"/>
      <w:numFmt w:val="decimal"/>
      <w:start w:val="1"/>
    </w:lvl>
  </w:abstractNum>
  <w:abstractNum w:abstractNumId="30">
    <w:nsid w:val="5FB8370B"/>
    <w:multiLevelType w:val="hybridMultilevel"/>
    <w:lvl w:ilvl="0">
      <w:lvlJc w:val="left"/>
      <w:lvlText w:val="(%1)"/>
      <w:numFmt w:val="decimal"/>
      <w:start w:val="1"/>
    </w:lvl>
  </w:abstractNum>
  <w:abstractNum w:abstractNumId="31">
    <w:nsid w:val="50801EE1"/>
    <w:multiLevelType w:val="hybridMultilevel"/>
    <w:lvl w:ilvl="0">
      <w:lvlJc w:val="left"/>
      <w:lvlText w:val="(%1)"/>
      <w:numFmt w:val="decimal"/>
      <w:start w:val="1"/>
    </w:lvl>
  </w:abstractNum>
  <w:abstractNum w:abstractNumId="32">
    <w:nsid w:val="488AC1A"/>
    <w:multiLevelType w:val="hybridMultilevel"/>
    <w:lvl w:ilvl="0">
      <w:lvlJc w:val="left"/>
      <w:lvlText w:val="(%1)"/>
      <w:numFmt w:val="decimal"/>
      <w:start w:val="1"/>
    </w:lvl>
  </w:abstractNum>
  <w:abstractNum w:abstractNumId="33">
    <w:nsid w:val="5FB8011C"/>
    <w:multiLevelType w:val="hybridMultilevel"/>
    <w:lvl w:ilvl="0">
      <w:lvlJc w:val="left"/>
      <w:lvlText w:val="§"/>
      <w:numFmt w:val="bullet"/>
      <w:start w:val="1"/>
    </w:lvl>
  </w:abstractNum>
  <w:abstractNum w:abstractNumId="34">
    <w:nsid w:val="6AA78F7F"/>
    <w:multiLevelType w:val="hybridMultilevel"/>
    <w:lvl w:ilvl="0">
      <w:lvlJc w:val="left"/>
      <w:lvlText w:val="§"/>
      <w:numFmt w:val="bullet"/>
      <w:start w:val="1"/>
    </w:lvl>
  </w:abstractNum>
  <w:abstractNum w:abstractNumId="35">
    <w:nsid w:val="7672BD23"/>
    <w:multiLevelType w:val="hybridMultilevel"/>
    <w:lvl w:ilvl="0">
      <w:lvlJc w:val="left"/>
      <w:lvlText w:val="§"/>
      <w:numFmt w:val="bullet"/>
      <w:start w:val="1"/>
    </w:lvl>
  </w:abstractNum>
  <w:abstractNum w:abstractNumId="36">
    <w:nsid w:val="6FC75AF8"/>
    <w:multiLevelType w:val="hybridMultilevel"/>
    <w:lvl w:ilvl="0">
      <w:lvlJc w:val="left"/>
      <w:lvlText w:val="§"/>
      <w:numFmt w:val="bullet"/>
      <w:start w:val="1"/>
    </w:lvl>
  </w:abstractNum>
  <w:abstractNum w:abstractNumId="37">
    <w:nsid w:val="6A5F7029"/>
    <w:multiLevelType w:val="hybridMultilevel"/>
    <w:lvl w:ilvl="0">
      <w:lvlJc w:val="left"/>
      <w:lvlText w:val="§"/>
      <w:numFmt w:val="bullet"/>
      <w:start w:val="1"/>
    </w:lvl>
  </w:abstractNum>
  <w:abstractNum w:abstractNumId="38">
    <w:nsid w:val="7D5E18F8"/>
    <w:multiLevelType w:val="hybridMultilevel"/>
    <w:lvl w:ilvl="0">
      <w:lvlJc w:val="left"/>
      <w:lvlText w:val="§"/>
      <w:numFmt w:val="bullet"/>
      <w:start w:val="1"/>
    </w:lvl>
  </w:abstractNum>
  <w:abstractNum w:abstractNumId="39">
    <w:nsid w:val="5F3534A4"/>
    <w:multiLevelType w:val="hybridMultilevel"/>
    <w:lvl w:ilvl="0">
      <w:lvlJc w:val="left"/>
      <w:lvlText w:val="§"/>
      <w:numFmt w:val="bullet"/>
      <w:start w:val="1"/>
    </w:lvl>
  </w:abstractNum>
  <w:abstractNum w:abstractNumId="40">
    <w:nsid w:val="73A1821B"/>
    <w:multiLevelType w:val="hybridMultilevel"/>
    <w:lvl w:ilvl="0">
      <w:lvlJc w:val="left"/>
      <w:lvlText w:val="(%1)"/>
      <w:numFmt w:val="decimal"/>
      <w:start w:val="1"/>
    </w:lvl>
  </w:abstractNum>
  <w:abstractNum w:abstractNumId="41">
    <w:nsid w:val="7DE67713"/>
    <w:multiLevelType w:val="hybridMultilevel"/>
    <w:lvl w:ilvl="0">
      <w:lvlJc w:val="left"/>
      <w:lvlText w:val="(%1)"/>
      <w:numFmt w:val="decimal"/>
      <w:start w:val="1"/>
    </w:lvl>
  </w:abstractNum>
  <w:abstractNum w:abstractNumId="42">
    <w:nsid w:val="555C55B5"/>
    <w:multiLevelType w:val="hybridMultilevel"/>
    <w:lvl w:ilvl="0">
      <w:lvlJc w:val="left"/>
      <w:lvlText w:val="(%1)"/>
      <w:numFmt w:val="decimal"/>
      <w:start w:val="1"/>
    </w:lvl>
  </w:abstractNum>
  <w:abstractNum w:abstractNumId="43">
    <w:nsid w:val="3FA62ACA"/>
    <w:multiLevelType w:val="hybridMultilevel"/>
    <w:lvl w:ilvl="0">
      <w:lvlJc w:val="left"/>
      <w:lvlText w:val="(%1)"/>
      <w:numFmt w:val="decimal"/>
      <w:start w:val="1"/>
    </w:lvl>
  </w:abstractNum>
  <w:abstractNum w:abstractNumId="44">
    <w:nsid w:val="14FCE74E"/>
    <w:multiLevelType w:val="hybridMultilevel"/>
    <w:lvl w:ilvl="0">
      <w:lvlJc w:val="left"/>
      <w:lvlText w:val="(%1)"/>
      <w:numFmt w:val="decimal"/>
      <w:start w:val="1"/>
    </w:lvl>
  </w:abstractNum>
  <w:abstractNum w:abstractNumId="45">
    <w:nsid w:val="6A3DD3E8"/>
    <w:multiLevelType w:val="hybridMultilevel"/>
    <w:lvl w:ilvl="0">
      <w:lvlJc w:val="left"/>
      <w:lvlText w:val="(%1)"/>
      <w:numFmt w:val="decimal"/>
      <w:start w:val="1"/>
    </w:lvl>
  </w:abstractNum>
  <w:abstractNum w:abstractNumId="46">
    <w:nsid w:val="71C91298"/>
    <w:multiLevelType w:val="hybridMultilevel"/>
    <w:lvl w:ilvl="0">
      <w:lvlJc w:val="left"/>
      <w:lvlText w:val="§"/>
      <w:numFmt w:val="bullet"/>
      <w:start w:val="1"/>
    </w:lvl>
  </w:abstractNum>
  <w:abstractNum w:abstractNumId="47">
    <w:nsid w:val="9DAF632"/>
    <w:multiLevelType w:val="hybridMultilevel"/>
    <w:lvl w:ilvl="0">
      <w:lvlJc w:val="left"/>
      <w:lvlText w:val="(%1)"/>
      <w:numFmt w:val="decimal"/>
      <w:start w:val="1"/>
    </w:lvl>
  </w:abstractNum>
  <w:abstractNum w:abstractNumId="48">
    <w:nsid w:val="53299938"/>
    <w:multiLevelType w:val="hybridMultilevel"/>
    <w:lvl w:ilvl="0">
      <w:lvlJc w:val="left"/>
      <w:lvlText w:val="(%1)"/>
      <w:numFmt w:val="decimal"/>
      <w:start w:val="1"/>
    </w:lvl>
  </w:abstractNum>
  <w:abstractNum w:abstractNumId="49">
    <w:nsid w:val="1FBFE8E0"/>
    <w:multiLevelType w:val="hybridMultilevel"/>
    <w:lvl w:ilvl="0">
      <w:lvlJc w:val="left"/>
      <w:lvlText w:val="(%1)"/>
      <w:numFmt w:val="decimal"/>
      <w:start w:val="1"/>
    </w:lvl>
  </w:abstractNum>
  <w:abstractNum w:abstractNumId="50">
    <w:nsid w:val="5092CA79"/>
    <w:multiLevelType w:val="hybridMultilevel"/>
    <w:lvl w:ilvl="0">
      <w:lvlJc w:val="left"/>
      <w:lvlText w:val="(%1)"/>
      <w:numFmt w:val="decimal"/>
      <w:start w:val="1"/>
    </w:lvl>
  </w:abstractNum>
  <w:abstractNum w:abstractNumId="51">
    <w:nsid w:val="1D545C4D"/>
    <w:multiLevelType w:val="hybridMultilevel"/>
    <w:lvl w:ilvl="0">
      <w:lvlJc w:val="left"/>
      <w:lvlText w:val="§"/>
      <w:numFmt w:val="bullet"/>
      <w:start w:val="1"/>
    </w:lvl>
  </w:abstractNum>
  <w:abstractNum w:abstractNumId="52">
    <w:nsid w:val="59ADEA3D"/>
    <w:multiLevelType w:val="hybridMultilevel"/>
    <w:lvl w:ilvl="0">
      <w:lvlJc w:val="left"/>
      <w:lvlText w:val="□"/>
      <w:numFmt w:val="bullet"/>
      <w:start w:val="1"/>
    </w:lvl>
  </w:abstractNum>
  <w:abstractNum w:abstractNumId="53">
    <w:nsid w:val="288F1A34"/>
    <w:multiLevelType w:val="hybridMultilevel"/>
    <w:lvl w:ilvl="0">
      <w:lvlJc w:val="left"/>
      <w:lvlText w:val="§"/>
      <w:numFmt w:val="bullet"/>
      <w:start w:val="1"/>
    </w:lvl>
  </w:abstractNum>
  <w:abstractNum w:abstractNumId="54">
    <w:nsid w:val="2A155DBC"/>
    <w:multiLevelType w:val="hybridMultilevel"/>
    <w:lvl w:ilvl="0">
      <w:lvlJc w:val="left"/>
      <w:lvlText w:val="§"/>
      <w:numFmt w:val="bullet"/>
      <w:start w:val="1"/>
    </w:lvl>
  </w:abstractNum>
  <w:abstractNum w:abstractNumId="55">
    <w:nsid w:val="1D9F6E5F"/>
    <w:multiLevelType w:val="hybridMultilevel"/>
    <w:lvl w:ilvl="0">
      <w:lvlJc w:val="left"/>
      <w:lvlText w:val="§"/>
      <w:numFmt w:val="bullet"/>
      <w:start w:val="1"/>
    </w:lvl>
  </w:abstractNum>
  <w:abstractNum w:abstractNumId="56">
    <w:nsid w:val="97E1B4E"/>
    <w:multiLevelType w:val="hybridMultilevel"/>
    <w:lvl w:ilvl="0">
      <w:lvlJc w:val="left"/>
      <w:lvlText w:val="§"/>
      <w:numFmt w:val="bullet"/>
      <w:start w:val="1"/>
    </w:lvl>
  </w:abstractNum>
  <w:abstractNum w:abstractNumId="57">
    <w:nsid w:val="51088277"/>
    <w:multiLevelType w:val="hybridMultilevel"/>
    <w:lvl w:ilvl="0">
      <w:lvlJc w:val="left"/>
      <w:lvlText w:val="§"/>
      <w:numFmt w:val="bullet"/>
      <w:start w:val="1"/>
    </w:lvl>
  </w:abstractNum>
  <w:abstractNum w:abstractNumId="58">
    <w:nsid w:val="1CA0C5FA"/>
    <w:multiLevelType w:val="hybridMultilevel"/>
    <w:lvl w:ilvl="0">
      <w:lvlJc w:val="left"/>
      <w:lvlText w:val="(%1)"/>
      <w:numFmt w:val="decimal"/>
      <w:start w:val="1"/>
    </w:lvl>
  </w:abstractNum>
  <w:abstractNum w:abstractNumId="59">
    <w:nsid w:val="53584BCB"/>
    <w:multiLevelType w:val="hybridMultilevel"/>
    <w:lvl w:ilvl="0">
      <w:lvlJc w:val="left"/>
      <w:lvlText w:val="§"/>
      <w:numFmt w:val="bullet"/>
      <w:start w:val="1"/>
    </w:lvl>
  </w:abstractNum>
  <w:abstractNum w:abstractNumId="60">
    <w:nsid w:val="415E286C"/>
    <w:multiLevelType w:val="hybridMultilevel"/>
    <w:lvl w:ilvl="0">
      <w:lvlJc w:val="left"/>
      <w:lvlText w:val="§"/>
      <w:numFmt w:val="bullet"/>
      <w:start w:val="1"/>
    </w:lvl>
  </w:abstractNum>
  <w:abstractNum w:abstractNumId="61">
    <w:nsid w:val="7C58FD05"/>
    <w:multiLevelType w:val="hybridMultilevel"/>
    <w:lvl w:ilvl="0">
      <w:lvlJc w:val="left"/>
      <w:lvlText w:val="%1."/>
      <w:numFmt w:val="decimal"/>
      <w:start w:val="1"/>
    </w:lvl>
  </w:abstractNum>
  <w:abstractNum w:abstractNumId="62">
    <w:nsid w:val="23D86AAC"/>
    <w:multiLevelType w:val="hybridMultilevel"/>
    <w:lvl w:ilvl="0">
      <w:lvlJc w:val="left"/>
      <w:lvlText w:val="(%1)"/>
      <w:numFmt w:val="decimal"/>
      <w:start w:val="1"/>
    </w:lvl>
  </w:abstractNum>
  <w:abstractNum w:abstractNumId="63">
    <w:nsid w:val="45E6D486"/>
    <w:multiLevelType w:val="hybridMultilevel"/>
    <w:lvl w:ilvl="0">
      <w:lvlJc w:val="left"/>
      <w:lvlText w:val="§"/>
      <w:numFmt w:val="bullet"/>
      <w:start w:val="1"/>
    </w:lvl>
  </w:abstractNum>
  <w:abstractNum w:abstractNumId="64">
    <w:nsid w:val="5C10FE21"/>
    <w:multiLevelType w:val="hybridMultilevel"/>
    <w:lvl w:ilvl="0">
      <w:lvlJc w:val="left"/>
      <w:lvlText w:val="§"/>
      <w:numFmt w:val="bullet"/>
      <w:start w:val="1"/>
    </w:lvl>
  </w:abstractNum>
  <w:abstractNum w:abstractNumId="65">
    <w:nsid w:val="E7FFA2B"/>
    <w:multiLevelType w:val="hybridMultilevel"/>
    <w:lvl w:ilvl="0">
      <w:lvlJc w:val="left"/>
      <w:lvlText w:val="§"/>
      <w:numFmt w:val="bullet"/>
      <w:start w:val="1"/>
    </w:lvl>
  </w:abstractNum>
  <w:abstractNum w:abstractNumId="66">
    <w:nsid w:val="3C5991AA"/>
    <w:multiLevelType w:val="hybridMultilevel"/>
    <w:lvl w:ilvl="0">
      <w:lvlJc w:val="left"/>
      <w:lvlText w:val="§"/>
      <w:numFmt w:val="bullet"/>
      <w:start w:val="1"/>
    </w:lvl>
  </w:abstractNum>
  <w:abstractNum w:abstractNumId="67">
    <w:nsid w:val="4BD8591A"/>
    <w:multiLevelType w:val="hybridMultilevel"/>
    <w:lvl w:ilvl="0">
      <w:lvlJc w:val="left"/>
      <w:lvlText w:val="§"/>
      <w:numFmt w:val="bullet"/>
      <w:start w:val="1"/>
    </w:lvl>
  </w:abstractNum>
  <w:abstractNum w:abstractNumId="68">
    <w:nsid w:val="78DF6A55"/>
    <w:multiLevelType w:val="hybridMultilevel"/>
    <w:lvl w:ilvl="0">
      <w:lvlJc w:val="left"/>
      <w:lvlText w:val="§"/>
      <w:numFmt w:val="bullet"/>
      <w:start w:val="1"/>
    </w:lvl>
  </w:abstractNum>
  <w:abstractNum w:abstractNumId="69">
    <w:nsid w:val="39B7AAA2"/>
    <w:multiLevelType w:val="hybridMultilevel"/>
    <w:lvl w:ilvl="0">
      <w:lvlJc w:val="left"/>
      <w:lvlText w:val="§"/>
      <w:numFmt w:val="bullet"/>
      <w:start w:val="1"/>
    </w:lvl>
  </w:abstractNum>
  <w:abstractNum w:abstractNumId="70">
    <w:nsid w:val="2B0D8DBE"/>
    <w:multiLevelType w:val="hybridMultilevel"/>
    <w:lvl w:ilvl="0">
      <w:lvlJc w:val="left"/>
      <w:lvlText w:val="(%1)"/>
      <w:numFmt w:val="decimal"/>
      <w:start w:val="1"/>
    </w:lvl>
  </w:abstractNum>
  <w:abstractNum w:abstractNumId="71">
    <w:nsid w:val="6C80EC70"/>
    <w:multiLevelType w:val="hybridMultilevel"/>
    <w:lvl w:ilvl="0">
      <w:lvlJc w:val="left"/>
      <w:lvlText w:val="§"/>
      <w:numFmt w:val="bullet"/>
      <w:start w:val="1"/>
    </w:lvl>
  </w:abstractNum>
  <w:abstractNum w:abstractNumId="72">
    <w:nsid w:val="379E21B5"/>
    <w:multiLevelType w:val="hybridMultilevel"/>
    <w:lvl w:ilvl="0">
      <w:lvlJc w:val="left"/>
      <w:lvlText w:val="§"/>
      <w:numFmt w:val="bullet"/>
      <w:start w:val="1"/>
    </w:lvl>
  </w:abstractNum>
  <w:abstractNum w:abstractNumId="73">
    <w:nsid w:val="69E373"/>
    <w:multiLevelType w:val="hybridMultilevel"/>
    <w:lvl w:ilvl="0">
      <w:lvlJc w:val="left"/>
      <w:lvlText w:val="§"/>
      <w:numFmt w:val="bullet"/>
      <w:start w:val="1"/>
    </w:lvl>
  </w:abstractNum>
  <w:abstractNum w:abstractNumId="74">
    <w:nsid w:val="2C27173B"/>
    <w:multiLevelType w:val="hybridMultilevel"/>
    <w:lvl w:ilvl="0">
      <w:lvlJc w:val="left"/>
      <w:lvlText w:val="§"/>
      <w:numFmt w:val="bullet"/>
      <w:start w:val="1"/>
    </w:lvl>
  </w:abstractNum>
  <w:abstractNum w:abstractNumId="75">
    <w:nsid w:val="4C9B0904"/>
    <w:multiLevelType w:val="hybridMultilevel"/>
    <w:lvl w:ilvl="0">
      <w:lvlJc w:val="left"/>
      <w:lvlText w:val="§"/>
      <w:numFmt w:val="bullet"/>
      <w:start w:val="1"/>
    </w:lvl>
  </w:abstractNum>
  <w:abstractNum w:abstractNumId="76">
    <w:nsid w:val="6AA7B75C"/>
    <w:multiLevelType w:val="hybridMultilevel"/>
    <w:lvl w:ilvl="0">
      <w:lvlJc w:val="left"/>
      <w:lvlText w:val="§"/>
      <w:numFmt w:val="bullet"/>
      <w:start w:val="1"/>
    </w:lvl>
  </w:abstractNum>
  <w:abstractNum w:abstractNumId="77">
    <w:nsid w:val="1DF029D3"/>
    <w:multiLevelType w:val="hybridMultilevel"/>
    <w:lvl w:ilvl="0">
      <w:lvlJc w:val="left"/>
      <w:lvlText w:val="§"/>
      <w:numFmt w:val="bullet"/>
      <w:start w:val="1"/>
    </w:lvl>
  </w:abstractNum>
  <w:abstractNum w:abstractNumId="78">
    <w:nsid w:val="5675FF36"/>
    <w:multiLevelType w:val="hybridMultilevel"/>
    <w:lvl w:ilvl="0">
      <w:lvlJc w:val="left"/>
      <w:lvlText w:val="§"/>
      <w:numFmt w:val="bullet"/>
      <w:start w:val="1"/>
    </w:lvl>
  </w:abstractNum>
  <w:abstractNum w:abstractNumId="79">
    <w:nsid w:val="3DD15094"/>
    <w:multiLevelType w:val="hybridMultilevel"/>
    <w:lvl w:ilvl="0">
      <w:lvlJc w:val="left"/>
      <w:lvlText w:val="§"/>
      <w:numFmt w:val="bullet"/>
      <w:start w:val="1"/>
    </w:lvl>
  </w:abstractNum>
  <w:abstractNum w:abstractNumId="80">
    <w:nsid w:val="3DB012B3"/>
    <w:multiLevelType w:val="hybridMultilevel"/>
    <w:lvl w:ilvl="0">
      <w:lvlJc w:val="left"/>
      <w:lvlText w:val="§"/>
      <w:numFmt w:val="bullet"/>
      <w:start w:val="1"/>
    </w:lvl>
  </w:abstractNum>
  <w:abstractNum w:abstractNumId="81">
    <w:nsid w:val="2708C9AF"/>
    <w:multiLevelType w:val="hybridMultilevel"/>
    <w:lvl w:ilvl="0">
      <w:lvlJc w:val="left"/>
      <w:lvlText w:val="§"/>
      <w:numFmt w:val="bullet"/>
      <w:start w:val="1"/>
    </w:lvl>
  </w:abstractNum>
  <w:abstractNum w:abstractNumId="82">
    <w:nsid w:val="5B25ACE2"/>
    <w:multiLevelType w:val="hybridMultilevel"/>
    <w:lvl w:ilvl="0">
      <w:lvlJc w:val="left"/>
      <w:lvlText w:val="§"/>
      <w:numFmt w:val="bullet"/>
      <w:start w:val="1"/>
    </w:lvl>
  </w:abstractNum>
  <w:abstractNum w:abstractNumId="83">
    <w:nsid w:val="175DFCF0"/>
    <w:multiLevelType w:val="hybridMultilevel"/>
    <w:lvl w:ilvl="0">
      <w:lvlJc w:val="left"/>
      <w:lvlText w:val="§"/>
      <w:numFmt w:val="bullet"/>
      <w:start w:val="1"/>
    </w:lvl>
  </w:abstractNum>
  <w:abstractNum w:abstractNumId="84">
    <w:nsid w:val="4F97E3E4"/>
    <w:multiLevelType w:val="hybridMultilevel"/>
    <w:lvl w:ilvl="0">
      <w:lvlJc w:val="left"/>
      <w:lvlText w:val="§"/>
      <w:numFmt w:val="bullet"/>
      <w:start w:val="1"/>
    </w:lvl>
  </w:abstractNum>
  <w:abstractNum w:abstractNumId="85">
    <w:nsid w:val="53B0A9E"/>
    <w:multiLevelType w:val="hybridMultilevel"/>
    <w:lvl w:ilvl="0">
      <w:lvlJc w:val="left"/>
      <w:lvlText w:val="§"/>
      <w:numFmt w:val="bullet"/>
      <w:start w:val="1"/>
    </w:lvl>
  </w:abstractNum>
  <w:abstractNum w:abstractNumId="86">
    <w:nsid w:val="34FD6B4F"/>
    <w:multiLevelType w:val="hybridMultilevel"/>
    <w:lvl w:ilvl="0">
      <w:lvlJc w:val="left"/>
      <w:lvlText w:val="§"/>
      <w:numFmt w:val="bullet"/>
      <w:start w:val="1"/>
    </w:lvl>
  </w:abstractNum>
  <w:abstractNum w:abstractNumId="87">
    <w:nsid w:val="5915FF32"/>
    <w:multiLevelType w:val="hybridMultilevel"/>
    <w:lvl w:ilvl="0">
      <w:lvlJc w:val="left"/>
      <w:lvlText w:val="§"/>
      <w:numFmt w:val="bullet"/>
      <w:start w:val="1"/>
    </w:lvl>
  </w:abstractNum>
  <w:abstractNum w:abstractNumId="88">
    <w:nsid w:val="56438D15"/>
    <w:multiLevelType w:val="hybridMultilevel"/>
    <w:lvl w:ilvl="0">
      <w:lvlJc w:val="left"/>
      <w:lvlText w:val="§"/>
      <w:numFmt w:val="bullet"/>
      <w:start w:val="1"/>
    </w:lvl>
  </w:abstractNum>
  <w:abstractNum w:abstractNumId="89">
    <w:nsid w:val="519E3149"/>
    <w:multiLevelType w:val="hybridMultilevel"/>
    <w:lvl w:ilvl="0">
      <w:lvlJc w:val="left"/>
      <w:lvlText w:val="§"/>
      <w:numFmt w:val="bullet"/>
      <w:start w:val="1"/>
    </w:lvl>
  </w:abstractNum>
  <w:abstractNum w:abstractNumId="90">
    <w:nsid w:val="2C6E4AFD"/>
    <w:multiLevelType w:val="hybridMultilevel"/>
    <w:lvl w:ilvl="0">
      <w:lvlJc w:val="left"/>
      <w:lvlText w:val="§"/>
      <w:numFmt w:val="bullet"/>
      <w:start w:val="1"/>
    </w:lvl>
  </w:abstractNum>
  <w:abstractNum w:abstractNumId="91">
    <w:nsid w:val="17A1B582"/>
    <w:multiLevelType w:val="hybridMultilevel"/>
    <w:lvl w:ilvl="0">
      <w:lvlJc w:val="left"/>
      <w:lvlText w:val="§"/>
      <w:numFmt w:val="bullet"/>
      <w:start w:val="1"/>
    </w:lvl>
  </w:abstractNum>
  <w:abstractNum w:abstractNumId="92">
    <w:nsid w:val="4DF72E4E"/>
    <w:multiLevelType w:val="hybridMultilevel"/>
    <w:lvl w:ilvl="0">
      <w:lvlJc w:val="left"/>
      <w:lvlText w:val="§"/>
      <w:numFmt w:val="bullet"/>
      <w:start w:val="1"/>
    </w:lvl>
  </w:abstractNum>
  <w:abstractNum w:abstractNumId="93">
    <w:nsid w:val="5046B5A9"/>
    <w:multiLevelType w:val="hybridMultilevel"/>
    <w:lvl w:ilvl="0">
      <w:lvlJc w:val="left"/>
      <w:lvlText w:val="§"/>
      <w:numFmt w:val="bullet"/>
      <w:start w:val="1"/>
    </w:lvl>
  </w:abstractNum>
  <w:abstractNum w:abstractNumId="94">
    <w:nsid w:val="5D888A08"/>
    <w:multiLevelType w:val="hybridMultilevel"/>
    <w:lvl w:ilvl="0">
      <w:lvlJc w:val="left"/>
      <w:lvlText w:val="§"/>
      <w:numFmt w:val="bullet"/>
      <w:start w:val="1"/>
    </w:lvl>
    <w:lvl w:ilvl="1">
      <w:lvlJc w:val="left"/>
      <w:lvlText w:val="□"/>
      <w:numFmt w:val="bullet"/>
      <w:start w:val="1"/>
    </w:lvl>
  </w:abstractNum>
  <w:abstractNum w:abstractNumId="95">
    <w:nsid w:val="2A082C70"/>
    <w:multiLevelType w:val="hybridMultilevel"/>
    <w:lvl w:ilvl="0">
      <w:lvlJc w:val="left"/>
      <w:lvlText w:val="§"/>
      <w:numFmt w:val="bullet"/>
      <w:start w:val="1"/>
    </w:lvl>
  </w:abstractNum>
  <w:abstractNum w:abstractNumId="96">
    <w:nsid w:val="5EC6AFD4"/>
    <w:multiLevelType w:val="hybridMultilevel"/>
    <w:lvl w:ilvl="0">
      <w:lvlJc w:val="left"/>
      <w:lvlText w:val="§"/>
      <w:numFmt w:val="bullet"/>
      <w:start w:val="1"/>
    </w:lvl>
  </w:abstractNum>
  <w:abstractNum w:abstractNumId="97">
    <w:nsid w:val="19E21BB2"/>
    <w:multiLevelType w:val="hybridMultilevel"/>
    <w:lvl w:ilvl="0">
      <w:lvlJc w:val="left"/>
      <w:lvlText w:val="§"/>
      <w:numFmt w:val="bullet"/>
      <w:start w:val="1"/>
    </w:lvl>
  </w:abstractNum>
  <w:abstractNum w:abstractNumId="98">
    <w:nsid w:val="75E0858A"/>
    <w:multiLevelType w:val="hybridMultilevel"/>
    <w:lvl w:ilvl="0">
      <w:lvlJc w:val="left"/>
      <w:lvlText w:val="(%1)"/>
      <w:numFmt w:val="decimal"/>
      <w:start w:val="1"/>
    </w:lvl>
  </w:abstractNum>
  <w:abstractNum w:abstractNumId="99">
    <w:nsid w:val="57A61A29"/>
    <w:multiLevelType w:val="hybridMultilevel"/>
    <w:lvl w:ilvl="0">
      <w:lvlJc w:val="left"/>
      <w:lvlText w:val="§"/>
      <w:numFmt w:val="bullet"/>
      <w:start w:val="1"/>
    </w:lvl>
    <w:lvl w:ilvl="1">
      <w:lvlJc w:val="left"/>
      <w:lvlText w:val="□"/>
      <w:numFmt w:val="bullet"/>
      <w:start w:val="1"/>
    </w:lvl>
  </w:abstractNum>
  <w:abstractNum w:abstractNumId="100">
    <w:nsid w:val="5399C654"/>
    <w:multiLevelType w:val="hybridMultilevel"/>
    <w:lvl w:ilvl="0">
      <w:lvlJc w:val="left"/>
      <w:lvlText w:val="§"/>
      <w:numFmt w:val="bullet"/>
      <w:start w:val="1"/>
    </w:lvl>
    <w:lvl w:ilvl="1">
      <w:lvlJc w:val="left"/>
      <w:lvlText w:val="□"/>
      <w:numFmt w:val="bullet"/>
      <w:start w:val="1"/>
    </w:lvl>
  </w:abstractNum>
  <w:abstractNum w:abstractNumId="101">
    <w:nsid w:val="20EE1348"/>
    <w:multiLevelType w:val="hybridMultilevel"/>
    <w:lvl w:ilvl="0">
      <w:lvlJc w:val="left"/>
      <w:lvlText w:val="(%1)"/>
      <w:numFmt w:val="decimal"/>
      <w:start w:val="1"/>
    </w:lvl>
  </w:abstractNum>
  <w:abstractNum w:abstractNumId="102">
    <w:nsid w:val="4427069A"/>
    <w:multiLevelType w:val="hybridMultilevel"/>
    <w:lvl w:ilvl="0">
      <w:lvlJc w:val="left"/>
      <w:lvlText w:val="§"/>
      <w:numFmt w:val="bullet"/>
      <w:start w:val="1"/>
    </w:lvl>
  </w:abstractNum>
  <w:abstractNum w:abstractNumId="103">
    <w:nsid w:val="B37E80A"/>
    <w:multiLevelType w:val="hybridMultilevel"/>
    <w:lvl w:ilvl="0">
      <w:lvlJc w:val="left"/>
      <w:lvlText w:val="§"/>
      <w:numFmt w:val="bullet"/>
      <w:start w:val="1"/>
    </w:lvl>
  </w:abstractNum>
  <w:abstractNum w:abstractNumId="104">
    <w:nsid w:val="2157F6BC"/>
    <w:multiLevelType w:val="hybridMultilevel"/>
    <w:lvl w:ilvl="0">
      <w:lvlJc w:val="left"/>
      <w:lvlText w:val="(%1)"/>
      <w:numFmt w:val="decimal"/>
      <w:start w:val="1"/>
    </w:lvl>
  </w:abstractNum>
  <w:abstractNum w:abstractNumId="105">
    <w:nsid w:val="704E1DD5"/>
    <w:multiLevelType w:val="hybridMultilevel"/>
    <w:lvl w:ilvl="0">
      <w:lvlJc w:val="left"/>
      <w:lvlText w:val="§"/>
      <w:numFmt w:val="bullet"/>
      <w:start w:val="1"/>
    </w:lvl>
  </w:abstractNum>
  <w:abstractNum w:abstractNumId="106">
    <w:nsid w:val="57D2F10E"/>
    <w:multiLevelType w:val="hybridMultilevel"/>
    <w:lvl w:ilvl="0">
      <w:lvlJc w:val="left"/>
      <w:lvlText w:val="§"/>
      <w:numFmt w:val="bullet"/>
      <w:start w:val="1"/>
    </w:lvl>
  </w:abstractNum>
  <w:abstractNum w:abstractNumId="107">
    <w:nsid w:val="BFFAE18"/>
    <w:multiLevelType w:val="hybridMultilevel"/>
    <w:lvl w:ilvl="0">
      <w:lvlJc w:val="left"/>
      <w:lvlText w:val="(%1)"/>
      <w:numFmt w:val="decimal"/>
      <w:start w:val="1"/>
    </w:lvl>
  </w:abstractNum>
  <w:abstractNum w:abstractNumId="108">
    <w:nsid w:val="E3E47A8"/>
    <w:multiLevelType w:val="hybridMultilevel"/>
    <w:lvl w:ilvl="0">
      <w:lvlJc w:val="left"/>
      <w:lvlText w:val="§"/>
      <w:numFmt w:val="bullet"/>
      <w:start w:val="1"/>
    </w:lvl>
  </w:abstractNum>
  <w:abstractNum w:abstractNumId="109">
    <w:nsid w:val="2E48F044"/>
    <w:multiLevelType w:val="hybridMultilevel"/>
    <w:lvl w:ilvl="0">
      <w:lvlJc w:val="left"/>
      <w:lvlText w:val="§"/>
      <w:numFmt w:val="bullet"/>
      <w:start w:val="1"/>
    </w:lvl>
  </w:abstractNum>
  <w:abstractNum w:abstractNumId="110">
    <w:nsid w:val="49D0FEAC"/>
    <w:multiLevelType w:val="hybridMultilevel"/>
    <w:lvl w:ilvl="0">
      <w:lvlJc w:val="left"/>
      <w:lvlText w:val="§"/>
      <w:numFmt w:val="bullet"/>
      <w:start w:val="1"/>
    </w:lvl>
  </w:abstractNum>
  <w:abstractNum w:abstractNumId="111">
    <w:nsid w:val="4BEE5A5B"/>
    <w:multiLevelType w:val="hybridMultilevel"/>
    <w:lvl w:ilvl="0">
      <w:lvlJc w:val="left"/>
      <w:lvlText w:val="§"/>
      <w:numFmt w:val="bullet"/>
      <w:start w:val="1"/>
    </w:lvl>
  </w:abstractNum>
  <w:abstractNum w:abstractNumId="112">
    <w:nsid w:val="5551B9F3"/>
    <w:multiLevelType w:val="hybridMultilevel"/>
    <w:lvl w:ilvl="0">
      <w:lvlJc w:val="left"/>
      <w:lvlText w:val="§"/>
      <w:numFmt w:val="bullet"/>
      <w:start w:val="1"/>
    </w:lvl>
  </w:abstractNum>
  <w:abstractNum w:abstractNumId="113">
    <w:nsid w:val="24F6AB8E"/>
    <w:multiLevelType w:val="hybridMultilevel"/>
    <w:lvl w:ilvl="0">
      <w:lvlJc w:val="left"/>
      <w:lvlText w:val="§"/>
      <w:numFmt w:val="bullet"/>
      <w:start w:val="1"/>
    </w:lvl>
  </w:abstractNum>
  <w:abstractNum w:abstractNumId="114">
    <w:nsid w:val="634C574C"/>
    <w:multiLevelType w:val="hybridMultilevel"/>
    <w:lvl w:ilvl="0">
      <w:lvlJc w:val="left"/>
      <w:lvlText w:val="§"/>
      <w:numFmt w:val="bullet"/>
      <w:start w:val="1"/>
    </w:lvl>
  </w:abstractNum>
  <w:abstractNum w:abstractNumId="115">
    <w:nsid w:val="24E99DD7"/>
    <w:multiLevelType w:val="hybridMultilevel"/>
    <w:lvl w:ilvl="0">
      <w:lvlJc w:val="left"/>
      <w:lvlText w:val="§"/>
      <w:numFmt w:val="bullet"/>
      <w:start w:val="1"/>
    </w:lvl>
  </w:abstractNum>
  <w:abstractNum w:abstractNumId="116">
    <w:nsid w:val="2A31B62D"/>
    <w:multiLevelType w:val="hybridMultilevel"/>
    <w:lvl w:ilvl="0">
      <w:lvlJc w:val="left"/>
      <w:lvlText w:val="§"/>
      <w:numFmt w:val="bullet"/>
      <w:start w:val="1"/>
    </w:lvl>
  </w:abstractNum>
  <w:abstractNum w:abstractNumId="117">
    <w:nsid w:val="1849C29B"/>
    <w:multiLevelType w:val="hybridMultilevel"/>
    <w:lvl w:ilvl="0">
      <w:lvlJc w:val="left"/>
      <w:lvlText w:val="§"/>
      <w:numFmt w:val="bullet"/>
      <w:start w:val="1"/>
    </w:lvl>
  </w:abstractNum>
  <w:abstractNum w:abstractNumId="118">
    <w:nsid w:val="7DFF9D09"/>
    <w:multiLevelType w:val="hybridMultilevel"/>
    <w:lvl w:ilvl="0">
      <w:lvlJc w:val="left"/>
      <w:lvlText w:val="§"/>
      <w:numFmt w:val="bullet"/>
      <w:start w:val="1"/>
    </w:lvl>
  </w:abstractNum>
  <w:abstractNum w:abstractNumId="119">
    <w:nsid w:val="754342"/>
    <w:multiLevelType w:val="hybridMultilevel"/>
    <w:lvl w:ilvl="0">
      <w:lvlJc w:val="left"/>
      <w:lvlText w:val="§"/>
      <w:numFmt w:val="bullet"/>
      <w:start w:val="1"/>
    </w:lvl>
  </w:abstractNum>
  <w:abstractNum w:abstractNumId="120">
    <w:nsid w:val="69E7F3E5"/>
    <w:multiLevelType w:val="hybridMultilevel"/>
    <w:lvl w:ilvl="0">
      <w:lvlJc w:val="left"/>
      <w:lvlText w:val="§"/>
      <w:numFmt w:val="bullet"/>
      <w:start w:val="1"/>
    </w:lvl>
  </w:abstractNum>
  <w:abstractNum w:abstractNumId="121">
    <w:nsid w:val="2A6DE806"/>
    <w:multiLevelType w:val="hybridMultilevel"/>
    <w:lvl w:ilvl="0">
      <w:lvlJc w:val="left"/>
      <w:lvlText w:val="§"/>
      <w:numFmt w:val="bullet"/>
      <w:start w:val="1"/>
    </w:lvl>
  </w:abstractNum>
  <w:abstractNum w:abstractNumId="122">
    <w:nsid w:val="1816F8C4"/>
    <w:multiLevelType w:val="hybridMultilevel"/>
    <w:lvl w:ilvl="0">
      <w:lvlJc w:val="left"/>
      <w:lvlText w:val="§"/>
      <w:numFmt w:val="bullet"/>
      <w:start w:val="1"/>
    </w:lvl>
  </w:abstractNum>
  <w:abstractNum w:abstractNumId="123">
    <w:nsid w:val="37DF2233"/>
    <w:multiLevelType w:val="hybridMultilevel"/>
    <w:lvl w:ilvl="0">
      <w:lvlJc w:val="left"/>
      <w:lvlText w:val="§"/>
      <w:numFmt w:val="bullet"/>
      <w:start w:val="1"/>
    </w:lvl>
  </w:abstractNum>
  <w:abstractNum w:abstractNumId="124">
    <w:nsid w:val="7AB49DAF"/>
    <w:multiLevelType w:val="hybridMultilevel"/>
    <w:lvl w:ilvl="0">
      <w:lvlJc w:val="left"/>
      <w:lvlText w:val="§"/>
      <w:numFmt w:val="bullet"/>
      <w:start w:val="1"/>
    </w:lvl>
  </w:abstractNum>
  <w:abstractNum w:abstractNumId="125">
    <w:nsid w:val="759F82CD"/>
    <w:multiLevelType w:val="hybridMultilevel"/>
    <w:lvl w:ilvl="0">
      <w:lvlJc w:val="left"/>
      <w:lvlText w:val="§"/>
      <w:numFmt w:val="bullet"/>
      <w:start w:val="1"/>
    </w:lvl>
  </w:abstractNum>
  <w:abstractNum w:abstractNumId="126">
    <w:nsid w:val="61E74EA3"/>
    <w:multiLevelType w:val="hybridMultilevel"/>
    <w:lvl w:ilvl="0">
      <w:lvlJc w:val="left"/>
      <w:lvlText w:val="§"/>
      <w:numFmt w:val="bullet"/>
      <w:start w:val="1"/>
    </w:lvl>
  </w:abstractNum>
  <w:abstractNum w:abstractNumId="127">
    <w:nsid w:val="597B4D84"/>
    <w:multiLevelType w:val="hybridMultilevel"/>
    <w:lvl w:ilvl="0">
      <w:lvlJc w:val="left"/>
      <w:lvlText w:val="(%1)"/>
      <w:numFmt w:val="decimal"/>
      <w:start w:val="1"/>
    </w:lvl>
  </w:abstractNum>
  <w:abstractNum w:abstractNumId="128">
    <w:nsid w:val="F819E7F"/>
    <w:multiLevelType w:val="hybridMultilevel"/>
    <w:lvl w:ilvl="0">
      <w:lvlJc w:val="left"/>
      <w:lvlText w:val="§"/>
      <w:numFmt w:val="bullet"/>
      <w:start w:val="1"/>
    </w:lvl>
  </w:abstractNum>
  <w:abstractNum w:abstractNumId="129">
    <w:nsid w:val="57C7D42D"/>
    <w:multiLevelType w:val="hybridMultilevel"/>
    <w:lvl w:ilvl="0">
      <w:lvlJc w:val="left"/>
      <w:lvlText w:val="§"/>
      <w:numFmt w:val="bullet"/>
      <w:start w:val="1"/>
    </w:lvl>
  </w:abstractNum>
  <w:abstractNum w:abstractNumId="130">
    <w:nsid w:val="312167AD"/>
    <w:multiLevelType w:val="hybridMultilevel"/>
    <w:lvl w:ilvl="0">
      <w:lvlJc w:val="left"/>
      <w:lvlText w:val="§"/>
      <w:numFmt w:val="bullet"/>
      <w:start w:val="1"/>
    </w:lvl>
  </w:abstractNum>
  <w:abstractNum w:abstractNumId="131">
    <w:nsid w:val="631B64D4"/>
    <w:multiLevelType w:val="hybridMultilevel"/>
    <w:lvl w:ilvl="0">
      <w:lvlJc w:val="left"/>
      <w:lvlText w:val="§"/>
      <w:numFmt w:val="bullet"/>
      <w:start w:val="1"/>
    </w:lvl>
    <w:lvl w:ilvl="1">
      <w:lvlJc w:val="left"/>
      <w:lvlText w:val="□"/>
      <w:numFmt w:val="bullet"/>
      <w:start w:val="1"/>
    </w:lvl>
  </w:abstractNum>
  <w:abstractNum w:abstractNumId="132">
    <w:nsid w:val="78B5E776"/>
    <w:multiLevelType w:val="hybridMultilevel"/>
    <w:lvl w:ilvl="0">
      <w:lvlJc w:val="left"/>
      <w:lvlText w:val="§"/>
      <w:numFmt w:val="bullet"/>
      <w:start w:val="1"/>
    </w:lvl>
    <w:lvl w:ilvl="1">
      <w:lvlJc w:val="left"/>
      <w:lvlText w:val="□"/>
      <w:numFmt w:val="bullet"/>
      <w:start w:val="1"/>
    </w:lvl>
  </w:abstractNum>
  <w:abstractNum w:abstractNumId="133">
    <w:nsid w:val="75486E47"/>
    <w:multiLevelType w:val="hybridMultilevel"/>
    <w:lvl w:ilvl="0">
      <w:lvlJc w:val="left"/>
      <w:lvlText w:val="§"/>
      <w:numFmt w:val="bullet"/>
      <w:start w:val="1"/>
    </w:lvl>
  </w:abstractNum>
  <w:abstractNum w:abstractNumId="134">
    <w:nsid w:val="6E534CDE"/>
    <w:multiLevelType w:val="hybridMultilevel"/>
    <w:lvl w:ilvl="0">
      <w:lvlJc w:val="left"/>
      <w:lvlText w:val="§"/>
      <w:numFmt w:val="bullet"/>
      <w:start w:val="1"/>
    </w:lvl>
  </w:abstractNum>
  <w:abstractNum w:abstractNumId="135">
    <w:nsid w:val="1A0DDE32"/>
    <w:multiLevelType w:val="hybridMultilevel"/>
    <w:lvl w:ilvl="0">
      <w:lvlJc w:val="left"/>
      <w:lvlText w:val="§"/>
      <w:numFmt w:val="bullet"/>
      <w:start w:val="1"/>
    </w:lvl>
  </w:abstractNum>
  <w:abstractNum w:abstractNumId="136">
    <w:nsid w:val="65968C1C"/>
    <w:multiLevelType w:val="hybridMultilevel"/>
    <w:lvl w:ilvl="0">
      <w:lvlJc w:val="left"/>
      <w:lvlText w:val="§"/>
      <w:numFmt w:val="bullet"/>
      <w:start w:val="1"/>
    </w:lvl>
  </w:abstractNum>
  <w:abstractNum w:abstractNumId="137">
    <w:nsid w:val="46263DEC"/>
    <w:multiLevelType w:val="hybridMultilevel"/>
    <w:lvl w:ilvl="0">
      <w:lvlJc w:val="left"/>
      <w:lvlText w:val="§"/>
      <w:numFmt w:val="bullet"/>
      <w:start w:val="1"/>
    </w:lvl>
  </w:abstractNum>
  <w:abstractNum w:abstractNumId="138">
    <w:nsid w:val="260D8C4A"/>
    <w:multiLevelType w:val="hybridMultilevel"/>
    <w:lvl w:ilvl="0">
      <w:lvlJc w:val="left"/>
      <w:lvlText w:val="§"/>
      <w:numFmt w:val="bullet"/>
      <w:start w:val="1"/>
    </w:lvl>
  </w:abstractNum>
  <w:abstractNum w:abstractNumId="139">
    <w:nsid w:val="73D4D3C4"/>
    <w:multiLevelType w:val="hybridMultilevel"/>
    <w:lvl w:ilvl="0">
      <w:lvlJc w:val="left"/>
      <w:lvlText w:val="§"/>
      <w:numFmt w:val="bullet"/>
      <w:start w:val="1"/>
    </w:lvl>
    <w:lvl w:ilvl="1">
      <w:lvlJc w:val="left"/>
      <w:lvlText w:val="□"/>
      <w:numFmt w:val="bullet"/>
      <w:start w:val="1"/>
    </w:lvl>
  </w:abstractNum>
  <w:abstractNum w:abstractNumId="140">
    <w:nsid w:val="746F2E30"/>
    <w:multiLevelType w:val="hybridMultilevel"/>
    <w:lvl w:ilvl="0">
      <w:lvlJc w:val="left"/>
      <w:lvlText w:val="§"/>
      <w:numFmt w:val="bullet"/>
      <w:start w:val="1"/>
    </w:lvl>
  </w:abstractNum>
  <w:abstractNum w:abstractNumId="141">
    <w:nsid w:val="6FDE8AF6"/>
    <w:multiLevelType w:val="hybridMultilevel"/>
    <w:lvl w:ilvl="0">
      <w:lvlJc w:val="left"/>
      <w:lvlText w:val="§"/>
      <w:numFmt w:val="bullet"/>
      <w:start w:val="1"/>
    </w:lvl>
  </w:abstractNum>
  <w:abstractNum w:abstractNumId="142">
    <w:nsid w:val="3FC32E20"/>
    <w:multiLevelType w:val="hybridMultilevel"/>
    <w:lvl w:ilvl="0">
      <w:lvlJc w:val="left"/>
      <w:lvlText w:val="§"/>
      <w:numFmt w:val="bullet"/>
      <w:start w:val="1"/>
    </w:lvl>
  </w:abstractNum>
  <w:abstractNum w:abstractNumId="143">
    <w:nsid w:val="49C0E823"/>
    <w:multiLevelType w:val="hybridMultilevel"/>
    <w:lvl w:ilvl="0">
      <w:lvlJc w:val="left"/>
      <w:lvlText w:val="§"/>
      <w:numFmt w:val="bullet"/>
      <w:start w:val="1"/>
    </w:lvl>
  </w:abstractNum>
  <w:abstractNum w:abstractNumId="144">
    <w:nsid w:val="14D53685"/>
    <w:multiLevelType w:val="hybridMultilevel"/>
    <w:lvl w:ilvl="0">
      <w:lvlJc w:val="left"/>
      <w:lvlText w:val="§"/>
      <w:numFmt w:val="bullet"/>
      <w:start w:val="1"/>
    </w:lvl>
  </w:abstractNum>
  <w:abstractNum w:abstractNumId="145">
    <w:nsid w:val="230F856C"/>
    <w:multiLevelType w:val="hybridMultilevel"/>
    <w:lvl w:ilvl="0">
      <w:lvlJc w:val="left"/>
      <w:lvlText w:val="§"/>
      <w:numFmt w:val="bullet"/>
      <w:start w:val="1"/>
    </w:lvl>
  </w:abstractNum>
  <w:abstractNum w:abstractNumId="146">
    <w:nsid w:val="6EAA85FB"/>
    <w:multiLevelType w:val="hybridMultilevel"/>
    <w:lvl w:ilvl="0">
      <w:lvlJc w:val="left"/>
      <w:lvlText w:val="§"/>
      <w:numFmt w:val="bullet"/>
      <w:start w:val="1"/>
    </w:lvl>
  </w:abstractNum>
  <w:abstractNum w:abstractNumId="147">
    <w:nsid w:val="3F06ECB2"/>
    <w:multiLevelType w:val="hybridMultilevel"/>
    <w:lvl w:ilvl="0">
      <w:lvlJc w:val="left"/>
      <w:lvlText w:val="(%1)"/>
      <w:numFmt w:val="decimal"/>
      <w:start w:val="1"/>
    </w:lvl>
  </w:abstractNum>
  <w:abstractNum w:abstractNumId="148">
    <w:nsid w:val="3B594807"/>
    <w:multiLevelType w:val="hybridMultilevel"/>
    <w:lvl w:ilvl="0">
      <w:lvlJc w:val="left"/>
      <w:lvlText w:val="(%1)"/>
      <w:numFmt w:val="decimal"/>
      <w:start w:val="1"/>
    </w:lvl>
  </w:abstractNum>
  <w:abstractNum w:abstractNumId="149">
    <w:nsid w:val="6CAA2304"/>
    <w:multiLevelType w:val="hybridMultilevel"/>
    <w:lvl w:ilvl="0">
      <w:lvlJc w:val="left"/>
      <w:lvlText w:val="(%1)"/>
      <w:numFmt w:val="decimal"/>
      <w:start w:val="1"/>
    </w:lvl>
  </w:abstractNum>
  <w:abstractNum w:abstractNumId="150">
    <w:nsid w:val="3F7C2FF4"/>
    <w:multiLevelType w:val="hybridMultilevel"/>
    <w:lvl w:ilvl="0">
      <w:lvlJc w:val="left"/>
      <w:lvlText w:val="%1."/>
      <w:numFmt w:val="decimal"/>
      <w:start w:val="1"/>
    </w:lvl>
    <w:lvl w:ilvl="1">
      <w:lvlJc w:val="left"/>
      <w:lvlText w:val="%2)"/>
      <w:numFmt w:val="lowerLetter"/>
      <w:start w:val="1"/>
    </w:lvl>
  </w:abstractNum>
  <w:abstractNum w:abstractNumId="151">
    <w:nsid w:val="25413BEC"/>
    <w:multiLevelType w:val="hybridMultilevel"/>
    <w:lvl w:ilvl="0">
      <w:lvlJc w:val="left"/>
      <w:lvlText w:val="%1."/>
      <w:numFmt w:val="decimal"/>
      <w:start w:val="1"/>
    </w:lvl>
    <w:lvl w:ilvl="1">
      <w:lvlJc w:val="left"/>
      <w:lvlText w:val="%2)"/>
      <w:numFmt w:val="lowerLetter"/>
      <w:start w:val="1"/>
    </w:lvl>
  </w:abstractNum>
  <w:abstractNum w:abstractNumId="152">
    <w:nsid w:val="17180B0B"/>
    <w:multiLevelType w:val="hybridMultilevel"/>
    <w:lvl w:ilvl="0">
      <w:lvlJc w:val="left"/>
      <w:lvlText w:val="%1."/>
      <w:numFmt w:val="decimal"/>
      <w:start w:val="1"/>
    </w:lvl>
    <w:lvl w:ilvl="1">
      <w:lvlJc w:val="left"/>
      <w:lvlText w:val="%2)"/>
      <w:numFmt w:val="lowerLetter"/>
      <w:start w:val="1"/>
    </w:lvl>
  </w:abstractNum>
  <w:abstractNum w:abstractNumId="153">
    <w:nsid w:val="579328B9"/>
    <w:multiLevelType w:val="hybridMultilevel"/>
    <w:lvl w:ilvl="0">
      <w:lvlJc w:val="left"/>
      <w:lvlText w:val="%1."/>
      <w:numFmt w:val="decimal"/>
      <w:start w:val="1"/>
    </w:lvl>
    <w:lvl w:ilvl="1">
      <w:lvlJc w:val="left"/>
      <w:lvlText w:val="%2)"/>
      <w:numFmt w:val="lowerLetter"/>
      <w:start w:val="1"/>
    </w:lvl>
  </w:abstractNum>
  <w:abstractNum w:abstractNumId="154">
    <w:nsid w:val="5D205E20"/>
    <w:multiLevelType w:val="hybridMultilevel"/>
    <w:lvl w:ilvl="0">
      <w:lvlJc w:val="left"/>
      <w:lvlText w:val="%1."/>
      <w:numFmt w:val="decimal"/>
      <w:start w:val="1"/>
    </w:lvl>
    <w:lvl w:ilvl="1">
      <w:lvlJc w:val="left"/>
      <w:lvlText w:val="%2)"/>
      <w:numFmt w:val="lowerLetter"/>
      <w:start w:val="1"/>
    </w:lvl>
  </w:abstractNum>
  <w:abstractNum w:abstractNumId="155">
    <w:nsid w:val="11CCA8BA"/>
    <w:multiLevelType w:val="hybridMultilevel"/>
    <w:lvl w:ilvl="0">
      <w:lvlJc w:val="left"/>
      <w:lvlText w:val="%1."/>
      <w:numFmt w:val="decimal"/>
      <w:start w:val="1"/>
    </w:lvl>
    <w:lvl w:ilvl="1">
      <w:lvlJc w:val="left"/>
      <w:lvlText w:val="%2)"/>
      <w:numFmt w:val="lowerLetter"/>
      <w:start w:val="1"/>
    </w:lvl>
  </w:abstractNum>
  <w:abstractNum w:abstractNumId="156">
    <w:nsid w:val="4D32AB86"/>
    <w:multiLevelType w:val="hybridMultilevel"/>
    <w:lvl w:ilvl="0">
      <w:lvlJc w:val="left"/>
      <w:lvlText w:val="(%1)"/>
      <w:numFmt w:val="lowerRoman"/>
      <w:start w:val="1"/>
    </w:lvl>
  </w:abstractNum>
  <w:abstractNum w:abstractNumId="157">
    <w:nsid w:val="3F07ACC3"/>
    <w:multiLevelType w:val="hybridMultilevel"/>
    <w:lvl w:ilvl="0">
      <w:lvlJc w:val="left"/>
      <w:lvlText w:val="(%1)"/>
      <w:numFmt w:val="lowerRoman"/>
      <w:start w:val="1"/>
    </w:lvl>
  </w:abstractNum>
  <w:abstractNum w:abstractNumId="158">
    <w:nsid w:val="6B47F63E"/>
    <w:multiLevelType w:val="hybridMultilevel"/>
    <w:lvl w:ilvl="0">
      <w:lvlJc w:val="left"/>
      <w:lvlText w:val="(%1)"/>
      <w:numFmt w:val="lowerRoman"/>
      <w:start w:val="1"/>
    </w:lvl>
  </w:abstractNum>
  <w:abstractNum w:abstractNumId="159">
    <w:nsid w:val="5CB44A05"/>
    <w:multiLevelType w:val="hybridMultilevel"/>
    <w:lvl w:ilvl="0">
      <w:lvlJc w:val="left"/>
      <w:lvlText w:val="(%1)"/>
      <w:numFmt w:val="lowerRoman"/>
      <w:start w:val="1"/>
    </w:lvl>
  </w:abstractNum>
  <w:abstractNum w:abstractNumId="160">
    <w:nsid w:val="16CF80F1"/>
    <w:multiLevelType w:val="hybridMultilevel"/>
    <w:lvl w:ilvl="0">
      <w:lvlJc w:val="left"/>
      <w:lvlText w:val="(%1)"/>
      <w:numFmt w:val="lowerRoman"/>
      <w:start w:val="1"/>
    </w:lvl>
  </w:abstractNum>
  <w:abstractNum w:abstractNumId="161">
    <w:nsid w:val="1C695D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2019-12-06T16:39:13Z</dcterms:created>
  <dcterms:modified xsi:type="dcterms:W3CDTF">2019-12-06T16:39:13Z</dcterms:modified>
</cp:coreProperties>
</file>