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534670</wp:posOffset>
            </wp:positionH>
            <wp:positionV relativeFrom="page">
              <wp:posOffset>328930</wp:posOffset>
            </wp:positionV>
            <wp:extent cx="650049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00495" cy="17145"/>
                    </a:xfrm>
                    <a:prstGeom prst="rect">
                      <a:avLst/>
                    </a:prstGeom>
                    <a:noFill/>
                  </pic:spPr>
                </pic:pic>
              </a:graphicData>
            </a:graphic>
          </wp:anchor>
        </w:drawing>
        <w:drawing>
          <wp:anchor simplePos="0" relativeHeight="251657728" behindDoc="1" locked="0" layoutInCell="0" allowOverlap="1">
            <wp:simplePos x="0" y="0"/>
            <wp:positionH relativeFrom="page">
              <wp:posOffset>534670</wp:posOffset>
            </wp:positionH>
            <wp:positionV relativeFrom="page">
              <wp:posOffset>363220</wp:posOffset>
            </wp:positionV>
            <wp:extent cx="650049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0495" cy="17145"/>
                    </a:xfrm>
                    <a:prstGeom prst="rect">
                      <a:avLst/>
                    </a:prstGeom>
                    <a:noFill/>
                  </pic:spPr>
                </pic:pic>
              </a:graphicData>
            </a:graphic>
          </wp:anchor>
        </w:drawing>
        <w:t>UNITED STATES</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Washington, D.C. 20549</w:t>
      </w:r>
    </w:p>
    <w:p>
      <w:pPr>
        <w:spacing w:after="0" w:line="18"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FORM 10-Q</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2" w:lineRule="exact"/>
        <w:rPr>
          <w:sz w:val="24"/>
          <w:szCs w:val="24"/>
          <w:color w:val="auto"/>
        </w:rPr>
      </w:pPr>
    </w:p>
    <w:p>
      <w:pPr>
        <w:ind w:left="540" w:hanging="531"/>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40" w:lineRule="exact"/>
        <w:rPr>
          <w:sz w:val="24"/>
          <w:szCs w:val="24"/>
          <w:color w:val="auto"/>
        </w:rPr>
      </w:pPr>
    </w:p>
    <w:p>
      <w:pPr>
        <w:ind w:left="540"/>
        <w:spacing w:after="0"/>
        <w:tabs>
          <w:tab w:leader="none" w:pos="528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6"/>
          <w:szCs w:val="16"/>
          <w:color w:val="auto"/>
        </w:rPr>
        <w:t>March 31,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3362960</wp:posOffset>
            </wp:positionH>
            <wp:positionV relativeFrom="paragraph">
              <wp:posOffset>23495</wp:posOffset>
            </wp:positionV>
            <wp:extent cx="31388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73"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or</w:t>
      </w:r>
    </w:p>
    <w:p>
      <w:pPr>
        <w:spacing w:after="0" w:line="275" w:lineRule="exact"/>
        <w:rPr>
          <w:sz w:val="24"/>
          <w:szCs w:val="24"/>
          <w:color w:val="auto"/>
        </w:rPr>
      </w:pPr>
    </w:p>
    <w:p>
      <w:pPr>
        <w:ind w:left="200" w:hanging="191"/>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TRANSITION REPORT PURSUANT TO SECTION 13 OR 15(d) OF THE SECURITIES EXCHANGE ACT OF 1934</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300" w:type="dxa"/>
            <w:vAlign w:val="bottom"/>
            <w:gridSpan w:val="3"/>
          </w:tcPr>
          <w:p>
            <w:pPr>
              <w:ind w:left="540"/>
              <w:spacing w:after="0"/>
              <w:rPr>
                <w:sz w:val="20"/>
                <w:szCs w:val="20"/>
                <w:color w:val="auto"/>
              </w:rPr>
            </w:pPr>
            <w:r>
              <w:rPr>
                <w:rFonts w:ascii="Arial" w:cs="Arial" w:eastAsia="Arial" w:hAnsi="Arial"/>
                <w:sz w:val="18"/>
                <w:szCs w:val="18"/>
                <w:color w:val="auto"/>
              </w:rPr>
              <w:t>For the transition period from</w:t>
            </w:r>
          </w:p>
        </w:tc>
        <w:tc>
          <w:tcPr>
            <w:tcW w:w="1300" w:type="dxa"/>
            <w:vAlign w:val="bottom"/>
          </w:tcPr>
          <w:p>
            <w:pPr>
              <w:ind w:left="520"/>
              <w:spacing w:after="0"/>
              <w:rPr>
                <w:sz w:val="20"/>
                <w:szCs w:val="20"/>
                <w:color w:val="auto"/>
              </w:rPr>
            </w:pPr>
            <w:r>
              <w:rPr>
                <w:rFonts w:ascii="Arial" w:cs="Arial" w:eastAsia="Arial" w:hAnsi="Arial"/>
                <w:sz w:val="18"/>
                <w:szCs w:val="18"/>
                <w:color w:val="auto"/>
              </w:rPr>
              <w:t>to</w:t>
            </w:r>
          </w:p>
        </w:tc>
        <w:tc>
          <w:tcPr>
            <w:tcW w:w="18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701"/>
        </w:trPr>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Former name, former</w:t>
            </w:r>
          </w:p>
        </w:tc>
      </w:tr>
      <w:tr>
        <w:trPr>
          <w:trHeight w:val="216"/>
        </w:trPr>
        <w:tc>
          <w:tcPr>
            <w:tcW w:w="1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address and former</w:t>
            </w:r>
          </w:p>
        </w:tc>
      </w:tr>
      <w:tr>
        <w:trPr>
          <w:trHeight w:val="216"/>
        </w:trPr>
        <w:tc>
          <w:tcPr>
            <w:tcW w:w="1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3"/>
              </w:rPr>
              <w:t>fiscal year, if</w:t>
            </w:r>
          </w:p>
        </w:tc>
      </w:tr>
      <w:tr>
        <w:trPr>
          <w:trHeight w:val="216"/>
        </w:trPr>
        <w:tc>
          <w:tcPr>
            <w:tcW w:w="1320" w:type="dxa"/>
            <w:vAlign w:val="bottom"/>
          </w:tcPr>
          <w:p>
            <w:pPr>
              <w:ind w:left="20"/>
              <w:spacing w:after="0"/>
              <w:rPr>
                <w:sz w:val="20"/>
                <w:szCs w:val="20"/>
                <w:color w:val="auto"/>
              </w:rPr>
            </w:pPr>
            <w:r>
              <w:rPr>
                <w:rFonts w:ascii="Arial" w:cs="Arial" w:eastAsia="Arial" w:hAnsi="Arial"/>
                <w:sz w:val="18"/>
                <w:szCs w:val="18"/>
                <w:color w:val="auto"/>
                <w:w w:val="96"/>
              </w:rPr>
              <w:t>Commission File</w:t>
            </w:r>
          </w:p>
        </w:tc>
        <w:tc>
          <w:tcPr>
            <w:tcW w:w="3980" w:type="dxa"/>
            <w:vAlign w:val="bottom"/>
            <w:gridSpan w:val="2"/>
          </w:tcPr>
          <w:p>
            <w:pPr>
              <w:ind w:left="260"/>
              <w:spacing w:after="0"/>
              <w:rPr>
                <w:sz w:val="20"/>
                <w:szCs w:val="20"/>
                <w:color w:val="auto"/>
              </w:rPr>
            </w:pPr>
            <w:r>
              <w:rPr>
                <w:rFonts w:ascii="Arial" w:cs="Arial" w:eastAsia="Arial" w:hAnsi="Arial"/>
                <w:sz w:val="18"/>
                <w:szCs w:val="18"/>
                <w:color w:val="auto"/>
                <w:w w:val="98"/>
              </w:rPr>
              <w:t>Exact Name of Registrants as Specified in their</w:t>
            </w:r>
          </w:p>
        </w:tc>
        <w:tc>
          <w:tcPr>
            <w:tcW w:w="1300" w:type="dxa"/>
            <w:vAlign w:val="bottom"/>
          </w:tcPr>
          <w:p>
            <w:pPr>
              <w:jc w:val="center"/>
              <w:ind w:left="150"/>
              <w:spacing w:after="0"/>
              <w:rPr>
                <w:sz w:val="20"/>
                <w:szCs w:val="20"/>
                <w:color w:val="auto"/>
              </w:rPr>
            </w:pPr>
            <w:r>
              <w:rPr>
                <w:rFonts w:ascii="Arial" w:cs="Arial" w:eastAsia="Arial" w:hAnsi="Arial"/>
                <w:sz w:val="18"/>
                <w:szCs w:val="18"/>
                <w:color w:val="auto"/>
                <w:w w:val="87"/>
              </w:rPr>
              <w:t>States of</w:t>
            </w:r>
          </w:p>
        </w:tc>
        <w:tc>
          <w:tcPr>
            <w:tcW w:w="1880" w:type="dxa"/>
            <w:vAlign w:val="bottom"/>
          </w:tcPr>
          <w:p>
            <w:pPr>
              <w:jc w:val="center"/>
              <w:ind w:left="190"/>
              <w:spacing w:after="0"/>
              <w:rPr>
                <w:sz w:val="20"/>
                <w:szCs w:val="20"/>
                <w:color w:val="auto"/>
              </w:rPr>
            </w:pPr>
            <w:r>
              <w:rPr>
                <w:rFonts w:ascii="Arial" w:cs="Arial" w:eastAsia="Arial" w:hAnsi="Arial"/>
                <w:sz w:val="18"/>
                <w:szCs w:val="18"/>
                <w:color w:val="auto"/>
                <w:w w:val="91"/>
              </w:rPr>
              <w:t>I.R.S. Employer</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changed since last</w:t>
            </w:r>
          </w:p>
        </w:tc>
      </w:tr>
      <w:tr>
        <w:trPr>
          <w:trHeight w:val="237"/>
        </w:trPr>
        <w:tc>
          <w:tcPr>
            <w:tcW w:w="132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No.</w:t>
            </w:r>
          </w:p>
        </w:tc>
        <w:tc>
          <w:tcPr>
            <w:tcW w:w="398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Charters, Address and Telephone Number</w:t>
            </w:r>
          </w:p>
        </w:tc>
        <w:tc>
          <w:tcPr>
            <w:tcW w:w="130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3"/>
              </w:rPr>
              <w:t>Incorporation</w:t>
            </w:r>
          </w:p>
        </w:tc>
        <w:tc>
          <w:tcPr>
            <w:tcW w:w="188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93"/>
              </w:rPr>
              <w:t>Identification Nos.</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report</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1-14201</w:t>
            </w:r>
          </w:p>
        </w:tc>
        <w:tc>
          <w:tcPr>
            <w:tcW w:w="3980" w:type="dxa"/>
            <w:vAlign w:val="bottom"/>
            <w:gridSpan w:val="2"/>
          </w:tcPr>
          <w:p>
            <w:pPr>
              <w:ind w:left="60"/>
              <w:spacing w:after="0"/>
              <w:rPr>
                <w:sz w:val="20"/>
                <w:szCs w:val="20"/>
                <w:color w:val="auto"/>
              </w:rPr>
            </w:pPr>
            <w:r>
              <w:rPr>
                <w:rFonts w:ascii="Arial" w:cs="Arial" w:eastAsia="Arial" w:hAnsi="Arial"/>
                <w:sz w:val="18"/>
                <w:szCs w:val="18"/>
                <w:color w:val="auto"/>
              </w:rPr>
              <w:t>SEMPRA ENERGY</w:t>
            </w:r>
          </w:p>
        </w:tc>
        <w:tc>
          <w:tcPr>
            <w:tcW w:w="1300" w:type="dxa"/>
            <w:vAlign w:val="bottom"/>
          </w:tcPr>
          <w:p>
            <w:pPr>
              <w:jc w:val="center"/>
              <w:ind w:left="150"/>
              <w:spacing w:after="0"/>
              <w:rPr>
                <w:sz w:val="20"/>
                <w:szCs w:val="20"/>
                <w:color w:val="auto"/>
              </w:rPr>
            </w:pPr>
            <w:r>
              <w:rPr>
                <w:rFonts w:ascii="Arial" w:cs="Arial" w:eastAsia="Arial" w:hAnsi="Arial"/>
                <w:sz w:val="18"/>
                <w:szCs w:val="18"/>
                <w:color w:val="auto"/>
                <w:w w:val="97"/>
              </w:rPr>
              <w:t>California</w:t>
            </w:r>
          </w:p>
        </w:tc>
        <w:tc>
          <w:tcPr>
            <w:tcW w:w="1880" w:type="dxa"/>
            <w:vAlign w:val="bottom"/>
          </w:tcPr>
          <w:p>
            <w:pPr>
              <w:jc w:val="center"/>
              <w:ind w:left="250"/>
              <w:spacing w:after="0"/>
              <w:rPr>
                <w:sz w:val="20"/>
                <w:szCs w:val="20"/>
                <w:color w:val="auto"/>
              </w:rPr>
            </w:pPr>
            <w:r>
              <w:rPr>
                <w:rFonts w:ascii="Arial" w:cs="Arial" w:eastAsia="Arial" w:hAnsi="Arial"/>
                <w:sz w:val="18"/>
                <w:szCs w:val="18"/>
                <w:color w:val="auto"/>
                <w:w w:val="89"/>
              </w:rPr>
              <w:t>33-0732627</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No change</w:t>
            </w:r>
          </w:p>
        </w:tc>
      </w:tr>
      <w:tr>
        <w:trPr>
          <w:trHeight w:val="242"/>
        </w:trPr>
        <w:tc>
          <w:tcPr>
            <w:tcW w:w="1320" w:type="dxa"/>
            <w:vAlign w:val="bottom"/>
          </w:tcPr>
          <w:p>
            <w:pPr>
              <w:spacing w:after="0"/>
              <w:rPr>
                <w:sz w:val="21"/>
                <w:szCs w:val="21"/>
                <w:color w:val="auto"/>
              </w:rPr>
            </w:pPr>
          </w:p>
        </w:tc>
        <w:tc>
          <w:tcPr>
            <w:tcW w:w="3980" w:type="dxa"/>
            <w:vAlign w:val="bottom"/>
            <w:gridSpan w:val="2"/>
          </w:tcPr>
          <w:p>
            <w:pPr>
              <w:ind w:left="60"/>
              <w:spacing w:after="0"/>
              <w:rPr>
                <w:sz w:val="20"/>
                <w:szCs w:val="20"/>
                <w:color w:val="auto"/>
              </w:rPr>
            </w:pPr>
            <w:r>
              <w:rPr>
                <w:rFonts w:ascii="Arial" w:cs="Arial" w:eastAsia="Arial" w:hAnsi="Arial"/>
                <w:sz w:val="18"/>
                <w:szCs w:val="18"/>
                <w:color w:val="auto"/>
              </w:rPr>
              <w:t>101 Ash Street</w:t>
            </w:r>
          </w:p>
        </w:tc>
        <w:tc>
          <w:tcPr>
            <w:tcW w:w="1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43"/>
        </w:trPr>
        <w:tc>
          <w:tcPr>
            <w:tcW w:w="1320" w:type="dxa"/>
            <w:vAlign w:val="bottom"/>
          </w:tcPr>
          <w:p>
            <w:pPr>
              <w:spacing w:after="0"/>
              <w:rPr>
                <w:sz w:val="21"/>
                <w:szCs w:val="21"/>
                <w:color w:val="auto"/>
              </w:rPr>
            </w:pPr>
          </w:p>
        </w:tc>
        <w:tc>
          <w:tcPr>
            <w:tcW w:w="3980" w:type="dxa"/>
            <w:vAlign w:val="bottom"/>
            <w:gridSpan w:val="2"/>
          </w:tcPr>
          <w:p>
            <w:pPr>
              <w:ind w:left="60"/>
              <w:spacing w:after="0"/>
              <w:rPr>
                <w:sz w:val="20"/>
                <w:szCs w:val="20"/>
                <w:color w:val="auto"/>
              </w:rPr>
            </w:pPr>
            <w:r>
              <w:rPr>
                <w:rFonts w:ascii="Arial" w:cs="Arial" w:eastAsia="Arial" w:hAnsi="Arial"/>
                <w:sz w:val="18"/>
                <w:szCs w:val="18"/>
                <w:color w:val="auto"/>
              </w:rPr>
              <w:t>San Diego, California 92101</w:t>
            </w:r>
          </w:p>
        </w:tc>
        <w:tc>
          <w:tcPr>
            <w:tcW w:w="1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43"/>
        </w:trPr>
        <w:tc>
          <w:tcPr>
            <w:tcW w:w="1320" w:type="dxa"/>
            <w:vAlign w:val="bottom"/>
          </w:tcPr>
          <w:p>
            <w:pPr>
              <w:spacing w:after="0"/>
              <w:rPr>
                <w:sz w:val="21"/>
                <w:szCs w:val="21"/>
                <w:color w:val="auto"/>
              </w:rPr>
            </w:pPr>
          </w:p>
        </w:tc>
        <w:tc>
          <w:tcPr>
            <w:tcW w:w="1960" w:type="dxa"/>
            <w:vAlign w:val="bottom"/>
          </w:tcPr>
          <w:p>
            <w:pPr>
              <w:ind w:left="60"/>
              <w:spacing w:after="0"/>
              <w:rPr>
                <w:sz w:val="20"/>
                <w:szCs w:val="20"/>
                <w:color w:val="auto"/>
              </w:rPr>
            </w:pPr>
            <w:r>
              <w:rPr>
                <w:rFonts w:ascii="Arial" w:cs="Arial" w:eastAsia="Arial" w:hAnsi="Arial"/>
                <w:sz w:val="18"/>
                <w:szCs w:val="18"/>
                <w:color w:val="auto"/>
              </w:rPr>
              <w:t>(619)696-2034</w:t>
            </w:r>
          </w:p>
        </w:tc>
        <w:tc>
          <w:tcPr>
            <w:tcW w:w="20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486"/>
        </w:trPr>
        <w:tc>
          <w:tcPr>
            <w:tcW w:w="1320" w:type="dxa"/>
            <w:vAlign w:val="bottom"/>
          </w:tcPr>
          <w:p>
            <w:pPr>
              <w:spacing w:after="0"/>
              <w:rPr>
                <w:sz w:val="20"/>
                <w:szCs w:val="20"/>
                <w:color w:val="auto"/>
              </w:rPr>
            </w:pPr>
            <w:r>
              <w:rPr>
                <w:rFonts w:ascii="Arial" w:cs="Arial" w:eastAsia="Arial" w:hAnsi="Arial"/>
                <w:sz w:val="18"/>
                <w:szCs w:val="18"/>
                <w:color w:val="auto"/>
              </w:rPr>
              <w:t>1-3779</w:t>
            </w:r>
          </w:p>
        </w:tc>
        <w:tc>
          <w:tcPr>
            <w:tcW w:w="3980" w:type="dxa"/>
            <w:vAlign w:val="bottom"/>
            <w:gridSpan w:val="2"/>
          </w:tcPr>
          <w:p>
            <w:pPr>
              <w:ind w:left="60"/>
              <w:spacing w:after="0"/>
              <w:rPr>
                <w:sz w:val="20"/>
                <w:szCs w:val="20"/>
                <w:color w:val="auto"/>
              </w:rPr>
            </w:pPr>
            <w:r>
              <w:rPr>
                <w:rFonts w:ascii="Arial" w:cs="Arial" w:eastAsia="Arial" w:hAnsi="Arial"/>
                <w:sz w:val="18"/>
                <w:szCs w:val="18"/>
                <w:color w:val="auto"/>
              </w:rPr>
              <w:t>SAN DIEGO GAS &amp; ELECTRIC COMPANY</w:t>
            </w:r>
          </w:p>
        </w:tc>
        <w:tc>
          <w:tcPr>
            <w:tcW w:w="1300" w:type="dxa"/>
            <w:vAlign w:val="bottom"/>
          </w:tcPr>
          <w:p>
            <w:pPr>
              <w:jc w:val="center"/>
              <w:ind w:left="150"/>
              <w:spacing w:after="0"/>
              <w:rPr>
                <w:sz w:val="20"/>
                <w:szCs w:val="20"/>
                <w:color w:val="auto"/>
              </w:rPr>
            </w:pPr>
            <w:r>
              <w:rPr>
                <w:rFonts w:ascii="Arial" w:cs="Arial" w:eastAsia="Arial" w:hAnsi="Arial"/>
                <w:sz w:val="18"/>
                <w:szCs w:val="18"/>
                <w:color w:val="auto"/>
                <w:w w:val="97"/>
              </w:rPr>
              <w:t>California</w:t>
            </w:r>
          </w:p>
        </w:tc>
        <w:tc>
          <w:tcPr>
            <w:tcW w:w="1880" w:type="dxa"/>
            <w:vAlign w:val="bottom"/>
          </w:tcPr>
          <w:p>
            <w:pPr>
              <w:jc w:val="center"/>
              <w:ind w:left="250"/>
              <w:spacing w:after="0"/>
              <w:rPr>
                <w:sz w:val="20"/>
                <w:szCs w:val="20"/>
                <w:color w:val="auto"/>
              </w:rPr>
            </w:pPr>
            <w:r>
              <w:rPr>
                <w:rFonts w:ascii="Arial" w:cs="Arial" w:eastAsia="Arial" w:hAnsi="Arial"/>
                <w:sz w:val="18"/>
                <w:szCs w:val="18"/>
                <w:color w:val="auto"/>
                <w:w w:val="89"/>
              </w:rPr>
              <w:t>95-1184800</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No change</w:t>
            </w:r>
          </w:p>
        </w:tc>
      </w:tr>
      <w:tr>
        <w:trPr>
          <w:trHeight w:val="243"/>
        </w:trPr>
        <w:tc>
          <w:tcPr>
            <w:tcW w:w="1320" w:type="dxa"/>
            <w:vAlign w:val="bottom"/>
          </w:tcPr>
          <w:p>
            <w:pPr>
              <w:spacing w:after="0"/>
              <w:rPr>
                <w:sz w:val="21"/>
                <w:szCs w:val="21"/>
                <w:color w:val="auto"/>
              </w:rPr>
            </w:pPr>
          </w:p>
        </w:tc>
        <w:tc>
          <w:tcPr>
            <w:tcW w:w="3980" w:type="dxa"/>
            <w:vAlign w:val="bottom"/>
            <w:gridSpan w:val="2"/>
          </w:tcPr>
          <w:p>
            <w:pPr>
              <w:ind w:left="60"/>
              <w:spacing w:after="0"/>
              <w:rPr>
                <w:sz w:val="20"/>
                <w:szCs w:val="20"/>
                <w:color w:val="auto"/>
              </w:rPr>
            </w:pPr>
            <w:r>
              <w:rPr>
                <w:rFonts w:ascii="Arial" w:cs="Arial" w:eastAsia="Arial" w:hAnsi="Arial"/>
                <w:sz w:val="18"/>
                <w:szCs w:val="18"/>
                <w:color w:val="auto"/>
              </w:rPr>
              <w:t>8326 Century Park Court</w:t>
            </w:r>
          </w:p>
        </w:tc>
        <w:tc>
          <w:tcPr>
            <w:tcW w:w="1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43"/>
        </w:trPr>
        <w:tc>
          <w:tcPr>
            <w:tcW w:w="1320" w:type="dxa"/>
            <w:vAlign w:val="bottom"/>
          </w:tcPr>
          <w:p>
            <w:pPr>
              <w:spacing w:after="0"/>
              <w:rPr>
                <w:sz w:val="21"/>
                <w:szCs w:val="21"/>
                <w:color w:val="auto"/>
              </w:rPr>
            </w:pPr>
          </w:p>
        </w:tc>
        <w:tc>
          <w:tcPr>
            <w:tcW w:w="3980" w:type="dxa"/>
            <w:vAlign w:val="bottom"/>
            <w:gridSpan w:val="2"/>
          </w:tcPr>
          <w:p>
            <w:pPr>
              <w:ind w:left="60"/>
              <w:spacing w:after="0"/>
              <w:rPr>
                <w:sz w:val="20"/>
                <w:szCs w:val="20"/>
                <w:color w:val="auto"/>
              </w:rPr>
            </w:pPr>
            <w:r>
              <w:rPr>
                <w:rFonts w:ascii="Arial" w:cs="Arial" w:eastAsia="Arial" w:hAnsi="Arial"/>
                <w:sz w:val="18"/>
                <w:szCs w:val="18"/>
                <w:color w:val="auto"/>
              </w:rPr>
              <w:t>San Diego, California 92123</w:t>
            </w:r>
          </w:p>
        </w:tc>
        <w:tc>
          <w:tcPr>
            <w:tcW w:w="1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43"/>
        </w:trPr>
        <w:tc>
          <w:tcPr>
            <w:tcW w:w="1320" w:type="dxa"/>
            <w:vAlign w:val="bottom"/>
          </w:tcPr>
          <w:p>
            <w:pPr>
              <w:spacing w:after="0"/>
              <w:rPr>
                <w:sz w:val="21"/>
                <w:szCs w:val="21"/>
                <w:color w:val="auto"/>
              </w:rPr>
            </w:pPr>
          </w:p>
        </w:tc>
        <w:tc>
          <w:tcPr>
            <w:tcW w:w="1960" w:type="dxa"/>
            <w:vAlign w:val="bottom"/>
          </w:tcPr>
          <w:p>
            <w:pPr>
              <w:ind w:left="60"/>
              <w:spacing w:after="0"/>
              <w:rPr>
                <w:sz w:val="20"/>
                <w:szCs w:val="20"/>
                <w:color w:val="auto"/>
              </w:rPr>
            </w:pPr>
            <w:r>
              <w:rPr>
                <w:rFonts w:ascii="Arial" w:cs="Arial" w:eastAsia="Arial" w:hAnsi="Arial"/>
                <w:sz w:val="18"/>
                <w:szCs w:val="18"/>
                <w:color w:val="auto"/>
              </w:rPr>
              <w:t>(619)696-2000</w:t>
            </w:r>
          </w:p>
        </w:tc>
        <w:tc>
          <w:tcPr>
            <w:tcW w:w="20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486"/>
        </w:trPr>
        <w:tc>
          <w:tcPr>
            <w:tcW w:w="1320" w:type="dxa"/>
            <w:vAlign w:val="bottom"/>
          </w:tcPr>
          <w:p>
            <w:pPr>
              <w:spacing w:after="0"/>
              <w:rPr>
                <w:sz w:val="20"/>
                <w:szCs w:val="20"/>
                <w:color w:val="auto"/>
              </w:rPr>
            </w:pPr>
            <w:r>
              <w:rPr>
                <w:rFonts w:ascii="Arial" w:cs="Arial" w:eastAsia="Arial" w:hAnsi="Arial"/>
                <w:sz w:val="18"/>
                <w:szCs w:val="18"/>
                <w:color w:val="auto"/>
              </w:rPr>
              <w:t>1-40</w:t>
            </w:r>
          </w:p>
        </w:tc>
        <w:tc>
          <w:tcPr>
            <w:tcW w:w="3980" w:type="dxa"/>
            <w:vAlign w:val="bottom"/>
            <w:gridSpan w:val="2"/>
          </w:tcPr>
          <w:p>
            <w:pPr>
              <w:ind w:left="60"/>
              <w:spacing w:after="0"/>
              <w:rPr>
                <w:sz w:val="20"/>
                <w:szCs w:val="20"/>
                <w:color w:val="auto"/>
              </w:rPr>
            </w:pPr>
            <w:r>
              <w:rPr>
                <w:rFonts w:ascii="Arial" w:cs="Arial" w:eastAsia="Arial" w:hAnsi="Arial"/>
                <w:sz w:val="18"/>
                <w:szCs w:val="18"/>
                <w:color w:val="auto"/>
              </w:rPr>
              <w:t>PACIFIC ENTERPRISES</w:t>
            </w:r>
          </w:p>
        </w:tc>
        <w:tc>
          <w:tcPr>
            <w:tcW w:w="1300" w:type="dxa"/>
            <w:vAlign w:val="bottom"/>
          </w:tcPr>
          <w:p>
            <w:pPr>
              <w:jc w:val="center"/>
              <w:ind w:left="150"/>
              <w:spacing w:after="0"/>
              <w:rPr>
                <w:sz w:val="20"/>
                <w:szCs w:val="20"/>
                <w:color w:val="auto"/>
              </w:rPr>
            </w:pPr>
            <w:r>
              <w:rPr>
                <w:rFonts w:ascii="Arial" w:cs="Arial" w:eastAsia="Arial" w:hAnsi="Arial"/>
                <w:sz w:val="18"/>
                <w:szCs w:val="18"/>
                <w:color w:val="auto"/>
                <w:w w:val="97"/>
              </w:rPr>
              <w:t>California</w:t>
            </w:r>
          </w:p>
        </w:tc>
        <w:tc>
          <w:tcPr>
            <w:tcW w:w="1880" w:type="dxa"/>
            <w:vAlign w:val="bottom"/>
          </w:tcPr>
          <w:p>
            <w:pPr>
              <w:jc w:val="center"/>
              <w:ind w:left="250"/>
              <w:spacing w:after="0"/>
              <w:rPr>
                <w:sz w:val="20"/>
                <w:szCs w:val="20"/>
                <w:color w:val="auto"/>
              </w:rPr>
            </w:pPr>
            <w:r>
              <w:rPr>
                <w:rFonts w:ascii="Arial" w:cs="Arial" w:eastAsia="Arial" w:hAnsi="Arial"/>
                <w:sz w:val="18"/>
                <w:szCs w:val="18"/>
                <w:color w:val="auto"/>
                <w:w w:val="89"/>
              </w:rPr>
              <w:t>94-0743670</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No change</w:t>
            </w:r>
          </w:p>
        </w:tc>
      </w:tr>
      <w:tr>
        <w:trPr>
          <w:trHeight w:val="243"/>
        </w:trPr>
        <w:tc>
          <w:tcPr>
            <w:tcW w:w="1320" w:type="dxa"/>
            <w:vAlign w:val="bottom"/>
          </w:tcPr>
          <w:p>
            <w:pPr>
              <w:spacing w:after="0"/>
              <w:rPr>
                <w:sz w:val="21"/>
                <w:szCs w:val="21"/>
                <w:color w:val="auto"/>
              </w:rPr>
            </w:pPr>
          </w:p>
        </w:tc>
        <w:tc>
          <w:tcPr>
            <w:tcW w:w="3980" w:type="dxa"/>
            <w:vAlign w:val="bottom"/>
            <w:gridSpan w:val="2"/>
          </w:tcPr>
          <w:p>
            <w:pPr>
              <w:ind w:left="60"/>
              <w:spacing w:after="0"/>
              <w:rPr>
                <w:sz w:val="20"/>
                <w:szCs w:val="20"/>
                <w:color w:val="auto"/>
              </w:rPr>
            </w:pPr>
            <w:r>
              <w:rPr>
                <w:rFonts w:ascii="Arial" w:cs="Arial" w:eastAsia="Arial" w:hAnsi="Arial"/>
                <w:sz w:val="18"/>
                <w:szCs w:val="18"/>
                <w:color w:val="auto"/>
              </w:rPr>
              <w:t>101 Ash Street</w:t>
            </w:r>
          </w:p>
        </w:tc>
        <w:tc>
          <w:tcPr>
            <w:tcW w:w="1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43"/>
        </w:trPr>
        <w:tc>
          <w:tcPr>
            <w:tcW w:w="1320" w:type="dxa"/>
            <w:vAlign w:val="bottom"/>
          </w:tcPr>
          <w:p>
            <w:pPr>
              <w:spacing w:after="0"/>
              <w:rPr>
                <w:sz w:val="21"/>
                <w:szCs w:val="21"/>
                <w:color w:val="auto"/>
              </w:rPr>
            </w:pPr>
          </w:p>
        </w:tc>
        <w:tc>
          <w:tcPr>
            <w:tcW w:w="3980" w:type="dxa"/>
            <w:vAlign w:val="bottom"/>
            <w:gridSpan w:val="2"/>
          </w:tcPr>
          <w:p>
            <w:pPr>
              <w:ind w:left="60"/>
              <w:spacing w:after="0"/>
              <w:rPr>
                <w:sz w:val="20"/>
                <w:szCs w:val="20"/>
                <w:color w:val="auto"/>
              </w:rPr>
            </w:pPr>
            <w:r>
              <w:rPr>
                <w:rFonts w:ascii="Arial" w:cs="Arial" w:eastAsia="Arial" w:hAnsi="Arial"/>
                <w:sz w:val="18"/>
                <w:szCs w:val="18"/>
                <w:color w:val="auto"/>
              </w:rPr>
              <w:t>San Diego, California 92101</w:t>
            </w:r>
          </w:p>
        </w:tc>
        <w:tc>
          <w:tcPr>
            <w:tcW w:w="1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43"/>
        </w:trPr>
        <w:tc>
          <w:tcPr>
            <w:tcW w:w="1320" w:type="dxa"/>
            <w:vAlign w:val="bottom"/>
          </w:tcPr>
          <w:p>
            <w:pPr>
              <w:spacing w:after="0"/>
              <w:rPr>
                <w:sz w:val="21"/>
                <w:szCs w:val="21"/>
                <w:color w:val="auto"/>
              </w:rPr>
            </w:pPr>
          </w:p>
        </w:tc>
        <w:tc>
          <w:tcPr>
            <w:tcW w:w="1960" w:type="dxa"/>
            <w:vAlign w:val="bottom"/>
          </w:tcPr>
          <w:p>
            <w:pPr>
              <w:ind w:left="60"/>
              <w:spacing w:after="0"/>
              <w:rPr>
                <w:sz w:val="20"/>
                <w:szCs w:val="20"/>
                <w:color w:val="auto"/>
              </w:rPr>
            </w:pPr>
            <w:r>
              <w:rPr>
                <w:rFonts w:ascii="Arial" w:cs="Arial" w:eastAsia="Arial" w:hAnsi="Arial"/>
                <w:sz w:val="18"/>
                <w:szCs w:val="18"/>
                <w:color w:val="auto"/>
              </w:rPr>
              <w:t>(619)696-2020</w:t>
            </w:r>
          </w:p>
        </w:tc>
        <w:tc>
          <w:tcPr>
            <w:tcW w:w="20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486"/>
        </w:trPr>
        <w:tc>
          <w:tcPr>
            <w:tcW w:w="1320" w:type="dxa"/>
            <w:vAlign w:val="bottom"/>
          </w:tcPr>
          <w:p>
            <w:pPr>
              <w:spacing w:after="0"/>
              <w:rPr>
                <w:sz w:val="20"/>
                <w:szCs w:val="20"/>
                <w:color w:val="auto"/>
              </w:rPr>
            </w:pPr>
            <w:r>
              <w:rPr>
                <w:rFonts w:ascii="Arial" w:cs="Arial" w:eastAsia="Arial" w:hAnsi="Arial"/>
                <w:sz w:val="18"/>
                <w:szCs w:val="18"/>
                <w:color w:val="auto"/>
              </w:rPr>
              <w:t>1-1402</w:t>
            </w:r>
          </w:p>
        </w:tc>
        <w:tc>
          <w:tcPr>
            <w:tcW w:w="3980" w:type="dxa"/>
            <w:vAlign w:val="bottom"/>
            <w:gridSpan w:val="2"/>
          </w:tcPr>
          <w:p>
            <w:pPr>
              <w:ind w:left="60"/>
              <w:spacing w:after="0"/>
              <w:rPr>
                <w:sz w:val="20"/>
                <w:szCs w:val="20"/>
                <w:color w:val="auto"/>
              </w:rPr>
            </w:pPr>
            <w:r>
              <w:rPr>
                <w:rFonts w:ascii="Arial" w:cs="Arial" w:eastAsia="Arial" w:hAnsi="Arial"/>
                <w:sz w:val="18"/>
                <w:szCs w:val="18"/>
                <w:color w:val="auto"/>
              </w:rPr>
              <w:t>SOUTHERN CALIFORNIA GAS COMPANY</w:t>
            </w:r>
          </w:p>
        </w:tc>
        <w:tc>
          <w:tcPr>
            <w:tcW w:w="1300" w:type="dxa"/>
            <w:vAlign w:val="bottom"/>
          </w:tcPr>
          <w:p>
            <w:pPr>
              <w:jc w:val="center"/>
              <w:ind w:left="150"/>
              <w:spacing w:after="0"/>
              <w:rPr>
                <w:sz w:val="20"/>
                <w:szCs w:val="20"/>
                <w:color w:val="auto"/>
              </w:rPr>
            </w:pPr>
            <w:r>
              <w:rPr>
                <w:rFonts w:ascii="Arial" w:cs="Arial" w:eastAsia="Arial" w:hAnsi="Arial"/>
                <w:sz w:val="18"/>
                <w:szCs w:val="18"/>
                <w:color w:val="auto"/>
                <w:w w:val="97"/>
              </w:rPr>
              <w:t>California</w:t>
            </w:r>
          </w:p>
        </w:tc>
        <w:tc>
          <w:tcPr>
            <w:tcW w:w="1880" w:type="dxa"/>
            <w:vAlign w:val="bottom"/>
          </w:tcPr>
          <w:p>
            <w:pPr>
              <w:jc w:val="center"/>
              <w:ind w:left="250"/>
              <w:spacing w:after="0"/>
              <w:rPr>
                <w:sz w:val="20"/>
                <w:szCs w:val="20"/>
                <w:color w:val="auto"/>
              </w:rPr>
            </w:pPr>
            <w:r>
              <w:rPr>
                <w:rFonts w:ascii="Arial" w:cs="Arial" w:eastAsia="Arial" w:hAnsi="Arial"/>
                <w:sz w:val="18"/>
                <w:szCs w:val="18"/>
                <w:color w:val="auto"/>
                <w:w w:val="89"/>
              </w:rPr>
              <w:t>95-1240705</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No change</w:t>
            </w:r>
          </w:p>
        </w:tc>
      </w:tr>
      <w:tr>
        <w:trPr>
          <w:trHeight w:val="243"/>
        </w:trPr>
        <w:tc>
          <w:tcPr>
            <w:tcW w:w="1320" w:type="dxa"/>
            <w:vAlign w:val="bottom"/>
          </w:tcPr>
          <w:p>
            <w:pPr>
              <w:spacing w:after="0"/>
              <w:rPr>
                <w:sz w:val="21"/>
                <w:szCs w:val="21"/>
                <w:color w:val="auto"/>
              </w:rPr>
            </w:pPr>
          </w:p>
        </w:tc>
        <w:tc>
          <w:tcPr>
            <w:tcW w:w="3980" w:type="dxa"/>
            <w:vAlign w:val="bottom"/>
            <w:gridSpan w:val="2"/>
          </w:tcPr>
          <w:p>
            <w:pPr>
              <w:ind w:left="60"/>
              <w:spacing w:after="0"/>
              <w:rPr>
                <w:sz w:val="20"/>
                <w:szCs w:val="20"/>
                <w:color w:val="auto"/>
              </w:rPr>
            </w:pPr>
            <w:r>
              <w:rPr>
                <w:rFonts w:ascii="Arial" w:cs="Arial" w:eastAsia="Arial" w:hAnsi="Arial"/>
                <w:sz w:val="18"/>
                <w:szCs w:val="18"/>
                <w:color w:val="auto"/>
              </w:rPr>
              <w:t>555 West Fifth Street</w:t>
            </w:r>
          </w:p>
        </w:tc>
        <w:tc>
          <w:tcPr>
            <w:tcW w:w="1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43"/>
        </w:trPr>
        <w:tc>
          <w:tcPr>
            <w:tcW w:w="1320" w:type="dxa"/>
            <w:vAlign w:val="bottom"/>
          </w:tcPr>
          <w:p>
            <w:pPr>
              <w:spacing w:after="0"/>
              <w:rPr>
                <w:sz w:val="21"/>
                <w:szCs w:val="21"/>
                <w:color w:val="auto"/>
              </w:rPr>
            </w:pPr>
          </w:p>
        </w:tc>
        <w:tc>
          <w:tcPr>
            <w:tcW w:w="3980" w:type="dxa"/>
            <w:vAlign w:val="bottom"/>
            <w:gridSpan w:val="2"/>
          </w:tcPr>
          <w:p>
            <w:pPr>
              <w:ind w:left="60"/>
              <w:spacing w:after="0"/>
              <w:rPr>
                <w:sz w:val="20"/>
                <w:szCs w:val="20"/>
                <w:color w:val="auto"/>
              </w:rPr>
            </w:pPr>
            <w:r>
              <w:rPr>
                <w:rFonts w:ascii="Arial" w:cs="Arial" w:eastAsia="Arial" w:hAnsi="Arial"/>
                <w:sz w:val="18"/>
                <w:szCs w:val="18"/>
                <w:color w:val="auto"/>
              </w:rPr>
              <w:t>Los Angeles, California 90013</w:t>
            </w:r>
          </w:p>
        </w:tc>
        <w:tc>
          <w:tcPr>
            <w:tcW w:w="1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43"/>
        </w:trPr>
        <w:tc>
          <w:tcPr>
            <w:tcW w:w="1320" w:type="dxa"/>
            <w:vAlign w:val="bottom"/>
          </w:tcPr>
          <w:p>
            <w:pPr>
              <w:spacing w:after="0"/>
              <w:rPr>
                <w:sz w:val="21"/>
                <w:szCs w:val="21"/>
                <w:color w:val="auto"/>
              </w:rPr>
            </w:pPr>
          </w:p>
        </w:tc>
        <w:tc>
          <w:tcPr>
            <w:tcW w:w="1960" w:type="dxa"/>
            <w:vAlign w:val="bottom"/>
          </w:tcPr>
          <w:p>
            <w:pPr>
              <w:ind w:left="60"/>
              <w:spacing w:after="0"/>
              <w:rPr>
                <w:sz w:val="20"/>
                <w:szCs w:val="20"/>
                <w:color w:val="auto"/>
              </w:rPr>
            </w:pPr>
            <w:r>
              <w:rPr>
                <w:rFonts w:ascii="Arial" w:cs="Arial" w:eastAsia="Arial" w:hAnsi="Arial"/>
                <w:sz w:val="18"/>
                <w:szCs w:val="18"/>
                <w:color w:val="auto"/>
              </w:rPr>
              <w:t>(213)244-1200</w:t>
            </w:r>
          </w:p>
        </w:tc>
        <w:tc>
          <w:tcPr>
            <w:tcW w:w="20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760" w:type="dxa"/>
            <w:vAlign w:val="bottom"/>
          </w:tcPr>
          <w:p>
            <w:pPr>
              <w:spacing w:after="0"/>
              <w:rPr>
                <w:sz w:val="21"/>
                <w:szCs w:val="2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ind w:right="280"/>
        <w:spacing w:after="0" w:line="264" w:lineRule="auto"/>
        <w:rPr>
          <w:sz w:val="20"/>
          <w:szCs w:val="20"/>
          <w:color w:val="auto"/>
        </w:rPr>
      </w:pPr>
      <w:r>
        <w:rPr>
          <w:rFonts w:ascii="Arial" w:cs="Arial" w:eastAsia="Arial" w:hAnsi="Arial"/>
          <w:sz w:val="18"/>
          <w:szCs w:val="18"/>
          <w:color w:val="auto"/>
        </w:rPr>
        <w:t>Indicate by check mark whether the registrants (1) have filed all reports required to be filed by Section 13 or 15(d) of the Securities Exchange Act of 1934 during the preceding 12 months (or for such shorter period that the registrant was required to file such reports), and (2) have been subject to such filing requirements for the past 90 days.</w:t>
      </w:r>
    </w:p>
    <w:p>
      <w:pPr>
        <w:spacing w:after="0" w:line="235" w:lineRule="exact"/>
        <w:rPr>
          <w:sz w:val="24"/>
          <w:szCs w:val="24"/>
          <w:color w:val="auto"/>
        </w:rPr>
      </w:pPr>
    </w:p>
    <w:p>
      <w:pPr>
        <w:ind w:left="6220"/>
        <w:spacing w:after="0"/>
        <w:tabs>
          <w:tab w:leader="none" w:pos="7060" w:val="left"/>
          <w:tab w:leader="none" w:pos="88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23495</wp:posOffset>
            </wp:positionV>
            <wp:extent cx="7543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4380" cy="8890"/>
                    </a:xfrm>
                    <a:prstGeom prst="rect">
                      <a:avLst/>
                    </a:prstGeom>
                    <a:noFill/>
                  </pic:spPr>
                </pic:pic>
              </a:graphicData>
            </a:graphic>
          </wp:anchor>
        </w:drawing>
        <w:drawing>
          <wp:anchor simplePos="0" relativeHeight="251657728" behindDoc="1" locked="0" layoutInCell="0" allowOverlap="1">
            <wp:simplePos x="0" y="0"/>
            <wp:positionH relativeFrom="column">
              <wp:posOffset>5798820</wp:posOffset>
            </wp:positionH>
            <wp:positionV relativeFrom="paragraph">
              <wp:posOffset>23495</wp:posOffset>
            </wp:positionV>
            <wp:extent cx="7029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ectPr>
          <w:pgSz w:w="11900" w:h="16838" w:orient="portrait"/>
          <w:cols w:equalWidth="0" w:num="1">
            <w:col w:w="10240"/>
          </w:cols>
          <w:pgMar w:left="840" w:top="841" w:right="819" w:bottom="1440" w:gutter="0" w:footer="0" w:header="0"/>
        </w:sectPr>
      </w:pPr>
    </w:p>
    <w:bookmarkStart w:id="1" w:name="page2"/>
    <w:bookmarkEnd w:id="1"/>
    <w:p>
      <w:pPr>
        <w:ind w:right="360"/>
        <w:spacing w:after="0" w:line="264" w:lineRule="auto"/>
        <w:rPr>
          <w:sz w:val="20"/>
          <w:szCs w:val="20"/>
          <w:color w:val="auto"/>
        </w:rPr>
      </w:pPr>
      <w:r>
        <w:rPr>
          <w:rFonts w:ascii="Arial" w:cs="Arial" w:eastAsia="Arial" w:hAnsi="Arial"/>
          <w:sz w:val="18"/>
          <w:szCs w:val="18"/>
          <w:color w:val="auto"/>
        </w:rPr>
        <w:t>Indicate by check mark whether the registrants have submitted electronically and posted on their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35" w:lineRule="exact"/>
        <w:rPr>
          <w:sz w:val="20"/>
          <w:szCs w:val="20"/>
          <w:color w:val="auto"/>
        </w:rPr>
      </w:pPr>
    </w:p>
    <w:p>
      <w:pPr>
        <w:ind w:left="6080"/>
        <w:spacing w:after="0"/>
        <w:tabs>
          <w:tab w:leader="none" w:pos="88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4096385</wp:posOffset>
            </wp:positionH>
            <wp:positionV relativeFrom="paragraph">
              <wp:posOffset>23495</wp:posOffset>
            </wp:positionV>
            <wp:extent cx="8578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5803265</wp:posOffset>
            </wp:positionH>
            <wp:positionV relativeFrom="paragraph">
              <wp:posOffset>23495</wp:posOffset>
            </wp:positionV>
            <wp:extent cx="6775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4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1940" w:type="dxa"/>
            <w:vAlign w:val="bottom"/>
            <w:gridSpan w:val="2"/>
          </w:tcPr>
          <w:p>
            <w:pPr>
              <w:ind w:left="580"/>
              <w:spacing w:after="0"/>
              <w:rPr>
                <w:sz w:val="20"/>
                <w:szCs w:val="20"/>
                <w:color w:val="auto"/>
              </w:rPr>
            </w:pPr>
            <w:r>
              <w:rPr>
                <w:rFonts w:ascii="Arial" w:cs="Arial" w:eastAsia="Arial" w:hAnsi="Arial"/>
                <w:sz w:val="18"/>
                <w:szCs w:val="18"/>
                <w:color w:val="auto"/>
              </w:rPr>
              <w:t>Large</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20" w:type="dxa"/>
            <w:vAlign w:val="bottom"/>
            <w:gridSpan w:val="2"/>
          </w:tcPr>
          <w:p>
            <w:pPr>
              <w:jc w:val="right"/>
              <w:ind w:right="70"/>
              <w:spacing w:after="0"/>
              <w:rPr>
                <w:sz w:val="20"/>
                <w:szCs w:val="20"/>
                <w:color w:val="auto"/>
              </w:rPr>
            </w:pPr>
            <w:r>
              <w:rPr>
                <w:rFonts w:ascii="Arial" w:cs="Arial" w:eastAsia="Arial" w:hAnsi="Arial"/>
                <w:sz w:val="18"/>
                <w:szCs w:val="18"/>
                <w:color w:val="auto"/>
              </w:rPr>
              <w:t>Smaller reporting</w:t>
            </w:r>
          </w:p>
        </w:tc>
      </w:tr>
      <w:tr>
        <w:trPr>
          <w:trHeight w:val="237"/>
        </w:trPr>
        <w:tc>
          <w:tcPr>
            <w:tcW w:w="2100" w:type="dxa"/>
            <w:vAlign w:val="bottom"/>
          </w:tcPr>
          <w:p>
            <w:pPr>
              <w:spacing w:after="0"/>
              <w:rPr>
                <w:sz w:val="20"/>
                <w:szCs w:val="20"/>
                <w:color w:val="auto"/>
              </w:rPr>
            </w:pPr>
          </w:p>
        </w:tc>
        <w:tc>
          <w:tcPr>
            <w:tcW w:w="194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accelerated filer</w:t>
            </w:r>
          </w:p>
        </w:tc>
        <w:tc>
          <w:tcPr>
            <w:tcW w:w="228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Accelerated filer</w:t>
            </w:r>
          </w:p>
        </w:tc>
        <w:tc>
          <w:tcPr>
            <w:tcW w:w="226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Non-accelerated filer</w:t>
            </w:r>
          </w:p>
        </w:tc>
        <w:tc>
          <w:tcPr>
            <w:tcW w:w="162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company</w:t>
            </w:r>
          </w:p>
        </w:tc>
      </w:tr>
      <w:tr>
        <w:trPr>
          <w:trHeight w:val="230"/>
        </w:trPr>
        <w:tc>
          <w:tcPr>
            <w:tcW w:w="2100" w:type="dxa"/>
            <w:vAlign w:val="bottom"/>
          </w:tcPr>
          <w:p>
            <w:pPr>
              <w:spacing w:after="0"/>
              <w:rPr>
                <w:sz w:val="20"/>
                <w:szCs w:val="20"/>
                <w:color w:val="auto"/>
              </w:rPr>
            </w:pPr>
            <w:r>
              <w:rPr>
                <w:rFonts w:ascii="Arial" w:cs="Arial" w:eastAsia="Arial" w:hAnsi="Arial"/>
                <w:sz w:val="18"/>
                <w:szCs w:val="18"/>
                <w:color w:val="auto"/>
              </w:rPr>
              <w:t>Sempra Energy</w:t>
            </w:r>
          </w:p>
        </w:tc>
        <w:tc>
          <w:tcPr>
            <w:tcW w:w="700" w:type="dxa"/>
            <w:vAlign w:val="bottom"/>
          </w:tcPr>
          <w:p>
            <w:pPr>
              <w:ind w:left="6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830"/>
              <w:spacing w:after="0"/>
              <w:rPr>
                <w:sz w:val="20"/>
                <w:szCs w:val="20"/>
                <w:color w:val="auto"/>
              </w:rPr>
            </w:pPr>
            <w:r>
              <w:rPr>
                <w:rFonts w:ascii="Arial" w:cs="Arial" w:eastAsia="Arial" w:hAnsi="Arial"/>
                <w:sz w:val="18"/>
                <w:szCs w:val="18"/>
                <w:color w:val="auto"/>
              </w:rPr>
              <w:t>X ]</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1180" w:type="dxa"/>
            <w:vAlign w:val="bottom"/>
          </w:tcPr>
          <w:p>
            <w:pPr>
              <w:ind w:left="10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10"/>
              <w:spacing w:after="0"/>
              <w:rPr>
                <w:sz w:val="20"/>
                <w:szCs w:val="20"/>
                <w:color w:val="auto"/>
              </w:rPr>
            </w:pPr>
            <w:r>
              <w:rPr>
                <w:rFonts w:ascii="Arial" w:cs="Arial" w:eastAsia="Arial" w:hAnsi="Arial"/>
                <w:sz w:val="18"/>
                <w:szCs w:val="18"/>
                <w:color w:val="auto"/>
              </w:rPr>
              <w:t>]</w:t>
            </w:r>
          </w:p>
        </w:tc>
      </w:tr>
      <w:tr>
        <w:trPr>
          <w:trHeight w:val="228"/>
        </w:trPr>
        <w:tc>
          <w:tcPr>
            <w:tcW w:w="2100" w:type="dxa"/>
            <w:vAlign w:val="bottom"/>
          </w:tcPr>
          <w:p>
            <w:pPr>
              <w:spacing w:after="0"/>
              <w:rPr>
                <w:sz w:val="20"/>
                <w:szCs w:val="20"/>
                <w:color w:val="auto"/>
              </w:rPr>
            </w:pPr>
            <w:r>
              <w:rPr>
                <w:rFonts w:ascii="Arial" w:cs="Arial" w:eastAsia="Arial" w:hAnsi="Arial"/>
                <w:sz w:val="18"/>
                <w:szCs w:val="18"/>
                <w:color w:val="auto"/>
              </w:rPr>
              <w:t>San Diego Gas &amp; Electric</w:t>
            </w:r>
          </w:p>
        </w:tc>
        <w:tc>
          <w:tcPr>
            <w:tcW w:w="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2100" w:type="dxa"/>
            <w:vAlign w:val="bottom"/>
          </w:tcPr>
          <w:p>
            <w:pPr>
              <w:ind w:left="260"/>
              <w:spacing w:after="0"/>
              <w:rPr>
                <w:sz w:val="20"/>
                <w:szCs w:val="20"/>
                <w:color w:val="auto"/>
              </w:rPr>
            </w:pPr>
            <w:r>
              <w:rPr>
                <w:rFonts w:ascii="Arial" w:cs="Arial" w:eastAsia="Arial" w:hAnsi="Arial"/>
                <w:sz w:val="18"/>
                <w:szCs w:val="18"/>
                <w:color w:val="auto"/>
              </w:rPr>
              <w:t>Company</w:t>
            </w:r>
          </w:p>
        </w:tc>
        <w:tc>
          <w:tcPr>
            <w:tcW w:w="700" w:type="dxa"/>
            <w:vAlign w:val="bottom"/>
          </w:tcPr>
          <w:p>
            <w:pPr>
              <w:ind w:left="6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2260" w:type="dxa"/>
            <w:vAlign w:val="bottom"/>
            <w:gridSpan w:val="2"/>
          </w:tcPr>
          <w:p>
            <w:pPr>
              <w:ind w:left="1080"/>
              <w:spacing w:after="0"/>
              <w:rPr>
                <w:sz w:val="20"/>
                <w:szCs w:val="20"/>
                <w:color w:val="auto"/>
              </w:rPr>
            </w:pPr>
            <w:r>
              <w:rPr>
                <w:rFonts w:ascii="Arial" w:cs="Arial" w:eastAsia="Arial" w:hAnsi="Arial"/>
                <w:sz w:val="18"/>
                <w:szCs w:val="18"/>
                <w:color w:val="auto"/>
              </w:rPr>
              <w:t>[ X ]</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10"/>
              <w:spacing w:after="0"/>
              <w:rPr>
                <w:sz w:val="20"/>
                <w:szCs w:val="20"/>
                <w:color w:val="auto"/>
              </w:rPr>
            </w:pPr>
            <w:r>
              <w:rPr>
                <w:rFonts w:ascii="Arial" w:cs="Arial" w:eastAsia="Arial" w:hAnsi="Arial"/>
                <w:sz w:val="18"/>
                <w:szCs w:val="18"/>
                <w:color w:val="auto"/>
              </w:rPr>
              <w:t>]</w:t>
            </w:r>
          </w:p>
        </w:tc>
      </w:tr>
      <w:tr>
        <w:trPr>
          <w:trHeight w:val="243"/>
        </w:trPr>
        <w:tc>
          <w:tcPr>
            <w:tcW w:w="2100" w:type="dxa"/>
            <w:vAlign w:val="bottom"/>
          </w:tcPr>
          <w:p>
            <w:pPr>
              <w:spacing w:after="0"/>
              <w:rPr>
                <w:sz w:val="20"/>
                <w:szCs w:val="20"/>
                <w:color w:val="auto"/>
              </w:rPr>
            </w:pPr>
            <w:r>
              <w:rPr>
                <w:rFonts w:ascii="Arial" w:cs="Arial" w:eastAsia="Arial" w:hAnsi="Arial"/>
                <w:sz w:val="18"/>
                <w:szCs w:val="18"/>
                <w:color w:val="auto"/>
              </w:rPr>
              <w:t>Pacific Enterprises</w:t>
            </w:r>
          </w:p>
        </w:tc>
        <w:tc>
          <w:tcPr>
            <w:tcW w:w="700" w:type="dxa"/>
            <w:vAlign w:val="bottom"/>
          </w:tcPr>
          <w:p>
            <w:pPr>
              <w:ind w:left="6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1180" w:type="dxa"/>
            <w:vAlign w:val="bottom"/>
          </w:tcPr>
          <w:p>
            <w:pPr>
              <w:ind w:left="10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650"/>
              <w:spacing w:after="0"/>
              <w:rPr>
                <w:sz w:val="20"/>
                <w:szCs w:val="20"/>
                <w:color w:val="auto"/>
              </w:rPr>
            </w:pPr>
            <w:r>
              <w:rPr>
                <w:rFonts w:ascii="Arial" w:cs="Arial" w:eastAsia="Arial" w:hAnsi="Arial"/>
                <w:sz w:val="18"/>
                <w:szCs w:val="18"/>
                <w:color w:val="auto"/>
              </w:rPr>
              <w:t>X ]</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10"/>
              <w:spacing w:after="0"/>
              <w:rPr>
                <w:sz w:val="20"/>
                <w:szCs w:val="20"/>
                <w:color w:val="auto"/>
              </w:rPr>
            </w:pPr>
            <w:r>
              <w:rPr>
                <w:rFonts w:ascii="Arial" w:cs="Arial" w:eastAsia="Arial" w:hAnsi="Arial"/>
                <w:sz w:val="18"/>
                <w:szCs w:val="18"/>
                <w:color w:val="auto"/>
              </w:rPr>
              <w:t>]</w:t>
            </w:r>
          </w:p>
        </w:tc>
      </w:tr>
      <w:tr>
        <w:trPr>
          <w:trHeight w:val="229"/>
        </w:trPr>
        <w:tc>
          <w:tcPr>
            <w:tcW w:w="2100" w:type="dxa"/>
            <w:vAlign w:val="bottom"/>
          </w:tcPr>
          <w:p>
            <w:pPr>
              <w:spacing w:after="0"/>
              <w:rPr>
                <w:sz w:val="20"/>
                <w:szCs w:val="20"/>
                <w:color w:val="auto"/>
              </w:rPr>
            </w:pPr>
            <w:r>
              <w:rPr>
                <w:rFonts w:ascii="Arial" w:cs="Arial" w:eastAsia="Arial" w:hAnsi="Arial"/>
                <w:sz w:val="18"/>
                <w:szCs w:val="18"/>
                <w:color w:val="auto"/>
              </w:rPr>
              <w:t>Southern California Gas</w:t>
            </w:r>
          </w:p>
        </w:tc>
        <w:tc>
          <w:tcPr>
            <w:tcW w:w="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2100" w:type="dxa"/>
            <w:vAlign w:val="bottom"/>
          </w:tcPr>
          <w:p>
            <w:pPr>
              <w:ind w:left="260"/>
              <w:spacing w:after="0"/>
              <w:rPr>
                <w:sz w:val="20"/>
                <w:szCs w:val="20"/>
                <w:color w:val="auto"/>
              </w:rPr>
            </w:pPr>
            <w:r>
              <w:rPr>
                <w:rFonts w:ascii="Arial" w:cs="Arial" w:eastAsia="Arial" w:hAnsi="Arial"/>
                <w:sz w:val="18"/>
                <w:szCs w:val="18"/>
                <w:color w:val="auto"/>
              </w:rPr>
              <w:t>Company</w:t>
            </w:r>
          </w:p>
        </w:tc>
        <w:tc>
          <w:tcPr>
            <w:tcW w:w="700" w:type="dxa"/>
            <w:vAlign w:val="bottom"/>
          </w:tcPr>
          <w:p>
            <w:pPr>
              <w:ind w:left="6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2260" w:type="dxa"/>
            <w:vAlign w:val="bottom"/>
            <w:gridSpan w:val="2"/>
          </w:tcPr>
          <w:p>
            <w:pPr>
              <w:ind w:left="1080"/>
              <w:spacing w:after="0"/>
              <w:rPr>
                <w:sz w:val="20"/>
                <w:szCs w:val="20"/>
                <w:color w:val="auto"/>
              </w:rPr>
            </w:pPr>
            <w:r>
              <w:rPr>
                <w:rFonts w:ascii="Arial" w:cs="Arial" w:eastAsia="Arial" w:hAnsi="Arial"/>
                <w:sz w:val="18"/>
                <w:szCs w:val="18"/>
                <w:color w:val="auto"/>
              </w:rPr>
              <w:t>[ X ]</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80" w:type="dxa"/>
            <w:vAlign w:val="bottom"/>
          </w:tcPr>
          <w:p>
            <w:pPr>
              <w:spacing w:after="0"/>
              <w:rPr>
                <w:sz w:val="20"/>
                <w:szCs w:val="20"/>
                <w:color w:val="auto"/>
              </w:rPr>
            </w:pPr>
            <w:r>
              <w:rPr>
                <w:rFonts w:ascii="Arial" w:cs="Arial" w:eastAsia="Arial" w:hAnsi="Arial"/>
                <w:sz w:val="18"/>
                <w:szCs w:val="18"/>
                <w:color w:val="auto"/>
              </w:rPr>
              <w:t>Sempra Energy</w:t>
            </w:r>
          </w:p>
        </w:tc>
        <w:tc>
          <w:tcPr>
            <w:tcW w:w="2340" w:type="dxa"/>
            <w:vAlign w:val="bottom"/>
          </w:tcPr>
          <w:p>
            <w:pPr>
              <w:ind w:left="1960"/>
              <w:spacing w:after="0"/>
              <w:rPr>
                <w:sz w:val="20"/>
                <w:szCs w:val="20"/>
                <w:color w:val="auto"/>
              </w:rPr>
            </w:pPr>
            <w:r>
              <w:rPr>
                <w:rFonts w:ascii="Arial" w:cs="Arial" w:eastAsia="Arial" w:hAnsi="Arial"/>
                <w:sz w:val="18"/>
                <w:szCs w:val="18"/>
                <w:color w:val="auto"/>
              </w:rPr>
              <w:t>Yes</w:t>
            </w:r>
          </w:p>
        </w:tc>
        <w:tc>
          <w:tcPr>
            <w:tcW w:w="1020" w:type="dxa"/>
            <w:vAlign w:val="bottom"/>
            <w:tcBorders>
              <w:bottom w:val="single" w:sz="8" w:color="auto"/>
            </w:tcBorders>
          </w:tcPr>
          <w:p>
            <w:pPr>
              <w:spacing w:after="0"/>
              <w:rPr>
                <w:sz w:val="20"/>
                <w:szCs w:val="20"/>
                <w:color w:val="auto"/>
              </w:rPr>
            </w:pPr>
          </w:p>
        </w:tc>
        <w:tc>
          <w:tcPr>
            <w:tcW w:w="1200" w:type="dxa"/>
            <w:vAlign w:val="bottom"/>
          </w:tcPr>
          <w:p>
            <w:pPr>
              <w:ind w:left="880"/>
              <w:spacing w:after="0"/>
              <w:rPr>
                <w:sz w:val="20"/>
                <w:szCs w:val="20"/>
                <w:color w:val="auto"/>
              </w:rPr>
            </w:pPr>
            <w:r>
              <w:rPr>
                <w:rFonts w:ascii="Arial" w:cs="Arial" w:eastAsia="Arial" w:hAnsi="Arial"/>
                <w:sz w:val="18"/>
                <w:szCs w:val="18"/>
                <w:color w:val="auto"/>
              </w:rPr>
              <w:t>No</w:t>
            </w:r>
          </w:p>
        </w:tc>
        <w:tc>
          <w:tcPr>
            <w:tcW w:w="10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X</w:t>
            </w:r>
          </w:p>
        </w:tc>
      </w:tr>
      <w:tr>
        <w:trPr>
          <w:trHeight w:val="237"/>
        </w:trPr>
        <w:tc>
          <w:tcPr>
            <w:tcW w:w="4580" w:type="dxa"/>
            <w:vAlign w:val="bottom"/>
          </w:tcPr>
          <w:p>
            <w:pPr>
              <w:spacing w:after="0"/>
              <w:rPr>
                <w:sz w:val="20"/>
                <w:szCs w:val="20"/>
                <w:color w:val="auto"/>
              </w:rPr>
            </w:pPr>
            <w:r>
              <w:rPr>
                <w:rFonts w:ascii="Arial" w:cs="Arial" w:eastAsia="Arial" w:hAnsi="Arial"/>
                <w:sz w:val="18"/>
                <w:szCs w:val="18"/>
                <w:color w:val="auto"/>
              </w:rPr>
              <w:t>San Diego Gas &amp; Electric Company</w:t>
            </w:r>
          </w:p>
        </w:tc>
        <w:tc>
          <w:tcPr>
            <w:tcW w:w="2340" w:type="dxa"/>
            <w:vAlign w:val="bottom"/>
          </w:tcPr>
          <w:p>
            <w:pPr>
              <w:ind w:left="1960"/>
              <w:spacing w:after="0"/>
              <w:rPr>
                <w:sz w:val="20"/>
                <w:szCs w:val="20"/>
                <w:color w:val="auto"/>
              </w:rPr>
            </w:pPr>
            <w:r>
              <w:rPr>
                <w:rFonts w:ascii="Arial" w:cs="Arial" w:eastAsia="Arial" w:hAnsi="Arial"/>
                <w:sz w:val="18"/>
                <w:szCs w:val="18"/>
                <w:color w:val="auto"/>
              </w:rPr>
              <w:t>Yes</w:t>
            </w:r>
          </w:p>
        </w:tc>
        <w:tc>
          <w:tcPr>
            <w:tcW w:w="1020" w:type="dxa"/>
            <w:vAlign w:val="bottom"/>
            <w:tcBorders>
              <w:bottom w:val="single" w:sz="8" w:color="auto"/>
            </w:tcBorders>
          </w:tcPr>
          <w:p>
            <w:pPr>
              <w:spacing w:after="0"/>
              <w:rPr>
                <w:sz w:val="20"/>
                <w:szCs w:val="20"/>
                <w:color w:val="auto"/>
              </w:rPr>
            </w:pPr>
          </w:p>
        </w:tc>
        <w:tc>
          <w:tcPr>
            <w:tcW w:w="1200" w:type="dxa"/>
            <w:vAlign w:val="bottom"/>
          </w:tcPr>
          <w:p>
            <w:pPr>
              <w:ind w:left="880"/>
              <w:spacing w:after="0"/>
              <w:rPr>
                <w:sz w:val="20"/>
                <w:szCs w:val="20"/>
                <w:color w:val="auto"/>
              </w:rPr>
            </w:pPr>
            <w:r>
              <w:rPr>
                <w:rFonts w:ascii="Arial" w:cs="Arial" w:eastAsia="Arial" w:hAnsi="Arial"/>
                <w:sz w:val="18"/>
                <w:szCs w:val="18"/>
                <w:color w:val="auto"/>
              </w:rPr>
              <w:t>No</w:t>
            </w:r>
          </w:p>
        </w:tc>
        <w:tc>
          <w:tcPr>
            <w:tcW w:w="10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X</w:t>
            </w:r>
          </w:p>
        </w:tc>
      </w:tr>
      <w:tr>
        <w:trPr>
          <w:trHeight w:val="237"/>
        </w:trPr>
        <w:tc>
          <w:tcPr>
            <w:tcW w:w="4580" w:type="dxa"/>
            <w:vAlign w:val="bottom"/>
          </w:tcPr>
          <w:p>
            <w:pPr>
              <w:spacing w:after="0"/>
              <w:rPr>
                <w:sz w:val="20"/>
                <w:szCs w:val="20"/>
                <w:color w:val="auto"/>
              </w:rPr>
            </w:pPr>
            <w:r>
              <w:rPr>
                <w:rFonts w:ascii="Arial" w:cs="Arial" w:eastAsia="Arial" w:hAnsi="Arial"/>
                <w:sz w:val="18"/>
                <w:szCs w:val="18"/>
                <w:color w:val="auto"/>
              </w:rPr>
              <w:t>Pacific Enterprises</w:t>
            </w:r>
          </w:p>
        </w:tc>
        <w:tc>
          <w:tcPr>
            <w:tcW w:w="2340" w:type="dxa"/>
            <w:vAlign w:val="bottom"/>
          </w:tcPr>
          <w:p>
            <w:pPr>
              <w:ind w:left="1960"/>
              <w:spacing w:after="0"/>
              <w:rPr>
                <w:sz w:val="20"/>
                <w:szCs w:val="20"/>
                <w:color w:val="auto"/>
              </w:rPr>
            </w:pPr>
            <w:r>
              <w:rPr>
                <w:rFonts w:ascii="Arial" w:cs="Arial" w:eastAsia="Arial" w:hAnsi="Arial"/>
                <w:sz w:val="18"/>
                <w:szCs w:val="18"/>
                <w:color w:val="auto"/>
              </w:rPr>
              <w:t>Yes</w:t>
            </w:r>
          </w:p>
        </w:tc>
        <w:tc>
          <w:tcPr>
            <w:tcW w:w="1020" w:type="dxa"/>
            <w:vAlign w:val="bottom"/>
            <w:tcBorders>
              <w:bottom w:val="single" w:sz="8" w:color="auto"/>
            </w:tcBorders>
          </w:tcPr>
          <w:p>
            <w:pPr>
              <w:spacing w:after="0"/>
              <w:rPr>
                <w:sz w:val="20"/>
                <w:szCs w:val="20"/>
                <w:color w:val="auto"/>
              </w:rPr>
            </w:pPr>
          </w:p>
        </w:tc>
        <w:tc>
          <w:tcPr>
            <w:tcW w:w="1200" w:type="dxa"/>
            <w:vAlign w:val="bottom"/>
          </w:tcPr>
          <w:p>
            <w:pPr>
              <w:ind w:left="880"/>
              <w:spacing w:after="0"/>
              <w:rPr>
                <w:sz w:val="20"/>
                <w:szCs w:val="20"/>
                <w:color w:val="auto"/>
              </w:rPr>
            </w:pPr>
            <w:r>
              <w:rPr>
                <w:rFonts w:ascii="Arial" w:cs="Arial" w:eastAsia="Arial" w:hAnsi="Arial"/>
                <w:sz w:val="18"/>
                <w:szCs w:val="18"/>
                <w:color w:val="auto"/>
              </w:rPr>
              <w:t>No</w:t>
            </w:r>
          </w:p>
        </w:tc>
        <w:tc>
          <w:tcPr>
            <w:tcW w:w="10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X</w:t>
            </w:r>
          </w:p>
        </w:tc>
      </w:tr>
      <w:tr>
        <w:trPr>
          <w:trHeight w:val="237"/>
        </w:trPr>
        <w:tc>
          <w:tcPr>
            <w:tcW w:w="4580" w:type="dxa"/>
            <w:vAlign w:val="bottom"/>
          </w:tcPr>
          <w:p>
            <w:pPr>
              <w:spacing w:after="0"/>
              <w:rPr>
                <w:sz w:val="20"/>
                <w:szCs w:val="20"/>
                <w:color w:val="auto"/>
              </w:rPr>
            </w:pPr>
            <w:r>
              <w:rPr>
                <w:rFonts w:ascii="Arial" w:cs="Arial" w:eastAsia="Arial" w:hAnsi="Arial"/>
                <w:sz w:val="18"/>
                <w:szCs w:val="18"/>
                <w:color w:val="auto"/>
              </w:rPr>
              <w:t>Southern California Gas Company</w:t>
            </w:r>
          </w:p>
        </w:tc>
        <w:tc>
          <w:tcPr>
            <w:tcW w:w="2340" w:type="dxa"/>
            <w:vAlign w:val="bottom"/>
          </w:tcPr>
          <w:p>
            <w:pPr>
              <w:ind w:left="1960"/>
              <w:spacing w:after="0"/>
              <w:rPr>
                <w:sz w:val="20"/>
                <w:szCs w:val="20"/>
                <w:color w:val="auto"/>
              </w:rPr>
            </w:pPr>
            <w:r>
              <w:rPr>
                <w:rFonts w:ascii="Arial" w:cs="Arial" w:eastAsia="Arial" w:hAnsi="Arial"/>
                <w:sz w:val="18"/>
                <w:szCs w:val="18"/>
                <w:color w:val="auto"/>
              </w:rPr>
              <w:t>Yes</w:t>
            </w:r>
          </w:p>
        </w:tc>
        <w:tc>
          <w:tcPr>
            <w:tcW w:w="1020" w:type="dxa"/>
            <w:vAlign w:val="bottom"/>
            <w:tcBorders>
              <w:bottom w:val="single" w:sz="8" w:color="auto"/>
            </w:tcBorders>
          </w:tcPr>
          <w:p>
            <w:pPr>
              <w:spacing w:after="0"/>
              <w:rPr>
                <w:sz w:val="20"/>
                <w:szCs w:val="20"/>
                <w:color w:val="auto"/>
              </w:rPr>
            </w:pPr>
          </w:p>
        </w:tc>
        <w:tc>
          <w:tcPr>
            <w:tcW w:w="1200" w:type="dxa"/>
            <w:vAlign w:val="bottom"/>
          </w:tcPr>
          <w:p>
            <w:pPr>
              <w:ind w:left="880"/>
              <w:spacing w:after="0"/>
              <w:rPr>
                <w:sz w:val="20"/>
                <w:szCs w:val="20"/>
                <w:color w:val="auto"/>
              </w:rPr>
            </w:pPr>
            <w:r>
              <w:rPr>
                <w:rFonts w:ascii="Arial" w:cs="Arial" w:eastAsia="Arial" w:hAnsi="Arial"/>
                <w:sz w:val="18"/>
                <w:szCs w:val="18"/>
                <w:color w:val="auto"/>
              </w:rPr>
              <w:t>No</w:t>
            </w:r>
          </w:p>
        </w:tc>
        <w:tc>
          <w:tcPr>
            <w:tcW w:w="10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X</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Common stock outstanding on April 30, 2009:</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Sempra Energy</w:t>
            </w:r>
          </w:p>
        </w:tc>
        <w:tc>
          <w:tcPr>
            <w:tcW w:w="7160" w:type="dxa"/>
            <w:vAlign w:val="bottom"/>
          </w:tcPr>
          <w:p>
            <w:pPr>
              <w:ind w:left="440"/>
              <w:spacing w:after="0"/>
              <w:rPr>
                <w:sz w:val="20"/>
                <w:szCs w:val="20"/>
                <w:color w:val="auto"/>
              </w:rPr>
            </w:pPr>
            <w:r>
              <w:rPr>
                <w:rFonts w:ascii="Arial" w:cs="Arial" w:eastAsia="Arial" w:hAnsi="Arial"/>
                <w:sz w:val="18"/>
                <w:szCs w:val="18"/>
                <w:color w:val="auto"/>
              </w:rPr>
              <w:t>244,291,674 shares</w:t>
            </w:r>
          </w:p>
        </w:tc>
      </w:tr>
      <w:tr>
        <w:trPr>
          <w:trHeight w:val="243"/>
        </w:trPr>
        <w:tc>
          <w:tcPr>
            <w:tcW w:w="3040" w:type="dxa"/>
            <w:vAlign w:val="bottom"/>
          </w:tcPr>
          <w:p>
            <w:pPr>
              <w:spacing w:after="0"/>
              <w:rPr>
                <w:sz w:val="20"/>
                <w:szCs w:val="20"/>
                <w:color w:val="auto"/>
              </w:rPr>
            </w:pPr>
            <w:r>
              <w:rPr>
                <w:rFonts w:ascii="Arial" w:cs="Arial" w:eastAsia="Arial" w:hAnsi="Arial"/>
                <w:sz w:val="18"/>
                <w:szCs w:val="18"/>
                <w:color w:val="auto"/>
              </w:rPr>
              <w:t>San Diego Gas &amp; Electric Company</w:t>
            </w:r>
          </w:p>
        </w:tc>
        <w:tc>
          <w:tcPr>
            <w:tcW w:w="7160" w:type="dxa"/>
            <w:vAlign w:val="bottom"/>
          </w:tcPr>
          <w:p>
            <w:pPr>
              <w:ind w:left="440"/>
              <w:spacing w:after="0"/>
              <w:rPr>
                <w:sz w:val="20"/>
                <w:szCs w:val="20"/>
                <w:color w:val="auto"/>
              </w:rPr>
            </w:pPr>
            <w:r>
              <w:rPr>
                <w:rFonts w:ascii="Arial" w:cs="Arial" w:eastAsia="Arial" w:hAnsi="Arial"/>
                <w:sz w:val="18"/>
                <w:szCs w:val="18"/>
                <w:color w:val="auto"/>
              </w:rPr>
              <w:t>Wholly owned by Enova Corporation, which is wholly owned by Sempra Energy</w:t>
            </w:r>
          </w:p>
        </w:tc>
      </w:tr>
      <w:tr>
        <w:trPr>
          <w:trHeight w:val="243"/>
        </w:trPr>
        <w:tc>
          <w:tcPr>
            <w:tcW w:w="3040" w:type="dxa"/>
            <w:vAlign w:val="bottom"/>
          </w:tcPr>
          <w:p>
            <w:pPr>
              <w:spacing w:after="0"/>
              <w:rPr>
                <w:sz w:val="20"/>
                <w:szCs w:val="20"/>
                <w:color w:val="auto"/>
              </w:rPr>
            </w:pPr>
            <w:r>
              <w:rPr>
                <w:rFonts w:ascii="Arial" w:cs="Arial" w:eastAsia="Arial" w:hAnsi="Arial"/>
                <w:sz w:val="18"/>
                <w:szCs w:val="18"/>
                <w:color w:val="auto"/>
              </w:rPr>
              <w:t>Pacific Enterprises</w:t>
            </w:r>
          </w:p>
        </w:tc>
        <w:tc>
          <w:tcPr>
            <w:tcW w:w="7160" w:type="dxa"/>
            <w:vAlign w:val="bottom"/>
          </w:tcPr>
          <w:p>
            <w:pPr>
              <w:ind w:left="440"/>
              <w:spacing w:after="0"/>
              <w:rPr>
                <w:sz w:val="20"/>
                <w:szCs w:val="20"/>
                <w:color w:val="auto"/>
              </w:rPr>
            </w:pPr>
            <w:r>
              <w:rPr>
                <w:rFonts w:ascii="Arial" w:cs="Arial" w:eastAsia="Arial" w:hAnsi="Arial"/>
                <w:sz w:val="18"/>
                <w:szCs w:val="18"/>
                <w:color w:val="auto"/>
              </w:rPr>
              <w:t>Wholly owned by Sempra Energy</w:t>
            </w:r>
          </w:p>
        </w:tc>
      </w:tr>
      <w:tr>
        <w:trPr>
          <w:trHeight w:val="243"/>
        </w:trPr>
        <w:tc>
          <w:tcPr>
            <w:tcW w:w="3040" w:type="dxa"/>
            <w:vAlign w:val="bottom"/>
          </w:tcPr>
          <w:p>
            <w:pPr>
              <w:spacing w:after="0"/>
              <w:rPr>
                <w:sz w:val="20"/>
                <w:szCs w:val="20"/>
                <w:color w:val="auto"/>
              </w:rPr>
            </w:pPr>
            <w:r>
              <w:rPr>
                <w:rFonts w:ascii="Arial" w:cs="Arial" w:eastAsia="Arial" w:hAnsi="Arial"/>
                <w:sz w:val="18"/>
                <w:szCs w:val="18"/>
                <w:color w:val="auto"/>
              </w:rPr>
              <w:t>Southern California Gas Company</w:t>
            </w:r>
          </w:p>
        </w:tc>
        <w:tc>
          <w:tcPr>
            <w:tcW w:w="7160" w:type="dxa"/>
            <w:vAlign w:val="bottom"/>
          </w:tcPr>
          <w:p>
            <w:pPr>
              <w:ind w:left="440"/>
              <w:spacing w:after="0"/>
              <w:rPr>
                <w:sz w:val="20"/>
                <w:szCs w:val="20"/>
                <w:color w:val="auto"/>
              </w:rPr>
            </w:pPr>
            <w:r>
              <w:rPr>
                <w:rFonts w:ascii="Arial" w:cs="Arial" w:eastAsia="Arial" w:hAnsi="Arial"/>
                <w:sz w:val="18"/>
                <w:szCs w:val="18"/>
                <w:color w:val="auto"/>
              </w:rPr>
              <w:t>Wholly owned by Pacific Enterprises, which is wholly owned by Sempra Energy</w:t>
            </w:r>
          </w:p>
        </w:tc>
      </w:tr>
      <w:tr>
        <w:trPr>
          <w:trHeight w:val="507"/>
        </w:trPr>
        <w:tc>
          <w:tcPr>
            <w:tcW w:w="304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r>
      <w:tr>
        <w:trPr>
          <w:trHeight w:val="34"/>
        </w:trPr>
        <w:tc>
          <w:tcPr>
            <w:tcW w:w="3040" w:type="dxa"/>
            <w:vAlign w:val="bottom"/>
            <w:tcBorders>
              <w:bottom w:val="single" w:sz="8" w:color="auto"/>
            </w:tcBorders>
          </w:tcPr>
          <w:p>
            <w:pPr>
              <w:spacing w:after="0"/>
              <w:rPr>
                <w:sz w:val="2"/>
                <w:szCs w:val="2"/>
                <w:color w:val="auto"/>
              </w:rPr>
            </w:pPr>
          </w:p>
        </w:tc>
        <w:tc>
          <w:tcPr>
            <w:tcW w:w="7160" w:type="dxa"/>
            <w:vAlign w:val="bottom"/>
            <w:tcBorders>
              <w:bottom w:val="single" w:sz="8" w:color="auto"/>
            </w:tcBorders>
          </w:tcPr>
          <w:p>
            <w:pPr>
              <w:spacing w:after="0"/>
              <w:rPr>
                <w:sz w:val="2"/>
                <w:szCs w:val="2"/>
                <w:color w:val="auto"/>
              </w:rPr>
            </w:pPr>
          </w:p>
        </w:tc>
      </w:tr>
    </w:tbl>
    <w:p>
      <w:pPr>
        <w:sectPr>
          <w:pgSz w:w="11900" w:h="16838" w:orient="portrait"/>
          <w:cols w:equalWidth="0" w:num="1">
            <w:col w:w="10200"/>
          </w:cols>
          <w:pgMar w:left="860" w:top="625" w:right="839" w:bottom="1440" w:gutter="0" w:footer="0" w:header="0"/>
        </w:sectPr>
      </w:pPr>
    </w:p>
    <w:bookmarkStart w:id="2" w:name="page3"/>
    <w:bookmarkEnd w:id="2"/>
    <w:p>
      <w:pPr>
        <w:ind w:left="1820"/>
        <w:spacing w:after="0"/>
        <w:rPr>
          <w:sz w:val="20"/>
          <w:szCs w:val="20"/>
          <w:color w:val="auto"/>
        </w:rPr>
      </w:pPr>
      <w:r>
        <w:rPr>
          <w:rFonts w:ascii="Arial" w:cs="Arial" w:eastAsia="Arial" w:hAnsi="Arial"/>
          <w:sz w:val="25"/>
          <w:szCs w:val="25"/>
          <w:color w:val="auto"/>
        </w:rPr>
        <w:t>SEMPRA ENERGY 10-Q</w:t>
      </w:r>
    </w:p>
    <w:p>
      <w:pPr>
        <w:ind w:left="1820"/>
        <w:spacing w:after="0"/>
        <w:rPr>
          <w:sz w:val="20"/>
          <w:szCs w:val="20"/>
          <w:color w:val="auto"/>
        </w:rPr>
      </w:pPr>
      <w:r>
        <w:rPr>
          <w:rFonts w:ascii="Arial" w:cs="Arial" w:eastAsia="Arial" w:hAnsi="Arial"/>
          <w:sz w:val="25"/>
          <w:szCs w:val="25"/>
          <w:color w:val="auto"/>
        </w:rPr>
        <w:t>TABLE OF CONTENTS</w:t>
      </w:r>
    </w:p>
    <w:p>
      <w:pPr>
        <w:spacing w:after="0" w:line="21" w:lineRule="exact"/>
        <w:rPr>
          <w:sz w:val="20"/>
          <w:szCs w:val="20"/>
          <w:color w:val="auto"/>
        </w:rPr>
      </w:pPr>
    </w:p>
    <w:tbl>
      <w:tblPr>
        <w:tblLayout w:type="fixed"/>
        <w:tblInd w:w="1800" w:type="dxa"/>
        <w:tblCellMar>
          <w:top w:w="0" w:type="dxa"/>
          <w:left w:w="0" w:type="dxa"/>
          <w:bottom w:w="0" w:type="dxa"/>
          <w:right w:w="0" w:type="dxa"/>
        </w:tblCellMar>
      </w:tblPr>
      <w:tr>
        <w:trPr>
          <w:trHeight w:val="211"/>
        </w:trPr>
        <w:tc>
          <w:tcPr>
            <w:tcW w:w="10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300" w:type="dxa"/>
            <w:vAlign w:val="bottom"/>
            <w:tcBorders>
              <w:bottom w:val="single" w:sz="8" w:color="auto"/>
            </w:tcBorders>
          </w:tcPr>
          <w:p>
            <w:pPr>
              <w:ind w:left="460"/>
              <w:spacing w:after="0"/>
              <w:rPr>
                <w:sz w:val="20"/>
                <w:szCs w:val="20"/>
                <w:color w:val="auto"/>
              </w:rPr>
            </w:pPr>
            <w:r>
              <w:rPr>
                <w:rFonts w:ascii="Arial" w:cs="Arial" w:eastAsia="Arial" w:hAnsi="Arial"/>
                <w:sz w:val="16"/>
                <w:szCs w:val="16"/>
                <w:i w:val="1"/>
                <w:iCs w:val="1"/>
                <w:color w:val="auto"/>
              </w:rPr>
              <w:t>Page</w:t>
            </w:r>
          </w:p>
        </w:tc>
      </w:tr>
      <w:tr>
        <w:trPr>
          <w:trHeight w:val="210"/>
        </w:trPr>
        <w:tc>
          <w:tcPr>
            <w:tcW w:w="6540" w:type="dxa"/>
            <w:vAlign w:val="bottom"/>
            <w:gridSpan w:val="2"/>
          </w:tcPr>
          <w:p>
            <w:pPr>
              <w:ind w:left="20"/>
              <w:spacing w:after="0"/>
              <w:rPr>
                <w:sz w:val="20"/>
                <w:szCs w:val="20"/>
                <w:color w:val="auto"/>
              </w:rPr>
            </w:pPr>
            <w:r>
              <w:rPr>
                <w:rFonts w:ascii="Arial" w:cs="Arial" w:eastAsia="Arial" w:hAnsi="Arial"/>
                <w:sz w:val="16"/>
                <w:szCs w:val="16"/>
                <w:b w:val="1"/>
                <w:bCs w:val="1"/>
                <w:color w:val="auto"/>
              </w:rPr>
              <w:t>Information Regarding Forward-Looking Statements</w:t>
            </w: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4</w:t>
            </w:r>
          </w:p>
        </w:tc>
      </w:tr>
      <w:tr>
        <w:trPr>
          <w:trHeight w:val="249"/>
        </w:trPr>
        <w:tc>
          <w:tcPr>
            <w:tcW w:w="6540" w:type="dxa"/>
            <w:vAlign w:val="bottom"/>
            <w:tcBorders>
              <w:bottom w:val="single" w:sz="8" w:color="auto"/>
            </w:tcBorders>
            <w:gridSpan w:val="2"/>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r>
      <w:tr>
        <w:trPr>
          <w:trHeight w:val="208"/>
        </w:trPr>
        <w:tc>
          <w:tcPr>
            <w:tcW w:w="6540" w:type="dxa"/>
            <w:vAlign w:val="bottom"/>
            <w:gridSpan w:val="2"/>
          </w:tcPr>
          <w:p>
            <w:pPr>
              <w:ind w:left="20"/>
              <w:spacing w:after="0"/>
              <w:rPr>
                <w:sz w:val="20"/>
                <w:szCs w:val="20"/>
                <w:color w:val="auto"/>
              </w:rPr>
            </w:pPr>
            <w:r>
              <w:rPr>
                <w:rFonts w:ascii="Arial" w:cs="Arial" w:eastAsia="Arial" w:hAnsi="Arial"/>
                <w:sz w:val="16"/>
                <w:szCs w:val="16"/>
                <w:b w:val="1"/>
                <w:bCs w:val="1"/>
                <w:color w:val="auto"/>
              </w:rPr>
              <w:t>PART I – FINANCIAL INFORMATION</w:t>
            </w:r>
          </w:p>
        </w:tc>
        <w:tc>
          <w:tcPr>
            <w:tcW w:w="1300" w:type="dxa"/>
            <w:vAlign w:val="bottom"/>
          </w:tcPr>
          <w:p>
            <w:pPr>
              <w:spacing w:after="0"/>
              <w:rPr>
                <w:sz w:val="18"/>
                <w:szCs w:val="18"/>
                <w:color w:val="auto"/>
              </w:rPr>
            </w:pPr>
          </w:p>
        </w:tc>
      </w:tr>
      <w:tr>
        <w:trPr>
          <w:trHeight w:val="238"/>
        </w:trPr>
        <w:tc>
          <w:tcPr>
            <w:tcW w:w="1080" w:type="dxa"/>
            <w:vAlign w:val="bottom"/>
          </w:tcPr>
          <w:p>
            <w:pPr>
              <w:ind w:left="20"/>
              <w:spacing w:after="0"/>
              <w:rPr>
                <w:sz w:val="20"/>
                <w:szCs w:val="20"/>
                <w:color w:val="auto"/>
              </w:rPr>
            </w:pPr>
            <w:r>
              <w:rPr>
                <w:rFonts w:ascii="Arial" w:cs="Arial" w:eastAsia="Arial" w:hAnsi="Arial"/>
                <w:sz w:val="16"/>
                <w:szCs w:val="16"/>
                <w:color w:val="auto"/>
              </w:rPr>
              <w:t>Item 1.</w:t>
            </w:r>
          </w:p>
        </w:tc>
        <w:tc>
          <w:tcPr>
            <w:tcW w:w="5460" w:type="dxa"/>
            <w:vAlign w:val="bottom"/>
          </w:tcPr>
          <w:p>
            <w:pPr>
              <w:ind w:left="300"/>
              <w:spacing w:after="0"/>
              <w:rPr>
                <w:sz w:val="20"/>
                <w:szCs w:val="20"/>
                <w:color w:val="auto"/>
              </w:rPr>
            </w:pPr>
            <w:r>
              <w:rPr>
                <w:rFonts w:ascii="Arial" w:cs="Arial" w:eastAsia="Arial" w:hAnsi="Arial"/>
                <w:sz w:val="16"/>
                <w:szCs w:val="16"/>
                <w:color w:val="auto"/>
              </w:rPr>
              <w:t>Financial Statements</w:t>
            </w: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5</w:t>
            </w:r>
          </w:p>
        </w:tc>
      </w:tr>
      <w:tr>
        <w:trPr>
          <w:trHeight w:val="210"/>
        </w:trPr>
        <w:tc>
          <w:tcPr>
            <w:tcW w:w="1080" w:type="dxa"/>
            <w:vAlign w:val="bottom"/>
          </w:tcPr>
          <w:p>
            <w:pPr>
              <w:ind w:left="20"/>
              <w:spacing w:after="0"/>
              <w:rPr>
                <w:sz w:val="20"/>
                <w:szCs w:val="20"/>
                <w:color w:val="auto"/>
              </w:rPr>
            </w:pPr>
            <w:r>
              <w:rPr>
                <w:rFonts w:ascii="Arial" w:cs="Arial" w:eastAsia="Arial" w:hAnsi="Arial"/>
                <w:sz w:val="16"/>
                <w:szCs w:val="16"/>
                <w:color w:val="auto"/>
              </w:rPr>
              <w:t>Item 2.</w:t>
            </w:r>
          </w:p>
        </w:tc>
        <w:tc>
          <w:tcPr>
            <w:tcW w:w="5460" w:type="dxa"/>
            <w:vAlign w:val="bottom"/>
          </w:tcPr>
          <w:p>
            <w:pPr>
              <w:ind w:left="300"/>
              <w:spacing w:after="0"/>
              <w:rPr>
                <w:sz w:val="20"/>
                <w:szCs w:val="20"/>
                <w:color w:val="auto"/>
              </w:rPr>
            </w:pPr>
            <w:r>
              <w:rPr>
                <w:rFonts w:ascii="Arial" w:cs="Arial" w:eastAsia="Arial" w:hAnsi="Arial"/>
                <w:sz w:val="16"/>
                <w:szCs w:val="16"/>
                <w:color w:val="auto"/>
              </w:rPr>
              <w:t>Management’s Discussion and Analysis of Financial Condition and</w:t>
            </w:r>
          </w:p>
        </w:tc>
        <w:tc>
          <w:tcPr>
            <w:tcW w:w="1300" w:type="dxa"/>
            <w:vAlign w:val="bottom"/>
          </w:tcPr>
          <w:p>
            <w:pPr>
              <w:spacing w:after="0"/>
              <w:rPr>
                <w:sz w:val="18"/>
                <w:szCs w:val="18"/>
                <w:color w:val="auto"/>
              </w:rPr>
            </w:pPr>
          </w:p>
        </w:tc>
      </w:tr>
      <w:tr>
        <w:trPr>
          <w:trHeight w:val="195"/>
        </w:trPr>
        <w:tc>
          <w:tcPr>
            <w:tcW w:w="1080" w:type="dxa"/>
            <w:vAlign w:val="bottom"/>
          </w:tcPr>
          <w:p>
            <w:pPr>
              <w:spacing w:after="0"/>
              <w:rPr>
                <w:sz w:val="16"/>
                <w:szCs w:val="16"/>
                <w:color w:val="auto"/>
              </w:rPr>
            </w:pPr>
          </w:p>
        </w:tc>
        <w:tc>
          <w:tcPr>
            <w:tcW w:w="5460" w:type="dxa"/>
            <w:vAlign w:val="bottom"/>
          </w:tcPr>
          <w:p>
            <w:pPr>
              <w:ind w:left="300"/>
              <w:spacing w:after="0"/>
              <w:rPr>
                <w:sz w:val="20"/>
                <w:szCs w:val="20"/>
                <w:color w:val="auto"/>
              </w:rPr>
            </w:pPr>
            <w:r>
              <w:rPr>
                <w:rFonts w:ascii="Arial" w:cs="Arial" w:eastAsia="Arial" w:hAnsi="Arial"/>
                <w:sz w:val="16"/>
                <w:szCs w:val="16"/>
                <w:color w:val="auto"/>
              </w:rPr>
              <w:t>Results of Operations</w:t>
            </w:r>
          </w:p>
        </w:tc>
        <w:tc>
          <w:tcPr>
            <w:tcW w:w="1300" w:type="dxa"/>
            <w:vAlign w:val="bottom"/>
          </w:tcPr>
          <w:p>
            <w:pPr>
              <w:jc w:val="center"/>
              <w:spacing w:after="0"/>
              <w:rPr>
                <w:sz w:val="20"/>
                <w:szCs w:val="20"/>
                <w:color w:val="auto"/>
              </w:rPr>
            </w:pPr>
            <w:r>
              <w:rPr>
                <w:rFonts w:ascii="Arial" w:cs="Arial" w:eastAsia="Arial" w:hAnsi="Arial"/>
                <w:sz w:val="16"/>
                <w:szCs w:val="16"/>
                <w:color w:val="auto"/>
              </w:rPr>
              <w:t>61</w:t>
            </w:r>
          </w:p>
        </w:tc>
      </w:tr>
      <w:tr>
        <w:trPr>
          <w:trHeight w:val="216"/>
        </w:trPr>
        <w:tc>
          <w:tcPr>
            <w:tcW w:w="1080" w:type="dxa"/>
            <w:vAlign w:val="bottom"/>
          </w:tcPr>
          <w:p>
            <w:pPr>
              <w:ind w:left="20"/>
              <w:spacing w:after="0"/>
              <w:rPr>
                <w:sz w:val="20"/>
                <w:szCs w:val="20"/>
                <w:color w:val="auto"/>
              </w:rPr>
            </w:pPr>
            <w:r>
              <w:rPr>
                <w:rFonts w:ascii="Arial" w:cs="Arial" w:eastAsia="Arial" w:hAnsi="Arial"/>
                <w:sz w:val="16"/>
                <w:szCs w:val="16"/>
                <w:color w:val="auto"/>
              </w:rPr>
              <w:t>Item 3.</w:t>
            </w:r>
          </w:p>
        </w:tc>
        <w:tc>
          <w:tcPr>
            <w:tcW w:w="5460" w:type="dxa"/>
            <w:vAlign w:val="bottom"/>
          </w:tcPr>
          <w:p>
            <w:pPr>
              <w:ind w:left="300"/>
              <w:spacing w:after="0"/>
              <w:rPr>
                <w:sz w:val="20"/>
                <w:szCs w:val="20"/>
                <w:color w:val="auto"/>
              </w:rPr>
            </w:pPr>
            <w:r>
              <w:rPr>
                <w:rFonts w:ascii="Arial" w:cs="Arial" w:eastAsia="Arial" w:hAnsi="Arial"/>
                <w:sz w:val="16"/>
                <w:szCs w:val="16"/>
                <w:color w:val="auto"/>
              </w:rPr>
              <w:t>Quantitative and Qualitative Disclosures About Market Risk</w:t>
            </w:r>
          </w:p>
        </w:tc>
        <w:tc>
          <w:tcPr>
            <w:tcW w:w="1300" w:type="dxa"/>
            <w:vAlign w:val="bottom"/>
          </w:tcPr>
          <w:p>
            <w:pPr>
              <w:jc w:val="center"/>
              <w:spacing w:after="0"/>
              <w:rPr>
                <w:sz w:val="20"/>
                <w:szCs w:val="20"/>
                <w:color w:val="auto"/>
              </w:rPr>
            </w:pPr>
            <w:r>
              <w:rPr>
                <w:rFonts w:ascii="Arial" w:cs="Arial" w:eastAsia="Arial" w:hAnsi="Arial"/>
                <w:sz w:val="16"/>
                <w:szCs w:val="16"/>
                <w:color w:val="auto"/>
              </w:rPr>
              <w:t>80</w:t>
            </w:r>
          </w:p>
        </w:tc>
      </w:tr>
      <w:tr>
        <w:trPr>
          <w:trHeight w:val="216"/>
        </w:trPr>
        <w:tc>
          <w:tcPr>
            <w:tcW w:w="1080" w:type="dxa"/>
            <w:vAlign w:val="bottom"/>
          </w:tcPr>
          <w:p>
            <w:pPr>
              <w:ind w:left="20"/>
              <w:spacing w:after="0"/>
              <w:rPr>
                <w:sz w:val="20"/>
                <w:szCs w:val="20"/>
                <w:color w:val="auto"/>
              </w:rPr>
            </w:pPr>
            <w:r>
              <w:rPr>
                <w:rFonts w:ascii="Arial" w:cs="Arial" w:eastAsia="Arial" w:hAnsi="Arial"/>
                <w:sz w:val="16"/>
                <w:szCs w:val="16"/>
                <w:color w:val="auto"/>
              </w:rPr>
              <w:t>Item 4.</w:t>
            </w:r>
          </w:p>
        </w:tc>
        <w:tc>
          <w:tcPr>
            <w:tcW w:w="5460" w:type="dxa"/>
            <w:vAlign w:val="bottom"/>
          </w:tcPr>
          <w:p>
            <w:pPr>
              <w:ind w:left="300"/>
              <w:spacing w:after="0"/>
              <w:rPr>
                <w:sz w:val="20"/>
                <w:szCs w:val="20"/>
                <w:color w:val="auto"/>
              </w:rPr>
            </w:pPr>
            <w:r>
              <w:rPr>
                <w:rFonts w:ascii="Arial" w:cs="Arial" w:eastAsia="Arial" w:hAnsi="Arial"/>
                <w:sz w:val="16"/>
                <w:szCs w:val="16"/>
                <w:color w:val="auto"/>
              </w:rPr>
              <w:t>Controls and Procedures</w:t>
            </w:r>
          </w:p>
        </w:tc>
        <w:tc>
          <w:tcPr>
            <w:tcW w:w="1300" w:type="dxa"/>
            <w:vAlign w:val="bottom"/>
          </w:tcPr>
          <w:p>
            <w:pPr>
              <w:jc w:val="center"/>
              <w:spacing w:after="0"/>
              <w:rPr>
                <w:sz w:val="20"/>
                <w:szCs w:val="20"/>
                <w:color w:val="auto"/>
              </w:rPr>
            </w:pPr>
            <w:r>
              <w:rPr>
                <w:rFonts w:ascii="Arial" w:cs="Arial" w:eastAsia="Arial" w:hAnsi="Arial"/>
                <w:sz w:val="16"/>
                <w:szCs w:val="16"/>
                <w:color w:val="auto"/>
              </w:rPr>
              <w:t>80</w:t>
            </w:r>
          </w:p>
        </w:tc>
      </w:tr>
      <w:tr>
        <w:trPr>
          <w:trHeight w:val="249"/>
        </w:trPr>
        <w:tc>
          <w:tcPr>
            <w:tcW w:w="6540" w:type="dxa"/>
            <w:vAlign w:val="bottom"/>
            <w:tcBorders>
              <w:bottom w:val="single" w:sz="8" w:color="auto"/>
            </w:tcBorders>
            <w:gridSpan w:val="2"/>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r>
      <w:tr>
        <w:trPr>
          <w:trHeight w:val="208"/>
        </w:trPr>
        <w:tc>
          <w:tcPr>
            <w:tcW w:w="6540" w:type="dxa"/>
            <w:vAlign w:val="bottom"/>
            <w:gridSpan w:val="2"/>
          </w:tcPr>
          <w:p>
            <w:pPr>
              <w:ind w:left="20"/>
              <w:spacing w:after="0"/>
              <w:rPr>
                <w:sz w:val="20"/>
                <w:szCs w:val="20"/>
                <w:color w:val="auto"/>
              </w:rPr>
            </w:pPr>
            <w:r>
              <w:rPr>
                <w:rFonts w:ascii="Arial" w:cs="Arial" w:eastAsia="Arial" w:hAnsi="Arial"/>
                <w:sz w:val="16"/>
                <w:szCs w:val="16"/>
                <w:b w:val="1"/>
                <w:bCs w:val="1"/>
                <w:color w:val="auto"/>
              </w:rPr>
              <w:t>PART II – OTHER INFORMATION</w:t>
            </w:r>
          </w:p>
        </w:tc>
        <w:tc>
          <w:tcPr>
            <w:tcW w:w="1300" w:type="dxa"/>
            <w:vAlign w:val="bottom"/>
          </w:tcPr>
          <w:p>
            <w:pPr>
              <w:spacing w:after="0"/>
              <w:rPr>
                <w:sz w:val="18"/>
                <w:szCs w:val="18"/>
                <w:color w:val="auto"/>
              </w:rPr>
            </w:pPr>
          </w:p>
        </w:tc>
      </w:tr>
      <w:tr>
        <w:trPr>
          <w:trHeight w:val="238"/>
        </w:trPr>
        <w:tc>
          <w:tcPr>
            <w:tcW w:w="1080" w:type="dxa"/>
            <w:vAlign w:val="bottom"/>
          </w:tcPr>
          <w:p>
            <w:pPr>
              <w:ind w:left="20"/>
              <w:spacing w:after="0"/>
              <w:rPr>
                <w:sz w:val="20"/>
                <w:szCs w:val="20"/>
                <w:color w:val="auto"/>
              </w:rPr>
            </w:pPr>
            <w:r>
              <w:rPr>
                <w:rFonts w:ascii="Arial" w:cs="Arial" w:eastAsia="Arial" w:hAnsi="Arial"/>
                <w:sz w:val="16"/>
                <w:szCs w:val="16"/>
                <w:color w:val="auto"/>
              </w:rPr>
              <w:t>Item 1.</w:t>
            </w:r>
          </w:p>
        </w:tc>
        <w:tc>
          <w:tcPr>
            <w:tcW w:w="5460" w:type="dxa"/>
            <w:vAlign w:val="bottom"/>
          </w:tcPr>
          <w:p>
            <w:pPr>
              <w:ind w:left="300"/>
              <w:spacing w:after="0"/>
              <w:rPr>
                <w:sz w:val="20"/>
                <w:szCs w:val="20"/>
                <w:color w:val="auto"/>
              </w:rPr>
            </w:pPr>
            <w:r>
              <w:rPr>
                <w:rFonts w:ascii="Arial" w:cs="Arial" w:eastAsia="Arial" w:hAnsi="Arial"/>
                <w:sz w:val="16"/>
                <w:szCs w:val="16"/>
                <w:color w:val="auto"/>
              </w:rPr>
              <w:t>Legal Proceedings</w:t>
            </w:r>
          </w:p>
        </w:tc>
        <w:tc>
          <w:tcPr>
            <w:tcW w:w="1300" w:type="dxa"/>
            <w:vAlign w:val="bottom"/>
          </w:tcPr>
          <w:p>
            <w:pPr>
              <w:jc w:val="center"/>
              <w:spacing w:after="0"/>
              <w:rPr>
                <w:sz w:val="20"/>
                <w:szCs w:val="20"/>
                <w:color w:val="auto"/>
              </w:rPr>
            </w:pPr>
            <w:r>
              <w:rPr>
                <w:rFonts w:ascii="Arial" w:cs="Arial" w:eastAsia="Arial" w:hAnsi="Arial"/>
                <w:sz w:val="16"/>
                <w:szCs w:val="16"/>
                <w:color w:val="auto"/>
              </w:rPr>
              <w:t>81</w:t>
            </w:r>
          </w:p>
        </w:tc>
      </w:tr>
      <w:tr>
        <w:trPr>
          <w:trHeight w:val="216"/>
        </w:trPr>
        <w:tc>
          <w:tcPr>
            <w:tcW w:w="1080" w:type="dxa"/>
            <w:vAlign w:val="bottom"/>
          </w:tcPr>
          <w:p>
            <w:pPr>
              <w:ind w:left="20"/>
              <w:spacing w:after="0"/>
              <w:rPr>
                <w:sz w:val="20"/>
                <w:szCs w:val="20"/>
                <w:color w:val="auto"/>
              </w:rPr>
            </w:pPr>
            <w:r>
              <w:rPr>
                <w:rFonts w:ascii="Arial" w:cs="Arial" w:eastAsia="Arial" w:hAnsi="Arial"/>
                <w:sz w:val="16"/>
                <w:szCs w:val="16"/>
                <w:color w:val="auto"/>
              </w:rPr>
              <w:t>Item 1A.</w:t>
            </w:r>
          </w:p>
        </w:tc>
        <w:tc>
          <w:tcPr>
            <w:tcW w:w="5460" w:type="dxa"/>
            <w:vAlign w:val="bottom"/>
          </w:tcPr>
          <w:p>
            <w:pPr>
              <w:ind w:left="300"/>
              <w:spacing w:after="0"/>
              <w:rPr>
                <w:sz w:val="20"/>
                <w:szCs w:val="20"/>
                <w:color w:val="auto"/>
              </w:rPr>
            </w:pPr>
            <w:r>
              <w:rPr>
                <w:rFonts w:ascii="Arial" w:cs="Arial" w:eastAsia="Arial" w:hAnsi="Arial"/>
                <w:sz w:val="16"/>
                <w:szCs w:val="16"/>
                <w:color w:val="auto"/>
              </w:rPr>
              <w:t>Risk Factors</w:t>
            </w:r>
          </w:p>
        </w:tc>
        <w:tc>
          <w:tcPr>
            <w:tcW w:w="1300" w:type="dxa"/>
            <w:vAlign w:val="bottom"/>
          </w:tcPr>
          <w:p>
            <w:pPr>
              <w:jc w:val="center"/>
              <w:spacing w:after="0"/>
              <w:rPr>
                <w:sz w:val="20"/>
                <w:szCs w:val="20"/>
                <w:color w:val="auto"/>
              </w:rPr>
            </w:pPr>
            <w:r>
              <w:rPr>
                <w:rFonts w:ascii="Arial" w:cs="Arial" w:eastAsia="Arial" w:hAnsi="Arial"/>
                <w:sz w:val="16"/>
                <w:szCs w:val="16"/>
                <w:color w:val="auto"/>
              </w:rPr>
              <w:t>81</w:t>
            </w:r>
          </w:p>
        </w:tc>
      </w:tr>
      <w:tr>
        <w:trPr>
          <w:trHeight w:val="216"/>
        </w:trPr>
        <w:tc>
          <w:tcPr>
            <w:tcW w:w="1080" w:type="dxa"/>
            <w:vAlign w:val="bottom"/>
          </w:tcPr>
          <w:p>
            <w:pPr>
              <w:ind w:left="20"/>
              <w:spacing w:after="0"/>
              <w:rPr>
                <w:sz w:val="20"/>
                <w:szCs w:val="20"/>
                <w:color w:val="auto"/>
              </w:rPr>
            </w:pPr>
            <w:r>
              <w:rPr>
                <w:rFonts w:ascii="Arial" w:cs="Arial" w:eastAsia="Arial" w:hAnsi="Arial"/>
                <w:sz w:val="16"/>
                <w:szCs w:val="16"/>
                <w:color w:val="auto"/>
              </w:rPr>
              <w:t>Item 2.</w:t>
            </w:r>
          </w:p>
        </w:tc>
        <w:tc>
          <w:tcPr>
            <w:tcW w:w="5460" w:type="dxa"/>
            <w:vAlign w:val="bottom"/>
          </w:tcPr>
          <w:p>
            <w:pPr>
              <w:ind w:left="300"/>
              <w:spacing w:after="0"/>
              <w:rPr>
                <w:sz w:val="20"/>
                <w:szCs w:val="20"/>
                <w:color w:val="auto"/>
              </w:rPr>
            </w:pPr>
            <w:r>
              <w:rPr>
                <w:rFonts w:ascii="Arial" w:cs="Arial" w:eastAsia="Arial" w:hAnsi="Arial"/>
                <w:sz w:val="16"/>
                <w:szCs w:val="16"/>
                <w:color w:val="auto"/>
              </w:rPr>
              <w:t>Unregistered Sales of Equity Securities and Use of Proceeds</w:t>
            </w:r>
          </w:p>
        </w:tc>
        <w:tc>
          <w:tcPr>
            <w:tcW w:w="1300" w:type="dxa"/>
            <w:vAlign w:val="bottom"/>
          </w:tcPr>
          <w:p>
            <w:pPr>
              <w:jc w:val="center"/>
              <w:spacing w:after="0"/>
              <w:rPr>
                <w:sz w:val="20"/>
                <w:szCs w:val="20"/>
                <w:color w:val="auto"/>
              </w:rPr>
            </w:pPr>
            <w:r>
              <w:rPr>
                <w:rFonts w:ascii="Arial" w:cs="Arial" w:eastAsia="Arial" w:hAnsi="Arial"/>
                <w:sz w:val="16"/>
                <w:szCs w:val="16"/>
                <w:color w:val="auto"/>
              </w:rPr>
              <w:t>81</w:t>
            </w:r>
          </w:p>
        </w:tc>
      </w:tr>
      <w:tr>
        <w:trPr>
          <w:trHeight w:val="216"/>
        </w:trPr>
        <w:tc>
          <w:tcPr>
            <w:tcW w:w="1080" w:type="dxa"/>
            <w:vAlign w:val="bottom"/>
          </w:tcPr>
          <w:p>
            <w:pPr>
              <w:ind w:left="20"/>
              <w:spacing w:after="0"/>
              <w:rPr>
                <w:sz w:val="20"/>
                <w:szCs w:val="20"/>
                <w:color w:val="auto"/>
              </w:rPr>
            </w:pPr>
            <w:r>
              <w:rPr>
                <w:rFonts w:ascii="Arial" w:cs="Arial" w:eastAsia="Arial" w:hAnsi="Arial"/>
                <w:sz w:val="16"/>
                <w:szCs w:val="16"/>
                <w:color w:val="auto"/>
              </w:rPr>
              <w:t>Item 4.</w:t>
            </w:r>
          </w:p>
        </w:tc>
        <w:tc>
          <w:tcPr>
            <w:tcW w:w="5460" w:type="dxa"/>
            <w:vAlign w:val="bottom"/>
          </w:tcPr>
          <w:p>
            <w:pPr>
              <w:ind w:left="300"/>
              <w:spacing w:after="0"/>
              <w:rPr>
                <w:sz w:val="20"/>
                <w:szCs w:val="20"/>
                <w:color w:val="auto"/>
              </w:rPr>
            </w:pPr>
            <w:r>
              <w:rPr>
                <w:rFonts w:ascii="Arial" w:cs="Arial" w:eastAsia="Arial" w:hAnsi="Arial"/>
                <w:sz w:val="16"/>
                <w:szCs w:val="16"/>
                <w:color w:val="auto"/>
              </w:rPr>
              <w:t>Submission of Matters to a Vote of Security Holders</w:t>
            </w:r>
          </w:p>
        </w:tc>
        <w:tc>
          <w:tcPr>
            <w:tcW w:w="1300" w:type="dxa"/>
            <w:vAlign w:val="bottom"/>
          </w:tcPr>
          <w:p>
            <w:pPr>
              <w:jc w:val="center"/>
              <w:spacing w:after="0"/>
              <w:rPr>
                <w:sz w:val="20"/>
                <w:szCs w:val="20"/>
                <w:color w:val="auto"/>
              </w:rPr>
            </w:pPr>
            <w:r>
              <w:rPr>
                <w:rFonts w:ascii="Arial" w:cs="Arial" w:eastAsia="Arial" w:hAnsi="Arial"/>
                <w:sz w:val="16"/>
                <w:szCs w:val="16"/>
                <w:color w:val="auto"/>
              </w:rPr>
              <w:t>82</w:t>
            </w:r>
          </w:p>
        </w:tc>
      </w:tr>
      <w:tr>
        <w:trPr>
          <w:trHeight w:val="216"/>
        </w:trPr>
        <w:tc>
          <w:tcPr>
            <w:tcW w:w="1080" w:type="dxa"/>
            <w:vAlign w:val="bottom"/>
          </w:tcPr>
          <w:p>
            <w:pPr>
              <w:ind w:left="20"/>
              <w:spacing w:after="0"/>
              <w:rPr>
                <w:sz w:val="20"/>
                <w:szCs w:val="20"/>
                <w:color w:val="auto"/>
              </w:rPr>
            </w:pPr>
            <w:r>
              <w:rPr>
                <w:rFonts w:ascii="Arial" w:cs="Arial" w:eastAsia="Arial" w:hAnsi="Arial"/>
                <w:sz w:val="16"/>
                <w:szCs w:val="16"/>
                <w:color w:val="auto"/>
              </w:rPr>
              <w:t>Item 5.</w:t>
            </w:r>
          </w:p>
        </w:tc>
        <w:tc>
          <w:tcPr>
            <w:tcW w:w="5460" w:type="dxa"/>
            <w:vAlign w:val="bottom"/>
          </w:tcPr>
          <w:p>
            <w:pPr>
              <w:ind w:left="300"/>
              <w:spacing w:after="0"/>
              <w:rPr>
                <w:sz w:val="20"/>
                <w:szCs w:val="20"/>
                <w:color w:val="auto"/>
              </w:rPr>
            </w:pPr>
            <w:r>
              <w:rPr>
                <w:rFonts w:ascii="Arial" w:cs="Arial" w:eastAsia="Arial" w:hAnsi="Arial"/>
                <w:sz w:val="16"/>
                <w:szCs w:val="16"/>
                <w:color w:val="auto"/>
              </w:rPr>
              <w:t>Other Information</w:t>
            </w:r>
          </w:p>
        </w:tc>
        <w:tc>
          <w:tcPr>
            <w:tcW w:w="1300" w:type="dxa"/>
            <w:vAlign w:val="bottom"/>
          </w:tcPr>
          <w:p>
            <w:pPr>
              <w:jc w:val="center"/>
              <w:spacing w:after="0"/>
              <w:rPr>
                <w:sz w:val="20"/>
                <w:szCs w:val="20"/>
                <w:color w:val="auto"/>
              </w:rPr>
            </w:pPr>
            <w:r>
              <w:rPr>
                <w:rFonts w:ascii="Arial" w:cs="Arial" w:eastAsia="Arial" w:hAnsi="Arial"/>
                <w:sz w:val="16"/>
                <w:szCs w:val="16"/>
                <w:color w:val="auto"/>
              </w:rPr>
              <w:t>83</w:t>
            </w:r>
          </w:p>
        </w:tc>
      </w:tr>
      <w:tr>
        <w:trPr>
          <w:trHeight w:val="216"/>
        </w:trPr>
        <w:tc>
          <w:tcPr>
            <w:tcW w:w="1080" w:type="dxa"/>
            <w:vAlign w:val="bottom"/>
          </w:tcPr>
          <w:p>
            <w:pPr>
              <w:ind w:left="20"/>
              <w:spacing w:after="0"/>
              <w:rPr>
                <w:sz w:val="20"/>
                <w:szCs w:val="20"/>
                <w:color w:val="auto"/>
              </w:rPr>
            </w:pPr>
            <w:r>
              <w:rPr>
                <w:rFonts w:ascii="Arial" w:cs="Arial" w:eastAsia="Arial" w:hAnsi="Arial"/>
                <w:sz w:val="16"/>
                <w:szCs w:val="16"/>
                <w:color w:val="auto"/>
              </w:rPr>
              <w:t>Item 6.</w:t>
            </w:r>
          </w:p>
        </w:tc>
        <w:tc>
          <w:tcPr>
            <w:tcW w:w="5460" w:type="dxa"/>
            <w:vAlign w:val="bottom"/>
          </w:tcPr>
          <w:p>
            <w:pPr>
              <w:ind w:left="300"/>
              <w:spacing w:after="0"/>
              <w:rPr>
                <w:sz w:val="20"/>
                <w:szCs w:val="20"/>
                <w:color w:val="auto"/>
              </w:rPr>
            </w:pPr>
            <w:r>
              <w:rPr>
                <w:rFonts w:ascii="Arial" w:cs="Arial" w:eastAsia="Arial" w:hAnsi="Arial"/>
                <w:sz w:val="16"/>
                <w:szCs w:val="16"/>
                <w:color w:val="auto"/>
              </w:rPr>
              <w:t>Exhibits</w:t>
            </w:r>
          </w:p>
        </w:tc>
        <w:tc>
          <w:tcPr>
            <w:tcW w:w="1300" w:type="dxa"/>
            <w:vAlign w:val="bottom"/>
          </w:tcPr>
          <w:p>
            <w:pPr>
              <w:jc w:val="center"/>
              <w:spacing w:after="0"/>
              <w:rPr>
                <w:sz w:val="20"/>
                <w:szCs w:val="20"/>
                <w:color w:val="auto"/>
              </w:rPr>
            </w:pPr>
            <w:r>
              <w:rPr>
                <w:rFonts w:ascii="Arial" w:cs="Arial" w:eastAsia="Arial" w:hAnsi="Arial"/>
                <w:sz w:val="16"/>
                <w:szCs w:val="16"/>
                <w:color w:val="auto"/>
              </w:rPr>
              <w:t>87</w:t>
            </w:r>
          </w:p>
        </w:tc>
      </w:tr>
      <w:tr>
        <w:trPr>
          <w:trHeight w:val="462"/>
        </w:trPr>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Signatures</w:t>
            </w: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89</w:t>
            </w:r>
          </w:p>
        </w:tc>
      </w:tr>
    </w:tbl>
    <w:p>
      <w:pPr>
        <w:spacing w:after="0" w:line="200" w:lineRule="exact"/>
        <w:rPr>
          <w:sz w:val="20"/>
          <w:szCs w:val="20"/>
          <w:color w:val="auto"/>
        </w:rPr>
      </w:pPr>
    </w:p>
    <w:p>
      <w:pPr>
        <w:spacing w:after="0" w:line="277" w:lineRule="exact"/>
        <w:rPr>
          <w:sz w:val="20"/>
          <w:szCs w:val="20"/>
          <w:color w:val="auto"/>
        </w:rPr>
      </w:pPr>
    </w:p>
    <w:p>
      <w:pPr>
        <w:spacing w:after="0" w:line="280" w:lineRule="auto"/>
        <w:rPr>
          <w:sz w:val="20"/>
          <w:szCs w:val="20"/>
          <w:color w:val="auto"/>
        </w:rPr>
      </w:pPr>
      <w:r>
        <w:rPr>
          <w:rFonts w:ascii="Arial" w:cs="Arial" w:eastAsia="Arial" w:hAnsi="Arial"/>
          <w:sz w:val="14"/>
          <w:szCs w:val="14"/>
          <w:b w:val="1"/>
          <w:bCs w:val="1"/>
          <w:color w:val="auto"/>
        </w:rPr>
        <w:t>This combined Form 10-Q is separately filed by Sempra Energy, San Diego Gas &amp; Electric Company, Pacific Enterprises and Southern California Gas Company. Information contained herein relating to any individual company is filed by such company on its own behalf. Each company makes representations only as to itself and makes no other representation whatsoever as to any other company.</w:t>
      </w:r>
    </w:p>
    <w:p>
      <w:pPr>
        <w:spacing w:after="0" w:line="206" w:lineRule="exact"/>
        <w:rPr>
          <w:sz w:val="20"/>
          <w:szCs w:val="20"/>
          <w:color w:val="auto"/>
        </w:rPr>
      </w:pPr>
    </w:p>
    <w:p>
      <w:pPr>
        <w:ind w:right="140"/>
        <w:spacing w:after="0" w:line="311" w:lineRule="auto"/>
        <w:rPr>
          <w:sz w:val="20"/>
          <w:szCs w:val="20"/>
          <w:color w:val="auto"/>
        </w:rPr>
      </w:pPr>
      <w:r>
        <w:rPr>
          <w:rFonts w:ascii="Arial" w:cs="Arial" w:eastAsia="Arial" w:hAnsi="Arial"/>
          <w:sz w:val="13"/>
          <w:szCs w:val="13"/>
          <w:b w:val="1"/>
          <w:bCs w:val="1"/>
          <w:color w:val="auto"/>
        </w:rPr>
        <w:t>You should read this report in its entirety as it pertains to each respective reporting company. No one section of the report deals with all aspects of the subject matter. Separate Part I - Item 1 sections are provided for each reporting company, except for the Notes to Condensed Consolidated Financial Statements. The Notes to Condensed Consolidated Financial Statements for all of the reporting companies are combined. All Items other than Part I – Item 1 are combined for the reporting companies.</w:t>
      </w:r>
    </w:p>
    <w:p>
      <w:pPr>
        <w:sectPr>
          <w:pgSz w:w="11900" w:h="16838" w:orient="portrait"/>
          <w:cols w:equalWidth="0" w:num="1">
            <w:col w:w="11320"/>
          </w:cols>
          <w:pgMar w:left="240" w:top="178" w:right="339" w:bottom="1440" w:gutter="0" w:footer="0" w:header="0"/>
        </w:sectPr>
      </w:pPr>
    </w:p>
    <w:bookmarkStart w:id="3" w:name="page4"/>
    <w:bookmarkEnd w:id="3"/>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t>INFORMATION REGARDING FORWARD-LOOKING STATEMENTS</w:t>
      </w:r>
    </w:p>
    <w:p>
      <w:pPr>
        <w:spacing w:after="0" w:line="7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We make statements in this report that are not historical fact and constitute forward-looking statements within the meaning of the Private Securities Litigation Reform Act of 1995. Forward-looking statements are necessarily based upon assumptions with respect to the future, involve risks and uncertainties, and are not guarantees of performance. These forward-looking statements represent our estimates and assumptions only as of the date of this report.</w:t>
      </w:r>
    </w:p>
    <w:p>
      <w:pPr>
        <w:spacing w:after="0" w:line="50"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In this report, when we use words such as "believes," "expects," "anticipates," "plans," "estimates," "projects," "contemplates," "intends," "depends," "should," "could," "would," "may," "potential," "target," "goals," or similar expressions, or when we discuss our strategy, plans or intentions, we are making forward-looking statements.</w:t>
      </w:r>
    </w:p>
    <w:p>
      <w:pPr>
        <w:spacing w:after="0" w:line="65" w:lineRule="exact"/>
        <w:rPr>
          <w:sz w:val="20"/>
          <w:szCs w:val="20"/>
          <w:color w:val="auto"/>
        </w:rPr>
      </w:pPr>
    </w:p>
    <w:p>
      <w:pPr>
        <w:ind w:right="220"/>
        <w:spacing w:after="0" w:line="249" w:lineRule="auto"/>
        <w:rPr>
          <w:sz w:val="20"/>
          <w:szCs w:val="20"/>
          <w:color w:val="auto"/>
        </w:rPr>
      </w:pPr>
      <w:r>
        <w:rPr>
          <w:rFonts w:ascii="Arial" w:cs="Arial" w:eastAsia="Arial" w:hAnsi="Arial"/>
          <w:sz w:val="22"/>
          <w:szCs w:val="22"/>
          <w:color w:val="auto"/>
        </w:rPr>
        <w:t>Factors, among others, that could cause our actual results and future actions to differ materially from those described in forward-looking statements include</w:t>
      </w:r>
    </w:p>
    <w:p>
      <w:pPr>
        <w:spacing w:after="0" w:line="2" w:lineRule="exact"/>
        <w:rPr>
          <w:sz w:val="20"/>
          <w:szCs w:val="20"/>
          <w:color w:val="auto"/>
        </w:rPr>
      </w:pPr>
    </w:p>
    <w:p>
      <w:pPr>
        <w:ind w:left="180" w:right="1540" w:hanging="172"/>
        <w:spacing w:after="0" w:line="245" w:lineRule="auto"/>
        <w:tabs>
          <w:tab w:leader="none" w:pos="180" w:val="left"/>
        </w:tabs>
        <w:numPr>
          <w:ilvl w:val="0"/>
          <w:numId w:val="3"/>
        </w:numPr>
        <w:rPr>
          <w:rFonts w:ascii="Arial" w:cs="Arial" w:eastAsia="Arial" w:hAnsi="Arial"/>
          <w:sz w:val="22"/>
          <w:szCs w:val="22"/>
          <w:color w:val="auto"/>
        </w:rPr>
      </w:pPr>
      <w:r>
        <w:rPr>
          <w:rFonts w:ascii="Arial" w:cs="Arial" w:eastAsia="Arial" w:hAnsi="Arial"/>
          <w:sz w:val="22"/>
          <w:szCs w:val="22"/>
          <w:color w:val="auto"/>
        </w:rPr>
        <w:t>local, regional, national and international economic, competitive, political, legislative and regulatory conditions and developments;</w:t>
      </w:r>
    </w:p>
    <w:p>
      <w:pPr>
        <w:spacing w:after="0" w:line="1" w:lineRule="exact"/>
        <w:rPr>
          <w:rFonts w:ascii="Arial" w:cs="Arial" w:eastAsia="Arial" w:hAnsi="Arial"/>
          <w:sz w:val="22"/>
          <w:szCs w:val="22"/>
          <w:color w:val="auto"/>
        </w:rPr>
      </w:pPr>
    </w:p>
    <w:p>
      <w:pPr>
        <w:jc w:val="both"/>
        <w:ind w:left="180" w:right="1320" w:hanging="172"/>
        <w:spacing w:after="0" w:line="280" w:lineRule="auto"/>
        <w:tabs>
          <w:tab w:leader="none" w:pos="180" w:val="left"/>
        </w:tabs>
        <w:numPr>
          <w:ilvl w:val="0"/>
          <w:numId w:val="3"/>
        </w:numPr>
        <w:rPr>
          <w:rFonts w:ascii="Arial" w:cs="Arial" w:eastAsia="Arial" w:hAnsi="Arial"/>
          <w:sz w:val="19"/>
          <w:szCs w:val="19"/>
          <w:color w:val="auto"/>
        </w:rPr>
      </w:pPr>
      <w:r>
        <w:rPr>
          <w:rFonts w:ascii="Arial" w:cs="Arial" w:eastAsia="Arial" w:hAnsi="Arial"/>
          <w:sz w:val="19"/>
          <w:szCs w:val="19"/>
          <w:color w:val="auto"/>
        </w:rPr>
        <w:t>actions by the California Public Utilities Commission, the California State Legislature, the California Department of Water Resources, the Federal Energy Regulatory Commission, the Federal Reserve Board, and other regulatory and governmental bodies in the United States, the United Kingdom and other countries;</w:t>
      </w:r>
    </w:p>
    <w:p>
      <w:pPr>
        <w:ind w:left="180" w:hanging="172"/>
        <w:spacing w:after="0"/>
        <w:tabs>
          <w:tab w:leader="none" w:pos="180" w:val="left"/>
        </w:tabs>
        <w:numPr>
          <w:ilvl w:val="0"/>
          <w:numId w:val="3"/>
        </w:numPr>
        <w:rPr>
          <w:rFonts w:ascii="Arial" w:cs="Arial" w:eastAsia="Arial" w:hAnsi="Arial"/>
          <w:sz w:val="22"/>
          <w:szCs w:val="22"/>
          <w:color w:val="auto"/>
        </w:rPr>
      </w:pPr>
      <w:r>
        <w:rPr>
          <w:rFonts w:ascii="Arial" w:cs="Arial" w:eastAsia="Arial" w:hAnsi="Arial"/>
          <w:sz w:val="22"/>
          <w:szCs w:val="22"/>
          <w:color w:val="auto"/>
        </w:rPr>
        <w:t>capital markets conditions and inflation, interest and exchange rates;</w:t>
      </w:r>
    </w:p>
    <w:p>
      <w:pPr>
        <w:spacing w:after="0" w:line="35" w:lineRule="exact"/>
        <w:rPr>
          <w:rFonts w:ascii="Arial" w:cs="Arial" w:eastAsia="Arial" w:hAnsi="Arial"/>
          <w:sz w:val="22"/>
          <w:szCs w:val="22"/>
          <w:color w:val="auto"/>
        </w:rPr>
      </w:pPr>
    </w:p>
    <w:p>
      <w:pPr>
        <w:ind w:left="180" w:hanging="172"/>
        <w:spacing w:after="0"/>
        <w:tabs>
          <w:tab w:leader="none" w:pos="180" w:val="left"/>
        </w:tabs>
        <w:numPr>
          <w:ilvl w:val="0"/>
          <w:numId w:val="3"/>
        </w:numPr>
        <w:rPr>
          <w:rFonts w:ascii="Arial" w:cs="Arial" w:eastAsia="Arial" w:hAnsi="Arial"/>
          <w:sz w:val="22"/>
          <w:szCs w:val="22"/>
          <w:color w:val="auto"/>
        </w:rPr>
      </w:pPr>
      <w:r>
        <w:rPr>
          <w:rFonts w:ascii="Arial" w:cs="Arial" w:eastAsia="Arial" w:hAnsi="Arial"/>
          <w:sz w:val="22"/>
          <w:szCs w:val="22"/>
          <w:color w:val="auto"/>
        </w:rPr>
        <w:t>energy and trading markets, including the timing and extent of changes and volatility in commodity prices;</w:t>
      </w:r>
    </w:p>
    <w:p>
      <w:pPr>
        <w:spacing w:after="0" w:line="17" w:lineRule="exact"/>
        <w:rPr>
          <w:rFonts w:ascii="Arial" w:cs="Arial" w:eastAsia="Arial" w:hAnsi="Arial"/>
          <w:sz w:val="22"/>
          <w:szCs w:val="22"/>
          <w:color w:val="auto"/>
        </w:rPr>
      </w:pPr>
    </w:p>
    <w:p>
      <w:pPr>
        <w:ind w:left="180" w:hanging="172"/>
        <w:spacing w:after="0"/>
        <w:tabs>
          <w:tab w:leader="none" w:pos="18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availability of electric power, natural gas and liquefied natural gas;</w:t>
      </w:r>
    </w:p>
    <w:p>
      <w:pPr>
        <w:spacing w:after="0" w:line="30" w:lineRule="exact"/>
        <w:rPr>
          <w:rFonts w:ascii="Arial" w:cs="Arial" w:eastAsia="Arial" w:hAnsi="Arial"/>
          <w:sz w:val="22"/>
          <w:szCs w:val="22"/>
          <w:color w:val="auto"/>
        </w:rPr>
      </w:pPr>
    </w:p>
    <w:p>
      <w:pPr>
        <w:ind w:left="180" w:hanging="172"/>
        <w:spacing w:after="0"/>
        <w:tabs>
          <w:tab w:leader="none" w:pos="180" w:val="left"/>
        </w:tabs>
        <w:numPr>
          <w:ilvl w:val="0"/>
          <w:numId w:val="3"/>
        </w:numPr>
        <w:rPr>
          <w:rFonts w:ascii="Arial" w:cs="Arial" w:eastAsia="Arial" w:hAnsi="Arial"/>
          <w:sz w:val="22"/>
          <w:szCs w:val="22"/>
          <w:color w:val="auto"/>
        </w:rPr>
      </w:pPr>
      <w:r>
        <w:rPr>
          <w:rFonts w:ascii="Arial" w:cs="Arial" w:eastAsia="Arial" w:hAnsi="Arial"/>
          <w:sz w:val="22"/>
          <w:szCs w:val="22"/>
          <w:color w:val="auto"/>
        </w:rPr>
        <w:t>weather conditions and conservation efforts;</w:t>
      </w:r>
    </w:p>
    <w:p>
      <w:pPr>
        <w:spacing w:after="0" w:line="30" w:lineRule="exact"/>
        <w:rPr>
          <w:rFonts w:ascii="Arial" w:cs="Arial" w:eastAsia="Arial" w:hAnsi="Arial"/>
          <w:sz w:val="22"/>
          <w:szCs w:val="22"/>
          <w:color w:val="auto"/>
        </w:rPr>
      </w:pPr>
    </w:p>
    <w:p>
      <w:pPr>
        <w:ind w:left="180" w:hanging="172"/>
        <w:spacing w:after="0"/>
        <w:tabs>
          <w:tab w:leader="none" w:pos="180" w:val="left"/>
        </w:tabs>
        <w:numPr>
          <w:ilvl w:val="0"/>
          <w:numId w:val="3"/>
        </w:numPr>
        <w:rPr>
          <w:rFonts w:ascii="Arial" w:cs="Arial" w:eastAsia="Arial" w:hAnsi="Arial"/>
          <w:sz w:val="22"/>
          <w:szCs w:val="22"/>
          <w:color w:val="auto"/>
        </w:rPr>
      </w:pPr>
      <w:r>
        <w:rPr>
          <w:rFonts w:ascii="Arial" w:cs="Arial" w:eastAsia="Arial" w:hAnsi="Arial"/>
          <w:sz w:val="22"/>
          <w:szCs w:val="22"/>
          <w:color w:val="auto"/>
        </w:rPr>
        <w:t>war and terrorist attacks;</w:t>
      </w:r>
    </w:p>
    <w:p>
      <w:pPr>
        <w:spacing w:after="0" w:line="17" w:lineRule="exact"/>
        <w:rPr>
          <w:rFonts w:ascii="Arial" w:cs="Arial" w:eastAsia="Arial" w:hAnsi="Arial"/>
          <w:sz w:val="22"/>
          <w:szCs w:val="22"/>
          <w:color w:val="auto"/>
        </w:rPr>
      </w:pPr>
    </w:p>
    <w:p>
      <w:pPr>
        <w:ind w:left="180" w:hanging="172"/>
        <w:spacing w:after="0"/>
        <w:tabs>
          <w:tab w:leader="none" w:pos="180" w:val="left"/>
        </w:tabs>
        <w:numPr>
          <w:ilvl w:val="0"/>
          <w:numId w:val="3"/>
        </w:numPr>
        <w:rPr>
          <w:rFonts w:ascii="Arial" w:cs="Arial" w:eastAsia="Arial" w:hAnsi="Arial"/>
          <w:sz w:val="22"/>
          <w:szCs w:val="22"/>
          <w:color w:val="auto"/>
        </w:rPr>
      </w:pPr>
      <w:r>
        <w:rPr>
          <w:rFonts w:ascii="Arial" w:cs="Arial" w:eastAsia="Arial" w:hAnsi="Arial"/>
          <w:sz w:val="22"/>
          <w:szCs w:val="22"/>
          <w:color w:val="auto"/>
        </w:rPr>
        <w:t>business, regulatory, environmental and legal decisions and requirements;</w:t>
      </w:r>
    </w:p>
    <w:p>
      <w:pPr>
        <w:spacing w:after="0" w:line="30" w:lineRule="exact"/>
        <w:rPr>
          <w:rFonts w:ascii="Arial" w:cs="Arial" w:eastAsia="Arial" w:hAnsi="Arial"/>
          <w:sz w:val="22"/>
          <w:szCs w:val="22"/>
          <w:color w:val="auto"/>
        </w:rPr>
      </w:pPr>
    </w:p>
    <w:p>
      <w:pPr>
        <w:ind w:left="180" w:hanging="172"/>
        <w:spacing w:after="0"/>
        <w:tabs>
          <w:tab w:leader="none" w:pos="18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status of deregulation of retail natural gas and electricity delivery;</w:t>
      </w:r>
    </w:p>
    <w:p>
      <w:pPr>
        <w:spacing w:after="0" w:line="30" w:lineRule="exact"/>
        <w:rPr>
          <w:rFonts w:ascii="Arial" w:cs="Arial" w:eastAsia="Arial" w:hAnsi="Arial"/>
          <w:sz w:val="22"/>
          <w:szCs w:val="22"/>
          <w:color w:val="auto"/>
        </w:rPr>
      </w:pPr>
    </w:p>
    <w:p>
      <w:pPr>
        <w:ind w:left="180" w:hanging="172"/>
        <w:spacing w:after="0"/>
        <w:tabs>
          <w:tab w:leader="none" w:pos="18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timing and success of business development efforts;</w:t>
      </w:r>
    </w:p>
    <w:p>
      <w:pPr>
        <w:spacing w:after="0" w:line="17" w:lineRule="exact"/>
        <w:rPr>
          <w:rFonts w:ascii="Arial" w:cs="Arial" w:eastAsia="Arial" w:hAnsi="Arial"/>
          <w:sz w:val="22"/>
          <w:szCs w:val="22"/>
          <w:color w:val="auto"/>
        </w:rPr>
      </w:pPr>
    </w:p>
    <w:p>
      <w:pPr>
        <w:ind w:left="180" w:hanging="172"/>
        <w:spacing w:after="0"/>
        <w:tabs>
          <w:tab w:leader="none" w:pos="18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resolution of litigation; and</w:t>
      </w:r>
    </w:p>
    <w:p>
      <w:pPr>
        <w:spacing w:after="0" w:line="30" w:lineRule="exact"/>
        <w:rPr>
          <w:rFonts w:ascii="Arial" w:cs="Arial" w:eastAsia="Arial" w:hAnsi="Arial"/>
          <w:sz w:val="22"/>
          <w:szCs w:val="22"/>
          <w:color w:val="auto"/>
        </w:rPr>
      </w:pPr>
    </w:p>
    <w:p>
      <w:pPr>
        <w:ind w:left="180" w:hanging="172"/>
        <w:spacing w:after="0"/>
        <w:tabs>
          <w:tab w:leader="none" w:pos="180" w:val="left"/>
        </w:tabs>
        <w:numPr>
          <w:ilvl w:val="0"/>
          <w:numId w:val="3"/>
        </w:numPr>
        <w:rPr>
          <w:rFonts w:ascii="Arial" w:cs="Arial" w:eastAsia="Arial" w:hAnsi="Arial"/>
          <w:sz w:val="22"/>
          <w:szCs w:val="22"/>
          <w:color w:val="auto"/>
        </w:rPr>
      </w:pPr>
      <w:r>
        <w:rPr>
          <w:rFonts w:ascii="Arial" w:cs="Arial" w:eastAsia="Arial" w:hAnsi="Arial"/>
          <w:sz w:val="22"/>
          <w:szCs w:val="22"/>
          <w:color w:val="auto"/>
        </w:rPr>
        <w:t>other uncertainties, all of which are difficult to predict and many of which are beyond our control.</w:t>
      </w:r>
    </w:p>
    <w:p>
      <w:pPr>
        <w:spacing w:after="0" w:line="121"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We caution you not to rely unduly on any forward-looking statements. You should review and consider carefully the risks, uncertainties and other factors that affect our business as described in this report and other reports that we file with the Securities and Exchange Commission.</w:t>
      </w:r>
    </w:p>
    <w:p>
      <w:pPr>
        <w:sectPr>
          <w:pgSz w:w="11900" w:h="16838" w:orient="portrait"/>
          <w:cols w:equalWidth="0" w:num="1">
            <w:col w:w="11360"/>
          </w:cols>
          <w:pgMar w:left="240" w:top="595" w:right="299" w:bottom="1440" w:gutter="0" w:footer="0" w:header="0"/>
        </w:sectPr>
      </w:pPr>
    </w:p>
    <w:bookmarkStart w:id="4" w:name="page5"/>
    <w:bookmarkEnd w:id="4"/>
    <w:p>
      <w:pPr>
        <w:spacing w:after="0"/>
        <w:rPr>
          <w:sz w:val="20"/>
          <w:szCs w:val="20"/>
          <w:color w:val="auto"/>
        </w:rPr>
      </w:pPr>
      <w:r>
        <w:rPr>
          <w:rFonts w:ascii="Arial" w:cs="Arial" w:eastAsia="Arial" w:hAnsi="Arial"/>
          <w:sz w:val="23"/>
          <w:szCs w:val="23"/>
          <w:color w:val="auto"/>
        </w:rPr>
        <w:t>PART I – FINANCIAL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23"/>
          <w:szCs w:val="23"/>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5642610"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42610" cy="411480"/>
                    </a:xfrm>
                    <a:prstGeom prst="rect">
                      <a:avLst/>
                    </a:prstGeom>
                    <a:noFill/>
                  </pic:spPr>
                </pic:pic>
              </a:graphicData>
            </a:graphic>
          </wp:anchor>
        </w:drawing>
      </w:r>
    </w:p>
    <w:p>
      <w:pPr>
        <w:spacing w:after="0" w:line="39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SEMPRA ENERGY</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 except per share amounts)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240" w:type="dxa"/>
            <w:vAlign w:val="bottom"/>
          </w:tcPr>
          <w:p>
            <w:pPr>
              <w:spacing w:after="0"/>
              <w:rPr>
                <w:sz w:val="15"/>
                <w:szCs w:val="15"/>
                <w:color w:val="auto"/>
              </w:rPr>
            </w:pPr>
          </w:p>
        </w:tc>
        <w:tc>
          <w:tcPr>
            <w:tcW w:w="266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210"/>
        </w:trPr>
        <w:tc>
          <w:tcPr>
            <w:tcW w:w="6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color w:val="auto"/>
              </w:rPr>
              <w:t>2009</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204"/>
        </w:trPr>
        <w:tc>
          <w:tcPr>
            <w:tcW w:w="6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(unaudited)</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240" w:type="dxa"/>
            <w:vAlign w:val="bottom"/>
          </w:tcPr>
          <w:p>
            <w:pPr>
              <w:ind w:left="20"/>
              <w:spacing w:after="0"/>
              <w:rPr>
                <w:sz w:val="20"/>
                <w:szCs w:val="20"/>
                <w:color w:val="auto"/>
              </w:rPr>
            </w:pPr>
            <w:r>
              <w:rPr>
                <w:rFonts w:ascii="Arial" w:cs="Arial" w:eastAsia="Arial" w:hAnsi="Arial"/>
                <w:sz w:val="16"/>
                <w:szCs w:val="16"/>
                <w:color w:val="auto"/>
              </w:rPr>
              <w:t>REVENUES</w:t>
            </w: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Arial" w:cs="Arial" w:eastAsia="Arial" w:hAnsi="Arial"/>
                <w:sz w:val="16"/>
                <w:szCs w:val="16"/>
                <w:color w:val="auto"/>
              </w:rPr>
              <w:t>Sempra Utilities</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1,642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2,290</w:t>
            </w:r>
          </w:p>
        </w:tc>
        <w:tc>
          <w:tcPr>
            <w:tcW w:w="0" w:type="dxa"/>
            <w:vAlign w:val="bottom"/>
          </w:tcPr>
          <w:p>
            <w:pPr>
              <w:spacing w:after="0"/>
              <w:rPr>
                <w:sz w:val="1"/>
                <w:szCs w:val="1"/>
                <w:color w:val="auto"/>
              </w:rPr>
            </w:pPr>
          </w:p>
        </w:tc>
      </w:tr>
      <w:tr>
        <w:trPr>
          <w:trHeight w:val="222"/>
        </w:trPr>
        <w:tc>
          <w:tcPr>
            <w:tcW w:w="6240" w:type="dxa"/>
            <w:vAlign w:val="bottom"/>
          </w:tcPr>
          <w:p>
            <w:pPr>
              <w:ind w:left="20"/>
              <w:spacing w:after="0"/>
              <w:rPr>
                <w:sz w:val="20"/>
                <w:szCs w:val="20"/>
                <w:color w:val="auto"/>
              </w:rPr>
            </w:pPr>
            <w:r>
              <w:rPr>
                <w:rFonts w:ascii="Arial" w:cs="Arial" w:eastAsia="Arial" w:hAnsi="Arial"/>
                <w:sz w:val="16"/>
                <w:szCs w:val="16"/>
                <w:color w:val="auto"/>
              </w:rPr>
              <w:t>Sempra Global and parent</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466</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980</w:t>
            </w:r>
          </w:p>
        </w:tc>
        <w:tc>
          <w:tcPr>
            <w:tcW w:w="0" w:type="dxa"/>
            <w:vAlign w:val="bottom"/>
          </w:tcPr>
          <w:p>
            <w:pPr>
              <w:spacing w:after="0"/>
              <w:rPr>
                <w:sz w:val="1"/>
                <w:szCs w:val="1"/>
                <w:color w:val="auto"/>
              </w:rPr>
            </w:pPr>
          </w:p>
        </w:tc>
      </w:tr>
      <w:tr>
        <w:trPr>
          <w:trHeight w:val="204"/>
        </w:trPr>
        <w:tc>
          <w:tcPr>
            <w:tcW w:w="6240" w:type="dxa"/>
            <w:vAlign w:val="bottom"/>
          </w:tcPr>
          <w:p>
            <w:pPr>
              <w:ind w:left="200"/>
              <w:spacing w:after="0"/>
              <w:rPr>
                <w:sz w:val="20"/>
                <w:szCs w:val="20"/>
                <w:color w:val="auto"/>
              </w:rPr>
            </w:pPr>
            <w:r>
              <w:rPr>
                <w:rFonts w:ascii="Arial" w:cs="Arial" w:eastAsia="Arial" w:hAnsi="Arial"/>
                <w:sz w:val="16"/>
                <w:szCs w:val="16"/>
                <w:color w:val="auto"/>
              </w:rPr>
              <w:t>Total revenues</w:t>
            </w:r>
          </w:p>
        </w:tc>
        <w:tc>
          <w:tcPr>
            <w:tcW w:w="440" w:type="dxa"/>
            <w:vAlign w:val="bottom"/>
          </w:tcPr>
          <w:p>
            <w:pPr>
              <w:spacing w:after="0"/>
              <w:rPr>
                <w:sz w:val="17"/>
                <w:szCs w:val="17"/>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2,108</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3,270</w:t>
            </w: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Arial" w:cs="Arial" w:eastAsia="Arial" w:hAnsi="Arial"/>
                <w:sz w:val="16"/>
                <w:szCs w:val="16"/>
                <w:color w:val="auto"/>
              </w:rPr>
              <w:t>EXPENSES AND OTHER INCOME</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Arial" w:cs="Arial" w:eastAsia="Arial" w:hAnsi="Arial"/>
                <w:sz w:val="16"/>
                <w:szCs w:val="16"/>
                <w:color w:val="auto"/>
              </w:rPr>
              <w:t>Sempra Utilities:</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00"/>
              <w:spacing w:after="0"/>
              <w:rPr>
                <w:sz w:val="20"/>
                <w:szCs w:val="20"/>
                <w:color w:val="auto"/>
              </w:rPr>
            </w:pPr>
            <w:r>
              <w:rPr>
                <w:rFonts w:ascii="Arial" w:cs="Arial" w:eastAsia="Arial" w:hAnsi="Arial"/>
                <w:sz w:val="16"/>
                <w:szCs w:val="16"/>
                <w:color w:val="auto"/>
              </w:rPr>
              <w:t>Cost of natural gas</w:t>
            </w:r>
          </w:p>
        </w:tc>
        <w:tc>
          <w:tcPr>
            <w:tcW w:w="440" w:type="dxa"/>
            <w:vAlign w:val="bottom"/>
          </w:tcPr>
          <w:p>
            <w:pPr>
              <w:spacing w:after="0"/>
              <w:rPr>
                <w:sz w:val="18"/>
                <w:szCs w:val="18"/>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(540)</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(1,235)</w:t>
            </w:r>
          </w:p>
        </w:tc>
        <w:tc>
          <w:tcPr>
            <w:tcW w:w="0" w:type="dxa"/>
            <w:vAlign w:val="bottom"/>
          </w:tcPr>
          <w:p>
            <w:pPr>
              <w:spacing w:after="0"/>
              <w:rPr>
                <w:sz w:val="1"/>
                <w:szCs w:val="1"/>
                <w:color w:val="auto"/>
              </w:rPr>
            </w:pPr>
          </w:p>
        </w:tc>
      </w:tr>
      <w:tr>
        <w:trPr>
          <w:trHeight w:val="216"/>
        </w:trPr>
        <w:tc>
          <w:tcPr>
            <w:tcW w:w="6240" w:type="dxa"/>
            <w:vAlign w:val="bottom"/>
          </w:tcPr>
          <w:p>
            <w:pPr>
              <w:ind w:left="200"/>
              <w:spacing w:after="0"/>
              <w:rPr>
                <w:sz w:val="20"/>
                <w:szCs w:val="20"/>
                <w:color w:val="auto"/>
              </w:rPr>
            </w:pPr>
            <w:r>
              <w:rPr>
                <w:rFonts w:ascii="Arial" w:cs="Arial" w:eastAsia="Arial" w:hAnsi="Arial"/>
                <w:sz w:val="16"/>
                <w:szCs w:val="16"/>
                <w:color w:val="auto"/>
              </w:rPr>
              <w:t>Cost of electric fuel and purchased power</w:t>
            </w:r>
          </w:p>
        </w:tc>
        <w:tc>
          <w:tcPr>
            <w:tcW w:w="440" w:type="dxa"/>
            <w:vAlign w:val="bottom"/>
          </w:tcPr>
          <w:p>
            <w:pPr>
              <w:spacing w:after="0"/>
              <w:rPr>
                <w:sz w:val="18"/>
                <w:szCs w:val="18"/>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(171)</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Arial" w:cs="Arial" w:eastAsia="Arial" w:hAnsi="Arial"/>
                <w:sz w:val="16"/>
                <w:szCs w:val="16"/>
                <w:color w:val="auto"/>
              </w:rPr>
              <w:t>Sempra Global and parent:</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00"/>
              <w:spacing w:after="0"/>
              <w:rPr>
                <w:sz w:val="20"/>
                <w:szCs w:val="20"/>
                <w:color w:val="auto"/>
              </w:rPr>
            </w:pPr>
            <w:r>
              <w:rPr>
                <w:rFonts w:ascii="Arial" w:cs="Arial" w:eastAsia="Arial" w:hAnsi="Arial"/>
                <w:sz w:val="16"/>
                <w:szCs w:val="16"/>
                <w:color w:val="auto"/>
              </w:rPr>
              <w:t>Cost of natural gas, electric fuel and purchased power</w:t>
            </w:r>
          </w:p>
        </w:tc>
        <w:tc>
          <w:tcPr>
            <w:tcW w:w="440" w:type="dxa"/>
            <w:vAlign w:val="bottom"/>
          </w:tcPr>
          <w:p>
            <w:pPr>
              <w:spacing w:after="0"/>
              <w:rPr>
                <w:sz w:val="18"/>
                <w:szCs w:val="18"/>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(268)</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216"/>
        </w:trPr>
        <w:tc>
          <w:tcPr>
            <w:tcW w:w="6240" w:type="dxa"/>
            <w:vAlign w:val="bottom"/>
          </w:tcPr>
          <w:p>
            <w:pPr>
              <w:ind w:left="200"/>
              <w:spacing w:after="0"/>
              <w:rPr>
                <w:sz w:val="20"/>
                <w:szCs w:val="20"/>
                <w:color w:val="auto"/>
              </w:rPr>
            </w:pPr>
            <w:r>
              <w:rPr>
                <w:rFonts w:ascii="Arial" w:cs="Arial" w:eastAsia="Arial" w:hAnsi="Arial"/>
                <w:sz w:val="16"/>
                <w:szCs w:val="16"/>
                <w:color w:val="auto"/>
              </w:rPr>
              <w:t>Other cost of sales</w:t>
            </w:r>
          </w:p>
        </w:tc>
        <w:tc>
          <w:tcPr>
            <w:tcW w:w="440" w:type="dxa"/>
            <w:vAlign w:val="bottom"/>
          </w:tcPr>
          <w:p>
            <w:pPr>
              <w:spacing w:after="0"/>
              <w:rPr>
                <w:sz w:val="18"/>
                <w:szCs w:val="18"/>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(17)</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Arial" w:cs="Arial" w:eastAsia="Arial" w:hAnsi="Arial"/>
                <w:sz w:val="16"/>
                <w:szCs w:val="16"/>
                <w:color w:val="auto"/>
              </w:rPr>
              <w:t>Operation and maintenance</w:t>
            </w:r>
          </w:p>
        </w:tc>
        <w:tc>
          <w:tcPr>
            <w:tcW w:w="440" w:type="dxa"/>
            <w:vAlign w:val="bottom"/>
          </w:tcPr>
          <w:p>
            <w:pPr>
              <w:spacing w:after="0"/>
              <w:rPr>
                <w:sz w:val="18"/>
                <w:szCs w:val="18"/>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(516)</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(698)</w:t>
            </w: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440" w:type="dxa"/>
            <w:vAlign w:val="bottom"/>
          </w:tcPr>
          <w:p>
            <w:pPr>
              <w:spacing w:after="0"/>
              <w:rPr>
                <w:sz w:val="18"/>
                <w:szCs w:val="18"/>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(183)</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Arial" w:cs="Arial" w:eastAsia="Arial" w:hAnsi="Arial"/>
                <w:sz w:val="16"/>
                <w:szCs w:val="16"/>
                <w:color w:val="auto"/>
              </w:rPr>
              <w:t>Franchise fees and other taxes</w:t>
            </w:r>
          </w:p>
        </w:tc>
        <w:tc>
          <w:tcPr>
            <w:tcW w:w="440" w:type="dxa"/>
            <w:vAlign w:val="bottom"/>
          </w:tcPr>
          <w:p>
            <w:pPr>
              <w:spacing w:after="0"/>
              <w:rPr>
                <w:sz w:val="18"/>
                <w:szCs w:val="18"/>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(82)</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Arial" w:cs="Arial" w:eastAsia="Arial" w:hAnsi="Arial"/>
                <w:sz w:val="16"/>
                <w:szCs w:val="16"/>
                <w:color w:val="auto"/>
              </w:rPr>
              <w:t>Equity earnings:</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00"/>
              <w:spacing w:after="0"/>
              <w:rPr>
                <w:sz w:val="20"/>
                <w:szCs w:val="20"/>
                <w:color w:val="auto"/>
              </w:rPr>
            </w:pPr>
            <w:r>
              <w:rPr>
                <w:rFonts w:ascii="Arial" w:cs="Arial" w:eastAsia="Arial" w:hAnsi="Arial"/>
                <w:sz w:val="16"/>
                <w:szCs w:val="16"/>
                <w:color w:val="auto"/>
              </w:rPr>
              <w:t>RBS Sempra Commodities LLP</w:t>
            </w:r>
          </w:p>
        </w:tc>
        <w:tc>
          <w:tcPr>
            <w:tcW w:w="440" w:type="dxa"/>
            <w:vAlign w:val="bottom"/>
          </w:tcPr>
          <w:p>
            <w:pPr>
              <w:spacing w:after="0"/>
              <w:rPr>
                <w:sz w:val="18"/>
                <w:szCs w:val="18"/>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153</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240" w:type="dxa"/>
            <w:vAlign w:val="bottom"/>
          </w:tcPr>
          <w:p>
            <w:pPr>
              <w:ind w:left="200"/>
              <w:spacing w:after="0"/>
              <w:rPr>
                <w:sz w:val="20"/>
                <w:szCs w:val="20"/>
                <w:color w:val="auto"/>
              </w:rPr>
            </w:pPr>
            <w:r>
              <w:rPr>
                <w:rFonts w:ascii="Arial" w:cs="Arial" w:eastAsia="Arial" w:hAnsi="Arial"/>
                <w:sz w:val="16"/>
                <w:szCs w:val="16"/>
                <w:color w:val="auto"/>
              </w:rPr>
              <w:t>Other</w:t>
            </w:r>
          </w:p>
        </w:tc>
        <w:tc>
          <w:tcPr>
            <w:tcW w:w="440" w:type="dxa"/>
            <w:vAlign w:val="bottom"/>
          </w:tcPr>
          <w:p>
            <w:pPr>
              <w:spacing w:after="0"/>
              <w:rPr>
                <w:sz w:val="18"/>
                <w:szCs w:val="18"/>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7</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440" w:type="dxa"/>
            <w:vAlign w:val="bottom"/>
          </w:tcPr>
          <w:p>
            <w:pPr>
              <w:spacing w:after="0"/>
              <w:rPr>
                <w:sz w:val="18"/>
                <w:szCs w:val="18"/>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440" w:type="dxa"/>
            <w:vAlign w:val="bottom"/>
          </w:tcPr>
          <w:p>
            <w:pPr>
              <w:spacing w:after="0"/>
              <w:rPr>
                <w:sz w:val="18"/>
                <w:szCs w:val="18"/>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6</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22"/>
        </w:trPr>
        <w:tc>
          <w:tcPr>
            <w:tcW w:w="62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(82)</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4"/>
        </w:trPr>
        <w:tc>
          <w:tcPr>
            <w:tcW w:w="6240" w:type="dxa"/>
            <w:vAlign w:val="bottom"/>
          </w:tcPr>
          <w:p>
            <w:pPr>
              <w:ind w:left="20"/>
              <w:spacing w:after="0"/>
              <w:rPr>
                <w:sz w:val="20"/>
                <w:szCs w:val="20"/>
                <w:color w:val="auto"/>
              </w:rPr>
            </w:pPr>
            <w:r>
              <w:rPr>
                <w:rFonts w:ascii="Arial" w:cs="Arial" w:eastAsia="Arial" w:hAnsi="Arial"/>
                <w:sz w:val="16"/>
                <w:szCs w:val="16"/>
                <w:color w:val="auto"/>
              </w:rPr>
              <w:t>Income before income taxes and equity earnings of certain</w:t>
            </w: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00"/>
              <w:spacing w:after="0"/>
              <w:rPr>
                <w:sz w:val="20"/>
                <w:szCs w:val="20"/>
                <w:color w:val="auto"/>
              </w:rPr>
            </w:pPr>
            <w:r>
              <w:rPr>
                <w:rFonts w:ascii="Arial" w:cs="Arial" w:eastAsia="Arial" w:hAnsi="Arial"/>
                <w:sz w:val="16"/>
                <w:szCs w:val="16"/>
                <w:color w:val="auto"/>
              </w:rPr>
              <w:t>unconsolidated subsidiaries</w:t>
            </w:r>
          </w:p>
        </w:tc>
        <w:tc>
          <w:tcPr>
            <w:tcW w:w="440" w:type="dxa"/>
            <w:vAlign w:val="bottom"/>
          </w:tcPr>
          <w:p>
            <w:pPr>
              <w:spacing w:after="0"/>
              <w:rPr>
                <w:sz w:val="18"/>
                <w:szCs w:val="18"/>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418</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440" w:type="dxa"/>
            <w:vAlign w:val="bottom"/>
          </w:tcPr>
          <w:p>
            <w:pPr>
              <w:spacing w:after="0"/>
              <w:rPr>
                <w:sz w:val="18"/>
                <w:szCs w:val="18"/>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(109)</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22"/>
        </w:trPr>
        <w:tc>
          <w:tcPr>
            <w:tcW w:w="6240" w:type="dxa"/>
            <w:vAlign w:val="bottom"/>
          </w:tcPr>
          <w:p>
            <w:pPr>
              <w:ind w:left="20"/>
              <w:spacing w:after="0"/>
              <w:rPr>
                <w:sz w:val="20"/>
                <w:szCs w:val="20"/>
                <w:color w:val="auto"/>
              </w:rPr>
            </w:pPr>
            <w:r>
              <w:rPr>
                <w:rFonts w:ascii="Arial" w:cs="Arial" w:eastAsia="Arial" w:hAnsi="Arial"/>
                <w:sz w:val="16"/>
                <w:szCs w:val="16"/>
                <w:color w:val="auto"/>
              </w:rPr>
              <w:t>Equity earnings, net of income tax</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16</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4"/>
        </w:trPr>
        <w:tc>
          <w:tcPr>
            <w:tcW w:w="62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40" w:type="dxa"/>
            <w:vAlign w:val="bottom"/>
          </w:tcPr>
          <w:p>
            <w:pPr>
              <w:spacing w:after="0"/>
              <w:rPr>
                <w:sz w:val="17"/>
                <w:szCs w:val="17"/>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325</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Arial" w:cs="Arial" w:eastAsia="Arial" w:hAnsi="Arial"/>
                <w:sz w:val="16"/>
                <w:szCs w:val="16"/>
                <w:color w:val="auto"/>
              </w:rPr>
              <w:t>Earnings attributable to noncontrolling interests</w:t>
            </w:r>
          </w:p>
        </w:tc>
        <w:tc>
          <w:tcPr>
            <w:tcW w:w="440" w:type="dxa"/>
            <w:vAlign w:val="bottom"/>
          </w:tcPr>
          <w:p>
            <w:pPr>
              <w:spacing w:after="0"/>
              <w:rPr>
                <w:sz w:val="18"/>
                <w:szCs w:val="18"/>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(7)</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6240" w:type="dxa"/>
            <w:vAlign w:val="bottom"/>
          </w:tcPr>
          <w:p>
            <w:pPr>
              <w:ind w:left="20"/>
              <w:spacing w:after="0"/>
              <w:rPr>
                <w:sz w:val="20"/>
                <w:szCs w:val="20"/>
                <w:color w:val="auto"/>
              </w:rPr>
            </w:pPr>
            <w:r>
              <w:rPr>
                <w:rFonts w:ascii="Arial" w:cs="Arial" w:eastAsia="Arial" w:hAnsi="Arial"/>
                <w:sz w:val="16"/>
                <w:szCs w:val="16"/>
                <w:color w:val="auto"/>
              </w:rPr>
              <w:t>Preferred dividends of subsidiaries</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7"/>
        </w:trPr>
        <w:tc>
          <w:tcPr>
            <w:tcW w:w="6240" w:type="dxa"/>
            <w:vAlign w:val="bottom"/>
            <w:vMerge w:val="restart"/>
          </w:tcPr>
          <w:p>
            <w:pPr>
              <w:ind w:left="20"/>
              <w:spacing w:after="0"/>
              <w:rPr>
                <w:sz w:val="20"/>
                <w:szCs w:val="20"/>
                <w:color w:val="auto"/>
              </w:rPr>
            </w:pPr>
            <w:r>
              <w:rPr>
                <w:rFonts w:ascii="Arial" w:cs="Arial" w:eastAsia="Arial" w:hAnsi="Arial"/>
                <w:sz w:val="16"/>
                <w:szCs w:val="16"/>
                <w:color w:val="auto"/>
              </w:rPr>
              <w:t>Earnings</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316</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84"/>
        </w:trPr>
        <w:tc>
          <w:tcPr>
            <w:tcW w:w="6240" w:type="dxa"/>
            <w:vAlign w:val="bottom"/>
            <w:vMerge w:val="continue"/>
          </w:tcPr>
          <w:p>
            <w:pPr>
              <w:spacing w:after="0"/>
              <w:rPr>
                <w:sz w:val="7"/>
                <w:szCs w:val="7"/>
                <w:color w:val="auto"/>
              </w:rPr>
            </w:pPr>
          </w:p>
        </w:tc>
        <w:tc>
          <w:tcPr>
            <w:tcW w:w="44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30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9"/>
        </w:trPr>
        <w:tc>
          <w:tcPr>
            <w:tcW w:w="6240" w:type="dxa"/>
            <w:vAlign w:val="bottom"/>
            <w:vMerge w:val="restart"/>
          </w:tcPr>
          <w:p>
            <w:pPr>
              <w:ind w:left="20"/>
              <w:spacing w:after="0"/>
              <w:rPr>
                <w:sz w:val="20"/>
                <w:szCs w:val="20"/>
                <w:color w:val="auto"/>
              </w:rPr>
            </w:pPr>
            <w:r>
              <w:rPr>
                <w:rFonts w:ascii="Arial" w:cs="Arial" w:eastAsia="Arial" w:hAnsi="Arial"/>
                <w:sz w:val="16"/>
                <w:szCs w:val="16"/>
                <w:color w:val="auto"/>
              </w:rPr>
              <w:t>Basic earnings per common share</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1.31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0.94</w:t>
            </w:r>
          </w:p>
        </w:tc>
        <w:tc>
          <w:tcPr>
            <w:tcW w:w="0" w:type="dxa"/>
            <w:vAlign w:val="bottom"/>
          </w:tcPr>
          <w:p>
            <w:pPr>
              <w:spacing w:after="0"/>
              <w:rPr>
                <w:sz w:val="1"/>
                <w:szCs w:val="1"/>
                <w:color w:val="auto"/>
              </w:rPr>
            </w:pPr>
          </w:p>
        </w:tc>
      </w:tr>
      <w:tr>
        <w:trPr>
          <w:trHeight w:val="84"/>
        </w:trPr>
        <w:tc>
          <w:tcPr>
            <w:tcW w:w="6240" w:type="dxa"/>
            <w:vAlign w:val="bottom"/>
            <w:vMerge w:val="continue"/>
          </w:tcPr>
          <w:p>
            <w:pPr>
              <w:spacing w:after="0"/>
              <w:rPr>
                <w:sz w:val="7"/>
                <w:szCs w:val="7"/>
                <w:color w:val="auto"/>
              </w:rPr>
            </w:pPr>
          </w:p>
        </w:tc>
        <w:tc>
          <w:tcPr>
            <w:tcW w:w="44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30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6240" w:type="dxa"/>
            <w:vAlign w:val="bottom"/>
            <w:vMerge w:val="restart"/>
          </w:tcPr>
          <w:p>
            <w:pPr>
              <w:ind w:left="20"/>
              <w:spacing w:after="0"/>
              <w:rPr>
                <w:sz w:val="20"/>
                <w:szCs w:val="20"/>
                <w:color w:val="auto"/>
              </w:rPr>
            </w:pPr>
            <w:r>
              <w:rPr>
                <w:rFonts w:ascii="Arial" w:cs="Arial" w:eastAsia="Arial" w:hAnsi="Arial"/>
                <w:sz w:val="16"/>
                <w:szCs w:val="16"/>
                <w:color w:val="auto"/>
              </w:rPr>
              <w:t>Weighted-average number of shares outstanding, basic (thousands)</w:t>
            </w:r>
          </w:p>
        </w:tc>
        <w:tc>
          <w:tcPr>
            <w:tcW w:w="440" w:type="dxa"/>
            <w:vAlign w:val="bottom"/>
          </w:tcPr>
          <w:p>
            <w:pPr>
              <w:spacing w:after="0"/>
              <w:rPr>
                <w:sz w:val="18"/>
                <w:szCs w:val="18"/>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241,766</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258,624</w:t>
            </w:r>
          </w:p>
        </w:tc>
        <w:tc>
          <w:tcPr>
            <w:tcW w:w="0" w:type="dxa"/>
            <w:vAlign w:val="bottom"/>
          </w:tcPr>
          <w:p>
            <w:pPr>
              <w:spacing w:after="0"/>
              <w:rPr>
                <w:sz w:val="1"/>
                <w:szCs w:val="1"/>
                <w:color w:val="auto"/>
              </w:rPr>
            </w:pPr>
          </w:p>
        </w:tc>
      </w:tr>
      <w:tr>
        <w:trPr>
          <w:trHeight w:val="84"/>
        </w:trPr>
        <w:tc>
          <w:tcPr>
            <w:tcW w:w="6240" w:type="dxa"/>
            <w:vAlign w:val="bottom"/>
            <w:vMerge w:val="continue"/>
          </w:tcPr>
          <w:p>
            <w:pPr>
              <w:spacing w:after="0"/>
              <w:rPr>
                <w:sz w:val="7"/>
                <w:szCs w:val="7"/>
                <w:color w:val="auto"/>
              </w:rPr>
            </w:pPr>
          </w:p>
        </w:tc>
        <w:tc>
          <w:tcPr>
            <w:tcW w:w="44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30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9"/>
        </w:trPr>
        <w:tc>
          <w:tcPr>
            <w:tcW w:w="6240" w:type="dxa"/>
            <w:vAlign w:val="bottom"/>
            <w:vMerge w:val="restart"/>
          </w:tcPr>
          <w:p>
            <w:pPr>
              <w:ind w:left="20"/>
              <w:spacing w:after="0"/>
              <w:rPr>
                <w:sz w:val="20"/>
                <w:szCs w:val="20"/>
                <w:color w:val="auto"/>
              </w:rPr>
            </w:pPr>
            <w:r>
              <w:rPr>
                <w:rFonts w:ascii="Arial" w:cs="Arial" w:eastAsia="Arial" w:hAnsi="Arial"/>
                <w:sz w:val="16"/>
                <w:szCs w:val="16"/>
                <w:color w:val="auto"/>
              </w:rPr>
              <w:t>Diluted earnings per common share</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1.29</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0.92</w:t>
            </w:r>
          </w:p>
        </w:tc>
        <w:tc>
          <w:tcPr>
            <w:tcW w:w="0" w:type="dxa"/>
            <w:vAlign w:val="bottom"/>
          </w:tcPr>
          <w:p>
            <w:pPr>
              <w:spacing w:after="0"/>
              <w:rPr>
                <w:sz w:val="1"/>
                <w:szCs w:val="1"/>
                <w:color w:val="auto"/>
              </w:rPr>
            </w:pPr>
          </w:p>
        </w:tc>
      </w:tr>
      <w:tr>
        <w:trPr>
          <w:trHeight w:val="84"/>
        </w:trPr>
        <w:tc>
          <w:tcPr>
            <w:tcW w:w="6240" w:type="dxa"/>
            <w:vAlign w:val="bottom"/>
            <w:vMerge w:val="continue"/>
          </w:tcPr>
          <w:p>
            <w:pPr>
              <w:spacing w:after="0"/>
              <w:rPr>
                <w:sz w:val="7"/>
                <w:szCs w:val="7"/>
                <w:color w:val="auto"/>
              </w:rPr>
            </w:pPr>
          </w:p>
        </w:tc>
        <w:tc>
          <w:tcPr>
            <w:tcW w:w="44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30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6240" w:type="dxa"/>
            <w:vAlign w:val="bottom"/>
            <w:vMerge w:val="restart"/>
          </w:tcPr>
          <w:p>
            <w:pPr>
              <w:ind w:left="20"/>
              <w:spacing w:after="0"/>
              <w:rPr>
                <w:sz w:val="20"/>
                <w:szCs w:val="20"/>
                <w:color w:val="auto"/>
              </w:rPr>
            </w:pPr>
            <w:r>
              <w:rPr>
                <w:rFonts w:ascii="Arial" w:cs="Arial" w:eastAsia="Arial" w:hAnsi="Arial"/>
                <w:sz w:val="16"/>
                <w:szCs w:val="16"/>
                <w:color w:val="auto"/>
              </w:rPr>
              <w:t>Weighted-average number of shares outstanding, diluted (thousands)</w:t>
            </w:r>
          </w:p>
        </w:tc>
        <w:tc>
          <w:tcPr>
            <w:tcW w:w="440" w:type="dxa"/>
            <w:vAlign w:val="bottom"/>
          </w:tcPr>
          <w:p>
            <w:pPr>
              <w:spacing w:after="0"/>
              <w:rPr>
                <w:sz w:val="18"/>
                <w:szCs w:val="18"/>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245,017</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262,671</w:t>
            </w:r>
          </w:p>
        </w:tc>
        <w:tc>
          <w:tcPr>
            <w:tcW w:w="0" w:type="dxa"/>
            <w:vAlign w:val="bottom"/>
          </w:tcPr>
          <w:p>
            <w:pPr>
              <w:spacing w:after="0"/>
              <w:rPr>
                <w:sz w:val="1"/>
                <w:szCs w:val="1"/>
                <w:color w:val="auto"/>
              </w:rPr>
            </w:pPr>
          </w:p>
        </w:tc>
      </w:tr>
      <w:tr>
        <w:trPr>
          <w:trHeight w:val="84"/>
        </w:trPr>
        <w:tc>
          <w:tcPr>
            <w:tcW w:w="6240" w:type="dxa"/>
            <w:vAlign w:val="bottom"/>
            <w:vMerge w:val="continue"/>
          </w:tcPr>
          <w:p>
            <w:pPr>
              <w:spacing w:after="0"/>
              <w:rPr>
                <w:sz w:val="7"/>
                <w:szCs w:val="7"/>
                <w:color w:val="auto"/>
              </w:rPr>
            </w:pPr>
          </w:p>
        </w:tc>
        <w:tc>
          <w:tcPr>
            <w:tcW w:w="44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30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Dividends declared per share of common stock</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0.39</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0.32</w:t>
            </w:r>
          </w:p>
        </w:tc>
        <w:tc>
          <w:tcPr>
            <w:tcW w:w="0" w:type="dxa"/>
            <w:vAlign w:val="bottom"/>
          </w:tcPr>
          <w:p>
            <w:pPr>
              <w:spacing w:after="0"/>
              <w:rPr>
                <w:sz w:val="1"/>
                <w:szCs w:val="1"/>
                <w:color w:val="auto"/>
              </w:rPr>
            </w:pPr>
          </w:p>
        </w:tc>
      </w:tr>
      <w:tr>
        <w:trPr>
          <w:trHeight w:val="84"/>
        </w:trPr>
        <w:tc>
          <w:tcPr>
            <w:tcW w:w="6240" w:type="dxa"/>
            <w:vAlign w:val="bottom"/>
            <w:shd w:val="clear" w:color="auto" w:fill="000000"/>
          </w:tcPr>
          <w:p>
            <w:pPr>
              <w:spacing w:after="0"/>
              <w:rPr>
                <w:sz w:val="7"/>
                <w:szCs w:val="7"/>
                <w:color w:val="auto"/>
              </w:rPr>
            </w:pPr>
          </w:p>
        </w:tc>
        <w:tc>
          <w:tcPr>
            <w:tcW w:w="44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30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As adjusted for the retrospective adoption of SFAS 160.</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44" w:right="1440" w:bottom="1440" w:gutter="0" w:footer="0" w:header="0"/>
        </w:sectPr>
      </w:pPr>
    </w:p>
    <w:bookmarkStart w:id="5" w:name="page6"/>
    <w:bookmarkEnd w:id="5"/>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106045</wp:posOffset>
            </wp:positionV>
            <wp:extent cx="5822950" cy="411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22950" cy="411480"/>
                    </a:xfrm>
                    <a:prstGeom prst="rect">
                      <a:avLst/>
                    </a:prstGeom>
                    <a:noFill/>
                  </pic:spPr>
                </pic:pic>
              </a:graphicData>
            </a:graphic>
          </wp:anchor>
        </w:drawing>
        <w:t>SEMPRA ENERGY</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200"/>
              <w:spacing w:after="0"/>
              <w:rPr>
                <w:sz w:val="20"/>
                <w:szCs w:val="20"/>
                <w:color w:val="auto"/>
              </w:rPr>
            </w:pPr>
            <w:r>
              <w:rPr>
                <w:rFonts w:ascii="Arial" w:cs="Arial" w:eastAsia="Arial" w:hAnsi="Arial"/>
                <w:sz w:val="14"/>
                <w:szCs w:val="14"/>
                <w:color w:val="auto"/>
              </w:rPr>
              <w:t>March 31,</w:t>
            </w:r>
          </w:p>
        </w:tc>
        <w:tc>
          <w:tcPr>
            <w:tcW w:w="140" w:type="dxa"/>
            <w:vAlign w:val="bottom"/>
          </w:tcPr>
          <w:p>
            <w:pPr>
              <w:spacing w:after="0"/>
              <w:rPr>
                <w:sz w:val="14"/>
                <w:szCs w:val="14"/>
                <w:color w:val="auto"/>
              </w:rPr>
            </w:pPr>
          </w:p>
        </w:tc>
        <w:tc>
          <w:tcPr>
            <w:tcW w:w="1100" w:type="dxa"/>
            <w:vAlign w:val="bottom"/>
          </w:tcPr>
          <w:p>
            <w:pPr>
              <w:jc w:val="right"/>
              <w:ind w:right="80"/>
              <w:spacing w:after="0"/>
              <w:rPr>
                <w:sz w:val="20"/>
                <w:szCs w:val="20"/>
                <w:color w:val="auto"/>
              </w:rPr>
            </w:pPr>
            <w:r>
              <w:rPr>
                <w:rFonts w:ascii="Arial" w:cs="Arial" w:eastAsia="Arial" w:hAnsi="Arial"/>
                <w:sz w:val="14"/>
                <w:szCs w:val="14"/>
                <w:color w:val="auto"/>
              </w:rPr>
              <w:t>December 31,</w:t>
            </w:r>
          </w:p>
        </w:tc>
      </w:tr>
      <w:tr>
        <w:trPr>
          <w:trHeight w:val="222"/>
        </w:trPr>
        <w:tc>
          <w:tcPr>
            <w:tcW w:w="6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2009</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2008</w:t>
            </w:r>
          </w:p>
        </w:tc>
      </w:tr>
      <w:tr>
        <w:trPr>
          <w:trHeight w:val="204"/>
        </w:trPr>
        <w:tc>
          <w:tcPr>
            <w:tcW w:w="6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60" w:type="dxa"/>
            <w:vAlign w:val="bottom"/>
            <w:gridSpan w:val="3"/>
          </w:tcPr>
          <w:p>
            <w:pPr>
              <w:jc w:val="right"/>
              <w:ind w:right="780"/>
              <w:spacing w:after="0"/>
              <w:rPr>
                <w:sz w:val="20"/>
                <w:szCs w:val="20"/>
                <w:color w:val="auto"/>
              </w:rPr>
            </w:pPr>
            <w:r>
              <w:rPr>
                <w:rFonts w:ascii="Arial" w:cs="Arial" w:eastAsia="Arial" w:hAnsi="Arial"/>
                <w:sz w:val="14"/>
                <w:szCs w:val="14"/>
                <w:color w:val="auto"/>
              </w:rPr>
              <w:t>(unaudited)</w:t>
            </w:r>
          </w:p>
        </w:tc>
      </w:tr>
      <w:tr>
        <w:trPr>
          <w:trHeight w:val="222"/>
        </w:trPr>
        <w:tc>
          <w:tcPr>
            <w:tcW w:w="6720" w:type="dxa"/>
            <w:vAlign w:val="bottom"/>
          </w:tcPr>
          <w:p>
            <w:pPr>
              <w:ind w:left="20"/>
              <w:spacing w:after="0"/>
              <w:rPr>
                <w:sz w:val="20"/>
                <w:szCs w:val="20"/>
                <w:color w:val="auto"/>
              </w:rPr>
            </w:pPr>
            <w:r>
              <w:rPr>
                <w:rFonts w:ascii="Arial" w:cs="Arial" w:eastAsia="Arial" w:hAnsi="Arial"/>
                <w:sz w:val="16"/>
                <w:szCs w:val="16"/>
                <w:color w:val="auto"/>
              </w:rPr>
              <w:t>ASSETS</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67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720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331</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176</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176</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Trade accounts receivable, net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757</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903</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Other accounts and notes receivable, net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Income taxes receivable</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195</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Regulatory assets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122</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Fixed-price contracts and other derivatives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123</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Insurance receivable related to wildfire litigation (Note 10)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900</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2"/>
        </w:trPr>
        <w:tc>
          <w:tcPr>
            <w:tcW w:w="6720" w:type="dxa"/>
            <w:vAlign w:val="bottom"/>
          </w:tcPr>
          <w:p>
            <w:pPr>
              <w:ind w:left="20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r>
      <w:tr>
        <w:trPr>
          <w:trHeight w:val="210"/>
        </w:trPr>
        <w:tc>
          <w:tcPr>
            <w:tcW w:w="672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3,327</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2,476</w:t>
            </w:r>
          </w:p>
        </w:tc>
      </w:tr>
      <w:tr>
        <w:trPr>
          <w:trHeight w:val="420"/>
        </w:trPr>
        <w:tc>
          <w:tcPr>
            <w:tcW w:w="6720" w:type="dxa"/>
            <w:vAlign w:val="bottom"/>
          </w:tcPr>
          <w:p>
            <w:pPr>
              <w:ind w:left="20"/>
              <w:spacing w:after="0"/>
              <w:rPr>
                <w:sz w:val="20"/>
                <w:szCs w:val="20"/>
                <w:color w:val="auto"/>
              </w:rPr>
            </w:pPr>
            <w:r>
              <w:rPr>
                <w:rFonts w:ascii="Arial" w:cs="Arial" w:eastAsia="Arial" w:hAnsi="Arial"/>
                <w:sz w:val="16"/>
                <w:szCs w:val="16"/>
                <w:color w:val="auto"/>
              </w:rPr>
              <w:t>Investments and other assets:</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Regulatory assets arising from fixed-price contracts and other derivatives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263</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264</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Regulatory assets arising from pension and other postretirement</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720" w:type="dxa"/>
            <w:vAlign w:val="bottom"/>
          </w:tcPr>
          <w:p>
            <w:pPr>
              <w:ind w:left="380"/>
              <w:spacing w:after="0"/>
              <w:rPr>
                <w:sz w:val="20"/>
                <w:szCs w:val="20"/>
                <w:color w:val="auto"/>
              </w:rPr>
            </w:pPr>
            <w:r>
              <w:rPr>
                <w:rFonts w:ascii="Arial" w:cs="Arial" w:eastAsia="Arial" w:hAnsi="Arial"/>
                <w:sz w:val="16"/>
                <w:szCs w:val="16"/>
                <w:color w:val="auto"/>
              </w:rPr>
              <w:t>benefit obligations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1,210</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1,188</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Other regulatory assets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543</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534</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Nuclear decommissioning trusts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537</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577</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Investment in RBS Sempra Commodities LLP</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1,958</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2,082</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Other investments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1,228</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1,166</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Goodwill and other intangible assets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531</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539</w:t>
            </w:r>
          </w:p>
        </w:tc>
      </w:tr>
      <w:tr>
        <w:trPr>
          <w:trHeight w:val="222"/>
        </w:trPr>
        <w:tc>
          <w:tcPr>
            <w:tcW w:w="6720" w:type="dxa"/>
            <w:vAlign w:val="bottom"/>
          </w:tcPr>
          <w:p>
            <w:pPr>
              <w:ind w:left="200"/>
              <w:spacing w:after="0"/>
              <w:rPr>
                <w:sz w:val="20"/>
                <w:szCs w:val="20"/>
                <w:color w:val="auto"/>
              </w:rPr>
            </w:pPr>
            <w:r>
              <w:rPr>
                <w:rFonts w:ascii="Arial" w:cs="Arial" w:eastAsia="Arial" w:hAnsi="Arial"/>
                <w:sz w:val="16"/>
                <w:szCs w:val="16"/>
                <w:color w:val="auto"/>
              </w:rPr>
              <w:t>Sundry</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w:t>
            </w:r>
          </w:p>
        </w:tc>
      </w:tr>
      <w:tr>
        <w:trPr>
          <w:trHeight w:val="210"/>
        </w:trPr>
        <w:tc>
          <w:tcPr>
            <w:tcW w:w="6720" w:type="dxa"/>
            <w:vAlign w:val="bottom"/>
          </w:tcPr>
          <w:p>
            <w:pPr>
              <w:ind w:left="380"/>
              <w:spacing w:after="0"/>
              <w:rPr>
                <w:sz w:val="20"/>
                <w:szCs w:val="20"/>
                <w:color w:val="auto"/>
              </w:rPr>
            </w:pPr>
            <w:r>
              <w:rPr>
                <w:rFonts w:ascii="Arial" w:cs="Arial" w:eastAsia="Arial" w:hAnsi="Arial"/>
                <w:sz w:val="16"/>
                <w:szCs w:val="16"/>
                <w:color w:val="auto"/>
              </w:rPr>
              <w:t>Total investments and other assets</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6,799</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7,059</w:t>
            </w:r>
          </w:p>
        </w:tc>
      </w:tr>
      <w:tr>
        <w:trPr>
          <w:trHeight w:val="420"/>
        </w:trPr>
        <w:tc>
          <w:tcPr>
            <w:tcW w:w="672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Property, plant and equipment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23,613</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23,153</w:t>
            </w:r>
          </w:p>
        </w:tc>
      </w:tr>
      <w:tr>
        <w:trPr>
          <w:trHeight w:val="222"/>
        </w:trPr>
        <w:tc>
          <w:tcPr>
            <w:tcW w:w="6720" w:type="dxa"/>
            <w:vAlign w:val="bottom"/>
          </w:tcPr>
          <w:p>
            <w:pPr>
              <w:ind w:left="200"/>
              <w:spacing w:after="0"/>
              <w:rPr>
                <w:sz w:val="20"/>
                <w:szCs w:val="20"/>
                <w:color w:val="auto"/>
              </w:rPr>
            </w:pPr>
            <w:r>
              <w:rPr>
                <w:rFonts w:ascii="Arial" w:cs="Arial" w:eastAsia="Arial" w:hAnsi="Arial"/>
                <w:sz w:val="16"/>
                <w:szCs w:val="16"/>
                <w:color w:val="auto"/>
              </w:rPr>
              <w:t>Less accumulated depreciation and amortization</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(6,405)</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(6,288)</w:t>
            </w:r>
          </w:p>
        </w:tc>
      </w:tr>
      <w:tr>
        <w:trPr>
          <w:trHeight w:val="210"/>
        </w:trPr>
        <w:tc>
          <w:tcPr>
            <w:tcW w:w="6720" w:type="dxa"/>
            <w:vAlign w:val="bottom"/>
          </w:tcPr>
          <w:p>
            <w:pPr>
              <w:ind w:left="38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17,208</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16,865</w:t>
            </w:r>
          </w:p>
        </w:tc>
      </w:tr>
      <w:tr>
        <w:trPr>
          <w:trHeight w:val="207"/>
        </w:trPr>
        <w:tc>
          <w:tcPr>
            <w:tcW w:w="672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27,334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26,400</w:t>
            </w:r>
          </w:p>
        </w:tc>
      </w:tr>
      <w:tr>
        <w:trPr>
          <w:trHeight w:val="84"/>
        </w:trPr>
        <w:tc>
          <w:tcPr>
            <w:tcW w:w="672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10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75" w:right="1440" w:bottom="1440" w:gutter="0" w:footer="0" w:header="0"/>
        </w:sectPr>
      </w:pPr>
    </w:p>
    <w:bookmarkStart w:id="6" w:name="page7"/>
    <w:bookmarkEnd w:id="6"/>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106045</wp:posOffset>
            </wp:positionV>
            <wp:extent cx="5822950"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22950" cy="411480"/>
                    </a:xfrm>
                    <a:prstGeom prst="rect">
                      <a:avLst/>
                    </a:prstGeom>
                    <a:noFill/>
                  </pic:spPr>
                </pic:pic>
              </a:graphicData>
            </a:graphic>
          </wp:anchor>
        </w:drawing>
        <w:t>SEMPRA ENERGY</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200"/>
              <w:spacing w:after="0"/>
              <w:rPr>
                <w:sz w:val="20"/>
                <w:szCs w:val="20"/>
                <w:color w:val="auto"/>
              </w:rPr>
            </w:pPr>
            <w:r>
              <w:rPr>
                <w:rFonts w:ascii="Arial" w:cs="Arial" w:eastAsia="Arial" w:hAnsi="Arial"/>
                <w:sz w:val="14"/>
                <w:szCs w:val="14"/>
                <w:color w:val="auto"/>
              </w:rPr>
              <w:t>March 31,</w:t>
            </w:r>
          </w:p>
        </w:tc>
        <w:tc>
          <w:tcPr>
            <w:tcW w:w="140" w:type="dxa"/>
            <w:vAlign w:val="bottom"/>
          </w:tcPr>
          <w:p>
            <w:pPr>
              <w:spacing w:after="0"/>
              <w:rPr>
                <w:sz w:val="14"/>
                <w:szCs w:val="14"/>
                <w:color w:val="auto"/>
              </w:rPr>
            </w:pPr>
          </w:p>
        </w:tc>
        <w:tc>
          <w:tcPr>
            <w:tcW w:w="1100" w:type="dxa"/>
            <w:vAlign w:val="bottom"/>
          </w:tcPr>
          <w:p>
            <w:pPr>
              <w:jc w:val="right"/>
              <w:ind w:right="79"/>
              <w:spacing w:after="0"/>
              <w:rPr>
                <w:sz w:val="20"/>
                <w:szCs w:val="20"/>
                <w:color w:val="auto"/>
              </w:rPr>
            </w:pPr>
            <w:r>
              <w:rPr>
                <w:rFonts w:ascii="Arial" w:cs="Arial" w:eastAsia="Arial" w:hAnsi="Arial"/>
                <w:sz w:val="14"/>
                <w:szCs w:val="14"/>
                <w:color w:val="auto"/>
              </w:rPr>
              <w:t>December 31,</w:t>
            </w:r>
          </w:p>
        </w:tc>
      </w:tr>
      <w:tr>
        <w:trPr>
          <w:trHeight w:val="222"/>
        </w:trPr>
        <w:tc>
          <w:tcPr>
            <w:tcW w:w="6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2009</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2008*</w:t>
            </w:r>
          </w:p>
        </w:tc>
      </w:tr>
      <w:tr>
        <w:trPr>
          <w:trHeight w:val="204"/>
        </w:trPr>
        <w:tc>
          <w:tcPr>
            <w:tcW w:w="6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60" w:type="dxa"/>
            <w:vAlign w:val="bottom"/>
            <w:gridSpan w:val="3"/>
          </w:tcPr>
          <w:p>
            <w:pPr>
              <w:jc w:val="right"/>
              <w:ind w:right="779"/>
              <w:spacing w:after="0"/>
              <w:rPr>
                <w:sz w:val="20"/>
                <w:szCs w:val="20"/>
                <w:color w:val="auto"/>
              </w:rPr>
            </w:pPr>
            <w:r>
              <w:rPr>
                <w:rFonts w:ascii="Arial" w:cs="Arial" w:eastAsia="Arial" w:hAnsi="Arial"/>
                <w:sz w:val="14"/>
                <w:szCs w:val="14"/>
                <w:color w:val="auto"/>
              </w:rPr>
              <w:t>(unaudited)</w:t>
            </w:r>
          </w:p>
        </w:tc>
      </w:tr>
      <w:tr>
        <w:trPr>
          <w:trHeight w:val="222"/>
        </w:trPr>
        <w:tc>
          <w:tcPr>
            <w:tcW w:w="6720" w:type="dxa"/>
            <w:vAlign w:val="bottom"/>
          </w:tcPr>
          <w:p>
            <w:pPr>
              <w:ind w:left="20"/>
              <w:spacing w:after="0"/>
              <w:rPr>
                <w:sz w:val="20"/>
                <w:szCs w:val="20"/>
                <w:color w:val="auto"/>
              </w:rPr>
            </w:pPr>
            <w:r>
              <w:rPr>
                <w:rFonts w:ascii="Arial" w:cs="Arial" w:eastAsia="Arial" w:hAnsi="Arial"/>
                <w:sz w:val="16"/>
                <w:szCs w:val="16"/>
                <w:color w:val="auto"/>
              </w:rPr>
              <w:t>LIABILITIES AND EQUITY</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67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Short-term debt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426</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503</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Accounts payable - trade</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444</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606</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Accounts payable - other</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178</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Due to unconsolidated affiliates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Dividends and interest payable</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187</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156</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Accrued compensation and benefits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146</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Regulatory balancing accounts, net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609</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335</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Current portion of long-term debt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921</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410</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Fixed-price contracts and other derivatives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196</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Customer deposits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159</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Reserve for wildfire litigation (Note 10)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900</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2"/>
        </w:trPr>
        <w:tc>
          <w:tcPr>
            <w:tcW w:w="6720" w:type="dxa"/>
            <w:vAlign w:val="bottom"/>
          </w:tcPr>
          <w:p>
            <w:pPr>
              <w:ind w:left="20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w:t>
            </w:r>
          </w:p>
        </w:tc>
      </w:tr>
      <w:tr>
        <w:trPr>
          <w:trHeight w:val="210"/>
        </w:trPr>
        <w:tc>
          <w:tcPr>
            <w:tcW w:w="672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4,900</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3,612</w:t>
            </w:r>
          </w:p>
        </w:tc>
      </w:tr>
      <w:tr>
        <w:trPr>
          <w:trHeight w:val="210"/>
        </w:trPr>
        <w:tc>
          <w:tcPr>
            <w:tcW w:w="67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6,044</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6,544</w:t>
            </w:r>
          </w:p>
        </w:tc>
      </w:tr>
      <w:tr>
        <w:trPr>
          <w:trHeight w:val="420"/>
        </w:trPr>
        <w:tc>
          <w:tcPr>
            <w:tcW w:w="6720" w:type="dxa"/>
            <w:vAlign w:val="bottom"/>
          </w:tcPr>
          <w:p>
            <w:pPr>
              <w:ind w:left="20"/>
              <w:spacing w:after="0"/>
              <w:rPr>
                <w:sz w:val="20"/>
                <w:szCs w:val="20"/>
                <w:color w:val="auto"/>
              </w:rPr>
            </w:pPr>
            <w:r>
              <w:rPr>
                <w:rFonts w:ascii="Arial" w:cs="Arial" w:eastAsia="Arial" w:hAnsi="Arial"/>
                <w:sz w:val="16"/>
                <w:szCs w:val="16"/>
                <w:color w:val="auto"/>
              </w:rPr>
              <w:t>Deferred credits and other liabilities:</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Due to unconsolidated affiliate</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102</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Customer advances for construction</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153</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Pension and other postretirement benefit obligations, net of plan assets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1,508</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1,487</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944</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946</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Deferred investment tax credits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Regulatory liabilities arising from removal obligations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2,402</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2,430</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Asset retirement obligations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1,177</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1,159</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Other regulatory liabilities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216</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219</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Fixed-price contracts and other derivatives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366</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392</w:t>
            </w:r>
          </w:p>
        </w:tc>
      </w:tr>
      <w:tr>
        <w:trPr>
          <w:trHeight w:val="222"/>
        </w:trPr>
        <w:tc>
          <w:tcPr>
            <w:tcW w:w="6720" w:type="dxa"/>
            <w:vAlign w:val="bottom"/>
          </w:tcPr>
          <w:p>
            <w:pPr>
              <w:ind w:left="200"/>
              <w:spacing w:after="0"/>
              <w:rPr>
                <w:sz w:val="20"/>
                <w:szCs w:val="20"/>
                <w:color w:val="auto"/>
              </w:rPr>
            </w:pPr>
            <w:r>
              <w:rPr>
                <w:rFonts w:ascii="Arial" w:cs="Arial" w:eastAsia="Arial" w:hAnsi="Arial"/>
                <w:sz w:val="16"/>
                <w:szCs w:val="16"/>
                <w:color w:val="auto"/>
              </w:rPr>
              <w:t>Deferred credits and other</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w:t>
            </w:r>
          </w:p>
        </w:tc>
      </w:tr>
      <w:tr>
        <w:trPr>
          <w:trHeight w:val="210"/>
        </w:trPr>
        <w:tc>
          <w:tcPr>
            <w:tcW w:w="6720" w:type="dxa"/>
            <w:vAlign w:val="bottom"/>
          </w:tcPr>
          <w:p>
            <w:pPr>
              <w:ind w:left="380"/>
              <w:spacing w:after="0"/>
              <w:rPr>
                <w:sz w:val="20"/>
                <w:szCs w:val="20"/>
                <w:color w:val="auto"/>
              </w:rPr>
            </w:pPr>
            <w:r>
              <w:rPr>
                <w:rFonts w:ascii="Arial" w:cs="Arial" w:eastAsia="Arial" w:hAnsi="Arial"/>
                <w:sz w:val="16"/>
                <w:szCs w:val="16"/>
                <w:color w:val="auto"/>
              </w:rPr>
              <w:t>Total deferred credits and other liabilities</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7,798</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7,856</w:t>
            </w:r>
          </w:p>
        </w:tc>
      </w:tr>
      <w:tr>
        <w:trPr>
          <w:trHeight w:val="210"/>
        </w:trPr>
        <w:tc>
          <w:tcPr>
            <w:tcW w:w="6720" w:type="dxa"/>
            <w:vAlign w:val="bottom"/>
          </w:tcPr>
          <w:p>
            <w:pPr>
              <w:ind w:left="20"/>
              <w:spacing w:after="0"/>
              <w:rPr>
                <w:sz w:val="20"/>
                <w:szCs w:val="20"/>
                <w:color w:val="auto"/>
              </w:rPr>
            </w:pPr>
            <w:r>
              <w:rPr>
                <w:rFonts w:ascii="Arial" w:cs="Arial" w:eastAsia="Arial" w:hAnsi="Arial"/>
                <w:sz w:val="16"/>
                <w:szCs w:val="16"/>
                <w:color w:val="auto"/>
              </w:rPr>
              <w:t>Preferred stock of subsidiary</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r>
      <w:tr>
        <w:trPr>
          <w:trHeight w:val="420"/>
        </w:trPr>
        <w:tc>
          <w:tcPr>
            <w:tcW w:w="6720" w:type="dxa"/>
            <w:vAlign w:val="bottom"/>
          </w:tcPr>
          <w:p>
            <w:pPr>
              <w:ind w:left="20"/>
              <w:spacing w:after="0"/>
              <w:rPr>
                <w:sz w:val="20"/>
                <w:szCs w:val="20"/>
                <w:color w:val="auto"/>
              </w:rPr>
            </w:pPr>
            <w:r>
              <w:rPr>
                <w:rFonts w:ascii="Arial" w:cs="Arial" w:eastAsia="Arial" w:hAnsi="Arial"/>
                <w:sz w:val="16"/>
                <w:szCs w:val="16"/>
                <w:color w:val="auto"/>
              </w:rPr>
              <w:t>Commitments and contingencies (Note 10)</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6720" w:type="dxa"/>
            <w:vAlign w:val="bottom"/>
          </w:tcPr>
          <w:p>
            <w:pPr>
              <w:ind w:left="20"/>
              <w:spacing w:after="0"/>
              <w:rPr>
                <w:sz w:val="20"/>
                <w:szCs w:val="20"/>
                <w:color w:val="auto"/>
              </w:rPr>
            </w:pPr>
            <w:r>
              <w:rPr>
                <w:rFonts w:ascii="Arial" w:cs="Arial" w:eastAsia="Arial" w:hAnsi="Arial"/>
                <w:sz w:val="16"/>
                <w:szCs w:val="16"/>
                <w:color w:val="auto"/>
              </w:rPr>
              <w:t>Equity:</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Preferred stock (50 million shares authorized; none issued)</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Common stock (750 million shares authorized; 244 million and 243 million</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720" w:type="dxa"/>
            <w:vAlign w:val="bottom"/>
          </w:tcPr>
          <w:p>
            <w:pPr>
              <w:ind w:left="380"/>
              <w:spacing w:after="0"/>
              <w:rPr>
                <w:sz w:val="20"/>
                <w:szCs w:val="20"/>
                <w:color w:val="auto"/>
              </w:rPr>
            </w:pPr>
            <w:r>
              <w:rPr>
                <w:rFonts w:ascii="Arial" w:cs="Arial" w:eastAsia="Arial" w:hAnsi="Arial"/>
                <w:sz w:val="16"/>
                <w:szCs w:val="16"/>
                <w:color w:val="auto"/>
              </w:rPr>
              <w:t>shares outstanding at March 31, 2009 and December 31, 2008, respectively;</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720" w:type="dxa"/>
            <w:vAlign w:val="bottom"/>
          </w:tcPr>
          <w:p>
            <w:pPr>
              <w:ind w:left="380"/>
              <w:spacing w:after="0"/>
              <w:rPr>
                <w:sz w:val="20"/>
                <w:szCs w:val="20"/>
                <w:color w:val="auto"/>
              </w:rPr>
            </w:pPr>
            <w:r>
              <w:rPr>
                <w:rFonts w:ascii="Arial" w:cs="Arial" w:eastAsia="Arial" w:hAnsi="Arial"/>
                <w:sz w:val="16"/>
                <w:szCs w:val="16"/>
                <w:color w:val="auto"/>
              </w:rPr>
              <w:t>no par value)</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2,281</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2,265</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Retained earnings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6,456</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6,235</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Deferred compensation</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22"/>
        </w:trPr>
        <w:tc>
          <w:tcPr>
            <w:tcW w:w="6720" w:type="dxa"/>
            <w:vAlign w:val="bottom"/>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w:t>
            </w:r>
          </w:p>
        </w:tc>
      </w:tr>
      <w:tr>
        <w:trPr>
          <w:trHeight w:val="204"/>
        </w:trPr>
        <w:tc>
          <w:tcPr>
            <w:tcW w:w="6720" w:type="dxa"/>
            <w:vAlign w:val="bottom"/>
          </w:tcPr>
          <w:p>
            <w:pPr>
              <w:ind w:left="380"/>
              <w:spacing w:after="0"/>
              <w:rPr>
                <w:sz w:val="20"/>
                <w:szCs w:val="20"/>
                <w:color w:val="auto"/>
              </w:rPr>
            </w:pPr>
            <w:r>
              <w:rPr>
                <w:rFonts w:ascii="Arial" w:cs="Arial" w:eastAsia="Arial" w:hAnsi="Arial"/>
                <w:sz w:val="16"/>
                <w:szCs w:val="16"/>
                <w:color w:val="auto"/>
              </w:rPr>
              <w:t>Total Sempra Energy shareholders' equity</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8,247</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7,969</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Preferred stock of subsidiaries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22"/>
        </w:trPr>
        <w:tc>
          <w:tcPr>
            <w:tcW w:w="6720" w:type="dxa"/>
            <w:vAlign w:val="bottom"/>
          </w:tcPr>
          <w:p>
            <w:pPr>
              <w:ind w:left="200"/>
              <w:spacing w:after="0"/>
              <w:rPr>
                <w:sz w:val="20"/>
                <w:szCs w:val="20"/>
                <w:color w:val="auto"/>
              </w:rPr>
            </w:pPr>
            <w:r>
              <w:rPr>
                <w:rFonts w:ascii="Arial" w:cs="Arial" w:eastAsia="Arial" w:hAnsi="Arial"/>
                <w:sz w:val="16"/>
                <w:szCs w:val="16"/>
                <w:color w:val="auto"/>
              </w:rPr>
              <w:t>Other noncontrolling interests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r>
      <w:tr>
        <w:trPr>
          <w:trHeight w:val="210"/>
        </w:trPr>
        <w:tc>
          <w:tcPr>
            <w:tcW w:w="6720" w:type="dxa"/>
            <w:vAlign w:val="bottom"/>
          </w:tcPr>
          <w:p>
            <w:pPr>
              <w:ind w:left="380"/>
              <w:spacing w:after="0"/>
              <w:rPr>
                <w:sz w:val="20"/>
                <w:szCs w:val="20"/>
                <w:color w:val="auto"/>
              </w:rPr>
            </w:pPr>
            <w:r>
              <w:rPr>
                <w:rFonts w:ascii="Arial" w:cs="Arial" w:eastAsia="Arial" w:hAnsi="Arial"/>
                <w:sz w:val="16"/>
                <w:szCs w:val="16"/>
                <w:color w:val="auto"/>
              </w:rPr>
              <w:t>Total equity</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8,513</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8,309</w:t>
            </w:r>
          </w:p>
        </w:tc>
      </w:tr>
      <w:tr>
        <w:trPr>
          <w:trHeight w:val="207"/>
        </w:trPr>
        <w:tc>
          <w:tcPr>
            <w:tcW w:w="6720" w:type="dxa"/>
            <w:vAlign w:val="bottom"/>
          </w:tcPr>
          <w:p>
            <w:pPr>
              <w:ind w:left="20"/>
              <w:spacing w:after="0"/>
              <w:rPr>
                <w:sz w:val="20"/>
                <w:szCs w:val="20"/>
                <w:color w:val="auto"/>
              </w:rPr>
            </w:pPr>
            <w:r>
              <w:rPr>
                <w:rFonts w:ascii="Arial" w:cs="Arial" w:eastAsia="Arial" w:hAnsi="Arial"/>
                <w:sz w:val="16"/>
                <w:szCs w:val="16"/>
                <w:color w:val="auto"/>
              </w:rPr>
              <w:t>Total liabilities and equity</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27,334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26,400</w:t>
            </w:r>
          </w:p>
        </w:tc>
      </w:tr>
      <w:tr>
        <w:trPr>
          <w:trHeight w:val="84"/>
        </w:trPr>
        <w:tc>
          <w:tcPr>
            <w:tcW w:w="672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100" w:type="dxa"/>
            <w:vAlign w:val="bottom"/>
            <w:shd w:val="clear" w:color="auto" w:fill="000000"/>
          </w:tcPr>
          <w:p>
            <w:pPr>
              <w:spacing w:after="0"/>
              <w:rPr>
                <w:sz w:val="7"/>
                <w:szCs w:val="7"/>
                <w:color w:val="auto"/>
              </w:rPr>
            </w:pPr>
          </w:p>
        </w:tc>
      </w:tr>
    </w:tbl>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As adjusted for the retrospective adoption of SFAS 160.</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75" w:right="1440" w:bottom="1440" w:gutter="0" w:footer="0" w:header="0"/>
        </w:sectPr>
      </w:pPr>
    </w:p>
    <w:bookmarkStart w:id="7" w:name="page8"/>
    <w:bookmarkEnd w:id="7"/>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106045</wp:posOffset>
            </wp:positionV>
            <wp:extent cx="5822950"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22950" cy="411480"/>
                    </a:xfrm>
                    <a:prstGeom prst="rect">
                      <a:avLst/>
                    </a:prstGeom>
                    <a:noFill/>
                  </pic:spPr>
                </pic:pic>
              </a:graphicData>
            </a:graphic>
          </wp:anchor>
        </w:drawing>
        <w:t>SEMPRA ENERGY</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STATEMENTS OF CONSOLIDATED CASH FLOWS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3"/>
          </w:tcPr>
          <w:p>
            <w:pPr>
              <w:jc w:val="center"/>
              <w:ind w:right="199"/>
              <w:spacing w:after="0"/>
              <w:rPr>
                <w:sz w:val="20"/>
                <w:szCs w:val="20"/>
                <w:color w:val="auto"/>
              </w:rPr>
            </w:pPr>
            <w:r>
              <w:rPr>
                <w:rFonts w:ascii="Arial" w:cs="Arial" w:eastAsia="Arial" w:hAnsi="Arial"/>
                <w:sz w:val="14"/>
                <w:szCs w:val="14"/>
                <w:color w:val="auto"/>
              </w:rPr>
              <w:t>Three months ended</w:t>
            </w:r>
          </w:p>
        </w:tc>
      </w:tr>
      <w:tr>
        <w:trPr>
          <w:trHeight w:val="209"/>
        </w:trPr>
        <w:tc>
          <w:tcPr>
            <w:tcW w:w="6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left="460"/>
              <w:spacing w:after="0"/>
              <w:rPr>
                <w:sz w:val="20"/>
                <w:szCs w:val="20"/>
                <w:color w:val="auto"/>
              </w:rPr>
            </w:pPr>
            <w:r>
              <w:rPr>
                <w:rFonts w:ascii="Arial" w:cs="Arial" w:eastAsia="Arial" w:hAnsi="Arial"/>
                <w:sz w:val="14"/>
                <w:szCs w:val="14"/>
                <w:color w:val="auto"/>
              </w:rPr>
              <w:t>March 31,</w:t>
            </w:r>
          </w:p>
        </w:tc>
        <w:tc>
          <w:tcPr>
            <w:tcW w:w="840" w:type="dxa"/>
            <w:vAlign w:val="bottom"/>
            <w:tcBorders>
              <w:bottom w:val="single" w:sz="8" w:color="auto"/>
            </w:tcBorders>
          </w:tcPr>
          <w:p>
            <w:pPr>
              <w:spacing w:after="0"/>
              <w:rPr>
                <w:sz w:val="18"/>
                <w:szCs w:val="18"/>
                <w:color w:val="auto"/>
              </w:rPr>
            </w:pPr>
          </w:p>
        </w:tc>
      </w:tr>
      <w:tr>
        <w:trPr>
          <w:trHeight w:val="210"/>
        </w:trPr>
        <w:tc>
          <w:tcPr>
            <w:tcW w:w="67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2009</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2008*</w:t>
            </w:r>
          </w:p>
        </w:tc>
      </w:tr>
      <w:tr>
        <w:trPr>
          <w:trHeight w:val="204"/>
        </w:trPr>
        <w:tc>
          <w:tcPr>
            <w:tcW w:w="6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center"/>
              <w:ind w:left="480"/>
              <w:spacing w:after="0"/>
              <w:rPr>
                <w:sz w:val="20"/>
                <w:szCs w:val="20"/>
                <w:color w:val="auto"/>
              </w:rPr>
            </w:pPr>
            <w:r>
              <w:rPr>
                <w:rFonts w:ascii="Arial" w:cs="Arial" w:eastAsia="Arial" w:hAnsi="Arial"/>
                <w:sz w:val="14"/>
                <w:szCs w:val="14"/>
                <w:color w:val="auto"/>
              </w:rPr>
              <w:t>(unaudited)</w:t>
            </w:r>
          </w:p>
        </w:tc>
        <w:tc>
          <w:tcPr>
            <w:tcW w:w="840" w:type="dxa"/>
            <w:vAlign w:val="bottom"/>
          </w:tcPr>
          <w:p>
            <w:pPr>
              <w:spacing w:after="0"/>
              <w:rPr>
                <w:sz w:val="17"/>
                <w:szCs w:val="17"/>
                <w:color w:val="auto"/>
              </w:rPr>
            </w:pPr>
          </w:p>
        </w:tc>
      </w:tr>
      <w:tr>
        <w:trPr>
          <w:trHeight w:val="222"/>
        </w:trPr>
        <w:tc>
          <w:tcPr>
            <w:tcW w:w="6720" w:type="dxa"/>
            <w:vAlign w:val="bottom"/>
          </w:tcPr>
          <w:p>
            <w:pPr>
              <w:ind w:left="2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325</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244</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Adjustments to reconcile net income to net cash provided</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720" w:type="dxa"/>
            <w:vAlign w:val="bottom"/>
          </w:tcPr>
          <w:p>
            <w:pPr>
              <w:ind w:left="380"/>
              <w:spacing w:after="0"/>
              <w:rPr>
                <w:sz w:val="20"/>
                <w:szCs w:val="20"/>
                <w:color w:val="auto"/>
              </w:rPr>
            </w:pPr>
            <w:r>
              <w:rPr>
                <w:rFonts w:ascii="Arial" w:cs="Arial" w:eastAsia="Arial" w:hAnsi="Arial"/>
                <w:sz w:val="16"/>
                <w:szCs w:val="16"/>
                <w:color w:val="auto"/>
              </w:rPr>
              <w:t>by operating activities: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720" w:type="dxa"/>
            <w:vAlign w:val="bottom"/>
          </w:tcPr>
          <w:p>
            <w:pPr>
              <w:ind w:left="56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183</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16"/>
        </w:trPr>
        <w:tc>
          <w:tcPr>
            <w:tcW w:w="6720" w:type="dxa"/>
            <w:vAlign w:val="bottom"/>
          </w:tcPr>
          <w:p>
            <w:pPr>
              <w:ind w:left="560"/>
              <w:spacing w:after="0"/>
              <w:rPr>
                <w:sz w:val="20"/>
                <w:szCs w:val="20"/>
                <w:color w:val="auto"/>
              </w:rPr>
            </w:pPr>
            <w:r>
              <w:rPr>
                <w:rFonts w:ascii="Arial" w:cs="Arial" w:eastAsia="Arial" w:hAnsi="Arial"/>
                <w:sz w:val="16"/>
                <w:szCs w:val="16"/>
                <w:color w:val="auto"/>
              </w:rPr>
              <w:t>Deferred income taxes and investment tax credits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16"/>
        </w:trPr>
        <w:tc>
          <w:tcPr>
            <w:tcW w:w="6720" w:type="dxa"/>
            <w:vAlign w:val="bottom"/>
          </w:tcPr>
          <w:p>
            <w:pPr>
              <w:ind w:left="560"/>
              <w:spacing w:after="0"/>
              <w:rPr>
                <w:sz w:val="20"/>
                <w:szCs w:val="20"/>
                <w:color w:val="auto"/>
              </w:rPr>
            </w:pPr>
            <w:r>
              <w:rPr>
                <w:rFonts w:ascii="Arial" w:cs="Arial" w:eastAsia="Arial" w:hAnsi="Arial"/>
                <w:sz w:val="16"/>
                <w:szCs w:val="16"/>
                <w:color w:val="auto"/>
              </w:rPr>
              <w:t>Equity earnings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(176)</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6"/>
        </w:trPr>
        <w:tc>
          <w:tcPr>
            <w:tcW w:w="6720" w:type="dxa"/>
            <w:vAlign w:val="bottom"/>
          </w:tcPr>
          <w:p>
            <w:pPr>
              <w:ind w:left="56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Net change in other working capital components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491</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390</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Distribution from RBS Sempra Commodities LLP</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305</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Changes in other assets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22"/>
        </w:trPr>
        <w:tc>
          <w:tcPr>
            <w:tcW w:w="6720" w:type="dxa"/>
            <w:vAlign w:val="bottom"/>
          </w:tcPr>
          <w:p>
            <w:pPr>
              <w:ind w:left="200"/>
              <w:spacing w:after="0"/>
              <w:rPr>
                <w:sz w:val="20"/>
                <w:szCs w:val="20"/>
                <w:color w:val="auto"/>
              </w:rPr>
            </w:pPr>
            <w:r>
              <w:rPr>
                <w:rFonts w:ascii="Arial" w:cs="Arial" w:eastAsia="Arial" w:hAnsi="Arial"/>
                <w:sz w:val="16"/>
                <w:szCs w:val="16"/>
                <w:color w:val="auto"/>
              </w:rPr>
              <w:t>Changes in other liabilities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10"/>
        </w:trPr>
        <w:tc>
          <w:tcPr>
            <w:tcW w:w="6720" w:type="dxa"/>
            <w:vAlign w:val="bottom"/>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1,139</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w:t>
            </w:r>
          </w:p>
        </w:tc>
      </w:tr>
      <w:tr>
        <w:trPr>
          <w:trHeight w:val="420"/>
        </w:trPr>
        <w:tc>
          <w:tcPr>
            <w:tcW w:w="672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Expenditures for property, plant and equipment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(492)</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(544)</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Proceeds from sale of assets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Expenditures for investments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(579)</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Distributions from investments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Purchases of nuclear decommissioning and other trust assets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Proceeds from sales by nuclear decommissioning and other trusts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22"/>
        </w:trPr>
        <w:tc>
          <w:tcPr>
            <w:tcW w:w="6720" w:type="dxa"/>
            <w:vAlign w:val="bottom"/>
          </w:tcPr>
          <w:p>
            <w:pPr>
              <w:ind w:left="20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6720" w:type="dxa"/>
            <w:vAlign w:val="bottom"/>
          </w:tcPr>
          <w:p>
            <w:pPr>
              <w:ind w:left="38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(1,109)</w:t>
            </w:r>
          </w:p>
        </w:tc>
      </w:tr>
      <w:tr>
        <w:trPr>
          <w:trHeight w:val="420"/>
        </w:trPr>
        <w:tc>
          <w:tcPr>
            <w:tcW w:w="672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Common dividends paid</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(86)</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Preferred dividends paid by subsidiaries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Issuances of common stock</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Repurchases of common stock</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(Decrease) increase in short-term debt, net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566</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Issuances of long-term debt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Payments on long-term debt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Purchase of noncontrolling interest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(94)</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2"/>
        </w:trPr>
        <w:tc>
          <w:tcPr>
            <w:tcW w:w="6720" w:type="dxa"/>
            <w:vAlign w:val="bottom"/>
          </w:tcPr>
          <w:p>
            <w:pPr>
              <w:ind w:left="20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10"/>
        </w:trPr>
        <w:tc>
          <w:tcPr>
            <w:tcW w:w="6720" w:type="dxa"/>
            <w:vAlign w:val="bottom"/>
          </w:tcPr>
          <w:p>
            <w:pPr>
              <w:ind w:left="380"/>
              <w:spacing w:after="0"/>
              <w:rPr>
                <w:sz w:val="20"/>
                <w:szCs w:val="20"/>
                <w:color w:val="auto"/>
              </w:rPr>
            </w:pPr>
            <w:r>
              <w:rPr>
                <w:rFonts w:ascii="Arial" w:cs="Arial" w:eastAsia="Arial" w:hAnsi="Arial"/>
                <w:sz w:val="16"/>
                <w:szCs w:val="16"/>
                <w:color w:val="auto"/>
              </w:rPr>
              <w:t>Net cash (used in) provided by financing activities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w:t>
            </w:r>
          </w:p>
        </w:tc>
      </w:tr>
      <w:tr>
        <w:trPr>
          <w:trHeight w:val="420"/>
        </w:trPr>
        <w:tc>
          <w:tcPr>
            <w:tcW w:w="6720" w:type="dxa"/>
            <w:vAlign w:val="bottom"/>
          </w:tcPr>
          <w:p>
            <w:pPr>
              <w:ind w:left="20"/>
              <w:spacing w:after="0"/>
              <w:rPr>
                <w:sz w:val="20"/>
                <w:szCs w:val="20"/>
                <w:color w:val="auto"/>
              </w:rPr>
            </w:pPr>
            <w:r>
              <w:rPr>
                <w:rFonts w:ascii="Arial" w:cs="Arial" w:eastAsia="Arial" w:hAnsi="Arial"/>
                <w:sz w:val="16"/>
                <w:szCs w:val="16"/>
                <w:color w:val="auto"/>
              </w:rPr>
              <w:t>Increase in cash and cash equivalents</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389</w:t>
            </w: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138</w:t>
            </w:r>
          </w:p>
        </w:tc>
      </w:tr>
      <w:tr>
        <w:trPr>
          <w:trHeight w:val="222"/>
        </w:trPr>
        <w:tc>
          <w:tcPr>
            <w:tcW w:w="6720" w:type="dxa"/>
            <w:vAlign w:val="bottom"/>
          </w:tcPr>
          <w:p>
            <w:pPr>
              <w:ind w:left="20"/>
              <w:spacing w:after="0"/>
              <w:rPr>
                <w:sz w:val="20"/>
                <w:szCs w:val="20"/>
                <w:color w:val="auto"/>
              </w:rPr>
            </w:pPr>
            <w:r>
              <w:rPr>
                <w:rFonts w:ascii="Arial" w:cs="Arial" w:eastAsia="Arial" w:hAnsi="Arial"/>
                <w:sz w:val="16"/>
                <w:szCs w:val="16"/>
                <w:color w:val="auto"/>
              </w:rPr>
              <w:t>Cash and cash equivalents, January 1</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w:t>
            </w:r>
          </w:p>
        </w:tc>
      </w:tr>
      <w:tr>
        <w:trPr>
          <w:trHeight w:val="207"/>
        </w:trPr>
        <w:tc>
          <w:tcPr>
            <w:tcW w:w="6720" w:type="dxa"/>
            <w:vAlign w:val="bottom"/>
          </w:tcPr>
          <w:p>
            <w:pPr>
              <w:ind w:left="20"/>
              <w:spacing w:after="0"/>
              <w:rPr>
                <w:sz w:val="20"/>
                <w:szCs w:val="20"/>
                <w:color w:val="auto"/>
              </w:rPr>
            </w:pPr>
            <w:r>
              <w:rPr>
                <w:rFonts w:ascii="Arial" w:cs="Arial" w:eastAsia="Arial" w:hAnsi="Arial"/>
                <w:sz w:val="16"/>
                <w:szCs w:val="16"/>
                <w:color w:val="auto"/>
              </w:rPr>
              <w:t>Cash and cash equivalents, March 31</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720</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806</w:t>
            </w:r>
          </w:p>
        </w:tc>
      </w:tr>
      <w:tr>
        <w:trPr>
          <w:trHeight w:val="84"/>
        </w:trPr>
        <w:tc>
          <w:tcPr>
            <w:tcW w:w="672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As adjusted for the retrospective adoption of SFAS 160.</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75" w:right="1440" w:bottom="1440" w:gutter="0" w:footer="0" w:header="0"/>
        </w:sectPr>
      </w:pPr>
    </w:p>
    <w:bookmarkStart w:id="8" w:name="page9"/>
    <w:bookmarkEnd w:id="8"/>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106045</wp:posOffset>
            </wp:positionV>
            <wp:extent cx="5822950"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22950" cy="411480"/>
                    </a:xfrm>
                    <a:prstGeom prst="rect">
                      <a:avLst/>
                    </a:prstGeom>
                    <a:noFill/>
                  </pic:spPr>
                </pic:pic>
              </a:graphicData>
            </a:graphic>
          </wp:anchor>
        </w:drawing>
        <w:t>SEMPRA ENERGY</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STATEMENTS OF CONSOLIDATED CASH FLOWS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3"/>
          </w:tcPr>
          <w:p>
            <w:pPr>
              <w:jc w:val="center"/>
              <w:ind w:right="201"/>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209"/>
        </w:trPr>
        <w:tc>
          <w:tcPr>
            <w:tcW w:w="6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ind w:left="443"/>
              <w:spacing w:after="0"/>
              <w:rPr>
                <w:sz w:val="20"/>
                <w:szCs w:val="20"/>
                <w:color w:val="auto"/>
              </w:rPr>
            </w:pPr>
            <w:r>
              <w:rPr>
                <w:rFonts w:ascii="Arial" w:cs="Arial" w:eastAsia="Arial" w:hAnsi="Arial"/>
                <w:sz w:val="14"/>
                <w:szCs w:val="14"/>
                <w:color w:val="auto"/>
              </w:rPr>
              <w:t>March 31,</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color w:val="auto"/>
              </w:rPr>
              <w:t>2009</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204"/>
        </w:trPr>
        <w:tc>
          <w:tcPr>
            <w:tcW w:w="6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center"/>
              <w:ind w:left="463"/>
              <w:spacing w:after="0"/>
              <w:rPr>
                <w:sz w:val="20"/>
                <w:szCs w:val="20"/>
                <w:color w:val="auto"/>
              </w:rPr>
            </w:pPr>
            <w:r>
              <w:rPr>
                <w:rFonts w:ascii="Arial" w:cs="Arial" w:eastAsia="Arial" w:hAnsi="Arial"/>
                <w:sz w:val="14"/>
                <w:szCs w:val="14"/>
                <w:color w:val="auto"/>
              </w:rPr>
              <w:t>(unaudited)</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720" w:type="dxa"/>
            <w:vAlign w:val="bottom"/>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20" w:type="dxa"/>
            <w:vAlign w:val="bottom"/>
            <w:vMerge w:val="restart"/>
          </w:tcPr>
          <w:p>
            <w:pPr>
              <w:ind w:left="200"/>
              <w:spacing w:after="0"/>
              <w:rPr>
                <w:sz w:val="20"/>
                <w:szCs w:val="20"/>
                <w:color w:val="auto"/>
              </w:rPr>
            </w:pPr>
            <w:r>
              <w:rPr>
                <w:rFonts w:ascii="Arial" w:cs="Arial" w:eastAsia="Arial" w:hAnsi="Arial"/>
                <w:sz w:val="16"/>
                <w:szCs w:val="16"/>
                <w:color w:val="auto"/>
              </w:rPr>
              <w:t>Interest payments, net of amounts capitalized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56</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84"/>
        </w:trPr>
        <w:tc>
          <w:tcPr>
            <w:tcW w:w="6720" w:type="dxa"/>
            <w:vAlign w:val="bottom"/>
            <w:vMerge w:val="continue"/>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9"/>
        </w:trPr>
        <w:tc>
          <w:tcPr>
            <w:tcW w:w="6720" w:type="dxa"/>
            <w:vAlign w:val="bottom"/>
            <w:vMerge w:val="restart"/>
          </w:tcPr>
          <w:p>
            <w:pPr>
              <w:ind w:left="200"/>
              <w:spacing w:after="0"/>
              <w:rPr>
                <w:sz w:val="20"/>
                <w:szCs w:val="20"/>
                <w:color w:val="auto"/>
              </w:rPr>
            </w:pPr>
            <w:r>
              <w:rPr>
                <w:rFonts w:ascii="Arial" w:cs="Arial" w:eastAsia="Arial" w:hAnsi="Arial"/>
                <w:sz w:val="16"/>
                <w:szCs w:val="16"/>
                <w:color w:val="auto"/>
              </w:rPr>
              <w:t>Income tax (refunds) payments, net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(52)</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84"/>
        </w:trPr>
        <w:tc>
          <w:tcPr>
            <w:tcW w:w="6720" w:type="dxa"/>
            <w:vAlign w:val="bottom"/>
            <w:vMerge w:val="continue"/>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6"/>
        </w:trPr>
        <w:tc>
          <w:tcPr>
            <w:tcW w:w="6720" w:type="dxa"/>
            <w:vAlign w:val="bottom"/>
          </w:tcPr>
          <w:p>
            <w:pPr>
              <w:ind w:left="20"/>
              <w:spacing w:after="0"/>
              <w:rPr>
                <w:sz w:val="20"/>
                <w:szCs w:val="20"/>
                <w:color w:val="auto"/>
              </w:rPr>
            </w:pPr>
            <w:r>
              <w:rPr>
                <w:rFonts w:ascii="Arial" w:cs="Arial" w:eastAsia="Arial" w:hAnsi="Arial"/>
                <w:sz w:val="16"/>
                <w:szCs w:val="16"/>
                <w:color w:val="auto"/>
              </w:rPr>
              <w:t>SUPPLEMENTAL DISCLOSURE OF NONCASH ACTIVITIES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Decrease in accounts payable from investments in property, plant</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20" w:type="dxa"/>
            <w:vAlign w:val="bottom"/>
            <w:vMerge w:val="restart"/>
          </w:tcPr>
          <w:p>
            <w:pPr>
              <w:ind w:left="380"/>
              <w:spacing w:after="0"/>
              <w:rPr>
                <w:sz w:val="20"/>
                <w:szCs w:val="20"/>
                <w:color w:val="auto"/>
              </w:rPr>
            </w:pPr>
            <w:r>
              <w:rPr>
                <w:rFonts w:ascii="Arial" w:cs="Arial" w:eastAsia="Arial" w:hAnsi="Arial"/>
                <w:sz w:val="16"/>
                <w:szCs w:val="16"/>
                <w:color w:val="auto"/>
              </w:rPr>
              <w:t>and equipment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(117)</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84"/>
        </w:trPr>
        <w:tc>
          <w:tcPr>
            <w:tcW w:w="6720" w:type="dxa"/>
            <w:vAlign w:val="bottom"/>
            <w:vMerge w:val="continue"/>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9"/>
        </w:trPr>
        <w:tc>
          <w:tcPr>
            <w:tcW w:w="6720" w:type="dxa"/>
            <w:vAlign w:val="bottom"/>
          </w:tcPr>
          <w:p>
            <w:pPr>
              <w:ind w:left="200"/>
              <w:spacing w:after="0"/>
              <w:rPr>
                <w:sz w:val="20"/>
                <w:szCs w:val="20"/>
                <w:color w:val="auto"/>
              </w:rPr>
            </w:pPr>
            <w:r>
              <w:rPr>
                <w:rFonts w:ascii="Arial" w:cs="Arial" w:eastAsia="Arial" w:hAnsi="Arial"/>
                <w:sz w:val="16"/>
                <w:szCs w:val="16"/>
                <w:color w:val="auto"/>
              </w:rPr>
              <w:t>Dividends declared but not paid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98</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84"/>
        </w:trPr>
        <w:tc>
          <w:tcPr>
            <w:tcW w:w="672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6720" w:type="dxa"/>
            <w:vAlign w:val="bottom"/>
          </w:tcPr>
          <w:p>
            <w:pPr>
              <w:ind w:left="20"/>
              <w:spacing w:after="0"/>
              <w:rPr>
                <w:sz w:val="20"/>
                <w:szCs w:val="20"/>
                <w:color w:val="auto"/>
              </w:rPr>
            </w:pPr>
            <w:r>
              <w:rPr>
                <w:rFonts w:ascii="Arial" w:cs="Arial" w:eastAsia="Arial" w:hAnsi="Arial"/>
                <w:sz w:val="14"/>
                <w:szCs w:val="14"/>
                <w:i w:val="1"/>
                <w:iCs w:val="1"/>
                <w:color w:val="auto"/>
              </w:rPr>
              <w:t>See Notes to Condensed Consolidated Financial Statements.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75" w:right="1440" w:bottom="1440" w:gutter="0" w:footer="0" w:header="0"/>
        </w:sectPr>
      </w:pPr>
    </w:p>
    <w:bookmarkStart w:id="9" w:name="page10"/>
    <w:bookmarkEnd w:id="9"/>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5462905"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62905" cy="411480"/>
                    </a:xfrm>
                    <a:prstGeom prst="rect">
                      <a:avLst/>
                    </a:prstGeom>
                    <a:noFill/>
                  </pic:spPr>
                </pic:pic>
              </a:graphicData>
            </a:graphic>
          </wp:anchor>
        </w:drawing>
        <w:t>SAN DIEGO GAS &amp; ELECTRIC COMPANY AND SUBSIDIARY</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60" w:type="dxa"/>
            <w:vAlign w:val="bottom"/>
          </w:tcPr>
          <w:p>
            <w:pPr>
              <w:spacing w:after="0"/>
              <w:rPr>
                <w:sz w:val="14"/>
                <w:szCs w:val="14"/>
                <w:color w:val="auto"/>
              </w:rPr>
            </w:pPr>
          </w:p>
        </w:tc>
        <w:tc>
          <w:tcPr>
            <w:tcW w:w="2080" w:type="dxa"/>
            <w:vAlign w:val="bottom"/>
            <w:gridSpan w:val="3"/>
          </w:tcPr>
          <w:p>
            <w:pPr>
              <w:jc w:val="right"/>
              <w:ind w:right="122"/>
              <w:spacing w:after="0"/>
              <w:rPr>
                <w:sz w:val="20"/>
                <w:szCs w:val="20"/>
                <w:color w:val="auto"/>
              </w:rPr>
            </w:pPr>
            <w:r>
              <w:rPr>
                <w:rFonts w:ascii="Arial" w:cs="Arial" w:eastAsia="Arial" w:hAnsi="Arial"/>
                <w:sz w:val="14"/>
                <w:szCs w:val="14"/>
                <w:color w:val="auto"/>
              </w:rPr>
              <w:t>Three months ended</w:t>
            </w:r>
          </w:p>
        </w:tc>
        <w:tc>
          <w:tcPr>
            <w:tcW w:w="380" w:type="dxa"/>
            <w:vAlign w:val="bottom"/>
          </w:tcPr>
          <w:p>
            <w:pPr>
              <w:spacing w:after="0"/>
              <w:rPr>
                <w:sz w:val="14"/>
                <w:szCs w:val="14"/>
                <w:color w:val="auto"/>
              </w:rPr>
            </w:pPr>
          </w:p>
        </w:tc>
      </w:tr>
      <w:tr>
        <w:trPr>
          <w:trHeight w:val="209"/>
        </w:trPr>
        <w:tc>
          <w:tcPr>
            <w:tcW w:w="61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462"/>
              <w:spacing w:after="0"/>
              <w:rPr>
                <w:sz w:val="20"/>
                <w:szCs w:val="20"/>
                <w:color w:val="auto"/>
              </w:rPr>
            </w:pPr>
            <w:r>
              <w:rPr>
                <w:rFonts w:ascii="Arial" w:cs="Arial" w:eastAsia="Arial" w:hAnsi="Arial"/>
                <w:sz w:val="14"/>
                <w:szCs w:val="14"/>
                <w:color w:val="auto"/>
              </w:rPr>
              <w:t>March 31,</w:t>
            </w:r>
          </w:p>
        </w:tc>
        <w:tc>
          <w:tcPr>
            <w:tcW w:w="380" w:type="dxa"/>
            <w:vAlign w:val="bottom"/>
            <w:tcBorders>
              <w:bottom w:val="single" w:sz="8" w:color="auto"/>
            </w:tcBorders>
          </w:tcPr>
          <w:p>
            <w:pPr>
              <w:spacing w:after="0"/>
              <w:rPr>
                <w:sz w:val="18"/>
                <w:szCs w:val="18"/>
                <w:color w:val="auto"/>
              </w:rPr>
            </w:pPr>
          </w:p>
        </w:tc>
      </w:tr>
      <w:tr>
        <w:trPr>
          <w:trHeight w:val="210"/>
        </w:trPr>
        <w:tc>
          <w:tcPr>
            <w:tcW w:w="6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2008*</w:t>
            </w:r>
          </w:p>
        </w:tc>
        <w:tc>
          <w:tcPr>
            <w:tcW w:w="380" w:type="dxa"/>
            <w:vAlign w:val="bottom"/>
            <w:tcBorders>
              <w:bottom w:val="single" w:sz="8" w:color="auto"/>
            </w:tcBorders>
          </w:tcPr>
          <w:p>
            <w:pPr>
              <w:spacing w:after="0"/>
              <w:rPr>
                <w:sz w:val="18"/>
                <w:szCs w:val="18"/>
                <w:color w:val="auto"/>
              </w:rPr>
            </w:pPr>
          </w:p>
        </w:tc>
      </w:tr>
      <w:tr>
        <w:trPr>
          <w:trHeight w:val="204"/>
        </w:trPr>
        <w:tc>
          <w:tcPr>
            <w:tcW w:w="6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60" w:type="dxa"/>
            <w:vAlign w:val="bottom"/>
            <w:gridSpan w:val="2"/>
          </w:tcPr>
          <w:p>
            <w:pPr>
              <w:jc w:val="right"/>
              <w:ind w:right="422"/>
              <w:spacing w:after="0"/>
              <w:rPr>
                <w:sz w:val="20"/>
                <w:szCs w:val="20"/>
                <w:color w:val="auto"/>
              </w:rPr>
            </w:pPr>
            <w:r>
              <w:rPr>
                <w:rFonts w:ascii="Arial" w:cs="Arial" w:eastAsia="Arial" w:hAnsi="Arial"/>
                <w:sz w:val="14"/>
                <w:szCs w:val="14"/>
                <w:color w:val="auto"/>
              </w:rPr>
              <w:t>(unaudited)</w:t>
            </w:r>
          </w:p>
        </w:tc>
        <w:tc>
          <w:tcPr>
            <w:tcW w:w="380" w:type="dxa"/>
            <w:vAlign w:val="bottom"/>
          </w:tcPr>
          <w:p>
            <w:pPr>
              <w:spacing w:after="0"/>
              <w:rPr>
                <w:sz w:val="17"/>
                <w:szCs w:val="17"/>
                <w:color w:val="auto"/>
              </w:rPr>
            </w:pPr>
          </w:p>
        </w:tc>
      </w:tr>
      <w:tr>
        <w:trPr>
          <w:trHeight w:val="222"/>
        </w:trPr>
        <w:tc>
          <w:tcPr>
            <w:tcW w:w="616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16"/>
        </w:trPr>
        <w:tc>
          <w:tcPr>
            <w:tcW w:w="6160" w:type="dxa"/>
            <w:vAlign w:val="bottom"/>
          </w:tcPr>
          <w:p>
            <w:pPr>
              <w:ind w:left="200"/>
              <w:spacing w:after="0"/>
              <w:rPr>
                <w:sz w:val="20"/>
                <w:szCs w:val="20"/>
                <w:color w:val="auto"/>
              </w:rPr>
            </w:pPr>
            <w:r>
              <w:rPr>
                <w:rFonts w:ascii="Arial" w:cs="Arial" w:eastAsia="Arial" w:hAnsi="Arial"/>
                <w:sz w:val="16"/>
                <w:szCs w:val="16"/>
                <w:color w:val="auto"/>
              </w:rPr>
              <w:t>Electric</w:t>
            </w:r>
          </w:p>
        </w:tc>
        <w:tc>
          <w:tcPr>
            <w:tcW w:w="820" w:type="dxa"/>
            <w:vAlign w:val="bottom"/>
          </w:tcPr>
          <w:p>
            <w:pPr>
              <w:jc w:val="right"/>
              <w:ind w:right="383"/>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20"/>
              <w:spacing w:after="0"/>
              <w:rPr>
                <w:sz w:val="20"/>
                <w:szCs w:val="20"/>
                <w:color w:val="auto"/>
              </w:rPr>
            </w:pPr>
            <w:r>
              <w:rPr>
                <w:rFonts w:ascii="Arial" w:cs="Arial" w:eastAsia="Arial" w:hAnsi="Arial"/>
                <w:sz w:val="16"/>
                <w:szCs w:val="16"/>
                <w:color w:val="auto"/>
              </w:rPr>
              <w:t>553</w:t>
            </w:r>
          </w:p>
        </w:tc>
        <w:tc>
          <w:tcPr>
            <w:tcW w:w="72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501</w:t>
            </w:r>
          </w:p>
        </w:tc>
      </w:tr>
      <w:tr>
        <w:trPr>
          <w:trHeight w:val="222"/>
        </w:trPr>
        <w:tc>
          <w:tcPr>
            <w:tcW w:w="6160" w:type="dxa"/>
            <w:vAlign w:val="bottom"/>
          </w:tcPr>
          <w:p>
            <w:pPr>
              <w:ind w:left="200"/>
              <w:spacing w:after="0"/>
              <w:rPr>
                <w:sz w:val="20"/>
                <w:szCs w:val="20"/>
                <w:color w:val="auto"/>
              </w:rPr>
            </w:pPr>
            <w:r>
              <w:rPr>
                <w:rFonts w:ascii="Arial" w:cs="Arial" w:eastAsia="Arial" w:hAnsi="Arial"/>
                <w:sz w:val="16"/>
                <w:szCs w:val="16"/>
                <w:color w:val="auto"/>
              </w:rPr>
              <w:t>Natural gas</w:t>
            </w:r>
          </w:p>
        </w:tc>
        <w:tc>
          <w:tcPr>
            <w:tcW w:w="8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179</w:t>
            </w: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r>
      <w:tr>
        <w:trPr>
          <w:trHeight w:val="210"/>
        </w:trPr>
        <w:tc>
          <w:tcPr>
            <w:tcW w:w="6160" w:type="dxa"/>
            <w:vAlign w:val="bottom"/>
          </w:tcPr>
          <w:p>
            <w:pPr>
              <w:ind w:left="380"/>
              <w:spacing w:after="0"/>
              <w:rPr>
                <w:sz w:val="20"/>
                <w:szCs w:val="20"/>
                <w:color w:val="auto"/>
              </w:rPr>
            </w:pPr>
            <w:r>
              <w:rPr>
                <w:rFonts w:ascii="Arial" w:cs="Arial" w:eastAsia="Arial" w:hAnsi="Arial"/>
                <w:sz w:val="16"/>
                <w:szCs w:val="16"/>
                <w:color w:val="auto"/>
              </w:rPr>
              <w:t>Total operating revenues</w:t>
            </w: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732</w:t>
            </w:r>
          </w:p>
        </w:tc>
        <w:tc>
          <w:tcPr>
            <w:tcW w:w="7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w:t>
            </w:r>
          </w:p>
        </w:tc>
      </w:tr>
      <w:tr>
        <w:trPr>
          <w:trHeight w:val="204"/>
        </w:trPr>
        <w:tc>
          <w:tcPr>
            <w:tcW w:w="61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16"/>
        </w:trPr>
        <w:tc>
          <w:tcPr>
            <w:tcW w:w="6160" w:type="dxa"/>
            <w:vAlign w:val="bottom"/>
          </w:tcPr>
          <w:p>
            <w:pPr>
              <w:ind w:left="200"/>
              <w:spacing w:after="0"/>
              <w:rPr>
                <w:sz w:val="20"/>
                <w:szCs w:val="20"/>
                <w:color w:val="auto"/>
              </w:rPr>
            </w:pPr>
            <w:r>
              <w:rPr>
                <w:rFonts w:ascii="Arial" w:cs="Arial" w:eastAsia="Arial" w:hAnsi="Arial"/>
                <w:sz w:val="16"/>
                <w:szCs w:val="16"/>
                <w:color w:val="auto"/>
              </w:rPr>
              <w:t>Cost of electric fuel and purchased power</w:t>
            </w:r>
          </w:p>
        </w:tc>
        <w:tc>
          <w:tcPr>
            <w:tcW w:w="820" w:type="dxa"/>
            <w:vAlign w:val="bottom"/>
          </w:tcPr>
          <w:p>
            <w:pPr>
              <w:spacing w:after="0"/>
              <w:rPr>
                <w:sz w:val="18"/>
                <w:szCs w:val="18"/>
                <w:color w:val="auto"/>
              </w:rPr>
            </w:pPr>
          </w:p>
        </w:tc>
        <w:tc>
          <w:tcPr>
            <w:tcW w:w="540" w:type="dxa"/>
            <w:vAlign w:val="bottom"/>
          </w:tcPr>
          <w:p>
            <w:pPr>
              <w:jc w:val="right"/>
              <w:ind w:right="120"/>
              <w:spacing w:after="0"/>
              <w:rPr>
                <w:sz w:val="20"/>
                <w:szCs w:val="20"/>
                <w:color w:val="auto"/>
              </w:rPr>
            </w:pPr>
            <w:r>
              <w:rPr>
                <w:rFonts w:ascii="Arial" w:cs="Arial" w:eastAsia="Arial" w:hAnsi="Arial"/>
                <w:sz w:val="16"/>
                <w:szCs w:val="16"/>
                <w:color w:val="auto"/>
              </w:rPr>
              <w:t>171</w:t>
            </w:r>
          </w:p>
        </w:tc>
        <w:tc>
          <w:tcPr>
            <w:tcW w:w="7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216"/>
        </w:trPr>
        <w:tc>
          <w:tcPr>
            <w:tcW w:w="6160" w:type="dxa"/>
            <w:vAlign w:val="bottom"/>
          </w:tcPr>
          <w:p>
            <w:pPr>
              <w:ind w:left="200"/>
              <w:spacing w:after="0"/>
              <w:rPr>
                <w:sz w:val="20"/>
                <w:szCs w:val="20"/>
                <w:color w:val="auto"/>
              </w:rPr>
            </w:pPr>
            <w:r>
              <w:rPr>
                <w:rFonts w:ascii="Arial" w:cs="Arial" w:eastAsia="Arial" w:hAnsi="Arial"/>
                <w:sz w:val="16"/>
                <w:szCs w:val="16"/>
                <w:color w:val="auto"/>
              </w:rPr>
              <w:t>Cost of natural gas</w:t>
            </w:r>
          </w:p>
        </w:tc>
        <w:tc>
          <w:tcPr>
            <w:tcW w:w="820" w:type="dxa"/>
            <w:vAlign w:val="bottom"/>
          </w:tcPr>
          <w:p>
            <w:pPr>
              <w:spacing w:after="0"/>
              <w:rPr>
                <w:sz w:val="18"/>
                <w:szCs w:val="18"/>
                <w:color w:val="auto"/>
              </w:rPr>
            </w:pPr>
          </w:p>
        </w:tc>
        <w:tc>
          <w:tcPr>
            <w:tcW w:w="540" w:type="dxa"/>
            <w:vAlign w:val="bottom"/>
          </w:tcPr>
          <w:p>
            <w:pPr>
              <w:jc w:val="right"/>
              <w:ind w:right="120"/>
              <w:spacing w:after="0"/>
              <w:rPr>
                <w:sz w:val="20"/>
                <w:szCs w:val="20"/>
                <w:color w:val="auto"/>
              </w:rPr>
            </w:pPr>
            <w:r>
              <w:rPr>
                <w:rFonts w:ascii="Arial" w:cs="Arial" w:eastAsia="Arial" w:hAnsi="Arial"/>
                <w:sz w:val="16"/>
                <w:szCs w:val="16"/>
                <w:color w:val="auto"/>
              </w:rPr>
              <w:t>87</w:t>
            </w:r>
          </w:p>
        </w:tc>
        <w:tc>
          <w:tcPr>
            <w:tcW w:w="7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16"/>
        </w:trPr>
        <w:tc>
          <w:tcPr>
            <w:tcW w:w="6160" w:type="dxa"/>
            <w:vAlign w:val="bottom"/>
          </w:tcPr>
          <w:p>
            <w:pPr>
              <w:ind w:left="200"/>
              <w:spacing w:after="0"/>
              <w:rPr>
                <w:sz w:val="20"/>
                <w:szCs w:val="20"/>
                <w:color w:val="auto"/>
              </w:rPr>
            </w:pPr>
            <w:r>
              <w:rPr>
                <w:rFonts w:ascii="Arial" w:cs="Arial" w:eastAsia="Arial" w:hAnsi="Arial"/>
                <w:sz w:val="16"/>
                <w:szCs w:val="16"/>
                <w:color w:val="auto"/>
              </w:rPr>
              <w:t>Operation and maintenance</w:t>
            </w:r>
          </w:p>
        </w:tc>
        <w:tc>
          <w:tcPr>
            <w:tcW w:w="820" w:type="dxa"/>
            <w:vAlign w:val="bottom"/>
          </w:tcPr>
          <w:p>
            <w:pPr>
              <w:spacing w:after="0"/>
              <w:rPr>
                <w:sz w:val="18"/>
                <w:szCs w:val="18"/>
                <w:color w:val="auto"/>
              </w:rPr>
            </w:pPr>
          </w:p>
        </w:tc>
        <w:tc>
          <w:tcPr>
            <w:tcW w:w="540" w:type="dxa"/>
            <w:vAlign w:val="bottom"/>
          </w:tcPr>
          <w:p>
            <w:pPr>
              <w:jc w:val="right"/>
              <w:ind w:right="120"/>
              <w:spacing w:after="0"/>
              <w:rPr>
                <w:sz w:val="20"/>
                <w:szCs w:val="20"/>
                <w:color w:val="auto"/>
              </w:rPr>
            </w:pPr>
            <w:r>
              <w:rPr>
                <w:rFonts w:ascii="Arial" w:cs="Arial" w:eastAsia="Arial" w:hAnsi="Arial"/>
                <w:sz w:val="16"/>
                <w:szCs w:val="16"/>
                <w:color w:val="auto"/>
              </w:rPr>
              <w:t>181</w:t>
            </w:r>
          </w:p>
        </w:tc>
        <w:tc>
          <w:tcPr>
            <w:tcW w:w="7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216"/>
        </w:trPr>
        <w:tc>
          <w:tcPr>
            <w:tcW w:w="616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820" w:type="dxa"/>
            <w:vAlign w:val="bottom"/>
          </w:tcPr>
          <w:p>
            <w:pPr>
              <w:spacing w:after="0"/>
              <w:rPr>
                <w:sz w:val="18"/>
                <w:szCs w:val="18"/>
                <w:color w:val="auto"/>
              </w:rPr>
            </w:pPr>
          </w:p>
        </w:tc>
        <w:tc>
          <w:tcPr>
            <w:tcW w:w="540" w:type="dxa"/>
            <w:vAlign w:val="bottom"/>
          </w:tcPr>
          <w:p>
            <w:pPr>
              <w:jc w:val="right"/>
              <w:ind w:right="120"/>
              <w:spacing w:after="0"/>
              <w:rPr>
                <w:sz w:val="20"/>
                <w:szCs w:val="20"/>
                <w:color w:val="auto"/>
              </w:rPr>
            </w:pPr>
            <w:r>
              <w:rPr>
                <w:rFonts w:ascii="Arial" w:cs="Arial" w:eastAsia="Arial" w:hAnsi="Arial"/>
                <w:sz w:val="16"/>
                <w:szCs w:val="16"/>
                <w:color w:val="auto"/>
              </w:rPr>
              <w:t>77</w:t>
            </w:r>
          </w:p>
        </w:tc>
        <w:tc>
          <w:tcPr>
            <w:tcW w:w="7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22"/>
        </w:trPr>
        <w:tc>
          <w:tcPr>
            <w:tcW w:w="6160" w:type="dxa"/>
            <w:vAlign w:val="bottom"/>
          </w:tcPr>
          <w:p>
            <w:pPr>
              <w:ind w:left="200"/>
              <w:spacing w:after="0"/>
              <w:rPr>
                <w:sz w:val="20"/>
                <w:szCs w:val="20"/>
                <w:color w:val="auto"/>
              </w:rPr>
            </w:pPr>
            <w:r>
              <w:rPr>
                <w:rFonts w:ascii="Arial" w:cs="Arial" w:eastAsia="Arial" w:hAnsi="Arial"/>
                <w:sz w:val="16"/>
                <w:szCs w:val="16"/>
                <w:color w:val="auto"/>
              </w:rPr>
              <w:t>Franchise fees and other taxes</w:t>
            </w:r>
          </w:p>
        </w:tc>
        <w:tc>
          <w:tcPr>
            <w:tcW w:w="8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41</w:t>
            </w: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r>
      <w:tr>
        <w:trPr>
          <w:trHeight w:val="210"/>
        </w:trPr>
        <w:tc>
          <w:tcPr>
            <w:tcW w:w="616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557</w:t>
            </w:r>
          </w:p>
        </w:tc>
        <w:tc>
          <w:tcPr>
            <w:tcW w:w="7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w:t>
            </w:r>
          </w:p>
        </w:tc>
      </w:tr>
      <w:tr>
        <w:trPr>
          <w:trHeight w:val="204"/>
        </w:trPr>
        <w:tc>
          <w:tcPr>
            <w:tcW w:w="616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820" w:type="dxa"/>
            <w:vAlign w:val="bottom"/>
          </w:tcPr>
          <w:p>
            <w:pPr>
              <w:spacing w:after="0"/>
              <w:rPr>
                <w:sz w:val="17"/>
                <w:szCs w:val="17"/>
                <w:color w:val="auto"/>
              </w:rPr>
            </w:pPr>
          </w:p>
        </w:tc>
        <w:tc>
          <w:tcPr>
            <w:tcW w:w="540" w:type="dxa"/>
            <w:vAlign w:val="bottom"/>
          </w:tcPr>
          <w:p>
            <w:pPr>
              <w:jc w:val="right"/>
              <w:ind w:right="120"/>
              <w:spacing w:after="0"/>
              <w:rPr>
                <w:sz w:val="20"/>
                <w:szCs w:val="20"/>
                <w:color w:val="auto"/>
              </w:rPr>
            </w:pPr>
            <w:r>
              <w:rPr>
                <w:rFonts w:ascii="Arial" w:cs="Arial" w:eastAsia="Arial" w:hAnsi="Arial"/>
                <w:sz w:val="16"/>
                <w:szCs w:val="16"/>
                <w:color w:val="auto"/>
              </w:rPr>
              <w:t>175</w:t>
            </w:r>
          </w:p>
        </w:tc>
        <w:tc>
          <w:tcPr>
            <w:tcW w:w="7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216"/>
        </w:trPr>
        <w:tc>
          <w:tcPr>
            <w:tcW w:w="616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820" w:type="dxa"/>
            <w:vAlign w:val="bottom"/>
          </w:tcPr>
          <w:p>
            <w:pPr>
              <w:spacing w:after="0"/>
              <w:rPr>
                <w:sz w:val="18"/>
                <w:szCs w:val="18"/>
                <w:color w:val="auto"/>
              </w:rPr>
            </w:pPr>
          </w:p>
        </w:tc>
        <w:tc>
          <w:tcPr>
            <w:tcW w:w="540" w:type="dxa"/>
            <w:vAlign w:val="bottom"/>
          </w:tcPr>
          <w:p>
            <w:pPr>
              <w:jc w:val="right"/>
              <w:ind w:right="120"/>
              <w:spacing w:after="0"/>
              <w:rPr>
                <w:sz w:val="20"/>
                <w:szCs w:val="20"/>
                <w:color w:val="auto"/>
              </w:rPr>
            </w:pPr>
            <w:r>
              <w:rPr>
                <w:rFonts w:ascii="Arial" w:cs="Arial" w:eastAsia="Arial" w:hAnsi="Arial"/>
                <w:sz w:val="16"/>
                <w:szCs w:val="16"/>
                <w:color w:val="auto"/>
              </w:rPr>
              <w:t>17</w:t>
            </w:r>
          </w:p>
        </w:tc>
        <w:tc>
          <w:tcPr>
            <w:tcW w:w="7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616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820" w:type="dxa"/>
            <w:vAlign w:val="bottom"/>
          </w:tcPr>
          <w:p>
            <w:pPr>
              <w:spacing w:after="0"/>
              <w:rPr>
                <w:sz w:val="18"/>
                <w:szCs w:val="18"/>
                <w:color w:val="auto"/>
              </w:rPr>
            </w:pPr>
          </w:p>
        </w:tc>
        <w:tc>
          <w:tcPr>
            <w:tcW w:w="5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22"/>
        </w:trPr>
        <w:tc>
          <w:tcPr>
            <w:tcW w:w="61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8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(25)</w:t>
            </w: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04"/>
        </w:trPr>
        <w:tc>
          <w:tcPr>
            <w:tcW w:w="616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820" w:type="dxa"/>
            <w:vAlign w:val="bottom"/>
          </w:tcPr>
          <w:p>
            <w:pPr>
              <w:spacing w:after="0"/>
              <w:rPr>
                <w:sz w:val="17"/>
                <w:szCs w:val="17"/>
                <w:color w:val="auto"/>
              </w:rPr>
            </w:pPr>
          </w:p>
        </w:tc>
        <w:tc>
          <w:tcPr>
            <w:tcW w:w="540" w:type="dxa"/>
            <w:vAlign w:val="bottom"/>
          </w:tcPr>
          <w:p>
            <w:pPr>
              <w:jc w:val="right"/>
              <w:ind w:right="120"/>
              <w:spacing w:after="0"/>
              <w:rPr>
                <w:sz w:val="20"/>
                <w:szCs w:val="20"/>
                <w:color w:val="auto"/>
              </w:rPr>
            </w:pPr>
            <w:r>
              <w:rPr>
                <w:rFonts w:ascii="Arial" w:cs="Arial" w:eastAsia="Arial" w:hAnsi="Arial"/>
                <w:sz w:val="16"/>
                <w:szCs w:val="16"/>
                <w:color w:val="auto"/>
              </w:rPr>
              <w:t>167</w:t>
            </w:r>
          </w:p>
        </w:tc>
        <w:tc>
          <w:tcPr>
            <w:tcW w:w="7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22"/>
        </w:trPr>
        <w:tc>
          <w:tcPr>
            <w:tcW w:w="616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8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60</w:t>
            </w: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204"/>
        </w:trPr>
        <w:tc>
          <w:tcPr>
            <w:tcW w:w="61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820" w:type="dxa"/>
            <w:vAlign w:val="bottom"/>
          </w:tcPr>
          <w:p>
            <w:pPr>
              <w:spacing w:after="0"/>
              <w:rPr>
                <w:sz w:val="17"/>
                <w:szCs w:val="17"/>
                <w:color w:val="auto"/>
              </w:rPr>
            </w:pPr>
          </w:p>
        </w:tc>
        <w:tc>
          <w:tcPr>
            <w:tcW w:w="540" w:type="dxa"/>
            <w:vAlign w:val="bottom"/>
          </w:tcPr>
          <w:p>
            <w:pPr>
              <w:jc w:val="right"/>
              <w:ind w:right="120"/>
              <w:spacing w:after="0"/>
              <w:rPr>
                <w:sz w:val="20"/>
                <w:szCs w:val="20"/>
                <w:color w:val="auto"/>
              </w:rPr>
            </w:pPr>
            <w:r>
              <w:rPr>
                <w:rFonts w:ascii="Arial" w:cs="Arial" w:eastAsia="Arial" w:hAnsi="Arial"/>
                <w:sz w:val="16"/>
                <w:szCs w:val="16"/>
                <w:color w:val="auto"/>
              </w:rPr>
              <w:t>107</w:t>
            </w:r>
          </w:p>
        </w:tc>
        <w:tc>
          <w:tcPr>
            <w:tcW w:w="7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22"/>
        </w:trPr>
        <w:tc>
          <w:tcPr>
            <w:tcW w:w="6160" w:type="dxa"/>
            <w:vAlign w:val="bottom"/>
          </w:tcPr>
          <w:p>
            <w:pPr>
              <w:ind w:left="20"/>
              <w:spacing w:after="0"/>
              <w:rPr>
                <w:sz w:val="20"/>
                <w:szCs w:val="20"/>
                <w:color w:val="auto"/>
              </w:rPr>
            </w:pPr>
            <w:r>
              <w:rPr>
                <w:rFonts w:ascii="Arial" w:cs="Arial" w:eastAsia="Arial" w:hAnsi="Arial"/>
                <w:sz w:val="16"/>
                <w:szCs w:val="16"/>
                <w:color w:val="auto"/>
              </w:rPr>
              <w:t>Earnings attributable to noncontrolling interest</w:t>
            </w:r>
          </w:p>
        </w:tc>
        <w:tc>
          <w:tcPr>
            <w:tcW w:w="8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w:t>
            </w: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6160" w:type="dxa"/>
            <w:vAlign w:val="bottom"/>
          </w:tcPr>
          <w:p>
            <w:pPr>
              <w:ind w:left="20"/>
              <w:spacing w:after="0"/>
              <w:rPr>
                <w:sz w:val="20"/>
                <w:szCs w:val="20"/>
                <w:color w:val="auto"/>
              </w:rPr>
            </w:pPr>
            <w:r>
              <w:rPr>
                <w:rFonts w:ascii="Arial" w:cs="Arial" w:eastAsia="Arial" w:hAnsi="Arial"/>
                <w:sz w:val="16"/>
                <w:szCs w:val="16"/>
                <w:color w:val="auto"/>
              </w:rPr>
              <w:t>Earnings</w:t>
            </w:r>
          </w:p>
        </w:tc>
        <w:tc>
          <w:tcPr>
            <w:tcW w:w="820" w:type="dxa"/>
            <w:vAlign w:val="bottom"/>
          </w:tcPr>
          <w:p>
            <w:pPr>
              <w:spacing w:after="0"/>
              <w:rPr>
                <w:sz w:val="17"/>
                <w:szCs w:val="17"/>
                <w:color w:val="auto"/>
              </w:rPr>
            </w:pPr>
          </w:p>
        </w:tc>
        <w:tc>
          <w:tcPr>
            <w:tcW w:w="540" w:type="dxa"/>
            <w:vAlign w:val="bottom"/>
          </w:tcPr>
          <w:p>
            <w:pPr>
              <w:jc w:val="right"/>
              <w:ind w:right="120"/>
              <w:spacing w:after="0"/>
              <w:rPr>
                <w:sz w:val="20"/>
                <w:szCs w:val="20"/>
                <w:color w:val="auto"/>
              </w:rPr>
            </w:pPr>
            <w:r>
              <w:rPr>
                <w:rFonts w:ascii="Arial" w:cs="Arial" w:eastAsia="Arial" w:hAnsi="Arial"/>
                <w:sz w:val="16"/>
                <w:szCs w:val="16"/>
                <w:color w:val="auto"/>
              </w:rPr>
              <w:t>100</w:t>
            </w:r>
          </w:p>
        </w:tc>
        <w:tc>
          <w:tcPr>
            <w:tcW w:w="7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22"/>
        </w:trPr>
        <w:tc>
          <w:tcPr>
            <w:tcW w:w="6160" w:type="dxa"/>
            <w:vAlign w:val="bottom"/>
          </w:tcPr>
          <w:p>
            <w:pPr>
              <w:ind w:left="20"/>
              <w:spacing w:after="0"/>
              <w:rPr>
                <w:sz w:val="20"/>
                <w:szCs w:val="20"/>
                <w:color w:val="auto"/>
              </w:rPr>
            </w:pPr>
            <w:r>
              <w:rPr>
                <w:rFonts w:ascii="Arial" w:cs="Arial" w:eastAsia="Arial" w:hAnsi="Arial"/>
                <w:sz w:val="16"/>
                <w:szCs w:val="16"/>
                <w:color w:val="auto"/>
              </w:rPr>
              <w:t>Preferred dividend requirements</w:t>
            </w:r>
          </w:p>
        </w:tc>
        <w:tc>
          <w:tcPr>
            <w:tcW w:w="8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w:t>
            </w: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6160" w:type="dxa"/>
            <w:vAlign w:val="bottom"/>
          </w:tcPr>
          <w:p>
            <w:pPr>
              <w:ind w:left="20"/>
              <w:spacing w:after="0"/>
              <w:rPr>
                <w:sz w:val="20"/>
                <w:szCs w:val="20"/>
                <w:color w:val="auto"/>
              </w:rPr>
            </w:pPr>
            <w:r>
              <w:rPr>
                <w:rFonts w:ascii="Arial" w:cs="Arial" w:eastAsia="Arial" w:hAnsi="Arial"/>
                <w:sz w:val="16"/>
                <w:szCs w:val="16"/>
                <w:color w:val="auto"/>
              </w:rPr>
              <w:t>Earnings attributable to common shares</w:t>
            </w:r>
          </w:p>
        </w:tc>
        <w:tc>
          <w:tcPr>
            <w:tcW w:w="820" w:type="dxa"/>
            <w:vAlign w:val="bottom"/>
          </w:tcPr>
          <w:p>
            <w:pPr>
              <w:jc w:val="right"/>
              <w:ind w:right="383"/>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20"/>
              <w:spacing w:after="0"/>
              <w:rPr>
                <w:sz w:val="20"/>
                <w:szCs w:val="20"/>
                <w:color w:val="auto"/>
              </w:rPr>
            </w:pPr>
            <w:r>
              <w:rPr>
                <w:rFonts w:ascii="Arial" w:cs="Arial" w:eastAsia="Arial" w:hAnsi="Arial"/>
                <w:sz w:val="16"/>
                <w:szCs w:val="16"/>
                <w:color w:val="auto"/>
              </w:rPr>
              <w:t>99</w:t>
            </w:r>
          </w:p>
        </w:tc>
        <w:tc>
          <w:tcPr>
            <w:tcW w:w="72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84"/>
        </w:trPr>
        <w:tc>
          <w:tcPr>
            <w:tcW w:w="616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54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As adjusted for the retrospective adoption of SFAS 160.</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905" w:right="1440" w:bottom="1440" w:gutter="0" w:footer="0" w:header="0"/>
        </w:sectPr>
      </w:pPr>
    </w:p>
    <w:bookmarkStart w:id="10" w:name="page11"/>
    <w:bookmarkEnd w:id="10"/>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106045</wp:posOffset>
            </wp:positionV>
            <wp:extent cx="5822950"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22950" cy="411480"/>
                    </a:xfrm>
                    <a:prstGeom prst="rect">
                      <a:avLst/>
                    </a:prstGeom>
                    <a:noFill/>
                  </pic:spPr>
                </pic:pic>
              </a:graphicData>
            </a:graphic>
          </wp:anchor>
        </w:drawing>
        <w:t>SAN DIEGO GAS &amp; ELECTRIC COMPANY AND SUBSIDIARY</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200"/>
              <w:spacing w:after="0"/>
              <w:rPr>
                <w:sz w:val="20"/>
                <w:szCs w:val="20"/>
                <w:color w:val="auto"/>
              </w:rPr>
            </w:pPr>
            <w:r>
              <w:rPr>
                <w:rFonts w:ascii="Arial" w:cs="Arial" w:eastAsia="Arial" w:hAnsi="Arial"/>
                <w:sz w:val="14"/>
                <w:szCs w:val="14"/>
                <w:color w:val="auto"/>
              </w:rPr>
              <w:t>March 31,</w:t>
            </w:r>
          </w:p>
        </w:tc>
        <w:tc>
          <w:tcPr>
            <w:tcW w:w="140" w:type="dxa"/>
            <w:vAlign w:val="bottom"/>
          </w:tcPr>
          <w:p>
            <w:pPr>
              <w:spacing w:after="0"/>
              <w:rPr>
                <w:sz w:val="14"/>
                <w:szCs w:val="14"/>
                <w:color w:val="auto"/>
              </w:rPr>
            </w:pPr>
          </w:p>
        </w:tc>
        <w:tc>
          <w:tcPr>
            <w:tcW w:w="1100" w:type="dxa"/>
            <w:vAlign w:val="bottom"/>
          </w:tcPr>
          <w:p>
            <w:pPr>
              <w:jc w:val="right"/>
              <w:ind w:right="80"/>
              <w:spacing w:after="0"/>
              <w:rPr>
                <w:sz w:val="20"/>
                <w:szCs w:val="20"/>
                <w:color w:val="auto"/>
              </w:rPr>
            </w:pPr>
            <w:r>
              <w:rPr>
                <w:rFonts w:ascii="Arial" w:cs="Arial" w:eastAsia="Arial" w:hAnsi="Arial"/>
                <w:sz w:val="14"/>
                <w:szCs w:val="14"/>
                <w:color w:val="auto"/>
              </w:rPr>
              <w:t>December 31,</w:t>
            </w:r>
          </w:p>
        </w:tc>
      </w:tr>
      <w:tr>
        <w:trPr>
          <w:trHeight w:val="222"/>
        </w:trPr>
        <w:tc>
          <w:tcPr>
            <w:tcW w:w="6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2009</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2008</w:t>
            </w:r>
          </w:p>
        </w:tc>
      </w:tr>
      <w:tr>
        <w:trPr>
          <w:trHeight w:val="204"/>
        </w:trPr>
        <w:tc>
          <w:tcPr>
            <w:tcW w:w="6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60" w:type="dxa"/>
            <w:vAlign w:val="bottom"/>
            <w:gridSpan w:val="3"/>
          </w:tcPr>
          <w:p>
            <w:pPr>
              <w:jc w:val="right"/>
              <w:ind w:right="780"/>
              <w:spacing w:after="0"/>
              <w:rPr>
                <w:sz w:val="20"/>
                <w:szCs w:val="20"/>
                <w:color w:val="auto"/>
              </w:rPr>
            </w:pPr>
            <w:r>
              <w:rPr>
                <w:rFonts w:ascii="Arial" w:cs="Arial" w:eastAsia="Arial" w:hAnsi="Arial"/>
                <w:sz w:val="14"/>
                <w:szCs w:val="14"/>
                <w:color w:val="auto"/>
              </w:rPr>
              <w:t>(unaudited)</w:t>
            </w:r>
          </w:p>
        </w:tc>
      </w:tr>
      <w:tr>
        <w:trPr>
          <w:trHeight w:val="222"/>
        </w:trPr>
        <w:tc>
          <w:tcPr>
            <w:tcW w:w="6720" w:type="dxa"/>
            <w:vAlign w:val="bottom"/>
          </w:tcPr>
          <w:p>
            <w:pPr>
              <w:ind w:left="20"/>
              <w:spacing w:after="0"/>
              <w:rPr>
                <w:sz w:val="20"/>
                <w:szCs w:val="20"/>
                <w:color w:val="auto"/>
              </w:rPr>
            </w:pPr>
            <w:r>
              <w:rPr>
                <w:rFonts w:ascii="Arial" w:cs="Arial" w:eastAsia="Arial" w:hAnsi="Arial"/>
                <w:sz w:val="16"/>
                <w:szCs w:val="16"/>
                <w:color w:val="auto"/>
              </w:rPr>
              <w:t>ASSETS</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67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Accounts receivable - trade</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220</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225</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Accounts receivable - other</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Due from unconsolidated affiliates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Income taxes receivable</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Regulatory assets arising from fixed-price contracts and other derivatives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97</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Other regulatory assets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Fixed-price contracts and other derivatives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Insurance receivable related to wildfire litigation (Note 10)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900</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2"/>
        </w:trPr>
        <w:tc>
          <w:tcPr>
            <w:tcW w:w="6720" w:type="dxa"/>
            <w:vAlign w:val="bottom"/>
          </w:tcPr>
          <w:p>
            <w:pPr>
              <w:ind w:left="20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10"/>
        </w:trPr>
        <w:tc>
          <w:tcPr>
            <w:tcW w:w="672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w:t>
            </w:r>
          </w:p>
        </w:tc>
      </w:tr>
      <w:tr>
        <w:trPr>
          <w:trHeight w:val="420"/>
        </w:trPr>
        <w:tc>
          <w:tcPr>
            <w:tcW w:w="67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Due from unconsolidated affiliate</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Deferred taxes recoverable in rates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372</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369</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Regulatory assets arising from fixed-price contracts and other derivatives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263</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264</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Regulatory assets arising from pension and other postretirement</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720" w:type="dxa"/>
            <w:vAlign w:val="bottom"/>
          </w:tcPr>
          <w:p>
            <w:pPr>
              <w:ind w:left="380"/>
              <w:spacing w:after="0"/>
              <w:rPr>
                <w:sz w:val="20"/>
                <w:szCs w:val="20"/>
                <w:color w:val="auto"/>
              </w:rPr>
            </w:pPr>
            <w:r>
              <w:rPr>
                <w:rFonts w:ascii="Arial" w:cs="Arial" w:eastAsia="Arial" w:hAnsi="Arial"/>
                <w:sz w:val="16"/>
                <w:szCs w:val="16"/>
                <w:color w:val="auto"/>
              </w:rPr>
              <w:t>benefit obligations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402</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393</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Other regulatory assets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Nuclear decommissioning trusts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537</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577</w:t>
            </w:r>
          </w:p>
        </w:tc>
      </w:tr>
      <w:tr>
        <w:trPr>
          <w:trHeight w:val="222"/>
        </w:trPr>
        <w:tc>
          <w:tcPr>
            <w:tcW w:w="6720" w:type="dxa"/>
            <w:vAlign w:val="bottom"/>
          </w:tcPr>
          <w:p>
            <w:pPr>
              <w:ind w:left="200"/>
              <w:spacing w:after="0"/>
              <w:rPr>
                <w:sz w:val="20"/>
                <w:szCs w:val="20"/>
                <w:color w:val="auto"/>
              </w:rPr>
            </w:pPr>
            <w:r>
              <w:rPr>
                <w:rFonts w:ascii="Arial" w:cs="Arial" w:eastAsia="Arial" w:hAnsi="Arial"/>
                <w:sz w:val="16"/>
                <w:szCs w:val="16"/>
                <w:color w:val="auto"/>
              </w:rPr>
              <w:t>Sundry</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r>
      <w:tr>
        <w:trPr>
          <w:trHeight w:val="210"/>
        </w:trPr>
        <w:tc>
          <w:tcPr>
            <w:tcW w:w="6720" w:type="dxa"/>
            <w:vAlign w:val="bottom"/>
          </w:tcPr>
          <w:p>
            <w:pPr>
              <w:ind w:left="380"/>
              <w:spacing w:after="0"/>
              <w:rPr>
                <w:sz w:val="20"/>
                <w:szCs w:val="20"/>
                <w:color w:val="auto"/>
              </w:rPr>
            </w:pPr>
            <w:r>
              <w:rPr>
                <w:rFonts w:ascii="Arial" w:cs="Arial" w:eastAsia="Arial" w:hAnsi="Arial"/>
                <w:sz w:val="16"/>
                <w:szCs w:val="16"/>
                <w:color w:val="auto"/>
              </w:rPr>
              <w:t>Total other assets</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1,671</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1,820</w:t>
            </w:r>
          </w:p>
        </w:tc>
      </w:tr>
      <w:tr>
        <w:trPr>
          <w:trHeight w:val="420"/>
        </w:trPr>
        <w:tc>
          <w:tcPr>
            <w:tcW w:w="672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Property, plant and equipment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9,351</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9,095</w:t>
            </w:r>
          </w:p>
        </w:tc>
      </w:tr>
      <w:tr>
        <w:trPr>
          <w:trHeight w:val="222"/>
        </w:trPr>
        <w:tc>
          <w:tcPr>
            <w:tcW w:w="6720" w:type="dxa"/>
            <w:vAlign w:val="bottom"/>
          </w:tcPr>
          <w:p>
            <w:pPr>
              <w:ind w:left="200"/>
              <w:spacing w:after="0"/>
              <w:rPr>
                <w:sz w:val="20"/>
                <w:szCs w:val="20"/>
                <w:color w:val="auto"/>
              </w:rPr>
            </w:pPr>
            <w:r>
              <w:rPr>
                <w:rFonts w:ascii="Arial" w:cs="Arial" w:eastAsia="Arial" w:hAnsi="Arial"/>
                <w:sz w:val="16"/>
                <w:szCs w:val="16"/>
                <w:color w:val="auto"/>
              </w:rPr>
              <w:t>Less accumulated depreciation and amortization</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(2,464)</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(2,420)</w:t>
            </w:r>
          </w:p>
        </w:tc>
      </w:tr>
      <w:tr>
        <w:trPr>
          <w:trHeight w:val="210"/>
        </w:trPr>
        <w:tc>
          <w:tcPr>
            <w:tcW w:w="6720" w:type="dxa"/>
            <w:vAlign w:val="bottom"/>
          </w:tcPr>
          <w:p>
            <w:pPr>
              <w:ind w:left="38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6,887</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6,675</w:t>
            </w:r>
          </w:p>
        </w:tc>
      </w:tr>
      <w:tr>
        <w:trPr>
          <w:trHeight w:val="207"/>
        </w:trPr>
        <w:tc>
          <w:tcPr>
            <w:tcW w:w="672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10,051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9,079</w:t>
            </w:r>
          </w:p>
        </w:tc>
      </w:tr>
      <w:tr>
        <w:trPr>
          <w:trHeight w:val="84"/>
        </w:trPr>
        <w:tc>
          <w:tcPr>
            <w:tcW w:w="672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10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75" w:right="1440" w:bottom="1440" w:gutter="0" w:footer="0" w:header="0"/>
        </w:sectPr>
      </w:pPr>
    </w:p>
    <w:bookmarkStart w:id="11" w:name="page12"/>
    <w:bookmarkEnd w:id="11"/>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106045</wp:posOffset>
            </wp:positionV>
            <wp:extent cx="5822950"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22950" cy="411480"/>
                    </a:xfrm>
                    <a:prstGeom prst="rect">
                      <a:avLst/>
                    </a:prstGeom>
                    <a:noFill/>
                  </pic:spPr>
                </pic:pic>
              </a:graphicData>
            </a:graphic>
          </wp:anchor>
        </w:drawing>
        <w:t>SAN DIEGO GAS &amp; ELECTRIC COMPANY AND SUBSIDIARY</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200"/>
              <w:spacing w:after="0"/>
              <w:rPr>
                <w:sz w:val="20"/>
                <w:szCs w:val="20"/>
                <w:color w:val="auto"/>
              </w:rPr>
            </w:pPr>
            <w:r>
              <w:rPr>
                <w:rFonts w:ascii="Arial" w:cs="Arial" w:eastAsia="Arial" w:hAnsi="Arial"/>
                <w:sz w:val="14"/>
                <w:szCs w:val="14"/>
                <w:color w:val="auto"/>
              </w:rPr>
              <w:t>March 31,</w:t>
            </w:r>
          </w:p>
        </w:tc>
        <w:tc>
          <w:tcPr>
            <w:tcW w:w="140" w:type="dxa"/>
            <w:vAlign w:val="bottom"/>
          </w:tcPr>
          <w:p>
            <w:pPr>
              <w:spacing w:after="0"/>
              <w:rPr>
                <w:sz w:val="14"/>
                <w:szCs w:val="14"/>
                <w:color w:val="auto"/>
              </w:rPr>
            </w:pPr>
          </w:p>
        </w:tc>
        <w:tc>
          <w:tcPr>
            <w:tcW w:w="1100" w:type="dxa"/>
            <w:vAlign w:val="bottom"/>
          </w:tcPr>
          <w:p>
            <w:pPr>
              <w:jc w:val="right"/>
              <w:ind w:right="80"/>
              <w:spacing w:after="0"/>
              <w:rPr>
                <w:sz w:val="20"/>
                <w:szCs w:val="20"/>
                <w:color w:val="auto"/>
              </w:rPr>
            </w:pPr>
            <w:r>
              <w:rPr>
                <w:rFonts w:ascii="Arial" w:cs="Arial" w:eastAsia="Arial" w:hAnsi="Arial"/>
                <w:sz w:val="14"/>
                <w:szCs w:val="14"/>
                <w:color w:val="auto"/>
              </w:rPr>
              <w:t>December 31,</w:t>
            </w:r>
          </w:p>
        </w:tc>
      </w:tr>
      <w:tr>
        <w:trPr>
          <w:trHeight w:val="222"/>
        </w:trPr>
        <w:tc>
          <w:tcPr>
            <w:tcW w:w="6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2009</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2008*</w:t>
            </w:r>
          </w:p>
        </w:tc>
      </w:tr>
      <w:tr>
        <w:trPr>
          <w:trHeight w:val="204"/>
        </w:trPr>
        <w:tc>
          <w:tcPr>
            <w:tcW w:w="6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60" w:type="dxa"/>
            <w:vAlign w:val="bottom"/>
            <w:gridSpan w:val="3"/>
          </w:tcPr>
          <w:p>
            <w:pPr>
              <w:jc w:val="right"/>
              <w:ind w:right="780"/>
              <w:spacing w:after="0"/>
              <w:rPr>
                <w:sz w:val="20"/>
                <w:szCs w:val="20"/>
                <w:color w:val="auto"/>
              </w:rPr>
            </w:pPr>
            <w:r>
              <w:rPr>
                <w:rFonts w:ascii="Arial" w:cs="Arial" w:eastAsia="Arial" w:hAnsi="Arial"/>
                <w:sz w:val="14"/>
                <w:szCs w:val="14"/>
                <w:color w:val="auto"/>
              </w:rPr>
              <w:t>(unaudited)</w:t>
            </w:r>
          </w:p>
        </w:tc>
      </w:tr>
      <w:tr>
        <w:trPr>
          <w:trHeight w:val="222"/>
        </w:trPr>
        <w:tc>
          <w:tcPr>
            <w:tcW w:w="6720" w:type="dxa"/>
            <w:vAlign w:val="bottom"/>
          </w:tcPr>
          <w:p>
            <w:pPr>
              <w:ind w:left="20"/>
              <w:spacing w:after="0"/>
              <w:rPr>
                <w:sz w:val="20"/>
                <w:szCs w:val="20"/>
                <w:color w:val="auto"/>
              </w:rPr>
            </w:pPr>
            <w:r>
              <w:rPr>
                <w:rFonts w:ascii="Arial" w:cs="Arial" w:eastAsia="Arial" w:hAnsi="Arial"/>
                <w:sz w:val="16"/>
                <w:szCs w:val="16"/>
                <w:color w:val="auto"/>
              </w:rPr>
              <w:t>LIABILITIES AND EQUITY</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67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Short-term debt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98</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672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186</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261</w:t>
            </w:r>
          </w:p>
        </w:tc>
      </w:tr>
      <w:tr>
        <w:trPr>
          <w:trHeight w:val="230"/>
        </w:trPr>
        <w:tc>
          <w:tcPr>
            <w:tcW w:w="6720" w:type="dxa"/>
            <w:vAlign w:val="bottom"/>
          </w:tcPr>
          <w:p>
            <w:pPr>
              <w:ind w:left="200"/>
              <w:spacing w:after="0"/>
              <w:rPr>
                <w:sz w:val="20"/>
                <w:szCs w:val="20"/>
                <w:color w:val="auto"/>
              </w:rPr>
            </w:pPr>
            <w:r>
              <w:rPr>
                <w:rFonts w:ascii="Arial" w:cs="Arial" w:eastAsia="Arial" w:hAnsi="Arial"/>
                <w:sz w:val="16"/>
                <w:szCs w:val="16"/>
                <w:color w:val="auto"/>
              </w:rPr>
              <w:t>Income taxes payable</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Due to unconsolidated affiliates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Regulatory balancing accounts, net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183</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Customer deposits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Fixed-price contracts and other derivatives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Accrued compensation and benefits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Current portion of long-term debt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Reserve for wildfire litigation (Note 10)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900</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2"/>
        </w:trPr>
        <w:tc>
          <w:tcPr>
            <w:tcW w:w="6720" w:type="dxa"/>
            <w:vAlign w:val="bottom"/>
          </w:tcPr>
          <w:p>
            <w:pPr>
              <w:ind w:left="20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r>
      <w:tr>
        <w:trPr>
          <w:trHeight w:val="210"/>
        </w:trPr>
        <w:tc>
          <w:tcPr>
            <w:tcW w:w="672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1,794</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w:t>
            </w:r>
          </w:p>
        </w:tc>
      </w:tr>
      <w:tr>
        <w:trPr>
          <w:trHeight w:val="210"/>
        </w:trPr>
        <w:tc>
          <w:tcPr>
            <w:tcW w:w="67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2,161</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2,142</w:t>
            </w:r>
          </w:p>
        </w:tc>
      </w:tr>
      <w:tr>
        <w:trPr>
          <w:trHeight w:val="420"/>
        </w:trPr>
        <w:tc>
          <w:tcPr>
            <w:tcW w:w="6720" w:type="dxa"/>
            <w:vAlign w:val="bottom"/>
          </w:tcPr>
          <w:p>
            <w:pPr>
              <w:ind w:left="20"/>
              <w:spacing w:after="0"/>
              <w:rPr>
                <w:sz w:val="20"/>
                <w:szCs w:val="20"/>
                <w:color w:val="auto"/>
              </w:rPr>
            </w:pPr>
            <w:r>
              <w:rPr>
                <w:rFonts w:ascii="Arial" w:cs="Arial" w:eastAsia="Arial" w:hAnsi="Arial"/>
                <w:sz w:val="16"/>
                <w:szCs w:val="16"/>
                <w:color w:val="auto"/>
              </w:rPr>
              <w:t>Deferred credits and other liabilities:</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Customer advances for construction</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Pension and other postretirement benefit obligations, net of plan assets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427</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419</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654</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628</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Deferred investment tax credits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Regulatory liabilities arising from removal obligations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1,177</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1,212</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Asset retirement obligations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558</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550</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Fixed-price contracts and other derivatives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327</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347</w:t>
            </w:r>
          </w:p>
        </w:tc>
      </w:tr>
      <w:tr>
        <w:trPr>
          <w:trHeight w:val="222"/>
        </w:trPr>
        <w:tc>
          <w:tcPr>
            <w:tcW w:w="6720" w:type="dxa"/>
            <w:vAlign w:val="bottom"/>
          </w:tcPr>
          <w:p>
            <w:pPr>
              <w:ind w:left="200"/>
              <w:spacing w:after="0"/>
              <w:rPr>
                <w:sz w:val="20"/>
                <w:szCs w:val="20"/>
                <w:color w:val="auto"/>
              </w:rPr>
            </w:pPr>
            <w:r>
              <w:rPr>
                <w:rFonts w:ascii="Arial" w:cs="Arial" w:eastAsia="Arial" w:hAnsi="Arial"/>
                <w:sz w:val="16"/>
                <w:szCs w:val="16"/>
                <w:color w:val="auto"/>
              </w:rPr>
              <w:t>Deferred credits and other</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r>
      <w:tr>
        <w:trPr>
          <w:trHeight w:val="210"/>
        </w:trPr>
        <w:tc>
          <w:tcPr>
            <w:tcW w:w="6720" w:type="dxa"/>
            <w:vAlign w:val="bottom"/>
          </w:tcPr>
          <w:p>
            <w:pPr>
              <w:ind w:left="380"/>
              <w:spacing w:after="0"/>
              <w:rPr>
                <w:sz w:val="20"/>
                <w:szCs w:val="20"/>
                <w:color w:val="auto"/>
              </w:rPr>
            </w:pPr>
            <w:r>
              <w:rPr>
                <w:rFonts w:ascii="Arial" w:cs="Arial" w:eastAsia="Arial" w:hAnsi="Arial"/>
                <w:sz w:val="16"/>
                <w:szCs w:val="16"/>
                <w:color w:val="auto"/>
              </w:rPr>
              <w:t>Total deferred credits and other liabilities</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3,387</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3,412</w:t>
            </w:r>
          </w:p>
        </w:tc>
      </w:tr>
      <w:tr>
        <w:trPr>
          <w:trHeight w:val="210"/>
        </w:trPr>
        <w:tc>
          <w:tcPr>
            <w:tcW w:w="6720" w:type="dxa"/>
            <w:vAlign w:val="bottom"/>
          </w:tcPr>
          <w:p>
            <w:pPr>
              <w:ind w:left="20"/>
              <w:spacing w:after="0"/>
              <w:rPr>
                <w:sz w:val="20"/>
                <w:szCs w:val="20"/>
                <w:color w:val="auto"/>
              </w:rPr>
            </w:pPr>
            <w:r>
              <w:rPr>
                <w:rFonts w:ascii="Arial" w:cs="Arial" w:eastAsia="Arial" w:hAnsi="Arial"/>
                <w:sz w:val="16"/>
                <w:szCs w:val="16"/>
                <w:color w:val="auto"/>
              </w:rPr>
              <w:t>Contingently redeemable preferred stock</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r>
      <w:tr>
        <w:trPr>
          <w:trHeight w:val="420"/>
        </w:trPr>
        <w:tc>
          <w:tcPr>
            <w:tcW w:w="6720" w:type="dxa"/>
            <w:vAlign w:val="bottom"/>
          </w:tcPr>
          <w:p>
            <w:pPr>
              <w:ind w:left="20"/>
              <w:spacing w:after="0"/>
              <w:rPr>
                <w:sz w:val="20"/>
                <w:szCs w:val="20"/>
                <w:color w:val="auto"/>
              </w:rPr>
            </w:pPr>
            <w:r>
              <w:rPr>
                <w:rFonts w:ascii="Arial" w:cs="Arial" w:eastAsia="Arial" w:hAnsi="Arial"/>
                <w:sz w:val="16"/>
                <w:szCs w:val="16"/>
                <w:color w:val="auto"/>
              </w:rPr>
              <w:t>Commitments and contingencies (Note 10)</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6720" w:type="dxa"/>
            <w:vAlign w:val="bottom"/>
          </w:tcPr>
          <w:p>
            <w:pPr>
              <w:ind w:left="20"/>
              <w:spacing w:after="0"/>
              <w:rPr>
                <w:sz w:val="20"/>
                <w:szCs w:val="20"/>
                <w:color w:val="auto"/>
              </w:rPr>
            </w:pPr>
            <w:r>
              <w:rPr>
                <w:rFonts w:ascii="Arial" w:cs="Arial" w:eastAsia="Arial" w:hAnsi="Arial"/>
                <w:sz w:val="16"/>
                <w:szCs w:val="16"/>
                <w:color w:val="auto"/>
              </w:rPr>
              <w:t>Equity:</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Common stock (255 million shares authorized; 117 million shares outstanding;</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720" w:type="dxa"/>
            <w:vAlign w:val="bottom"/>
          </w:tcPr>
          <w:p>
            <w:pPr>
              <w:ind w:left="380"/>
              <w:spacing w:after="0"/>
              <w:rPr>
                <w:sz w:val="20"/>
                <w:szCs w:val="20"/>
                <w:color w:val="auto"/>
              </w:rPr>
            </w:pPr>
            <w:r>
              <w:rPr>
                <w:rFonts w:ascii="Arial" w:cs="Arial" w:eastAsia="Arial" w:hAnsi="Arial"/>
                <w:sz w:val="16"/>
                <w:szCs w:val="16"/>
                <w:color w:val="auto"/>
              </w:rPr>
              <w:t>no par value)</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1,138</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1,138</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Retained earnings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1,366</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1,417</w:t>
            </w:r>
          </w:p>
        </w:tc>
      </w:tr>
      <w:tr>
        <w:trPr>
          <w:trHeight w:val="222"/>
        </w:trPr>
        <w:tc>
          <w:tcPr>
            <w:tcW w:w="6720" w:type="dxa"/>
            <w:vAlign w:val="bottom"/>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04"/>
        </w:trPr>
        <w:tc>
          <w:tcPr>
            <w:tcW w:w="6720" w:type="dxa"/>
            <w:vAlign w:val="bottom"/>
          </w:tcPr>
          <w:p>
            <w:pPr>
              <w:ind w:left="380"/>
              <w:spacing w:after="0"/>
              <w:rPr>
                <w:sz w:val="20"/>
                <w:szCs w:val="20"/>
                <w:color w:val="auto"/>
              </w:rPr>
            </w:pPr>
            <w:r>
              <w:rPr>
                <w:rFonts w:ascii="Arial" w:cs="Arial" w:eastAsia="Arial" w:hAnsi="Arial"/>
                <w:sz w:val="16"/>
                <w:szCs w:val="16"/>
                <w:color w:val="auto"/>
              </w:rPr>
              <w:t>Total SDG&amp;E shareholders' equity</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2,493</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2,542</w:t>
            </w:r>
          </w:p>
        </w:tc>
      </w:tr>
      <w:tr>
        <w:trPr>
          <w:trHeight w:val="222"/>
        </w:trPr>
        <w:tc>
          <w:tcPr>
            <w:tcW w:w="6720" w:type="dxa"/>
            <w:vAlign w:val="bottom"/>
          </w:tcPr>
          <w:p>
            <w:pPr>
              <w:ind w:left="200"/>
              <w:spacing w:after="0"/>
              <w:rPr>
                <w:sz w:val="20"/>
                <w:szCs w:val="20"/>
                <w:color w:val="auto"/>
              </w:rPr>
            </w:pPr>
            <w:r>
              <w:rPr>
                <w:rFonts w:ascii="Arial" w:cs="Arial" w:eastAsia="Arial" w:hAnsi="Arial"/>
                <w:sz w:val="16"/>
                <w:szCs w:val="16"/>
                <w:color w:val="auto"/>
              </w:rPr>
              <w:t>Noncontrolling interest</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r>
      <w:tr>
        <w:trPr>
          <w:trHeight w:val="210"/>
        </w:trPr>
        <w:tc>
          <w:tcPr>
            <w:tcW w:w="6720" w:type="dxa"/>
            <w:vAlign w:val="bottom"/>
          </w:tcPr>
          <w:p>
            <w:pPr>
              <w:ind w:left="380"/>
              <w:spacing w:after="0"/>
              <w:rPr>
                <w:sz w:val="20"/>
                <w:szCs w:val="20"/>
                <w:color w:val="auto"/>
              </w:rPr>
            </w:pPr>
            <w:r>
              <w:rPr>
                <w:rFonts w:ascii="Arial" w:cs="Arial" w:eastAsia="Arial" w:hAnsi="Arial"/>
                <w:sz w:val="16"/>
                <w:szCs w:val="16"/>
                <w:color w:val="auto"/>
              </w:rPr>
              <w:t>Total equity</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2,630</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2,670</w:t>
            </w:r>
          </w:p>
        </w:tc>
      </w:tr>
      <w:tr>
        <w:trPr>
          <w:trHeight w:val="207"/>
        </w:trPr>
        <w:tc>
          <w:tcPr>
            <w:tcW w:w="6720" w:type="dxa"/>
            <w:vAlign w:val="bottom"/>
          </w:tcPr>
          <w:p>
            <w:pPr>
              <w:ind w:left="20"/>
              <w:spacing w:after="0"/>
              <w:rPr>
                <w:sz w:val="20"/>
                <w:szCs w:val="20"/>
                <w:color w:val="auto"/>
              </w:rPr>
            </w:pPr>
            <w:r>
              <w:rPr>
                <w:rFonts w:ascii="Arial" w:cs="Arial" w:eastAsia="Arial" w:hAnsi="Arial"/>
                <w:sz w:val="16"/>
                <w:szCs w:val="16"/>
                <w:color w:val="auto"/>
              </w:rPr>
              <w:t>Total liabilities and equity</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10,051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9,079</w:t>
            </w:r>
          </w:p>
        </w:tc>
      </w:tr>
      <w:tr>
        <w:trPr>
          <w:trHeight w:val="84"/>
        </w:trPr>
        <w:tc>
          <w:tcPr>
            <w:tcW w:w="672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100" w:type="dxa"/>
            <w:vAlign w:val="bottom"/>
            <w:shd w:val="clear" w:color="auto" w:fill="000000"/>
          </w:tcPr>
          <w:p>
            <w:pPr>
              <w:spacing w:after="0"/>
              <w:rPr>
                <w:sz w:val="7"/>
                <w:szCs w:val="7"/>
                <w:color w:val="auto"/>
              </w:rPr>
            </w:pPr>
          </w:p>
        </w:tc>
      </w:tr>
    </w:tbl>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As adjusted for the retrospective adoption of SFAS 160.</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75" w:right="1440" w:bottom="1440" w:gutter="0" w:footer="0" w:header="0"/>
        </w:sectPr>
      </w:pPr>
    </w:p>
    <w:bookmarkStart w:id="12" w:name="page13"/>
    <w:bookmarkEnd w:id="12"/>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106045</wp:posOffset>
            </wp:positionV>
            <wp:extent cx="582295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22950" cy="411480"/>
                    </a:xfrm>
                    <a:prstGeom prst="rect">
                      <a:avLst/>
                    </a:prstGeom>
                    <a:noFill/>
                  </pic:spPr>
                </pic:pic>
              </a:graphicData>
            </a:graphic>
          </wp:anchor>
        </w:drawing>
        <w:t>SAN DIEGO GAS &amp; ELECTRIC COMPANY AND SUBSIDIARY</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STATEMENTS OF CONSOLIDATED CASH FLOWS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9" w:lineRule="exact"/>
        <w:rPr>
          <w:sz w:val="20"/>
          <w:szCs w:val="20"/>
          <w:color w:val="auto"/>
        </w:rPr>
      </w:pPr>
    </w:p>
    <w:p>
      <w:pPr>
        <w:jc w:val="center"/>
        <w:ind w:left="4480"/>
        <w:spacing w:after="0"/>
        <w:rPr>
          <w:sz w:val="20"/>
          <w:szCs w:val="20"/>
          <w:color w:val="auto"/>
        </w:rPr>
      </w:pPr>
      <w:r>
        <w:rPr>
          <w:rFonts w:ascii="Arial" w:cs="Arial" w:eastAsia="Arial" w:hAnsi="Arial"/>
          <w:sz w:val="14"/>
          <w:szCs w:val="14"/>
          <w:color w:val="auto"/>
        </w:rPr>
        <w:t>Three months ended</w:t>
      </w:r>
    </w:p>
    <w:p>
      <w:pPr>
        <w:spacing w:after="0" w:line="42" w:lineRule="exact"/>
        <w:rPr>
          <w:sz w:val="20"/>
          <w:szCs w:val="20"/>
          <w:color w:val="auto"/>
        </w:rPr>
      </w:pPr>
    </w:p>
    <w:p>
      <w:pPr>
        <w:jc w:val="center"/>
        <w:ind w:left="4480"/>
        <w:spacing w:after="0"/>
        <w:rPr>
          <w:sz w:val="20"/>
          <w:szCs w:val="20"/>
          <w:color w:val="auto"/>
        </w:rPr>
      </w:pPr>
      <w:r>
        <w:rPr>
          <w:rFonts w:ascii="Arial" w:cs="Arial" w:eastAsia="Arial" w:hAnsi="Arial"/>
          <w:sz w:val="14"/>
          <w:szCs w:val="14"/>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14605</wp:posOffset>
            </wp:positionV>
            <wp:extent cx="15608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49" w:lineRule="exact"/>
        <w:rPr>
          <w:sz w:val="20"/>
          <w:szCs w:val="20"/>
          <w:color w:val="auto"/>
        </w:rPr>
      </w:pPr>
    </w:p>
    <w:p>
      <w:pPr>
        <w:jc w:val="both"/>
        <w:ind w:left="7180"/>
        <w:spacing w:after="0"/>
        <w:tabs>
          <w:tab w:leader="none" w:pos="8360" w:val="left"/>
        </w:tabs>
        <w:rPr>
          <w:sz w:val="20"/>
          <w:szCs w:val="20"/>
          <w:color w:val="auto"/>
        </w:rPr>
      </w:pPr>
      <w:r>
        <w:rPr>
          <w:rFonts w:ascii="Arial" w:cs="Arial" w:eastAsia="Arial" w:hAnsi="Arial"/>
          <w:sz w:val="14"/>
          <w:szCs w:val="14"/>
          <w:color w:val="auto"/>
        </w:rPr>
        <w:t>2009</w:t>
      </w:r>
      <w:r>
        <w:rPr>
          <w:sz w:val="20"/>
          <w:szCs w:val="20"/>
          <w:color w:val="auto"/>
        </w:rPr>
        <w:tab/>
      </w:r>
      <w:r>
        <w:rPr>
          <w:rFonts w:ascii="Arial" w:cs="Arial" w:eastAsia="Arial" w:hAnsi="Arial"/>
          <w:sz w:val="14"/>
          <w:szCs w:val="14"/>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8229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49" w:lineRule="exact"/>
        <w:rPr>
          <w:sz w:val="20"/>
          <w:szCs w:val="20"/>
          <w:color w:val="auto"/>
        </w:rPr>
      </w:pPr>
    </w:p>
    <w:p>
      <w:pPr>
        <w:ind w:left="7580"/>
        <w:spacing w:after="0"/>
        <w:rPr>
          <w:sz w:val="20"/>
          <w:szCs w:val="20"/>
          <w:color w:val="auto"/>
        </w:rPr>
      </w:pPr>
      <w:r>
        <w:rPr>
          <w:rFonts w:ascii="Arial" w:cs="Arial" w:eastAsia="Arial" w:hAnsi="Arial"/>
          <w:sz w:val="14"/>
          <w:szCs w:val="14"/>
          <w:color w:val="auto"/>
        </w:rPr>
        <w:t>(unaudited)</w:t>
      </w:r>
    </w:p>
    <w:p>
      <w:pPr>
        <w:sectPr>
          <w:pgSz w:w="11900" w:h="16838" w:orient="portrait"/>
          <w:cols w:equalWidth="0" w:num="1">
            <w:col w:w="10219"/>
          </w:cols>
          <w:pgMar w:left="240" w:top="175" w:right="1440" w:bottom="1440" w:gutter="0" w:footer="0" w:header="0"/>
        </w:sectPr>
      </w:pPr>
    </w:p>
    <w:p>
      <w:pPr>
        <w:spacing w:after="0" w:line="39" w:lineRule="exact"/>
        <w:rPr>
          <w:sz w:val="20"/>
          <w:szCs w:val="20"/>
          <w:color w:val="auto"/>
        </w:rPr>
      </w:pPr>
    </w:p>
    <w:p>
      <w:pPr>
        <w:ind w:left="200" w:right="2460" w:hanging="179"/>
        <w:spacing w:after="0" w:line="281" w:lineRule="auto"/>
        <w:rPr>
          <w:sz w:val="20"/>
          <w:szCs w:val="20"/>
          <w:color w:val="auto"/>
        </w:rPr>
      </w:pPr>
      <w:r>
        <w:rPr>
          <w:rFonts w:ascii="Arial" w:cs="Arial" w:eastAsia="Arial" w:hAnsi="Arial"/>
          <w:sz w:val="16"/>
          <w:szCs w:val="16"/>
          <w:color w:val="auto"/>
        </w:rPr>
        <w:t>CASH FLOWS FROM OPERATING ACTIVITIES Net income</w:t>
      </w:r>
    </w:p>
    <w:p>
      <w:pPr>
        <w:spacing w:after="0" w:line="1" w:lineRule="exact"/>
        <w:rPr>
          <w:sz w:val="20"/>
          <w:szCs w:val="20"/>
          <w:color w:val="auto"/>
        </w:rPr>
      </w:pPr>
    </w:p>
    <w:p>
      <w:pPr>
        <w:ind w:left="380" w:right="1480" w:hanging="188"/>
        <w:spacing w:after="0" w:line="281" w:lineRule="auto"/>
        <w:rPr>
          <w:sz w:val="20"/>
          <w:szCs w:val="20"/>
          <w:color w:val="auto"/>
        </w:rPr>
      </w:pPr>
      <w:r>
        <w:rPr>
          <w:rFonts w:ascii="Arial" w:cs="Arial" w:eastAsia="Arial" w:hAnsi="Arial"/>
          <w:sz w:val="16"/>
          <w:szCs w:val="16"/>
          <w:color w:val="auto"/>
        </w:rPr>
        <w:t>Adjustments to reconcile net income to net cash provided by operating activities:</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Depreciation and amortization</w:t>
      </w:r>
    </w:p>
    <w:p>
      <w:pPr>
        <w:spacing w:after="0" w:line="32" w:lineRule="exact"/>
        <w:rPr>
          <w:sz w:val="20"/>
          <w:szCs w:val="20"/>
          <w:color w:val="auto"/>
        </w:rPr>
      </w:pPr>
    </w:p>
    <w:p>
      <w:pPr>
        <w:ind w:left="560" w:right="1880"/>
        <w:spacing w:after="0" w:line="281" w:lineRule="auto"/>
        <w:rPr>
          <w:sz w:val="20"/>
          <w:szCs w:val="20"/>
          <w:color w:val="auto"/>
        </w:rPr>
      </w:pPr>
      <w:r>
        <w:rPr>
          <w:rFonts w:ascii="Arial" w:cs="Arial" w:eastAsia="Arial" w:hAnsi="Arial"/>
          <w:sz w:val="16"/>
          <w:szCs w:val="16"/>
          <w:color w:val="auto"/>
        </w:rPr>
        <w:t>Deferred income taxes and investment tax credits Other</w:t>
      </w:r>
    </w:p>
    <w:p>
      <w:pPr>
        <w:spacing w:after="0" w:line="1" w:lineRule="exact"/>
        <w:rPr>
          <w:sz w:val="20"/>
          <w:szCs w:val="20"/>
          <w:color w:val="auto"/>
        </w:rPr>
      </w:pPr>
    </w:p>
    <w:p>
      <w:pPr>
        <w:ind w:left="200" w:right="2340"/>
        <w:spacing w:after="0" w:line="290" w:lineRule="auto"/>
        <w:rPr>
          <w:sz w:val="20"/>
          <w:szCs w:val="20"/>
          <w:color w:val="auto"/>
        </w:rPr>
      </w:pPr>
      <w:r>
        <w:rPr>
          <w:rFonts w:ascii="Arial" w:cs="Arial" w:eastAsia="Arial" w:hAnsi="Arial"/>
          <w:sz w:val="16"/>
          <w:szCs w:val="16"/>
          <w:color w:val="auto"/>
        </w:rPr>
        <w:t>Net change in other working capital components Changes in other assets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Changes in other liabilities</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cash provided by operating activities</w:t>
      </w:r>
    </w:p>
    <w:p>
      <w:pPr>
        <w:spacing w:after="0" w:line="248" w:lineRule="exact"/>
        <w:rPr>
          <w:sz w:val="20"/>
          <w:szCs w:val="20"/>
          <w:color w:val="auto"/>
        </w:rPr>
      </w:pPr>
    </w:p>
    <w:p>
      <w:pPr>
        <w:ind w:left="200" w:right="1800" w:hanging="179"/>
        <w:spacing w:after="0" w:line="284" w:lineRule="auto"/>
        <w:rPr>
          <w:sz w:val="20"/>
          <w:szCs w:val="20"/>
          <w:color w:val="auto"/>
        </w:rPr>
      </w:pPr>
      <w:r>
        <w:rPr>
          <w:rFonts w:ascii="Arial" w:cs="Arial" w:eastAsia="Arial" w:hAnsi="Arial"/>
          <w:sz w:val="16"/>
          <w:szCs w:val="16"/>
          <w:color w:val="auto"/>
        </w:rPr>
        <w:t>CASH FLOWS FROM INVESTING ACTIVITIES Expenditures for property, plant and equipment Expenditures for short-term investments Purchases of nuclear decommissioning trust assets Proceeds from sales by nuclear decommissioning trusts Decrease in loans to affiliates, net</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Other</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cash used in investing activities</w:t>
      </w:r>
    </w:p>
    <w:p>
      <w:pPr>
        <w:spacing w:after="0" w:line="248" w:lineRule="exact"/>
        <w:rPr>
          <w:sz w:val="20"/>
          <w:szCs w:val="20"/>
          <w:color w:val="auto"/>
        </w:rPr>
      </w:pPr>
    </w:p>
    <w:p>
      <w:pPr>
        <w:ind w:left="200" w:right="2520" w:hanging="179"/>
        <w:spacing w:after="0" w:line="281" w:lineRule="auto"/>
        <w:rPr>
          <w:sz w:val="20"/>
          <w:szCs w:val="20"/>
          <w:color w:val="auto"/>
        </w:rPr>
      </w:pPr>
      <w:r>
        <w:rPr>
          <w:rFonts w:ascii="Arial" w:cs="Arial" w:eastAsia="Arial" w:hAnsi="Arial"/>
          <w:sz w:val="16"/>
          <w:szCs w:val="16"/>
          <w:color w:val="auto"/>
        </w:rPr>
        <w:t>CASH FLOWS FROM FINANCING ACTIVITIES Common dividends paid</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Preferred dividends paid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Redemptions of preferred stock</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Issuances of long-term debt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Increase in short-term debt, net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Capital contribution received by Otay Mesa VIE</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cash (used in) provided by financing activities</w:t>
      </w:r>
    </w:p>
    <w:p>
      <w:pPr>
        <w:spacing w:after="0" w:line="248" w:lineRule="exact"/>
        <w:rPr>
          <w:sz w:val="20"/>
          <w:szCs w:val="20"/>
          <w:color w:val="auto"/>
        </w:rPr>
      </w:pPr>
    </w:p>
    <w:p>
      <w:pPr>
        <w:ind w:left="20" w:right="2420"/>
        <w:spacing w:after="0" w:line="313" w:lineRule="auto"/>
        <w:rPr>
          <w:sz w:val="20"/>
          <w:szCs w:val="20"/>
          <w:color w:val="auto"/>
        </w:rPr>
      </w:pPr>
      <w:r>
        <w:rPr>
          <w:rFonts w:ascii="Arial" w:cs="Arial" w:eastAsia="Arial" w:hAnsi="Arial"/>
          <w:sz w:val="16"/>
          <w:szCs w:val="16"/>
          <w:color w:val="auto"/>
        </w:rPr>
        <w:t>Increase (decrease) in cash and cash equivalents Cash and cash equivalents, January 1</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March 31</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SUPPLEMENTAL DISCLOSURE OF CASH FLOW INFORMATION</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Interest payments, net of amounts capitalized</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Income tax payments (refunds), net</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left="20"/>
        <w:spacing w:after="0"/>
        <w:tabs>
          <w:tab w:leader="none" w:pos="880" w:val="left"/>
          <w:tab w:leader="none" w:pos="2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107 $</w:t>
      </w:r>
      <w:r>
        <w:rPr>
          <w:sz w:val="20"/>
          <w:szCs w:val="20"/>
          <w:color w:val="auto"/>
        </w:rPr>
        <w:tab/>
      </w:r>
      <w:r>
        <w:rPr>
          <w:rFonts w:ascii="Arial" w:cs="Arial" w:eastAsia="Arial" w:hAnsi="Arial"/>
          <w:sz w:val="16"/>
          <w:szCs w:val="16"/>
          <w:color w:val="auto"/>
        </w:rPr>
        <w:t>75</w:t>
      </w:r>
    </w:p>
    <w:p>
      <w:pPr>
        <w:spacing w:after="0" w:line="200" w:lineRule="exact"/>
        <w:rPr>
          <w:sz w:val="20"/>
          <w:szCs w:val="20"/>
          <w:color w:val="auto"/>
        </w:rPr>
      </w:pPr>
    </w:p>
    <w:p>
      <w:pPr>
        <w:spacing w:after="0" w:line="264" w:lineRule="exact"/>
        <w:rPr>
          <w:sz w:val="20"/>
          <w:szCs w:val="20"/>
          <w:color w:val="auto"/>
        </w:rPr>
      </w:pPr>
    </w:p>
    <w:p>
      <w:pPr>
        <w:ind w:left="1000"/>
        <w:spacing w:after="0"/>
        <w:tabs>
          <w:tab w:leader="none" w:pos="2200" w:val="left"/>
        </w:tabs>
        <w:rPr>
          <w:sz w:val="20"/>
          <w:szCs w:val="20"/>
          <w:color w:val="auto"/>
        </w:rPr>
      </w:pPr>
      <w:r>
        <w:rPr>
          <w:rFonts w:ascii="Arial" w:cs="Arial" w:eastAsia="Arial" w:hAnsi="Arial"/>
          <w:sz w:val="16"/>
          <w:szCs w:val="16"/>
          <w:color w:val="auto"/>
        </w:rPr>
        <w:t>77</w:t>
      </w:r>
      <w:r>
        <w:rPr>
          <w:sz w:val="20"/>
          <w:szCs w:val="20"/>
          <w:color w:val="auto"/>
        </w:rPr>
        <w:tab/>
      </w:r>
      <w:r>
        <w:rPr>
          <w:rFonts w:ascii="Arial" w:cs="Arial" w:eastAsia="Arial" w:hAnsi="Arial"/>
          <w:sz w:val="16"/>
          <w:szCs w:val="16"/>
          <w:color w:val="auto"/>
        </w:rPr>
        <w:t>77</w:t>
      </w:r>
    </w:p>
    <w:p>
      <w:pPr>
        <w:spacing w:after="0" w:line="32" w:lineRule="exact"/>
        <w:rPr>
          <w:sz w:val="20"/>
          <w:szCs w:val="20"/>
          <w:color w:val="auto"/>
        </w:rPr>
      </w:pPr>
    </w:p>
    <w:p>
      <w:pPr>
        <w:ind w:left="2300" w:hanging="1219"/>
        <w:spacing w:after="0"/>
        <w:tabs>
          <w:tab w:leader="none" w:pos="2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3</w:t>
      </w:r>
    </w:p>
    <w:p>
      <w:pPr>
        <w:spacing w:after="0" w:line="32" w:lineRule="exact"/>
        <w:rPr>
          <w:sz w:val="20"/>
          <w:szCs w:val="20"/>
          <w:color w:val="auto"/>
        </w:rPr>
      </w:pPr>
    </w:p>
    <w:p>
      <w:pPr>
        <w:ind w:left="2240" w:hanging="1313"/>
        <w:spacing w:after="0"/>
        <w:tabs>
          <w:tab w:leader="none" w:pos="2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(3)</w:t>
      </w:r>
    </w:p>
    <w:p>
      <w:pPr>
        <w:spacing w:after="0" w:line="32" w:lineRule="exact"/>
        <w:rPr>
          <w:sz w:val="20"/>
          <w:szCs w:val="20"/>
          <w:color w:val="auto"/>
        </w:rPr>
      </w:pPr>
    </w:p>
    <w:p>
      <w:pPr>
        <w:ind w:left="1000"/>
        <w:spacing w:after="0"/>
        <w:tabs>
          <w:tab w:leader="none" w:pos="2100" w:val="left"/>
        </w:tabs>
        <w:rPr>
          <w:sz w:val="20"/>
          <w:szCs w:val="20"/>
          <w:color w:val="auto"/>
        </w:rPr>
      </w:pPr>
      <w:r>
        <w:rPr>
          <w:rFonts w:ascii="Arial" w:cs="Arial" w:eastAsia="Arial" w:hAnsi="Arial"/>
          <w:sz w:val="16"/>
          <w:szCs w:val="16"/>
          <w:color w:val="auto"/>
        </w:rPr>
        <w:t>77</w:t>
      </w:r>
      <w:r>
        <w:rPr>
          <w:sz w:val="20"/>
          <w:szCs w:val="20"/>
          <w:color w:val="auto"/>
        </w:rPr>
        <w:tab/>
      </w:r>
      <w:r>
        <w:rPr>
          <w:rFonts w:ascii="Arial" w:cs="Arial" w:eastAsia="Arial" w:hAnsi="Arial"/>
          <w:sz w:val="16"/>
          <w:szCs w:val="16"/>
          <w:color w:val="auto"/>
        </w:rPr>
        <w:t>134</w:t>
      </w:r>
    </w:p>
    <w:p>
      <w:pPr>
        <w:spacing w:after="0" w:line="32" w:lineRule="exact"/>
        <w:rPr>
          <w:sz w:val="20"/>
          <w:szCs w:val="20"/>
          <w:color w:val="auto"/>
        </w:rPr>
      </w:pPr>
    </w:p>
    <w:p>
      <w:pPr>
        <w:ind w:left="2300" w:hanging="1219"/>
        <w:spacing w:after="0"/>
        <w:tabs>
          <w:tab w:leader="none" w:pos="2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2</w:t>
      </w:r>
    </w:p>
    <w:p>
      <w:pPr>
        <w:spacing w:after="0" w:line="32" w:lineRule="exact"/>
        <w:rPr>
          <w:sz w:val="20"/>
          <w:szCs w:val="20"/>
          <w:color w:val="auto"/>
        </w:rPr>
      </w:pPr>
    </w:p>
    <w:p>
      <w:pPr>
        <w:ind w:left="2160" w:hanging="1233"/>
        <w:spacing w:after="0"/>
        <w:tabs>
          <w:tab w:leader="none" w:pos="2160" w:val="left"/>
        </w:tabs>
        <w:numPr>
          <w:ilvl w:val="0"/>
          <w:numId w:val="7"/>
        </w:numPr>
        <w:rPr>
          <w:rFonts w:ascii="Arial" w:cs="Arial" w:eastAsia="Arial" w:hAnsi="Arial"/>
          <w:sz w:val="16"/>
          <w:szCs w:val="16"/>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15608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6" w:lineRule="exact"/>
        <w:rPr>
          <w:sz w:val="20"/>
          <w:szCs w:val="20"/>
          <w:color w:val="auto"/>
        </w:rPr>
      </w:pPr>
    </w:p>
    <w:p>
      <w:pPr>
        <w:ind w:left="900"/>
        <w:spacing w:after="0"/>
        <w:tabs>
          <w:tab w:leader="none" w:pos="2100" w:val="left"/>
        </w:tabs>
        <w:rPr>
          <w:sz w:val="20"/>
          <w:szCs w:val="20"/>
          <w:color w:val="auto"/>
        </w:rPr>
      </w:pPr>
      <w:r>
        <w:rPr>
          <w:rFonts w:ascii="Arial" w:cs="Arial" w:eastAsia="Arial" w:hAnsi="Arial"/>
          <w:sz w:val="16"/>
          <w:szCs w:val="16"/>
          <w:color w:val="auto"/>
        </w:rPr>
        <w:t>245</w:t>
      </w:r>
      <w:r>
        <w:rPr>
          <w:sz w:val="20"/>
          <w:szCs w:val="20"/>
          <w:color w:val="auto"/>
        </w:rPr>
        <w:tab/>
      </w:r>
      <w:r>
        <w:rPr>
          <w:rFonts w:ascii="Arial" w:cs="Arial" w:eastAsia="Arial" w:hAnsi="Arial"/>
          <w:sz w:val="16"/>
          <w:szCs w:val="16"/>
          <w:color w:val="auto"/>
        </w:rPr>
        <w:t>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15608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2060" w:hanging="1223"/>
        <w:spacing w:after="0"/>
        <w:tabs>
          <w:tab w:leader="none" w:pos="2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(235)</w:t>
      </w:r>
    </w:p>
    <w:p>
      <w:pPr>
        <w:spacing w:after="0" w:line="32" w:lineRule="exact"/>
        <w:rPr>
          <w:rFonts w:ascii="Arial" w:cs="Arial" w:eastAsia="Arial" w:hAnsi="Arial"/>
          <w:sz w:val="16"/>
          <w:szCs w:val="16"/>
          <w:color w:val="auto"/>
        </w:rPr>
      </w:pPr>
    </w:p>
    <w:p>
      <w:pPr>
        <w:ind w:left="2060" w:hanging="898"/>
        <w:spacing w:after="0"/>
        <w:tabs>
          <w:tab w:leader="none" w:pos="2060" w:val="left"/>
        </w:tabs>
        <w:numPr>
          <w:ilvl w:val="1"/>
          <w:numId w:val="8"/>
        </w:numPr>
        <w:rPr>
          <w:rFonts w:ascii="Arial" w:cs="Arial" w:eastAsia="Arial" w:hAnsi="Arial"/>
          <w:sz w:val="16"/>
          <w:szCs w:val="16"/>
          <w:color w:val="auto"/>
        </w:rPr>
      </w:pPr>
      <w:r>
        <w:rPr>
          <w:rFonts w:ascii="Arial" w:cs="Arial" w:eastAsia="Arial" w:hAnsi="Arial"/>
          <w:sz w:val="16"/>
          <w:szCs w:val="16"/>
          <w:color w:val="auto"/>
        </w:rPr>
        <w:t>(236)</w:t>
      </w:r>
    </w:p>
    <w:p>
      <w:pPr>
        <w:spacing w:after="0" w:line="32" w:lineRule="exact"/>
        <w:rPr>
          <w:sz w:val="20"/>
          <w:szCs w:val="20"/>
          <w:color w:val="auto"/>
        </w:rPr>
      </w:pPr>
    </w:p>
    <w:p>
      <w:pPr>
        <w:ind w:left="2060" w:hanging="1133"/>
        <w:spacing w:after="0"/>
        <w:tabs>
          <w:tab w:leader="none" w:pos="2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(134)</w:t>
      </w:r>
    </w:p>
    <w:p>
      <w:pPr>
        <w:spacing w:after="0" w:line="32" w:lineRule="exact"/>
        <w:rPr>
          <w:sz w:val="20"/>
          <w:szCs w:val="20"/>
          <w:color w:val="auto"/>
        </w:rPr>
      </w:pPr>
    </w:p>
    <w:p>
      <w:pPr>
        <w:ind w:left="1000"/>
        <w:spacing w:after="0"/>
        <w:tabs>
          <w:tab w:leader="none" w:pos="210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6"/>
          <w:szCs w:val="16"/>
          <w:color w:val="auto"/>
        </w:rPr>
        <w:t>134</w:t>
      </w:r>
    </w:p>
    <w:p>
      <w:pPr>
        <w:spacing w:after="0" w:line="32" w:lineRule="exact"/>
        <w:rPr>
          <w:sz w:val="20"/>
          <w:szCs w:val="20"/>
          <w:color w:val="auto"/>
        </w:rPr>
      </w:pPr>
    </w:p>
    <w:p>
      <w:pPr>
        <w:ind w:left="2400" w:hanging="1410"/>
        <w:spacing w:after="0"/>
        <w:tabs>
          <w:tab w:leader="none" w:pos="24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p>
    <w:p>
      <w:pPr>
        <w:spacing w:after="0" w:line="32" w:lineRule="exact"/>
        <w:rPr>
          <w:rFonts w:ascii="Arial" w:cs="Arial" w:eastAsia="Arial" w:hAnsi="Arial"/>
          <w:sz w:val="16"/>
          <w:szCs w:val="16"/>
          <w:color w:val="auto"/>
        </w:rPr>
      </w:pPr>
    </w:p>
    <w:p>
      <w:pPr>
        <w:ind w:left="2300" w:hanging="1138"/>
        <w:spacing w:after="0"/>
        <w:tabs>
          <w:tab w:leader="none" w:pos="2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15608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6" w:lineRule="exact"/>
        <w:rPr>
          <w:sz w:val="20"/>
          <w:szCs w:val="20"/>
          <w:color w:val="auto"/>
        </w:rPr>
      </w:pPr>
    </w:p>
    <w:p>
      <w:pPr>
        <w:ind w:left="2060" w:hanging="1223"/>
        <w:spacing w:after="0"/>
        <w:tabs>
          <w:tab w:leader="none" w:pos="2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(470)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15608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2400" w:hanging="1563"/>
        <w:spacing w:after="0"/>
        <w:tabs>
          <w:tab w:leader="none" w:pos="24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p>
    <w:p>
      <w:pPr>
        <w:spacing w:after="0" w:line="32" w:lineRule="exact"/>
        <w:rPr>
          <w:sz w:val="20"/>
          <w:szCs w:val="20"/>
          <w:color w:val="auto"/>
        </w:rPr>
      </w:pPr>
    </w:p>
    <w:p>
      <w:pPr>
        <w:ind w:left="2240" w:hanging="1222"/>
        <w:spacing w:after="0"/>
        <w:tabs>
          <w:tab w:leader="none" w:pos="2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(1)</w:t>
      </w:r>
    </w:p>
    <w:p>
      <w:pPr>
        <w:spacing w:after="0" w:line="32" w:lineRule="exact"/>
        <w:rPr>
          <w:rFonts w:ascii="Arial" w:cs="Arial" w:eastAsia="Arial" w:hAnsi="Arial"/>
          <w:sz w:val="16"/>
          <w:szCs w:val="16"/>
          <w:color w:val="auto"/>
        </w:rPr>
      </w:pPr>
    </w:p>
    <w:p>
      <w:pPr>
        <w:ind w:left="2160" w:hanging="998"/>
        <w:spacing w:after="0"/>
        <w:tabs>
          <w:tab w:leader="none" w:pos="21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(14)</w:t>
      </w:r>
    </w:p>
    <w:p>
      <w:pPr>
        <w:spacing w:after="0" w:line="32"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700" w:type="dxa"/>
            <w:vAlign w:val="bottom"/>
          </w:tcPr>
          <w:p>
            <w:pPr>
              <w:jc w:val="right"/>
              <w:ind w:right="439"/>
              <w:spacing w:after="0"/>
              <w:rPr>
                <w:sz w:val="20"/>
                <w:szCs w:val="20"/>
                <w:color w:val="auto"/>
              </w:rPr>
            </w:pPr>
            <w:r>
              <w:rPr>
                <w:rFonts w:ascii="Arial" w:cs="Arial" w:eastAsia="Arial" w:hAnsi="Arial"/>
                <w:sz w:val="16"/>
                <w:szCs w:val="16"/>
                <w:color w:val="auto"/>
                <w:w w:val="89"/>
              </w:rPr>
              <w:t>22</w:t>
            </w:r>
          </w:p>
        </w:tc>
        <w:tc>
          <w:tcPr>
            <w:tcW w:w="70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6"/>
        </w:trPr>
        <w:tc>
          <w:tcPr>
            <w:tcW w:w="700" w:type="dxa"/>
            <w:vAlign w:val="bottom"/>
          </w:tcPr>
          <w:p>
            <w:pPr>
              <w:jc w:val="right"/>
              <w:ind w:right="439"/>
              <w:spacing w:after="0"/>
              <w:rPr>
                <w:sz w:val="20"/>
                <w:szCs w:val="20"/>
                <w:color w:val="auto"/>
              </w:rPr>
            </w:pPr>
            <w:r>
              <w:rPr>
                <w:rFonts w:ascii="Arial" w:cs="Arial" w:eastAsia="Arial" w:hAnsi="Arial"/>
                <w:sz w:val="16"/>
                <w:szCs w:val="16"/>
                <w:color w:val="auto"/>
                <w:w w:val="89"/>
              </w:rPr>
              <w:t>98</w:t>
            </w:r>
          </w:p>
        </w:tc>
        <w:tc>
          <w:tcPr>
            <w:tcW w:w="700" w:type="dxa"/>
            <w:vAlign w:val="bottom"/>
          </w:tcPr>
          <w:p>
            <w:pPr>
              <w:jc w:val="right"/>
              <w:spacing w:after="0"/>
              <w:rPr>
                <w:sz w:val="20"/>
                <w:szCs w:val="20"/>
                <w:color w:val="auto"/>
              </w:rPr>
            </w:pPr>
            <w:r>
              <w:rPr>
                <w:rFonts w:ascii="Arial" w:cs="Arial" w:eastAsia="Arial" w:hAnsi="Arial"/>
                <w:sz w:val="16"/>
                <w:szCs w:val="16"/>
                <w:color w:val="auto"/>
              </w:rPr>
              <w:t>33</w:t>
            </w:r>
          </w:p>
        </w:tc>
      </w:tr>
    </w:tbl>
    <w:p>
      <w:pPr>
        <w:spacing w:after="0" w:line="21" w:lineRule="exact"/>
        <w:rPr>
          <w:sz w:val="20"/>
          <w:szCs w:val="20"/>
          <w:color w:val="auto"/>
        </w:rPr>
      </w:pPr>
    </w:p>
    <w:p>
      <w:pPr>
        <w:ind w:left="2400" w:hanging="1319"/>
        <w:spacing w:after="0"/>
        <w:tabs>
          <w:tab w:leader="none" w:pos="24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15608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6" w:lineRule="exact"/>
        <w:rPr>
          <w:sz w:val="20"/>
          <w:szCs w:val="20"/>
          <w:color w:val="auto"/>
        </w:rPr>
      </w:pPr>
    </w:p>
    <w:p>
      <w:pPr>
        <w:ind w:left="2220" w:hanging="1293"/>
        <w:spacing w:after="0"/>
        <w:tabs>
          <w:tab w:leader="none" w:pos="22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15608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w:t>
            </w:r>
          </w:p>
        </w:tc>
        <w:tc>
          <w:tcPr>
            <w:tcW w:w="5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219"/>
        </w:trPr>
        <w:tc>
          <w:tcPr>
            <w:tcW w:w="5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r>
      <w:tr>
        <w:trPr>
          <w:trHeight w:val="210"/>
        </w:trPr>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40</w:t>
            </w:r>
          </w:p>
        </w:tc>
        <w:tc>
          <w:tcPr>
            <w:tcW w:w="5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84"/>
        </w:trPr>
        <w:tc>
          <w:tcPr>
            <w:tcW w:w="540" w:type="dxa"/>
            <w:vAlign w:val="bottom"/>
            <w:shd w:val="clear" w:color="auto" w:fill="000000"/>
          </w:tcPr>
          <w:p>
            <w:pPr>
              <w:spacing w:after="0"/>
              <w:rPr>
                <w:sz w:val="7"/>
                <w:szCs w:val="7"/>
                <w:color w:val="auto"/>
              </w:rPr>
            </w:pPr>
          </w:p>
        </w:tc>
        <w:tc>
          <w:tcPr>
            <w:tcW w:w="66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r>
      <w:tr>
        <w:trPr>
          <w:trHeight w:val="645"/>
        </w:trPr>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c>
          <w:tcPr>
            <w:tcW w:w="5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84"/>
        </w:trPr>
        <w:tc>
          <w:tcPr>
            <w:tcW w:w="540" w:type="dxa"/>
            <w:vAlign w:val="bottom"/>
            <w:shd w:val="clear" w:color="auto" w:fill="000000"/>
          </w:tcPr>
          <w:p>
            <w:pPr>
              <w:spacing w:after="0"/>
              <w:rPr>
                <w:sz w:val="7"/>
                <w:szCs w:val="7"/>
                <w:color w:val="auto"/>
              </w:rPr>
            </w:pPr>
          </w:p>
        </w:tc>
        <w:tc>
          <w:tcPr>
            <w:tcW w:w="66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r>
      <w:tr>
        <w:trPr>
          <w:trHeight w:val="429"/>
        </w:trPr>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5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84"/>
        </w:trPr>
        <w:tc>
          <w:tcPr>
            <w:tcW w:w="540" w:type="dxa"/>
            <w:vAlign w:val="bottom"/>
            <w:shd w:val="clear" w:color="auto" w:fill="000000"/>
          </w:tcPr>
          <w:p>
            <w:pPr>
              <w:spacing w:after="0"/>
              <w:rPr>
                <w:sz w:val="7"/>
                <w:szCs w:val="7"/>
                <w:color w:val="auto"/>
              </w:rPr>
            </w:pPr>
          </w:p>
        </w:tc>
        <w:tc>
          <w:tcPr>
            <w:tcW w:w="66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2">
            <w:col w:w="6000" w:space="720"/>
            <w:col w:w="3499"/>
          </w:cols>
          <w:pgMar w:left="240" w:top="175" w:right="1440" w:bottom="1440" w:gutter="0" w:footer="0" w:header="0"/>
          <w:type w:val="continuous"/>
        </w:sectPr>
      </w:pP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20" w:type="dxa"/>
            <w:vAlign w:val="bottom"/>
          </w:tcPr>
          <w:p>
            <w:pPr>
              <w:ind w:left="20"/>
              <w:spacing w:after="0"/>
              <w:rPr>
                <w:sz w:val="20"/>
                <w:szCs w:val="20"/>
                <w:color w:val="auto"/>
              </w:rPr>
            </w:pPr>
            <w:r>
              <w:rPr>
                <w:rFonts w:ascii="Arial" w:cs="Arial" w:eastAsia="Arial" w:hAnsi="Arial"/>
                <w:sz w:val="16"/>
                <w:szCs w:val="16"/>
                <w:color w:val="auto"/>
              </w:rPr>
              <w:t>SUPPLEMENTAL DISCLOSURE OF NONCASH ACTIVITIES</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Decrease in accounts payable from investments in property, plant</w:t>
            </w: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20" w:type="dxa"/>
            <w:vAlign w:val="bottom"/>
            <w:vMerge w:val="restart"/>
          </w:tcPr>
          <w:p>
            <w:pPr>
              <w:ind w:left="380"/>
              <w:spacing w:after="0"/>
              <w:rPr>
                <w:sz w:val="20"/>
                <w:szCs w:val="20"/>
                <w:color w:val="auto"/>
              </w:rPr>
            </w:pPr>
            <w:r>
              <w:rPr>
                <w:rFonts w:ascii="Arial" w:cs="Arial" w:eastAsia="Arial" w:hAnsi="Arial"/>
                <w:sz w:val="16"/>
                <w:szCs w:val="16"/>
                <w:color w:val="auto"/>
              </w:rPr>
              <w:t>and equipment</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(71)</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84"/>
        </w:trPr>
        <w:tc>
          <w:tcPr>
            <w:tcW w:w="6720" w:type="dxa"/>
            <w:vAlign w:val="bottom"/>
            <w:vMerge w:val="continue"/>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9"/>
        </w:trPr>
        <w:tc>
          <w:tcPr>
            <w:tcW w:w="6720" w:type="dxa"/>
            <w:vAlign w:val="bottom"/>
          </w:tcPr>
          <w:p>
            <w:pPr>
              <w:ind w:left="200"/>
              <w:spacing w:after="0"/>
              <w:rPr>
                <w:sz w:val="20"/>
                <w:szCs w:val="20"/>
                <w:color w:val="auto"/>
              </w:rPr>
            </w:pPr>
            <w:r>
              <w:rPr>
                <w:rFonts w:ascii="Arial" w:cs="Arial" w:eastAsia="Arial" w:hAnsi="Arial"/>
                <w:sz w:val="16"/>
                <w:szCs w:val="16"/>
                <w:color w:val="auto"/>
              </w:rPr>
              <w:t>Dividends declared but not paid</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84"/>
        </w:trPr>
        <w:tc>
          <w:tcPr>
            <w:tcW w:w="672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20" w:right="6279" w:firstLine="2"/>
        <w:spacing w:after="0" w:line="339" w:lineRule="auto"/>
        <w:tabs>
          <w:tab w:leader="none" w:pos="116"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As adjusted for the retrospective adoption of SFAS 160. See Notes to Condensed Consolidated Financial Statements.</w:t>
      </w:r>
    </w:p>
    <w:p>
      <w:pPr>
        <w:sectPr>
          <w:pgSz w:w="11900" w:h="16838" w:orient="portrait"/>
          <w:cols w:equalWidth="0" w:num="1">
            <w:col w:w="10219"/>
          </w:cols>
          <w:pgMar w:left="240" w:top="175" w:right="1440" w:bottom="1440" w:gutter="0" w:footer="0" w:header="0"/>
          <w:type w:val="continuous"/>
        </w:sectPr>
      </w:pPr>
    </w:p>
    <w:bookmarkStart w:id="13" w:name="page14"/>
    <w:bookmarkEnd w:id="13"/>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5462905" cy="411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62905" cy="411480"/>
                    </a:xfrm>
                    <a:prstGeom prst="rect">
                      <a:avLst/>
                    </a:prstGeom>
                    <a:noFill/>
                  </pic:spPr>
                </pic:pic>
              </a:graphicData>
            </a:graphic>
          </wp:anchor>
        </w:drawing>
        <w:t>PACIFIC ENTERPRISES AND SUBSIDIARIES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60" w:type="dxa"/>
            <w:vAlign w:val="bottom"/>
          </w:tcPr>
          <w:p>
            <w:pPr>
              <w:spacing w:after="0"/>
              <w:rPr>
                <w:sz w:val="14"/>
                <w:szCs w:val="14"/>
                <w:color w:val="auto"/>
              </w:rPr>
            </w:pPr>
          </w:p>
        </w:tc>
        <w:tc>
          <w:tcPr>
            <w:tcW w:w="2460" w:type="dxa"/>
            <w:vAlign w:val="bottom"/>
            <w:gridSpan w:val="4"/>
          </w:tcPr>
          <w:p>
            <w:pPr>
              <w:jc w:val="right"/>
              <w:ind w:right="500"/>
              <w:spacing w:after="0"/>
              <w:rPr>
                <w:sz w:val="20"/>
                <w:szCs w:val="20"/>
                <w:color w:val="auto"/>
              </w:rPr>
            </w:pPr>
            <w:r>
              <w:rPr>
                <w:rFonts w:ascii="Arial" w:cs="Arial" w:eastAsia="Arial" w:hAnsi="Arial"/>
                <w:sz w:val="14"/>
                <w:szCs w:val="14"/>
                <w:color w:val="auto"/>
              </w:rPr>
              <w:t>Three months ended</w:t>
            </w:r>
          </w:p>
        </w:tc>
      </w:tr>
      <w:tr>
        <w:trPr>
          <w:trHeight w:val="209"/>
        </w:trPr>
        <w:tc>
          <w:tcPr>
            <w:tcW w:w="61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color w:val="auto"/>
              </w:rPr>
              <w:t>March 31,</w:t>
            </w:r>
          </w:p>
        </w:tc>
        <w:tc>
          <w:tcPr>
            <w:tcW w:w="820" w:type="dxa"/>
            <w:vAlign w:val="bottom"/>
            <w:tcBorders>
              <w:bottom w:val="single" w:sz="8" w:color="auto"/>
            </w:tcBorders>
          </w:tcPr>
          <w:p>
            <w:pPr>
              <w:spacing w:after="0"/>
              <w:rPr>
                <w:sz w:val="18"/>
                <w:szCs w:val="18"/>
                <w:color w:val="auto"/>
              </w:rPr>
            </w:pPr>
          </w:p>
        </w:tc>
      </w:tr>
      <w:tr>
        <w:trPr>
          <w:trHeight w:val="210"/>
        </w:trPr>
        <w:tc>
          <w:tcPr>
            <w:tcW w:w="6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2008</w:t>
            </w:r>
          </w:p>
        </w:tc>
      </w:tr>
      <w:tr>
        <w:trPr>
          <w:trHeight w:val="204"/>
        </w:trPr>
        <w:tc>
          <w:tcPr>
            <w:tcW w:w="6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(unaudited)</w:t>
            </w:r>
          </w:p>
        </w:tc>
        <w:tc>
          <w:tcPr>
            <w:tcW w:w="820" w:type="dxa"/>
            <w:vAlign w:val="bottom"/>
          </w:tcPr>
          <w:p>
            <w:pPr>
              <w:spacing w:after="0"/>
              <w:rPr>
                <w:sz w:val="17"/>
                <w:szCs w:val="17"/>
                <w:color w:val="auto"/>
              </w:rPr>
            </w:pPr>
          </w:p>
        </w:tc>
      </w:tr>
      <w:tr>
        <w:trPr>
          <w:trHeight w:val="444"/>
        </w:trPr>
        <w:tc>
          <w:tcPr>
            <w:tcW w:w="616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820" w:type="dxa"/>
            <w:vAlign w:val="bottom"/>
            <w:tcBorders>
              <w:bottom w:val="single" w:sz="8" w:color="auto"/>
            </w:tcBorders>
          </w:tcPr>
          <w:p>
            <w:pPr>
              <w:jc w:val="right"/>
              <w:ind w:right="38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920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1,556</w:t>
            </w:r>
          </w:p>
        </w:tc>
      </w:tr>
      <w:tr>
        <w:trPr>
          <w:trHeight w:val="204"/>
        </w:trPr>
        <w:tc>
          <w:tcPr>
            <w:tcW w:w="61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6160" w:type="dxa"/>
            <w:vAlign w:val="bottom"/>
          </w:tcPr>
          <w:p>
            <w:pPr>
              <w:ind w:left="200"/>
              <w:spacing w:after="0"/>
              <w:rPr>
                <w:sz w:val="20"/>
                <w:szCs w:val="20"/>
                <w:color w:val="auto"/>
              </w:rPr>
            </w:pPr>
            <w:r>
              <w:rPr>
                <w:rFonts w:ascii="Arial" w:cs="Arial" w:eastAsia="Arial" w:hAnsi="Arial"/>
                <w:sz w:val="16"/>
                <w:szCs w:val="16"/>
                <w:color w:val="auto"/>
              </w:rPr>
              <w:t>Cost of natural gas</w:t>
            </w:r>
          </w:p>
        </w:tc>
        <w:tc>
          <w:tcPr>
            <w:tcW w:w="820" w:type="dxa"/>
            <w:vAlign w:val="bottom"/>
          </w:tcPr>
          <w:p>
            <w:pPr>
              <w:spacing w:after="0"/>
              <w:rPr>
                <w:sz w:val="18"/>
                <w:szCs w:val="18"/>
                <w:color w:val="auto"/>
              </w:rPr>
            </w:pPr>
          </w:p>
        </w:tc>
        <w:tc>
          <w:tcPr>
            <w:tcW w:w="540" w:type="dxa"/>
            <w:vAlign w:val="bottom"/>
          </w:tcPr>
          <w:p>
            <w:pPr>
              <w:jc w:val="right"/>
              <w:ind w:right="120"/>
              <w:spacing w:after="0"/>
              <w:rPr>
                <w:sz w:val="20"/>
                <w:szCs w:val="20"/>
                <w:color w:val="auto"/>
              </w:rPr>
            </w:pPr>
            <w:r>
              <w:rPr>
                <w:rFonts w:ascii="Arial" w:cs="Arial" w:eastAsia="Arial" w:hAnsi="Arial"/>
                <w:sz w:val="16"/>
                <w:szCs w:val="16"/>
                <w:color w:val="auto"/>
              </w:rPr>
              <w:t>455</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1,087</w:t>
            </w:r>
          </w:p>
        </w:tc>
      </w:tr>
      <w:tr>
        <w:trPr>
          <w:trHeight w:val="216"/>
        </w:trPr>
        <w:tc>
          <w:tcPr>
            <w:tcW w:w="6160" w:type="dxa"/>
            <w:vAlign w:val="bottom"/>
          </w:tcPr>
          <w:p>
            <w:pPr>
              <w:ind w:left="200"/>
              <w:spacing w:after="0"/>
              <w:rPr>
                <w:sz w:val="20"/>
                <w:szCs w:val="20"/>
                <w:color w:val="auto"/>
              </w:rPr>
            </w:pPr>
            <w:r>
              <w:rPr>
                <w:rFonts w:ascii="Arial" w:cs="Arial" w:eastAsia="Arial" w:hAnsi="Arial"/>
                <w:sz w:val="16"/>
                <w:szCs w:val="16"/>
                <w:color w:val="auto"/>
              </w:rPr>
              <w:t>Operation and maintenance</w:t>
            </w:r>
          </w:p>
        </w:tc>
        <w:tc>
          <w:tcPr>
            <w:tcW w:w="820" w:type="dxa"/>
            <w:vAlign w:val="bottom"/>
          </w:tcPr>
          <w:p>
            <w:pPr>
              <w:spacing w:after="0"/>
              <w:rPr>
                <w:sz w:val="18"/>
                <w:szCs w:val="18"/>
                <w:color w:val="auto"/>
              </w:rPr>
            </w:pPr>
          </w:p>
        </w:tc>
        <w:tc>
          <w:tcPr>
            <w:tcW w:w="540" w:type="dxa"/>
            <w:vAlign w:val="bottom"/>
          </w:tcPr>
          <w:p>
            <w:pPr>
              <w:jc w:val="right"/>
              <w:ind w:right="120"/>
              <w:spacing w:after="0"/>
              <w:rPr>
                <w:sz w:val="20"/>
                <w:szCs w:val="20"/>
                <w:color w:val="auto"/>
              </w:rPr>
            </w:pPr>
            <w:r>
              <w:rPr>
                <w:rFonts w:ascii="Arial" w:cs="Arial" w:eastAsia="Arial" w:hAnsi="Arial"/>
                <w:sz w:val="16"/>
                <w:szCs w:val="16"/>
                <w:color w:val="auto"/>
              </w:rPr>
              <w:t>251</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16"/>
        </w:trPr>
        <w:tc>
          <w:tcPr>
            <w:tcW w:w="6160" w:type="dxa"/>
            <w:vAlign w:val="bottom"/>
          </w:tcPr>
          <w:p>
            <w:pPr>
              <w:ind w:left="200"/>
              <w:spacing w:after="0"/>
              <w:rPr>
                <w:sz w:val="20"/>
                <w:szCs w:val="20"/>
                <w:color w:val="auto"/>
              </w:rPr>
            </w:pPr>
            <w:r>
              <w:rPr>
                <w:rFonts w:ascii="Arial" w:cs="Arial" w:eastAsia="Arial" w:hAnsi="Arial"/>
                <w:sz w:val="16"/>
                <w:szCs w:val="16"/>
                <w:color w:val="auto"/>
              </w:rPr>
              <w:t>Depreciation</w:t>
            </w:r>
          </w:p>
        </w:tc>
        <w:tc>
          <w:tcPr>
            <w:tcW w:w="820" w:type="dxa"/>
            <w:vAlign w:val="bottom"/>
          </w:tcPr>
          <w:p>
            <w:pPr>
              <w:spacing w:after="0"/>
              <w:rPr>
                <w:sz w:val="18"/>
                <w:szCs w:val="18"/>
                <w:color w:val="auto"/>
              </w:rPr>
            </w:pPr>
          </w:p>
        </w:tc>
        <w:tc>
          <w:tcPr>
            <w:tcW w:w="540" w:type="dxa"/>
            <w:vAlign w:val="bottom"/>
          </w:tcPr>
          <w:p>
            <w:pPr>
              <w:jc w:val="right"/>
              <w:ind w:right="120"/>
              <w:spacing w:after="0"/>
              <w:rPr>
                <w:sz w:val="20"/>
                <w:szCs w:val="20"/>
                <w:color w:val="auto"/>
              </w:rPr>
            </w:pPr>
            <w:r>
              <w:rPr>
                <w:rFonts w:ascii="Arial" w:cs="Arial" w:eastAsia="Arial" w:hAnsi="Arial"/>
                <w:sz w:val="16"/>
                <w:szCs w:val="16"/>
                <w:color w:val="auto"/>
              </w:rPr>
              <w:t>72</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22"/>
        </w:trPr>
        <w:tc>
          <w:tcPr>
            <w:tcW w:w="6160" w:type="dxa"/>
            <w:vAlign w:val="bottom"/>
          </w:tcPr>
          <w:p>
            <w:pPr>
              <w:ind w:left="200"/>
              <w:spacing w:after="0"/>
              <w:rPr>
                <w:sz w:val="20"/>
                <w:szCs w:val="20"/>
                <w:color w:val="auto"/>
              </w:rPr>
            </w:pPr>
            <w:r>
              <w:rPr>
                <w:rFonts w:ascii="Arial" w:cs="Arial" w:eastAsia="Arial" w:hAnsi="Arial"/>
                <w:sz w:val="16"/>
                <w:szCs w:val="16"/>
                <w:color w:val="auto"/>
              </w:rPr>
              <w:t>Franchise fees and other taxes</w:t>
            </w:r>
          </w:p>
        </w:tc>
        <w:tc>
          <w:tcPr>
            <w:tcW w:w="8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32</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r>
      <w:tr>
        <w:trPr>
          <w:trHeight w:val="210"/>
        </w:trPr>
        <w:tc>
          <w:tcPr>
            <w:tcW w:w="616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810</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1,447</w:t>
            </w:r>
          </w:p>
        </w:tc>
      </w:tr>
      <w:tr>
        <w:trPr>
          <w:trHeight w:val="204"/>
        </w:trPr>
        <w:tc>
          <w:tcPr>
            <w:tcW w:w="616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820" w:type="dxa"/>
            <w:vAlign w:val="bottom"/>
          </w:tcPr>
          <w:p>
            <w:pPr>
              <w:spacing w:after="0"/>
              <w:rPr>
                <w:sz w:val="17"/>
                <w:szCs w:val="17"/>
                <w:color w:val="auto"/>
              </w:rPr>
            </w:pPr>
          </w:p>
        </w:tc>
        <w:tc>
          <w:tcPr>
            <w:tcW w:w="540" w:type="dxa"/>
            <w:vAlign w:val="bottom"/>
          </w:tcPr>
          <w:p>
            <w:pPr>
              <w:jc w:val="right"/>
              <w:ind w:right="120"/>
              <w:spacing w:after="0"/>
              <w:rPr>
                <w:sz w:val="20"/>
                <w:szCs w:val="20"/>
                <w:color w:val="auto"/>
              </w:rPr>
            </w:pPr>
            <w:r>
              <w:rPr>
                <w:rFonts w:ascii="Arial" w:cs="Arial" w:eastAsia="Arial" w:hAnsi="Arial"/>
                <w:sz w:val="16"/>
                <w:szCs w:val="16"/>
                <w:color w:val="auto"/>
              </w:rPr>
              <w:t>110</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16"/>
        </w:trPr>
        <w:tc>
          <w:tcPr>
            <w:tcW w:w="616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820" w:type="dxa"/>
            <w:vAlign w:val="bottom"/>
          </w:tcPr>
          <w:p>
            <w:pPr>
              <w:spacing w:after="0"/>
              <w:rPr>
                <w:sz w:val="18"/>
                <w:szCs w:val="18"/>
                <w:color w:val="auto"/>
              </w:rPr>
            </w:pPr>
          </w:p>
        </w:tc>
        <w:tc>
          <w:tcPr>
            <w:tcW w:w="540" w:type="dxa"/>
            <w:vAlign w:val="bottom"/>
          </w:tcPr>
          <w:p>
            <w:pPr>
              <w:jc w:val="right"/>
              <w:ind w:right="120"/>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16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820" w:type="dxa"/>
            <w:vAlign w:val="bottom"/>
          </w:tcPr>
          <w:p>
            <w:pPr>
              <w:spacing w:after="0"/>
              <w:rPr>
                <w:sz w:val="18"/>
                <w:szCs w:val="18"/>
                <w:color w:val="auto"/>
              </w:rPr>
            </w:pPr>
          </w:p>
        </w:tc>
        <w:tc>
          <w:tcPr>
            <w:tcW w:w="540" w:type="dxa"/>
            <w:vAlign w:val="bottom"/>
          </w:tcPr>
          <w:p>
            <w:pPr>
              <w:jc w:val="right"/>
              <w:ind w:right="120"/>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22"/>
        </w:trPr>
        <w:tc>
          <w:tcPr>
            <w:tcW w:w="61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8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(17)</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04"/>
        </w:trPr>
        <w:tc>
          <w:tcPr>
            <w:tcW w:w="616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820" w:type="dxa"/>
            <w:vAlign w:val="bottom"/>
          </w:tcPr>
          <w:p>
            <w:pPr>
              <w:spacing w:after="0"/>
              <w:rPr>
                <w:sz w:val="17"/>
                <w:szCs w:val="17"/>
                <w:color w:val="auto"/>
              </w:rPr>
            </w:pPr>
          </w:p>
        </w:tc>
        <w:tc>
          <w:tcPr>
            <w:tcW w:w="540" w:type="dxa"/>
            <w:vAlign w:val="bottom"/>
          </w:tcPr>
          <w:p>
            <w:pPr>
              <w:jc w:val="right"/>
              <w:ind w:right="120"/>
              <w:spacing w:after="0"/>
              <w:rPr>
                <w:sz w:val="20"/>
                <w:szCs w:val="20"/>
                <w:color w:val="auto"/>
              </w:rPr>
            </w:pPr>
            <w:r>
              <w:rPr>
                <w:rFonts w:ascii="Arial" w:cs="Arial" w:eastAsia="Arial" w:hAnsi="Arial"/>
                <w:sz w:val="16"/>
                <w:szCs w:val="16"/>
                <w:color w:val="auto"/>
              </w:rPr>
              <w:t>95</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22"/>
        </w:trPr>
        <w:tc>
          <w:tcPr>
            <w:tcW w:w="616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8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36</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r>
      <w:tr>
        <w:trPr>
          <w:trHeight w:val="204"/>
        </w:trPr>
        <w:tc>
          <w:tcPr>
            <w:tcW w:w="6160" w:type="dxa"/>
            <w:vAlign w:val="bottom"/>
          </w:tcPr>
          <w:p>
            <w:pPr>
              <w:ind w:left="20"/>
              <w:spacing w:after="0"/>
              <w:rPr>
                <w:sz w:val="20"/>
                <w:szCs w:val="20"/>
                <w:color w:val="auto"/>
              </w:rPr>
            </w:pPr>
            <w:r>
              <w:rPr>
                <w:rFonts w:ascii="Arial" w:cs="Arial" w:eastAsia="Arial" w:hAnsi="Arial"/>
                <w:sz w:val="16"/>
                <w:szCs w:val="16"/>
                <w:color w:val="auto"/>
              </w:rPr>
              <w:t>Net income/Earnings</w:t>
            </w:r>
          </w:p>
        </w:tc>
        <w:tc>
          <w:tcPr>
            <w:tcW w:w="820" w:type="dxa"/>
            <w:vAlign w:val="bottom"/>
          </w:tcPr>
          <w:p>
            <w:pPr>
              <w:spacing w:after="0"/>
              <w:rPr>
                <w:sz w:val="17"/>
                <w:szCs w:val="17"/>
                <w:color w:val="auto"/>
              </w:rPr>
            </w:pPr>
          </w:p>
        </w:tc>
        <w:tc>
          <w:tcPr>
            <w:tcW w:w="540" w:type="dxa"/>
            <w:vAlign w:val="bottom"/>
          </w:tcPr>
          <w:p>
            <w:pPr>
              <w:jc w:val="right"/>
              <w:ind w:right="120"/>
              <w:spacing w:after="0"/>
              <w:rPr>
                <w:sz w:val="20"/>
                <w:szCs w:val="20"/>
                <w:color w:val="auto"/>
              </w:rPr>
            </w:pPr>
            <w:r>
              <w:rPr>
                <w:rFonts w:ascii="Arial" w:cs="Arial" w:eastAsia="Arial" w:hAnsi="Arial"/>
                <w:sz w:val="16"/>
                <w:szCs w:val="16"/>
                <w:color w:val="auto"/>
              </w:rPr>
              <w:t>59</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22"/>
        </w:trPr>
        <w:tc>
          <w:tcPr>
            <w:tcW w:w="6160" w:type="dxa"/>
            <w:vAlign w:val="bottom"/>
          </w:tcPr>
          <w:p>
            <w:pPr>
              <w:ind w:left="20"/>
              <w:spacing w:after="0"/>
              <w:rPr>
                <w:sz w:val="20"/>
                <w:szCs w:val="20"/>
                <w:color w:val="auto"/>
              </w:rPr>
            </w:pPr>
            <w:r>
              <w:rPr>
                <w:rFonts w:ascii="Arial" w:cs="Arial" w:eastAsia="Arial" w:hAnsi="Arial"/>
                <w:sz w:val="16"/>
                <w:szCs w:val="16"/>
                <w:color w:val="auto"/>
              </w:rPr>
              <w:t>Preferred dividend requirements</w:t>
            </w:r>
          </w:p>
        </w:tc>
        <w:tc>
          <w:tcPr>
            <w:tcW w:w="8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6160" w:type="dxa"/>
            <w:vAlign w:val="bottom"/>
          </w:tcPr>
          <w:p>
            <w:pPr>
              <w:ind w:left="20"/>
              <w:spacing w:after="0"/>
              <w:rPr>
                <w:sz w:val="20"/>
                <w:szCs w:val="20"/>
                <w:color w:val="auto"/>
              </w:rPr>
            </w:pPr>
            <w:r>
              <w:rPr>
                <w:rFonts w:ascii="Arial" w:cs="Arial" w:eastAsia="Arial" w:hAnsi="Arial"/>
                <w:sz w:val="16"/>
                <w:szCs w:val="16"/>
                <w:color w:val="auto"/>
              </w:rPr>
              <w:t>Earnings attributable to common shares</w:t>
            </w:r>
          </w:p>
        </w:tc>
        <w:tc>
          <w:tcPr>
            <w:tcW w:w="820" w:type="dxa"/>
            <w:vAlign w:val="bottom"/>
          </w:tcPr>
          <w:p>
            <w:pPr>
              <w:jc w:val="right"/>
              <w:ind w:right="383"/>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20"/>
              <w:spacing w:after="0"/>
              <w:rPr>
                <w:sz w:val="20"/>
                <w:szCs w:val="20"/>
                <w:color w:val="auto"/>
              </w:rPr>
            </w:pPr>
            <w:r>
              <w:rPr>
                <w:rFonts w:ascii="Arial" w:cs="Arial" w:eastAsia="Arial" w:hAnsi="Arial"/>
                <w:sz w:val="16"/>
                <w:szCs w:val="16"/>
                <w:color w:val="auto"/>
              </w:rPr>
              <w:t>58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84"/>
        </w:trPr>
        <w:tc>
          <w:tcPr>
            <w:tcW w:w="616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54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905" w:right="1440" w:bottom="1440" w:gutter="0" w:footer="0" w:header="0"/>
        </w:sectPr>
      </w:pPr>
    </w:p>
    <w:bookmarkStart w:id="14" w:name="page15"/>
    <w:bookmarkEnd w:id="14"/>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106045</wp:posOffset>
            </wp:positionV>
            <wp:extent cx="5822950" cy="411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22950" cy="411480"/>
                    </a:xfrm>
                    <a:prstGeom prst="rect">
                      <a:avLst/>
                    </a:prstGeom>
                    <a:noFill/>
                  </pic:spPr>
                </pic:pic>
              </a:graphicData>
            </a:graphic>
          </wp:anchor>
        </w:drawing>
        <w:t>PACIFIC ENTERPRISES AND SUBSIDIARIES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200"/>
              <w:spacing w:after="0"/>
              <w:rPr>
                <w:sz w:val="20"/>
                <w:szCs w:val="20"/>
                <w:color w:val="auto"/>
              </w:rPr>
            </w:pPr>
            <w:r>
              <w:rPr>
                <w:rFonts w:ascii="Arial" w:cs="Arial" w:eastAsia="Arial" w:hAnsi="Arial"/>
                <w:sz w:val="14"/>
                <w:szCs w:val="14"/>
                <w:color w:val="auto"/>
              </w:rPr>
              <w:t>March 31,</w:t>
            </w:r>
          </w:p>
        </w:tc>
        <w:tc>
          <w:tcPr>
            <w:tcW w:w="140" w:type="dxa"/>
            <w:vAlign w:val="bottom"/>
          </w:tcPr>
          <w:p>
            <w:pPr>
              <w:spacing w:after="0"/>
              <w:rPr>
                <w:sz w:val="14"/>
                <w:szCs w:val="14"/>
                <w:color w:val="auto"/>
              </w:rPr>
            </w:pPr>
          </w:p>
        </w:tc>
        <w:tc>
          <w:tcPr>
            <w:tcW w:w="1100" w:type="dxa"/>
            <w:vAlign w:val="bottom"/>
          </w:tcPr>
          <w:p>
            <w:pPr>
              <w:jc w:val="right"/>
              <w:ind w:right="80"/>
              <w:spacing w:after="0"/>
              <w:rPr>
                <w:sz w:val="20"/>
                <w:szCs w:val="20"/>
                <w:color w:val="auto"/>
              </w:rPr>
            </w:pPr>
            <w:r>
              <w:rPr>
                <w:rFonts w:ascii="Arial" w:cs="Arial" w:eastAsia="Arial" w:hAnsi="Arial"/>
                <w:sz w:val="14"/>
                <w:szCs w:val="14"/>
                <w:color w:val="auto"/>
              </w:rPr>
              <w:t>December 31,</w:t>
            </w:r>
          </w:p>
        </w:tc>
      </w:tr>
      <w:tr>
        <w:trPr>
          <w:trHeight w:val="222"/>
        </w:trPr>
        <w:tc>
          <w:tcPr>
            <w:tcW w:w="6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2009</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2008</w:t>
            </w:r>
          </w:p>
        </w:tc>
      </w:tr>
      <w:tr>
        <w:trPr>
          <w:trHeight w:val="204"/>
        </w:trPr>
        <w:tc>
          <w:tcPr>
            <w:tcW w:w="6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60" w:type="dxa"/>
            <w:vAlign w:val="bottom"/>
            <w:gridSpan w:val="3"/>
          </w:tcPr>
          <w:p>
            <w:pPr>
              <w:jc w:val="right"/>
              <w:ind w:right="780"/>
              <w:spacing w:after="0"/>
              <w:rPr>
                <w:sz w:val="20"/>
                <w:szCs w:val="20"/>
                <w:color w:val="auto"/>
              </w:rPr>
            </w:pPr>
            <w:r>
              <w:rPr>
                <w:rFonts w:ascii="Arial" w:cs="Arial" w:eastAsia="Arial" w:hAnsi="Arial"/>
                <w:sz w:val="14"/>
                <w:szCs w:val="14"/>
                <w:color w:val="auto"/>
              </w:rPr>
              <w:t>(unaudited)</w:t>
            </w:r>
          </w:p>
        </w:tc>
      </w:tr>
      <w:tr>
        <w:trPr>
          <w:trHeight w:val="222"/>
        </w:trPr>
        <w:tc>
          <w:tcPr>
            <w:tcW w:w="6720" w:type="dxa"/>
            <w:vAlign w:val="bottom"/>
          </w:tcPr>
          <w:p>
            <w:pPr>
              <w:ind w:left="20"/>
              <w:spacing w:after="0"/>
              <w:rPr>
                <w:sz w:val="20"/>
                <w:szCs w:val="20"/>
                <w:color w:val="auto"/>
              </w:rPr>
            </w:pPr>
            <w:r>
              <w:rPr>
                <w:rFonts w:ascii="Arial" w:cs="Arial" w:eastAsia="Arial" w:hAnsi="Arial"/>
                <w:sz w:val="16"/>
                <w:szCs w:val="16"/>
                <w:color w:val="auto"/>
              </w:rPr>
              <w:t>ASSETS</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67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593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Accounts receivable - trade</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455</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572</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Accounts receivable - other</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Due from unconsolidated affiliates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Income taxes receivable</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Other regulatory assets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22"/>
        </w:trPr>
        <w:tc>
          <w:tcPr>
            <w:tcW w:w="6720" w:type="dxa"/>
            <w:vAlign w:val="bottom"/>
          </w:tcPr>
          <w:p>
            <w:pPr>
              <w:ind w:left="20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210"/>
        </w:trPr>
        <w:tc>
          <w:tcPr>
            <w:tcW w:w="672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1,239</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w:t>
            </w:r>
          </w:p>
        </w:tc>
      </w:tr>
      <w:tr>
        <w:trPr>
          <w:trHeight w:val="420"/>
        </w:trPr>
        <w:tc>
          <w:tcPr>
            <w:tcW w:w="67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Due from unconsolidated affiliates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454</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457</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Regulatory assets arising from pension and other postretirement</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720" w:type="dxa"/>
            <w:vAlign w:val="bottom"/>
          </w:tcPr>
          <w:p>
            <w:pPr>
              <w:ind w:left="380"/>
              <w:spacing w:after="0"/>
              <w:rPr>
                <w:sz w:val="20"/>
                <w:szCs w:val="20"/>
                <w:color w:val="auto"/>
              </w:rPr>
            </w:pPr>
            <w:r>
              <w:rPr>
                <w:rFonts w:ascii="Arial" w:cs="Arial" w:eastAsia="Arial" w:hAnsi="Arial"/>
                <w:sz w:val="16"/>
                <w:szCs w:val="16"/>
                <w:color w:val="auto"/>
              </w:rPr>
              <w:t>benefit obligations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808</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795</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Other regulatory assets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112</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22"/>
        </w:trPr>
        <w:tc>
          <w:tcPr>
            <w:tcW w:w="6720" w:type="dxa"/>
            <w:vAlign w:val="bottom"/>
          </w:tcPr>
          <w:p>
            <w:pPr>
              <w:ind w:left="200"/>
              <w:spacing w:after="0"/>
              <w:rPr>
                <w:sz w:val="20"/>
                <w:szCs w:val="20"/>
                <w:color w:val="auto"/>
              </w:rPr>
            </w:pPr>
            <w:r>
              <w:rPr>
                <w:rFonts w:ascii="Arial" w:cs="Arial" w:eastAsia="Arial" w:hAnsi="Arial"/>
                <w:sz w:val="16"/>
                <w:szCs w:val="16"/>
                <w:color w:val="auto"/>
              </w:rPr>
              <w:t>Sundry</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r>
      <w:tr>
        <w:trPr>
          <w:trHeight w:val="210"/>
        </w:trPr>
        <w:tc>
          <w:tcPr>
            <w:tcW w:w="6720" w:type="dxa"/>
            <w:vAlign w:val="bottom"/>
          </w:tcPr>
          <w:p>
            <w:pPr>
              <w:ind w:left="380"/>
              <w:spacing w:after="0"/>
              <w:rPr>
                <w:sz w:val="20"/>
                <w:szCs w:val="20"/>
                <w:color w:val="auto"/>
              </w:rPr>
            </w:pPr>
            <w:r>
              <w:rPr>
                <w:rFonts w:ascii="Arial" w:cs="Arial" w:eastAsia="Arial" w:hAnsi="Arial"/>
                <w:sz w:val="16"/>
                <w:szCs w:val="16"/>
                <w:color w:val="auto"/>
              </w:rPr>
              <w:t>Total other assets</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1,417</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1,406</w:t>
            </w:r>
          </w:p>
        </w:tc>
      </w:tr>
      <w:tr>
        <w:trPr>
          <w:trHeight w:val="420"/>
        </w:trPr>
        <w:tc>
          <w:tcPr>
            <w:tcW w:w="672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Property, plant and equipment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8,904</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8,816</w:t>
            </w:r>
          </w:p>
        </w:tc>
      </w:tr>
      <w:tr>
        <w:trPr>
          <w:trHeight w:val="222"/>
        </w:trPr>
        <w:tc>
          <w:tcPr>
            <w:tcW w:w="6720" w:type="dxa"/>
            <w:vAlign w:val="bottom"/>
          </w:tcPr>
          <w:p>
            <w:pPr>
              <w:ind w:left="200"/>
              <w:spacing w:after="0"/>
              <w:rPr>
                <w:sz w:val="20"/>
                <w:szCs w:val="20"/>
                <w:color w:val="auto"/>
              </w:rPr>
            </w:pPr>
            <w:r>
              <w:rPr>
                <w:rFonts w:ascii="Arial" w:cs="Arial" w:eastAsia="Arial" w:hAnsi="Arial"/>
                <w:sz w:val="16"/>
                <w:szCs w:val="16"/>
                <w:color w:val="auto"/>
              </w:rPr>
              <w:t>Less accumulated depreciation and amortization</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(3,494)</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(3,448)</w:t>
            </w:r>
          </w:p>
        </w:tc>
      </w:tr>
      <w:tr>
        <w:trPr>
          <w:trHeight w:val="210"/>
        </w:trPr>
        <w:tc>
          <w:tcPr>
            <w:tcW w:w="6720" w:type="dxa"/>
            <w:vAlign w:val="bottom"/>
          </w:tcPr>
          <w:p>
            <w:pPr>
              <w:ind w:left="38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5,410</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5,368</w:t>
            </w:r>
          </w:p>
        </w:tc>
      </w:tr>
      <w:tr>
        <w:trPr>
          <w:trHeight w:val="207"/>
        </w:trPr>
        <w:tc>
          <w:tcPr>
            <w:tcW w:w="672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8,066</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7,907</w:t>
            </w:r>
          </w:p>
        </w:tc>
      </w:tr>
      <w:tr>
        <w:trPr>
          <w:trHeight w:val="84"/>
        </w:trPr>
        <w:tc>
          <w:tcPr>
            <w:tcW w:w="672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10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75" w:right="1440" w:bottom="1440" w:gutter="0" w:footer="0" w:header="0"/>
        </w:sectPr>
      </w:pPr>
    </w:p>
    <w:bookmarkStart w:id="15" w:name="page16"/>
    <w:bookmarkEnd w:id="15"/>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106045</wp:posOffset>
            </wp:positionV>
            <wp:extent cx="5822950" cy="411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22950" cy="411480"/>
                    </a:xfrm>
                    <a:prstGeom prst="rect">
                      <a:avLst/>
                    </a:prstGeom>
                    <a:noFill/>
                  </pic:spPr>
                </pic:pic>
              </a:graphicData>
            </a:graphic>
          </wp:anchor>
        </w:drawing>
        <w:t>PACIFIC ENTERPRISES AND SUBSIDIARIES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200"/>
              <w:spacing w:after="0"/>
              <w:rPr>
                <w:sz w:val="20"/>
                <w:szCs w:val="20"/>
                <w:color w:val="auto"/>
              </w:rPr>
            </w:pPr>
            <w:r>
              <w:rPr>
                <w:rFonts w:ascii="Arial" w:cs="Arial" w:eastAsia="Arial" w:hAnsi="Arial"/>
                <w:sz w:val="14"/>
                <w:szCs w:val="14"/>
                <w:color w:val="auto"/>
              </w:rPr>
              <w:t>March 31,</w:t>
            </w:r>
          </w:p>
        </w:tc>
        <w:tc>
          <w:tcPr>
            <w:tcW w:w="140" w:type="dxa"/>
            <w:vAlign w:val="bottom"/>
          </w:tcPr>
          <w:p>
            <w:pPr>
              <w:spacing w:after="0"/>
              <w:rPr>
                <w:sz w:val="14"/>
                <w:szCs w:val="14"/>
                <w:color w:val="auto"/>
              </w:rPr>
            </w:pPr>
          </w:p>
        </w:tc>
        <w:tc>
          <w:tcPr>
            <w:tcW w:w="1100" w:type="dxa"/>
            <w:vAlign w:val="bottom"/>
          </w:tcPr>
          <w:p>
            <w:pPr>
              <w:jc w:val="right"/>
              <w:ind w:right="80"/>
              <w:spacing w:after="0"/>
              <w:rPr>
                <w:sz w:val="20"/>
                <w:szCs w:val="20"/>
                <w:color w:val="auto"/>
              </w:rPr>
            </w:pPr>
            <w:r>
              <w:rPr>
                <w:rFonts w:ascii="Arial" w:cs="Arial" w:eastAsia="Arial" w:hAnsi="Arial"/>
                <w:sz w:val="14"/>
                <w:szCs w:val="14"/>
                <w:color w:val="auto"/>
              </w:rPr>
              <w:t>December 31,</w:t>
            </w:r>
          </w:p>
        </w:tc>
      </w:tr>
      <w:tr>
        <w:trPr>
          <w:trHeight w:val="222"/>
        </w:trPr>
        <w:tc>
          <w:tcPr>
            <w:tcW w:w="6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2009</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2008*</w:t>
            </w:r>
          </w:p>
        </w:tc>
      </w:tr>
      <w:tr>
        <w:trPr>
          <w:trHeight w:val="204"/>
        </w:trPr>
        <w:tc>
          <w:tcPr>
            <w:tcW w:w="6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60" w:type="dxa"/>
            <w:vAlign w:val="bottom"/>
            <w:gridSpan w:val="3"/>
          </w:tcPr>
          <w:p>
            <w:pPr>
              <w:jc w:val="right"/>
              <w:ind w:right="780"/>
              <w:spacing w:after="0"/>
              <w:rPr>
                <w:sz w:val="20"/>
                <w:szCs w:val="20"/>
                <w:color w:val="auto"/>
              </w:rPr>
            </w:pPr>
            <w:r>
              <w:rPr>
                <w:rFonts w:ascii="Arial" w:cs="Arial" w:eastAsia="Arial" w:hAnsi="Arial"/>
                <w:sz w:val="14"/>
                <w:szCs w:val="14"/>
                <w:color w:val="auto"/>
              </w:rPr>
              <w:t>(unaudited)</w:t>
            </w:r>
          </w:p>
        </w:tc>
      </w:tr>
      <w:tr>
        <w:trPr>
          <w:trHeight w:val="222"/>
        </w:trPr>
        <w:tc>
          <w:tcPr>
            <w:tcW w:w="6720" w:type="dxa"/>
            <w:vAlign w:val="bottom"/>
          </w:tcPr>
          <w:p>
            <w:pPr>
              <w:ind w:left="20"/>
              <w:spacing w:after="0"/>
              <w:rPr>
                <w:sz w:val="20"/>
                <w:szCs w:val="20"/>
                <w:color w:val="auto"/>
              </w:rPr>
            </w:pPr>
            <w:r>
              <w:rPr>
                <w:rFonts w:ascii="Arial" w:cs="Arial" w:eastAsia="Arial" w:hAnsi="Arial"/>
                <w:sz w:val="16"/>
                <w:szCs w:val="16"/>
                <w:color w:val="auto"/>
              </w:rPr>
              <w:t>LIABILITIES AND EQUITY</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67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Accounts payable - trade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257</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Accounts payable - other</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Due to unconsolidated affiliates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Income taxes payable</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Regulatory balancing accounts, net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426</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221</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Customer deposits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105</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Accrued compensation and benefits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Current portion of long-term debt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22"/>
        </w:trPr>
        <w:tc>
          <w:tcPr>
            <w:tcW w:w="6720" w:type="dxa"/>
            <w:vAlign w:val="bottom"/>
          </w:tcPr>
          <w:p>
            <w:pPr>
              <w:ind w:left="20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r>
      <w:tr>
        <w:trPr>
          <w:trHeight w:val="210"/>
        </w:trPr>
        <w:tc>
          <w:tcPr>
            <w:tcW w:w="672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1,335</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1,272</w:t>
            </w:r>
          </w:p>
        </w:tc>
      </w:tr>
      <w:tr>
        <w:trPr>
          <w:trHeight w:val="210"/>
        </w:trPr>
        <w:tc>
          <w:tcPr>
            <w:tcW w:w="67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1,269</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1,270</w:t>
            </w:r>
          </w:p>
        </w:tc>
      </w:tr>
      <w:tr>
        <w:trPr>
          <w:trHeight w:val="204"/>
        </w:trPr>
        <w:tc>
          <w:tcPr>
            <w:tcW w:w="6720" w:type="dxa"/>
            <w:vAlign w:val="bottom"/>
          </w:tcPr>
          <w:p>
            <w:pPr>
              <w:ind w:left="20"/>
              <w:spacing w:after="0"/>
              <w:rPr>
                <w:sz w:val="20"/>
                <w:szCs w:val="20"/>
                <w:color w:val="auto"/>
              </w:rPr>
            </w:pPr>
            <w:r>
              <w:rPr>
                <w:rFonts w:ascii="Arial" w:cs="Arial" w:eastAsia="Arial" w:hAnsi="Arial"/>
                <w:sz w:val="16"/>
                <w:szCs w:val="16"/>
                <w:color w:val="auto"/>
              </w:rPr>
              <w:t>Deferred credits and other liabilities:</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Customer advances for construction</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132</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Pension and other postretirement benefit obligations, net of plan assets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835</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823</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172</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Deferred investment tax credits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Regulatory liabilities arising from removal obligations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1,225</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1,218</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Asset retirement obligations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590</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581</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Deferred taxes refundable in rates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210</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222"/>
        </w:trPr>
        <w:tc>
          <w:tcPr>
            <w:tcW w:w="6720" w:type="dxa"/>
            <w:vAlign w:val="bottom"/>
          </w:tcPr>
          <w:p>
            <w:pPr>
              <w:ind w:left="200"/>
              <w:spacing w:after="0"/>
              <w:rPr>
                <w:sz w:val="20"/>
                <w:szCs w:val="20"/>
                <w:color w:val="auto"/>
              </w:rPr>
            </w:pPr>
            <w:r>
              <w:rPr>
                <w:rFonts w:ascii="Arial" w:cs="Arial" w:eastAsia="Arial" w:hAnsi="Arial"/>
                <w:sz w:val="16"/>
                <w:szCs w:val="16"/>
                <w:color w:val="auto"/>
              </w:rPr>
              <w:t>Deferred credits and other</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r>
      <w:tr>
        <w:trPr>
          <w:trHeight w:val="210"/>
        </w:trPr>
        <w:tc>
          <w:tcPr>
            <w:tcW w:w="6720" w:type="dxa"/>
            <w:vAlign w:val="bottom"/>
          </w:tcPr>
          <w:p>
            <w:pPr>
              <w:ind w:left="380"/>
              <w:spacing w:after="0"/>
              <w:rPr>
                <w:sz w:val="20"/>
                <w:szCs w:val="20"/>
                <w:color w:val="auto"/>
              </w:rPr>
            </w:pPr>
            <w:r>
              <w:rPr>
                <w:rFonts w:ascii="Arial" w:cs="Arial" w:eastAsia="Arial" w:hAnsi="Arial"/>
                <w:sz w:val="16"/>
                <w:szCs w:val="16"/>
                <w:color w:val="auto"/>
              </w:rPr>
              <w:t>Total deferred credits and other liabilities</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3,443</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3,405</w:t>
            </w:r>
          </w:p>
        </w:tc>
      </w:tr>
      <w:tr>
        <w:trPr>
          <w:trHeight w:val="420"/>
        </w:trPr>
        <w:tc>
          <w:tcPr>
            <w:tcW w:w="6720" w:type="dxa"/>
            <w:vAlign w:val="bottom"/>
          </w:tcPr>
          <w:p>
            <w:pPr>
              <w:ind w:left="20"/>
              <w:spacing w:after="0"/>
              <w:rPr>
                <w:sz w:val="20"/>
                <w:szCs w:val="20"/>
                <w:color w:val="auto"/>
              </w:rPr>
            </w:pPr>
            <w:r>
              <w:rPr>
                <w:rFonts w:ascii="Arial" w:cs="Arial" w:eastAsia="Arial" w:hAnsi="Arial"/>
                <w:sz w:val="16"/>
                <w:szCs w:val="16"/>
                <w:color w:val="auto"/>
              </w:rPr>
              <w:t>Commitments and contingencies (Note 10)</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6720" w:type="dxa"/>
            <w:vAlign w:val="bottom"/>
          </w:tcPr>
          <w:p>
            <w:pPr>
              <w:ind w:left="20"/>
              <w:spacing w:after="0"/>
              <w:rPr>
                <w:sz w:val="20"/>
                <w:szCs w:val="20"/>
                <w:color w:val="auto"/>
              </w:rPr>
            </w:pPr>
            <w:r>
              <w:rPr>
                <w:rFonts w:ascii="Arial" w:cs="Arial" w:eastAsia="Arial" w:hAnsi="Arial"/>
                <w:sz w:val="16"/>
                <w:szCs w:val="16"/>
                <w:color w:val="auto"/>
              </w:rPr>
              <w:t>Equity:</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Preferred stock</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Common stock (600 million shares authorized; 84 million shares outstanding;</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720" w:type="dxa"/>
            <w:vAlign w:val="bottom"/>
          </w:tcPr>
          <w:p>
            <w:pPr>
              <w:ind w:left="380"/>
              <w:spacing w:after="0"/>
              <w:rPr>
                <w:sz w:val="20"/>
                <w:szCs w:val="20"/>
                <w:color w:val="auto"/>
              </w:rPr>
            </w:pPr>
            <w:r>
              <w:rPr>
                <w:rFonts w:ascii="Arial" w:cs="Arial" w:eastAsia="Arial" w:hAnsi="Arial"/>
                <w:sz w:val="16"/>
                <w:szCs w:val="16"/>
                <w:color w:val="auto"/>
              </w:rPr>
              <w:t>no par value)</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1,462</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1,462</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Retained earnings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484</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426</w:t>
            </w:r>
          </w:p>
        </w:tc>
      </w:tr>
      <w:tr>
        <w:trPr>
          <w:trHeight w:val="222"/>
        </w:trPr>
        <w:tc>
          <w:tcPr>
            <w:tcW w:w="6720" w:type="dxa"/>
            <w:vAlign w:val="bottom"/>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04"/>
        </w:trPr>
        <w:tc>
          <w:tcPr>
            <w:tcW w:w="6720" w:type="dxa"/>
            <w:vAlign w:val="bottom"/>
          </w:tcPr>
          <w:p>
            <w:pPr>
              <w:ind w:left="380"/>
              <w:spacing w:after="0"/>
              <w:rPr>
                <w:sz w:val="20"/>
                <w:szCs w:val="20"/>
                <w:color w:val="auto"/>
              </w:rPr>
            </w:pPr>
            <w:r>
              <w:rPr>
                <w:rFonts w:ascii="Arial" w:cs="Arial" w:eastAsia="Arial" w:hAnsi="Arial"/>
                <w:sz w:val="16"/>
                <w:szCs w:val="16"/>
                <w:color w:val="auto"/>
              </w:rPr>
              <w:t>Total Pacific Enterprises shareholders' equity</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1,999</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1,940</w:t>
            </w:r>
          </w:p>
        </w:tc>
      </w:tr>
      <w:tr>
        <w:trPr>
          <w:trHeight w:val="222"/>
        </w:trPr>
        <w:tc>
          <w:tcPr>
            <w:tcW w:w="6720" w:type="dxa"/>
            <w:vAlign w:val="bottom"/>
          </w:tcPr>
          <w:p>
            <w:pPr>
              <w:ind w:left="200"/>
              <w:spacing w:after="0"/>
              <w:rPr>
                <w:sz w:val="20"/>
                <w:szCs w:val="20"/>
                <w:color w:val="auto"/>
              </w:rPr>
            </w:pPr>
            <w:r>
              <w:rPr>
                <w:rFonts w:ascii="Arial" w:cs="Arial" w:eastAsia="Arial" w:hAnsi="Arial"/>
                <w:sz w:val="16"/>
                <w:szCs w:val="16"/>
                <w:color w:val="auto"/>
              </w:rPr>
              <w:t>Preferred stock of subsidiary</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10"/>
        </w:trPr>
        <w:tc>
          <w:tcPr>
            <w:tcW w:w="6720" w:type="dxa"/>
            <w:vAlign w:val="bottom"/>
          </w:tcPr>
          <w:p>
            <w:pPr>
              <w:ind w:left="380"/>
              <w:spacing w:after="0"/>
              <w:rPr>
                <w:sz w:val="20"/>
                <w:szCs w:val="20"/>
                <w:color w:val="auto"/>
              </w:rPr>
            </w:pPr>
            <w:r>
              <w:rPr>
                <w:rFonts w:ascii="Arial" w:cs="Arial" w:eastAsia="Arial" w:hAnsi="Arial"/>
                <w:sz w:val="16"/>
                <w:szCs w:val="16"/>
                <w:color w:val="auto"/>
              </w:rPr>
              <w:t>Total equity</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1,960</w:t>
            </w:r>
          </w:p>
        </w:tc>
      </w:tr>
      <w:tr>
        <w:trPr>
          <w:trHeight w:val="207"/>
        </w:trPr>
        <w:tc>
          <w:tcPr>
            <w:tcW w:w="6720" w:type="dxa"/>
            <w:vAlign w:val="bottom"/>
          </w:tcPr>
          <w:p>
            <w:pPr>
              <w:ind w:left="20"/>
              <w:spacing w:after="0"/>
              <w:rPr>
                <w:sz w:val="20"/>
                <w:szCs w:val="20"/>
                <w:color w:val="auto"/>
              </w:rPr>
            </w:pPr>
            <w:r>
              <w:rPr>
                <w:rFonts w:ascii="Arial" w:cs="Arial" w:eastAsia="Arial" w:hAnsi="Arial"/>
                <w:sz w:val="16"/>
                <w:szCs w:val="16"/>
                <w:color w:val="auto"/>
              </w:rPr>
              <w:t>Total liabilities and equity</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8,066</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7,907</w:t>
            </w:r>
          </w:p>
        </w:tc>
      </w:tr>
      <w:tr>
        <w:trPr>
          <w:trHeight w:val="84"/>
        </w:trPr>
        <w:tc>
          <w:tcPr>
            <w:tcW w:w="672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10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As adjusted for the retrospective adoption of SFAS 160.</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75" w:right="1440" w:bottom="1440" w:gutter="0" w:footer="0" w:header="0"/>
        </w:sectPr>
      </w:pPr>
    </w:p>
    <w:bookmarkStart w:id="16" w:name="page17"/>
    <w:bookmarkEnd w:id="16"/>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106045</wp:posOffset>
            </wp:positionV>
            <wp:extent cx="5822950" cy="411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22950" cy="411480"/>
                    </a:xfrm>
                    <a:prstGeom prst="rect">
                      <a:avLst/>
                    </a:prstGeom>
                    <a:noFill/>
                  </pic:spPr>
                </pic:pic>
              </a:graphicData>
            </a:graphic>
          </wp:anchor>
        </w:drawing>
        <w:t>PACIFIC ENTERPRISES AND SUBSIDIARIES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STATEMENTS OF CONSOLIDATED CASH FLOWS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9" w:lineRule="exact"/>
        <w:rPr>
          <w:sz w:val="20"/>
          <w:szCs w:val="20"/>
          <w:color w:val="auto"/>
        </w:rPr>
      </w:pPr>
    </w:p>
    <w:p>
      <w:pPr>
        <w:jc w:val="center"/>
        <w:ind w:left="4480"/>
        <w:spacing w:after="0"/>
        <w:rPr>
          <w:sz w:val="20"/>
          <w:szCs w:val="20"/>
          <w:color w:val="auto"/>
        </w:rPr>
      </w:pPr>
      <w:r>
        <w:rPr>
          <w:rFonts w:ascii="Arial" w:cs="Arial" w:eastAsia="Arial" w:hAnsi="Arial"/>
          <w:sz w:val="14"/>
          <w:szCs w:val="14"/>
          <w:color w:val="auto"/>
        </w:rPr>
        <w:t>Three months ended</w:t>
      </w:r>
    </w:p>
    <w:p>
      <w:pPr>
        <w:spacing w:after="0" w:line="42" w:lineRule="exact"/>
        <w:rPr>
          <w:sz w:val="20"/>
          <w:szCs w:val="20"/>
          <w:color w:val="auto"/>
        </w:rPr>
      </w:pPr>
    </w:p>
    <w:p>
      <w:pPr>
        <w:jc w:val="center"/>
        <w:ind w:left="4480"/>
        <w:spacing w:after="0"/>
        <w:rPr>
          <w:sz w:val="20"/>
          <w:szCs w:val="20"/>
          <w:color w:val="auto"/>
        </w:rPr>
      </w:pPr>
      <w:r>
        <w:rPr>
          <w:rFonts w:ascii="Arial" w:cs="Arial" w:eastAsia="Arial" w:hAnsi="Arial"/>
          <w:sz w:val="14"/>
          <w:szCs w:val="14"/>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14605</wp:posOffset>
            </wp:positionV>
            <wp:extent cx="15608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49" w:lineRule="exact"/>
        <w:rPr>
          <w:sz w:val="20"/>
          <w:szCs w:val="20"/>
          <w:color w:val="auto"/>
        </w:rPr>
      </w:pPr>
    </w:p>
    <w:p>
      <w:pPr>
        <w:jc w:val="both"/>
        <w:ind w:left="7180"/>
        <w:spacing w:after="0"/>
        <w:tabs>
          <w:tab w:leader="none" w:pos="8380" w:val="left"/>
        </w:tabs>
        <w:rPr>
          <w:sz w:val="20"/>
          <w:szCs w:val="20"/>
          <w:color w:val="auto"/>
        </w:rPr>
      </w:pPr>
      <w:r>
        <w:rPr>
          <w:rFonts w:ascii="Arial" w:cs="Arial" w:eastAsia="Arial" w:hAnsi="Arial"/>
          <w:sz w:val="14"/>
          <w:szCs w:val="14"/>
          <w:color w:val="auto"/>
        </w:rPr>
        <w:t>2009</w:t>
      </w:r>
      <w:r>
        <w:rPr>
          <w:sz w:val="20"/>
          <w:szCs w:val="20"/>
          <w:color w:val="auto"/>
        </w:rPr>
        <w:tab/>
      </w:r>
      <w:r>
        <w:rPr>
          <w:rFonts w:ascii="Arial" w:cs="Arial" w:eastAsia="Arial" w:hAnsi="Arial"/>
          <w:sz w:val="14"/>
          <w:szCs w:val="14"/>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8229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49" w:lineRule="exact"/>
        <w:rPr>
          <w:sz w:val="20"/>
          <w:szCs w:val="20"/>
          <w:color w:val="auto"/>
        </w:rPr>
      </w:pPr>
    </w:p>
    <w:p>
      <w:pPr>
        <w:ind w:left="7580"/>
        <w:spacing w:after="0"/>
        <w:rPr>
          <w:sz w:val="20"/>
          <w:szCs w:val="20"/>
          <w:color w:val="auto"/>
        </w:rPr>
      </w:pPr>
      <w:r>
        <w:rPr>
          <w:rFonts w:ascii="Arial" w:cs="Arial" w:eastAsia="Arial" w:hAnsi="Arial"/>
          <w:sz w:val="14"/>
          <w:szCs w:val="14"/>
          <w:color w:val="auto"/>
        </w:rPr>
        <w:t>(unaudited)</w:t>
      </w:r>
    </w:p>
    <w:p>
      <w:pPr>
        <w:sectPr>
          <w:pgSz w:w="11900" w:h="16838" w:orient="portrait"/>
          <w:cols w:equalWidth="0" w:num="1">
            <w:col w:w="10219"/>
          </w:cols>
          <w:pgMar w:left="240" w:top="175" w:right="1440" w:bottom="1440" w:gutter="0" w:footer="0" w:header="0"/>
        </w:sectPr>
      </w:pPr>
    </w:p>
    <w:p>
      <w:pPr>
        <w:spacing w:after="0" w:line="39" w:lineRule="exact"/>
        <w:rPr>
          <w:sz w:val="20"/>
          <w:szCs w:val="20"/>
          <w:color w:val="auto"/>
        </w:rPr>
      </w:pPr>
    </w:p>
    <w:p>
      <w:pPr>
        <w:ind w:left="200" w:right="2460" w:hanging="179"/>
        <w:spacing w:after="0" w:line="281" w:lineRule="auto"/>
        <w:rPr>
          <w:sz w:val="20"/>
          <w:szCs w:val="20"/>
          <w:color w:val="auto"/>
        </w:rPr>
      </w:pPr>
      <w:r>
        <w:rPr>
          <w:rFonts w:ascii="Arial" w:cs="Arial" w:eastAsia="Arial" w:hAnsi="Arial"/>
          <w:sz w:val="16"/>
          <w:szCs w:val="16"/>
          <w:color w:val="auto"/>
        </w:rPr>
        <w:t>CASH FLOWS FROM OPERATING ACTIVITIES Net income</w:t>
      </w:r>
    </w:p>
    <w:p>
      <w:pPr>
        <w:spacing w:after="0" w:line="1" w:lineRule="exact"/>
        <w:rPr>
          <w:sz w:val="20"/>
          <w:szCs w:val="20"/>
          <w:color w:val="auto"/>
        </w:rPr>
      </w:pPr>
    </w:p>
    <w:p>
      <w:pPr>
        <w:ind w:left="380" w:right="1480" w:hanging="188"/>
        <w:spacing w:after="0" w:line="281" w:lineRule="auto"/>
        <w:rPr>
          <w:sz w:val="20"/>
          <w:szCs w:val="20"/>
          <w:color w:val="auto"/>
        </w:rPr>
      </w:pPr>
      <w:r>
        <w:rPr>
          <w:rFonts w:ascii="Arial" w:cs="Arial" w:eastAsia="Arial" w:hAnsi="Arial"/>
          <w:sz w:val="16"/>
          <w:szCs w:val="16"/>
          <w:color w:val="auto"/>
        </w:rPr>
        <w:t>Adjustments to reconcile net income to net cash provided by operating activities:</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Depreciation</w:t>
      </w:r>
    </w:p>
    <w:p>
      <w:pPr>
        <w:spacing w:after="0" w:line="32" w:lineRule="exact"/>
        <w:rPr>
          <w:sz w:val="20"/>
          <w:szCs w:val="20"/>
          <w:color w:val="auto"/>
        </w:rPr>
      </w:pPr>
    </w:p>
    <w:p>
      <w:pPr>
        <w:ind w:left="560" w:right="1880"/>
        <w:spacing w:after="0" w:line="281" w:lineRule="auto"/>
        <w:rPr>
          <w:sz w:val="20"/>
          <w:szCs w:val="20"/>
          <w:color w:val="auto"/>
        </w:rPr>
      </w:pPr>
      <w:r>
        <w:rPr>
          <w:rFonts w:ascii="Arial" w:cs="Arial" w:eastAsia="Arial" w:hAnsi="Arial"/>
          <w:sz w:val="16"/>
          <w:szCs w:val="16"/>
          <w:color w:val="auto"/>
        </w:rPr>
        <w:t>Deferred income taxes and investment tax credits Other</w:t>
      </w:r>
    </w:p>
    <w:p>
      <w:pPr>
        <w:spacing w:after="0" w:line="1" w:lineRule="exact"/>
        <w:rPr>
          <w:sz w:val="20"/>
          <w:szCs w:val="20"/>
          <w:color w:val="auto"/>
        </w:rPr>
      </w:pPr>
    </w:p>
    <w:p>
      <w:pPr>
        <w:ind w:left="200" w:right="2340"/>
        <w:spacing w:after="0" w:line="290" w:lineRule="auto"/>
        <w:rPr>
          <w:sz w:val="20"/>
          <w:szCs w:val="20"/>
          <w:color w:val="auto"/>
        </w:rPr>
      </w:pPr>
      <w:r>
        <w:rPr>
          <w:rFonts w:ascii="Arial" w:cs="Arial" w:eastAsia="Arial" w:hAnsi="Arial"/>
          <w:sz w:val="16"/>
          <w:szCs w:val="16"/>
          <w:color w:val="auto"/>
        </w:rPr>
        <w:t>Net change in other working capital components Changes in other assets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Changes in other liabilities</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cash provided by operating activities</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FLOWS FROM INVESTING ACTIVITIES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Expenditures for property, plant and equipment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Decrease (increase) in loans to affiliates, net</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cash used in investing activities</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FLOWS FROM FINANCING ACTIVITIES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dividends paid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Preferred dividends paid</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cash used in financing activities</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Increase in cash and cash equivalents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January 1</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March 31</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SUPPLEMENTAL DISCLOSURE OF CASH FLOW INFORMATION</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Interest payments, net of amounts capitalized</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Income tax refunds</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left="20"/>
        <w:spacing w:after="0"/>
        <w:tabs>
          <w:tab w:leader="none" w:pos="980" w:val="left"/>
          <w:tab w:leader="none" w:pos="2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59 $</w:t>
      </w:r>
      <w:r>
        <w:rPr>
          <w:sz w:val="20"/>
          <w:szCs w:val="20"/>
          <w:color w:val="auto"/>
        </w:rPr>
        <w:tab/>
      </w:r>
      <w:r>
        <w:rPr>
          <w:rFonts w:ascii="Arial" w:cs="Arial" w:eastAsia="Arial" w:hAnsi="Arial"/>
          <w:sz w:val="16"/>
          <w:szCs w:val="16"/>
          <w:color w:val="auto"/>
        </w:rPr>
        <w:t>58</w:t>
      </w:r>
    </w:p>
    <w:p>
      <w:pPr>
        <w:spacing w:after="0" w:line="200" w:lineRule="exact"/>
        <w:rPr>
          <w:sz w:val="20"/>
          <w:szCs w:val="20"/>
          <w:color w:val="auto"/>
        </w:rPr>
      </w:pPr>
    </w:p>
    <w:p>
      <w:pPr>
        <w:spacing w:after="0" w:line="264" w:lineRule="exact"/>
        <w:rPr>
          <w:sz w:val="20"/>
          <w:szCs w:val="20"/>
          <w:color w:val="auto"/>
        </w:rPr>
      </w:pPr>
    </w:p>
    <w:p>
      <w:pPr>
        <w:ind w:left="1000"/>
        <w:spacing w:after="0"/>
        <w:tabs>
          <w:tab w:leader="none" w:pos="2200"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6"/>
          <w:szCs w:val="16"/>
          <w:color w:val="auto"/>
        </w:rPr>
        <w:t>71</w:t>
      </w:r>
    </w:p>
    <w:p>
      <w:pPr>
        <w:spacing w:after="0" w:line="32" w:lineRule="exact"/>
        <w:rPr>
          <w:sz w:val="20"/>
          <w:szCs w:val="20"/>
          <w:color w:val="auto"/>
        </w:rPr>
      </w:pPr>
    </w:p>
    <w:p>
      <w:pPr>
        <w:ind w:left="2240" w:hanging="1159"/>
        <w:spacing w:after="0"/>
        <w:tabs>
          <w:tab w:leader="none" w:pos="2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(3)</w:t>
      </w:r>
    </w:p>
    <w:p>
      <w:pPr>
        <w:spacing w:after="0" w:line="32" w:lineRule="exact"/>
        <w:rPr>
          <w:sz w:val="20"/>
          <w:szCs w:val="20"/>
          <w:color w:val="auto"/>
        </w:rPr>
      </w:pPr>
    </w:p>
    <w:p>
      <w:pPr>
        <w:ind w:left="2300" w:hanging="1219"/>
        <w:spacing w:after="0"/>
        <w:tabs>
          <w:tab w:leader="none" w:pos="2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1</w:t>
      </w:r>
    </w:p>
    <w:p>
      <w:pPr>
        <w:spacing w:after="0" w:line="32" w:lineRule="exact"/>
        <w:rPr>
          <w:sz w:val="20"/>
          <w:szCs w:val="20"/>
          <w:color w:val="auto"/>
        </w:rPr>
      </w:pPr>
    </w:p>
    <w:p>
      <w:pPr>
        <w:ind w:left="900"/>
        <w:spacing w:after="0"/>
        <w:tabs>
          <w:tab w:leader="none" w:pos="2100" w:val="left"/>
        </w:tabs>
        <w:rPr>
          <w:sz w:val="20"/>
          <w:szCs w:val="20"/>
          <w:color w:val="auto"/>
        </w:rPr>
      </w:pPr>
      <w:r>
        <w:rPr>
          <w:rFonts w:ascii="Arial" w:cs="Arial" w:eastAsia="Arial" w:hAnsi="Arial"/>
          <w:sz w:val="16"/>
          <w:szCs w:val="16"/>
          <w:color w:val="auto"/>
        </w:rPr>
        <w:t>357</w:t>
      </w:r>
      <w:r>
        <w:rPr>
          <w:sz w:val="20"/>
          <w:szCs w:val="20"/>
          <w:color w:val="auto"/>
        </w:rPr>
        <w:tab/>
      </w:r>
      <w:r>
        <w:rPr>
          <w:rFonts w:ascii="Arial" w:cs="Arial" w:eastAsia="Arial" w:hAnsi="Arial"/>
          <w:sz w:val="16"/>
          <w:szCs w:val="16"/>
          <w:color w:val="auto"/>
        </w:rPr>
        <w:t>458</w:t>
      </w:r>
    </w:p>
    <w:p>
      <w:pPr>
        <w:spacing w:after="0" w:line="32" w:lineRule="exact"/>
        <w:rPr>
          <w:sz w:val="20"/>
          <w:szCs w:val="20"/>
          <w:color w:val="auto"/>
        </w:rPr>
      </w:pPr>
    </w:p>
    <w:p>
      <w:pPr>
        <w:ind w:left="2300" w:hanging="1219"/>
        <w:spacing w:after="0"/>
        <w:tabs>
          <w:tab w:leader="none" w:pos="2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3</w:t>
      </w:r>
    </w:p>
    <w:p>
      <w:pPr>
        <w:spacing w:after="0" w:line="32" w:lineRule="exact"/>
        <w:rPr>
          <w:sz w:val="20"/>
          <w:szCs w:val="20"/>
          <w:color w:val="auto"/>
        </w:rPr>
      </w:pPr>
    </w:p>
    <w:p>
      <w:pPr>
        <w:ind w:left="2160" w:hanging="1142"/>
        <w:spacing w:after="0"/>
        <w:tabs>
          <w:tab w:leader="none" w:pos="2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15608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6" w:lineRule="exact"/>
        <w:rPr>
          <w:sz w:val="20"/>
          <w:szCs w:val="20"/>
          <w:color w:val="auto"/>
        </w:rPr>
      </w:pPr>
    </w:p>
    <w:p>
      <w:pPr>
        <w:ind w:left="900"/>
        <w:spacing w:after="0"/>
        <w:tabs>
          <w:tab w:leader="none" w:pos="2100" w:val="left"/>
        </w:tabs>
        <w:rPr>
          <w:sz w:val="20"/>
          <w:szCs w:val="20"/>
          <w:color w:val="auto"/>
        </w:rPr>
      </w:pPr>
      <w:r>
        <w:rPr>
          <w:rFonts w:ascii="Arial" w:cs="Arial" w:eastAsia="Arial" w:hAnsi="Arial"/>
          <w:sz w:val="16"/>
          <w:szCs w:val="16"/>
          <w:color w:val="auto"/>
        </w:rPr>
        <w:t>497</w:t>
      </w:r>
      <w:r>
        <w:rPr>
          <w:sz w:val="20"/>
          <w:szCs w:val="20"/>
          <w:color w:val="auto"/>
        </w:rPr>
        <w:tab/>
      </w:r>
      <w:r>
        <w:rPr>
          <w:rFonts w:ascii="Arial" w:cs="Arial" w:eastAsia="Arial" w:hAnsi="Arial"/>
          <w:sz w:val="16"/>
          <w:szCs w:val="16"/>
          <w:color w:val="auto"/>
        </w:rPr>
        <w:t>572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15608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2060" w:hanging="1223"/>
        <w:spacing w:after="0"/>
        <w:tabs>
          <w:tab w:leader="none" w:pos="20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(116)</w:t>
      </w:r>
    </w:p>
    <w:p>
      <w:pPr>
        <w:spacing w:after="0" w:line="32" w:lineRule="exact"/>
        <w:rPr>
          <w:sz w:val="20"/>
          <w:szCs w:val="20"/>
          <w:color w:val="auto"/>
        </w:rPr>
      </w:pPr>
    </w:p>
    <w:p>
      <w:pPr>
        <w:ind w:left="2160" w:hanging="1079"/>
        <w:spacing w:after="0"/>
        <w:tabs>
          <w:tab w:leader="none" w:pos="2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15608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6" w:lineRule="exact"/>
        <w:rPr>
          <w:sz w:val="20"/>
          <w:szCs w:val="20"/>
          <w:color w:val="auto"/>
        </w:rPr>
      </w:pPr>
    </w:p>
    <w:p>
      <w:pPr>
        <w:ind w:left="2060" w:hanging="1223"/>
        <w:spacing w:after="0"/>
        <w:tabs>
          <w:tab w:leader="none" w:pos="20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15608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2060" w:hanging="898"/>
        <w:spacing w:after="0"/>
        <w:tabs>
          <w:tab w:leader="none" w:pos="20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(150)</w:t>
      </w:r>
    </w:p>
    <w:p>
      <w:pPr>
        <w:spacing w:after="0" w:line="32" w:lineRule="exact"/>
        <w:rPr>
          <w:sz w:val="20"/>
          <w:szCs w:val="20"/>
          <w:color w:val="auto"/>
        </w:rPr>
      </w:pPr>
    </w:p>
    <w:p>
      <w:pPr>
        <w:ind w:left="2240" w:hanging="1222"/>
        <w:spacing w:after="0"/>
        <w:tabs>
          <w:tab w:leader="none" w:pos="22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15608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6" w:lineRule="exact"/>
        <w:rPr>
          <w:sz w:val="20"/>
          <w:szCs w:val="20"/>
          <w:color w:val="auto"/>
        </w:rPr>
      </w:pPr>
    </w:p>
    <w:p>
      <w:pPr>
        <w:ind w:left="2060" w:hanging="1042"/>
        <w:spacing w:after="0"/>
        <w:tabs>
          <w:tab w:leader="none" w:pos="20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15608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387</w:t>
            </w:r>
          </w:p>
        </w:tc>
        <w:tc>
          <w:tcPr>
            <w:tcW w:w="5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292</w:t>
            </w:r>
          </w:p>
        </w:tc>
      </w:tr>
      <w:tr>
        <w:trPr>
          <w:trHeight w:val="219"/>
        </w:trPr>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r>
      <w:tr>
        <w:trPr>
          <w:trHeight w:val="210"/>
        </w:trPr>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593</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351</w:t>
            </w:r>
          </w:p>
        </w:tc>
      </w:tr>
      <w:tr>
        <w:trPr>
          <w:trHeight w:val="84"/>
        </w:trPr>
        <w:tc>
          <w:tcPr>
            <w:tcW w:w="50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r>
      <w:tr>
        <w:trPr>
          <w:trHeight w:val="645"/>
        </w:trPr>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84"/>
        </w:trPr>
        <w:tc>
          <w:tcPr>
            <w:tcW w:w="50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r>
      <w:tr>
        <w:trPr>
          <w:trHeight w:val="429"/>
        </w:trPr>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(23)</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84"/>
        </w:trPr>
        <w:tc>
          <w:tcPr>
            <w:tcW w:w="50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2">
            <w:col w:w="6000" w:space="720"/>
            <w:col w:w="3499"/>
          </w:cols>
          <w:pgMar w:left="240" w:top="175" w:right="1440" w:bottom="1440" w:gutter="0" w:footer="0" w:header="0"/>
          <w:type w:val="continuous"/>
        </w:sectPr>
      </w:pP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20" w:type="dxa"/>
            <w:vAlign w:val="bottom"/>
          </w:tcPr>
          <w:p>
            <w:pPr>
              <w:ind w:left="20"/>
              <w:spacing w:after="0"/>
              <w:rPr>
                <w:sz w:val="20"/>
                <w:szCs w:val="20"/>
                <w:color w:val="auto"/>
              </w:rPr>
            </w:pPr>
            <w:r>
              <w:rPr>
                <w:rFonts w:ascii="Arial" w:cs="Arial" w:eastAsia="Arial" w:hAnsi="Arial"/>
                <w:sz w:val="16"/>
                <w:szCs w:val="16"/>
                <w:color w:val="auto"/>
              </w:rPr>
              <w:t>SUPPLEMENTAL DISCLOSURE OF NONCASH ACTIVITIES</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Decrease in accounts payable from investments in property, plant</w:t>
            </w: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20" w:type="dxa"/>
            <w:vAlign w:val="bottom"/>
            <w:vMerge w:val="restart"/>
          </w:tcPr>
          <w:p>
            <w:pPr>
              <w:ind w:left="380"/>
              <w:spacing w:after="0"/>
              <w:rPr>
                <w:sz w:val="20"/>
                <w:szCs w:val="20"/>
                <w:color w:val="auto"/>
              </w:rPr>
            </w:pPr>
            <w:r>
              <w:rPr>
                <w:rFonts w:ascii="Arial" w:cs="Arial" w:eastAsia="Arial" w:hAnsi="Arial"/>
                <w:sz w:val="16"/>
                <w:szCs w:val="16"/>
                <w:color w:val="auto"/>
              </w:rPr>
              <w:t>and equipment</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(15)</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84"/>
        </w:trPr>
        <w:tc>
          <w:tcPr>
            <w:tcW w:w="6720" w:type="dxa"/>
            <w:vAlign w:val="bottom"/>
            <w:vMerge w:val="continue"/>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9"/>
        </w:trPr>
        <w:tc>
          <w:tcPr>
            <w:tcW w:w="6720" w:type="dxa"/>
            <w:vAlign w:val="bottom"/>
          </w:tcPr>
          <w:p>
            <w:pPr>
              <w:ind w:left="200"/>
              <w:spacing w:after="0"/>
              <w:rPr>
                <w:sz w:val="20"/>
                <w:szCs w:val="20"/>
                <w:color w:val="auto"/>
              </w:rPr>
            </w:pPr>
            <w:r>
              <w:rPr>
                <w:rFonts w:ascii="Arial" w:cs="Arial" w:eastAsia="Arial" w:hAnsi="Arial"/>
                <w:sz w:val="16"/>
                <w:szCs w:val="16"/>
                <w:color w:val="auto"/>
              </w:rPr>
              <w:t>Dividends declared but not paid</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84"/>
        </w:trPr>
        <w:tc>
          <w:tcPr>
            <w:tcW w:w="672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75" w:right="1440" w:bottom="1440" w:gutter="0" w:footer="0" w:header="0"/>
          <w:type w:val="continuous"/>
        </w:sectPr>
      </w:pPr>
    </w:p>
    <w:bookmarkStart w:id="17" w:name="page18"/>
    <w:bookmarkEnd w:id="17"/>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106045</wp:posOffset>
            </wp:positionV>
            <wp:extent cx="5334000" cy="411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34000" cy="411480"/>
                    </a:xfrm>
                    <a:prstGeom prst="rect">
                      <a:avLst/>
                    </a:prstGeom>
                    <a:noFill/>
                  </pic:spPr>
                </pic:pic>
              </a:graphicData>
            </a:graphic>
          </wp:anchor>
        </w:drawing>
        <w:t>SOUTHERN CALIFORNIA GAS COMPANY AND SUBSIDIARIES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60" w:type="dxa"/>
            <w:vAlign w:val="bottom"/>
          </w:tcPr>
          <w:p>
            <w:pPr>
              <w:spacing w:after="0"/>
              <w:rPr>
                <w:sz w:val="14"/>
                <w:szCs w:val="14"/>
                <w:color w:val="auto"/>
              </w:rPr>
            </w:pPr>
          </w:p>
        </w:tc>
        <w:tc>
          <w:tcPr>
            <w:tcW w:w="2440" w:type="dxa"/>
            <w:vAlign w:val="bottom"/>
            <w:gridSpan w:val="4"/>
          </w:tcPr>
          <w:p>
            <w:pPr>
              <w:jc w:val="right"/>
              <w:ind w:right="480"/>
              <w:spacing w:after="0"/>
              <w:rPr>
                <w:sz w:val="20"/>
                <w:szCs w:val="20"/>
                <w:color w:val="auto"/>
              </w:rPr>
            </w:pPr>
            <w:r>
              <w:rPr>
                <w:rFonts w:ascii="Arial" w:cs="Arial" w:eastAsia="Arial" w:hAnsi="Arial"/>
                <w:sz w:val="14"/>
                <w:szCs w:val="14"/>
                <w:color w:val="auto"/>
              </w:rPr>
              <w:t>Three months ended</w:t>
            </w:r>
          </w:p>
        </w:tc>
      </w:tr>
      <w:tr>
        <w:trPr>
          <w:trHeight w:val="209"/>
        </w:trPr>
        <w:tc>
          <w:tcPr>
            <w:tcW w:w="59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March 31,</w:t>
            </w:r>
          </w:p>
        </w:tc>
        <w:tc>
          <w:tcPr>
            <w:tcW w:w="820" w:type="dxa"/>
            <w:vAlign w:val="bottom"/>
            <w:tcBorders>
              <w:bottom w:val="single" w:sz="8" w:color="auto"/>
            </w:tcBorders>
          </w:tcPr>
          <w:p>
            <w:pPr>
              <w:spacing w:after="0"/>
              <w:rPr>
                <w:sz w:val="18"/>
                <w:szCs w:val="18"/>
                <w:color w:val="auto"/>
              </w:rPr>
            </w:pPr>
          </w:p>
        </w:tc>
      </w:tr>
      <w:tr>
        <w:trPr>
          <w:trHeight w:val="210"/>
        </w:trPr>
        <w:tc>
          <w:tcPr>
            <w:tcW w:w="59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5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2008</w:t>
            </w:r>
          </w:p>
        </w:tc>
      </w:tr>
      <w:tr>
        <w:trPr>
          <w:trHeight w:val="204"/>
        </w:trPr>
        <w:tc>
          <w:tcPr>
            <w:tcW w:w="5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(unaudited)</w:t>
            </w:r>
          </w:p>
        </w:tc>
        <w:tc>
          <w:tcPr>
            <w:tcW w:w="820" w:type="dxa"/>
            <w:vAlign w:val="bottom"/>
          </w:tcPr>
          <w:p>
            <w:pPr>
              <w:spacing w:after="0"/>
              <w:rPr>
                <w:sz w:val="17"/>
                <w:szCs w:val="17"/>
                <w:color w:val="auto"/>
              </w:rPr>
            </w:pPr>
          </w:p>
        </w:tc>
      </w:tr>
      <w:tr>
        <w:trPr>
          <w:trHeight w:val="444"/>
        </w:trPr>
        <w:tc>
          <w:tcPr>
            <w:tcW w:w="596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820" w:type="dxa"/>
            <w:vAlign w:val="bottom"/>
            <w:tcBorders>
              <w:bottom w:val="single" w:sz="8" w:color="auto"/>
            </w:tcBorders>
          </w:tcPr>
          <w:p>
            <w:pPr>
              <w:jc w:val="right"/>
              <w:ind w:right="383"/>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920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1,556</w:t>
            </w:r>
          </w:p>
        </w:tc>
      </w:tr>
      <w:tr>
        <w:trPr>
          <w:trHeight w:val="204"/>
        </w:trPr>
        <w:tc>
          <w:tcPr>
            <w:tcW w:w="59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5960" w:type="dxa"/>
            <w:vAlign w:val="bottom"/>
          </w:tcPr>
          <w:p>
            <w:pPr>
              <w:ind w:left="200"/>
              <w:spacing w:after="0"/>
              <w:rPr>
                <w:sz w:val="20"/>
                <w:szCs w:val="20"/>
                <w:color w:val="auto"/>
              </w:rPr>
            </w:pPr>
            <w:r>
              <w:rPr>
                <w:rFonts w:ascii="Arial" w:cs="Arial" w:eastAsia="Arial" w:hAnsi="Arial"/>
                <w:sz w:val="16"/>
                <w:szCs w:val="16"/>
                <w:color w:val="auto"/>
              </w:rPr>
              <w:t>Cost of natural gas</w:t>
            </w:r>
          </w:p>
        </w:tc>
        <w:tc>
          <w:tcPr>
            <w:tcW w:w="820" w:type="dxa"/>
            <w:vAlign w:val="bottom"/>
          </w:tcPr>
          <w:p>
            <w:pPr>
              <w:spacing w:after="0"/>
              <w:rPr>
                <w:sz w:val="18"/>
                <w:szCs w:val="18"/>
                <w:color w:val="auto"/>
              </w:rPr>
            </w:pP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455</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1,087</w:t>
            </w:r>
          </w:p>
        </w:tc>
      </w:tr>
      <w:tr>
        <w:trPr>
          <w:trHeight w:val="216"/>
        </w:trPr>
        <w:tc>
          <w:tcPr>
            <w:tcW w:w="5960" w:type="dxa"/>
            <w:vAlign w:val="bottom"/>
          </w:tcPr>
          <w:p>
            <w:pPr>
              <w:ind w:left="200"/>
              <w:spacing w:after="0"/>
              <w:rPr>
                <w:sz w:val="20"/>
                <w:szCs w:val="20"/>
                <w:color w:val="auto"/>
              </w:rPr>
            </w:pPr>
            <w:r>
              <w:rPr>
                <w:rFonts w:ascii="Arial" w:cs="Arial" w:eastAsia="Arial" w:hAnsi="Arial"/>
                <w:sz w:val="16"/>
                <w:szCs w:val="16"/>
                <w:color w:val="auto"/>
              </w:rPr>
              <w:t>Operation and maintenance</w:t>
            </w:r>
          </w:p>
        </w:tc>
        <w:tc>
          <w:tcPr>
            <w:tcW w:w="820" w:type="dxa"/>
            <w:vAlign w:val="bottom"/>
          </w:tcPr>
          <w:p>
            <w:pPr>
              <w:spacing w:after="0"/>
              <w:rPr>
                <w:sz w:val="18"/>
                <w:szCs w:val="18"/>
                <w:color w:val="auto"/>
              </w:rPr>
            </w:pP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251</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249</w:t>
            </w:r>
          </w:p>
        </w:tc>
      </w:tr>
      <w:tr>
        <w:trPr>
          <w:trHeight w:val="216"/>
        </w:trPr>
        <w:tc>
          <w:tcPr>
            <w:tcW w:w="5960" w:type="dxa"/>
            <w:vAlign w:val="bottom"/>
          </w:tcPr>
          <w:p>
            <w:pPr>
              <w:ind w:left="200"/>
              <w:spacing w:after="0"/>
              <w:rPr>
                <w:sz w:val="20"/>
                <w:szCs w:val="20"/>
                <w:color w:val="auto"/>
              </w:rPr>
            </w:pPr>
            <w:r>
              <w:rPr>
                <w:rFonts w:ascii="Arial" w:cs="Arial" w:eastAsia="Arial" w:hAnsi="Arial"/>
                <w:sz w:val="16"/>
                <w:szCs w:val="16"/>
                <w:color w:val="auto"/>
              </w:rPr>
              <w:t>Depreciation</w:t>
            </w:r>
          </w:p>
        </w:tc>
        <w:tc>
          <w:tcPr>
            <w:tcW w:w="820" w:type="dxa"/>
            <w:vAlign w:val="bottom"/>
          </w:tcPr>
          <w:p>
            <w:pPr>
              <w:spacing w:after="0"/>
              <w:rPr>
                <w:sz w:val="18"/>
                <w:szCs w:val="18"/>
                <w:color w:val="auto"/>
              </w:rPr>
            </w:pP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72</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22"/>
        </w:trPr>
        <w:tc>
          <w:tcPr>
            <w:tcW w:w="5960" w:type="dxa"/>
            <w:vAlign w:val="bottom"/>
          </w:tcPr>
          <w:p>
            <w:pPr>
              <w:ind w:left="200"/>
              <w:spacing w:after="0"/>
              <w:rPr>
                <w:sz w:val="20"/>
                <w:szCs w:val="20"/>
                <w:color w:val="auto"/>
              </w:rPr>
            </w:pPr>
            <w:r>
              <w:rPr>
                <w:rFonts w:ascii="Arial" w:cs="Arial" w:eastAsia="Arial" w:hAnsi="Arial"/>
                <w:sz w:val="16"/>
                <w:szCs w:val="16"/>
                <w:color w:val="auto"/>
              </w:rPr>
              <w:t>Franchise fees and other taxes</w:t>
            </w: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32</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r>
      <w:tr>
        <w:trPr>
          <w:trHeight w:val="210"/>
        </w:trPr>
        <w:tc>
          <w:tcPr>
            <w:tcW w:w="596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810</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1,446</w:t>
            </w:r>
          </w:p>
        </w:tc>
      </w:tr>
      <w:tr>
        <w:trPr>
          <w:trHeight w:val="204"/>
        </w:trPr>
        <w:tc>
          <w:tcPr>
            <w:tcW w:w="596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820" w:type="dxa"/>
            <w:vAlign w:val="bottom"/>
          </w:tcPr>
          <w:p>
            <w:pPr>
              <w:spacing w:after="0"/>
              <w:rPr>
                <w:sz w:val="17"/>
                <w:szCs w:val="17"/>
                <w:color w:val="auto"/>
              </w:rPr>
            </w:pP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110</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16"/>
        </w:trPr>
        <w:tc>
          <w:tcPr>
            <w:tcW w:w="596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820" w:type="dxa"/>
            <w:vAlign w:val="bottom"/>
          </w:tcPr>
          <w:p>
            <w:pPr>
              <w:spacing w:after="0"/>
              <w:rPr>
                <w:sz w:val="18"/>
                <w:szCs w:val="18"/>
                <w:color w:val="auto"/>
              </w:rPr>
            </w:pP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96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820" w:type="dxa"/>
            <w:vAlign w:val="bottom"/>
          </w:tcPr>
          <w:p>
            <w:pPr>
              <w:spacing w:after="0"/>
              <w:rPr>
                <w:sz w:val="18"/>
                <w:szCs w:val="18"/>
                <w:color w:val="auto"/>
              </w:rPr>
            </w:pP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22"/>
        </w:trPr>
        <w:tc>
          <w:tcPr>
            <w:tcW w:w="59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(17)</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04"/>
        </w:trPr>
        <w:tc>
          <w:tcPr>
            <w:tcW w:w="596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820" w:type="dxa"/>
            <w:vAlign w:val="bottom"/>
          </w:tcPr>
          <w:p>
            <w:pPr>
              <w:spacing w:after="0"/>
              <w:rPr>
                <w:sz w:val="17"/>
                <w:szCs w:val="17"/>
                <w:color w:val="auto"/>
              </w:rPr>
            </w:pP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95</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22"/>
        </w:trPr>
        <w:tc>
          <w:tcPr>
            <w:tcW w:w="596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36</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r>
      <w:tr>
        <w:trPr>
          <w:trHeight w:val="207"/>
        </w:trPr>
        <w:tc>
          <w:tcPr>
            <w:tcW w:w="5960" w:type="dxa"/>
            <w:vAlign w:val="bottom"/>
          </w:tcPr>
          <w:p>
            <w:pPr>
              <w:ind w:left="20"/>
              <w:spacing w:after="0"/>
              <w:rPr>
                <w:sz w:val="20"/>
                <w:szCs w:val="20"/>
                <w:color w:val="auto"/>
              </w:rPr>
            </w:pPr>
            <w:r>
              <w:rPr>
                <w:rFonts w:ascii="Arial" w:cs="Arial" w:eastAsia="Arial" w:hAnsi="Arial"/>
                <w:sz w:val="16"/>
                <w:szCs w:val="16"/>
                <w:color w:val="auto"/>
              </w:rPr>
              <w:t>Net income/Earnings attributable to common shares</w:t>
            </w:r>
          </w:p>
        </w:tc>
        <w:tc>
          <w:tcPr>
            <w:tcW w:w="820" w:type="dxa"/>
            <w:vAlign w:val="bottom"/>
          </w:tcPr>
          <w:p>
            <w:pPr>
              <w:jc w:val="right"/>
              <w:ind w:right="383"/>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59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84"/>
        </w:trPr>
        <w:tc>
          <w:tcPr>
            <w:tcW w:w="596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75" w:right="1440" w:bottom="1440" w:gutter="0" w:footer="0" w:header="0"/>
        </w:sectPr>
      </w:pPr>
    </w:p>
    <w:bookmarkStart w:id="18" w:name="page19"/>
    <w:bookmarkEnd w:id="18"/>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106045</wp:posOffset>
            </wp:positionV>
            <wp:extent cx="5822950" cy="411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22950" cy="411480"/>
                    </a:xfrm>
                    <a:prstGeom prst="rect">
                      <a:avLst/>
                    </a:prstGeom>
                    <a:noFill/>
                  </pic:spPr>
                </pic:pic>
              </a:graphicData>
            </a:graphic>
          </wp:anchor>
        </w:drawing>
        <w:t>SOUTHERN CALIFORNIA GAS COMPANY AND SUBSIDIARIES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80"/>
              <w:spacing w:after="0"/>
              <w:rPr>
                <w:sz w:val="20"/>
                <w:szCs w:val="20"/>
                <w:color w:val="auto"/>
              </w:rPr>
            </w:pPr>
            <w:r>
              <w:rPr>
                <w:rFonts w:ascii="Arial" w:cs="Arial" w:eastAsia="Arial" w:hAnsi="Arial"/>
                <w:sz w:val="14"/>
                <w:szCs w:val="14"/>
                <w:color w:val="auto"/>
              </w:rPr>
              <w:t>March 31,</w:t>
            </w:r>
          </w:p>
        </w:tc>
        <w:tc>
          <w:tcPr>
            <w:tcW w:w="140" w:type="dxa"/>
            <w:vAlign w:val="bottom"/>
          </w:tcPr>
          <w:p>
            <w:pPr>
              <w:spacing w:after="0"/>
              <w:rPr>
                <w:sz w:val="14"/>
                <w:szCs w:val="14"/>
                <w:color w:val="auto"/>
              </w:rPr>
            </w:pPr>
          </w:p>
        </w:tc>
        <w:tc>
          <w:tcPr>
            <w:tcW w:w="1100" w:type="dxa"/>
            <w:vAlign w:val="bottom"/>
          </w:tcPr>
          <w:p>
            <w:pPr>
              <w:jc w:val="right"/>
              <w:ind w:right="80"/>
              <w:spacing w:after="0"/>
              <w:rPr>
                <w:sz w:val="20"/>
                <w:szCs w:val="20"/>
                <w:color w:val="auto"/>
              </w:rPr>
            </w:pPr>
            <w:r>
              <w:rPr>
                <w:rFonts w:ascii="Arial" w:cs="Arial" w:eastAsia="Arial" w:hAnsi="Arial"/>
                <w:sz w:val="14"/>
                <w:szCs w:val="14"/>
                <w:color w:val="auto"/>
              </w:rPr>
              <w:t>December 31,</w:t>
            </w:r>
          </w:p>
        </w:tc>
      </w:tr>
      <w:tr>
        <w:trPr>
          <w:trHeight w:val="222"/>
        </w:trPr>
        <w:tc>
          <w:tcPr>
            <w:tcW w:w="6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color w:val="auto"/>
              </w:rPr>
              <w:t>2009</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2008</w:t>
            </w:r>
          </w:p>
        </w:tc>
      </w:tr>
      <w:tr>
        <w:trPr>
          <w:trHeight w:val="204"/>
        </w:trPr>
        <w:tc>
          <w:tcPr>
            <w:tcW w:w="6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center"/>
              <w:ind w:right="80"/>
              <w:spacing w:after="0"/>
              <w:rPr>
                <w:sz w:val="20"/>
                <w:szCs w:val="20"/>
                <w:color w:val="auto"/>
              </w:rPr>
            </w:pPr>
            <w:r>
              <w:rPr>
                <w:rFonts w:ascii="Arial" w:cs="Arial" w:eastAsia="Arial" w:hAnsi="Arial"/>
                <w:sz w:val="14"/>
                <w:szCs w:val="14"/>
                <w:color w:val="auto"/>
              </w:rPr>
              <w:t>(unaudited)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2"/>
        </w:trPr>
        <w:tc>
          <w:tcPr>
            <w:tcW w:w="6720" w:type="dxa"/>
            <w:vAlign w:val="bottom"/>
          </w:tcPr>
          <w:p>
            <w:pPr>
              <w:ind w:left="20"/>
              <w:spacing w:after="0"/>
              <w:rPr>
                <w:sz w:val="20"/>
                <w:szCs w:val="20"/>
                <w:color w:val="auto"/>
              </w:rPr>
            </w:pPr>
            <w:r>
              <w:rPr>
                <w:rFonts w:ascii="Arial" w:cs="Arial" w:eastAsia="Arial" w:hAnsi="Arial"/>
                <w:sz w:val="16"/>
                <w:szCs w:val="16"/>
                <w:color w:val="auto"/>
              </w:rPr>
              <w:t>ASSETS</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67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593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Accounts receivable - trade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455</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572</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Accounts receivable - other</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Due from unconsolidated affiliates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Income taxes receivable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Other regulatory assets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22"/>
        </w:trPr>
        <w:tc>
          <w:tcPr>
            <w:tcW w:w="6720" w:type="dxa"/>
            <w:vAlign w:val="bottom"/>
          </w:tcPr>
          <w:p>
            <w:pPr>
              <w:ind w:left="20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210"/>
        </w:trPr>
        <w:tc>
          <w:tcPr>
            <w:tcW w:w="672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1,061</w:t>
            </w:r>
          </w:p>
        </w:tc>
      </w:tr>
      <w:tr>
        <w:trPr>
          <w:trHeight w:val="420"/>
        </w:trPr>
        <w:tc>
          <w:tcPr>
            <w:tcW w:w="67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Regulatory assets arising from pension and other postretirement</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720" w:type="dxa"/>
            <w:vAlign w:val="bottom"/>
          </w:tcPr>
          <w:p>
            <w:pPr>
              <w:ind w:left="380"/>
              <w:spacing w:after="0"/>
              <w:rPr>
                <w:sz w:val="20"/>
                <w:szCs w:val="20"/>
                <w:color w:val="auto"/>
              </w:rPr>
            </w:pPr>
            <w:r>
              <w:rPr>
                <w:rFonts w:ascii="Arial" w:cs="Arial" w:eastAsia="Arial" w:hAnsi="Arial"/>
                <w:sz w:val="16"/>
                <w:szCs w:val="16"/>
                <w:color w:val="auto"/>
              </w:rPr>
              <w:t>benefit obligations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808</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795</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Other regulatory assets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112</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22"/>
        </w:trPr>
        <w:tc>
          <w:tcPr>
            <w:tcW w:w="6720" w:type="dxa"/>
            <w:vAlign w:val="bottom"/>
          </w:tcPr>
          <w:p>
            <w:pPr>
              <w:ind w:left="200"/>
              <w:spacing w:after="0"/>
              <w:rPr>
                <w:sz w:val="20"/>
                <w:szCs w:val="20"/>
                <w:color w:val="auto"/>
              </w:rPr>
            </w:pPr>
            <w:r>
              <w:rPr>
                <w:rFonts w:ascii="Arial" w:cs="Arial" w:eastAsia="Arial" w:hAnsi="Arial"/>
                <w:sz w:val="16"/>
                <w:szCs w:val="16"/>
                <w:color w:val="auto"/>
              </w:rPr>
              <w:t>Sundry</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10"/>
        </w:trPr>
        <w:tc>
          <w:tcPr>
            <w:tcW w:w="6720" w:type="dxa"/>
            <w:vAlign w:val="bottom"/>
          </w:tcPr>
          <w:p>
            <w:pPr>
              <w:ind w:left="380"/>
              <w:spacing w:after="0"/>
              <w:rPr>
                <w:sz w:val="20"/>
                <w:szCs w:val="20"/>
                <w:color w:val="auto"/>
              </w:rPr>
            </w:pPr>
            <w:r>
              <w:rPr>
                <w:rFonts w:ascii="Arial" w:cs="Arial" w:eastAsia="Arial" w:hAnsi="Arial"/>
                <w:sz w:val="16"/>
                <w:szCs w:val="16"/>
                <w:color w:val="auto"/>
              </w:rPr>
              <w:t>Total other assets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w:t>
            </w:r>
          </w:p>
        </w:tc>
      </w:tr>
      <w:tr>
        <w:trPr>
          <w:trHeight w:val="420"/>
        </w:trPr>
        <w:tc>
          <w:tcPr>
            <w:tcW w:w="672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Property, plant and equipment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8,903</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8,814</w:t>
            </w:r>
          </w:p>
        </w:tc>
      </w:tr>
      <w:tr>
        <w:trPr>
          <w:trHeight w:val="222"/>
        </w:trPr>
        <w:tc>
          <w:tcPr>
            <w:tcW w:w="6720" w:type="dxa"/>
            <w:vAlign w:val="bottom"/>
          </w:tcPr>
          <w:p>
            <w:pPr>
              <w:ind w:left="200"/>
              <w:spacing w:after="0"/>
              <w:rPr>
                <w:sz w:val="20"/>
                <w:szCs w:val="20"/>
                <w:color w:val="auto"/>
              </w:rPr>
            </w:pPr>
            <w:r>
              <w:rPr>
                <w:rFonts w:ascii="Arial" w:cs="Arial" w:eastAsia="Arial" w:hAnsi="Arial"/>
                <w:sz w:val="16"/>
                <w:szCs w:val="16"/>
                <w:color w:val="auto"/>
              </w:rPr>
              <w:t>Less accumulated depreciation and amortization</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(3,494)</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(3,448)</w:t>
            </w:r>
          </w:p>
        </w:tc>
      </w:tr>
      <w:tr>
        <w:trPr>
          <w:trHeight w:val="210"/>
        </w:trPr>
        <w:tc>
          <w:tcPr>
            <w:tcW w:w="6720" w:type="dxa"/>
            <w:vAlign w:val="bottom"/>
          </w:tcPr>
          <w:p>
            <w:pPr>
              <w:ind w:left="38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5,409</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5,366</w:t>
            </w:r>
          </w:p>
        </w:tc>
      </w:tr>
      <w:tr>
        <w:trPr>
          <w:trHeight w:val="207"/>
        </w:trPr>
        <w:tc>
          <w:tcPr>
            <w:tcW w:w="672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7,549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7,351</w:t>
            </w:r>
          </w:p>
        </w:tc>
      </w:tr>
      <w:tr>
        <w:trPr>
          <w:trHeight w:val="84"/>
        </w:trPr>
        <w:tc>
          <w:tcPr>
            <w:tcW w:w="6720" w:type="dxa"/>
            <w:vAlign w:val="bottom"/>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104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10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75" w:right="1440" w:bottom="1440" w:gutter="0" w:footer="0" w:header="0"/>
        </w:sectPr>
      </w:pPr>
    </w:p>
    <w:bookmarkStart w:id="19" w:name="page20"/>
    <w:bookmarkEnd w:id="19"/>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106045</wp:posOffset>
            </wp:positionV>
            <wp:extent cx="5822950" cy="411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22950" cy="411480"/>
                    </a:xfrm>
                    <a:prstGeom prst="rect">
                      <a:avLst/>
                    </a:prstGeom>
                    <a:noFill/>
                  </pic:spPr>
                </pic:pic>
              </a:graphicData>
            </a:graphic>
          </wp:anchor>
        </w:drawing>
        <w:t>SOUTHERN CALIFORNIA GAS COMPANY AND SUBSIDIARIES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80"/>
              <w:spacing w:after="0"/>
              <w:rPr>
                <w:sz w:val="20"/>
                <w:szCs w:val="20"/>
                <w:color w:val="auto"/>
              </w:rPr>
            </w:pPr>
            <w:r>
              <w:rPr>
                <w:rFonts w:ascii="Arial" w:cs="Arial" w:eastAsia="Arial" w:hAnsi="Arial"/>
                <w:sz w:val="14"/>
                <w:szCs w:val="14"/>
                <w:color w:val="auto"/>
              </w:rPr>
              <w:t>March 31,</w:t>
            </w:r>
          </w:p>
        </w:tc>
        <w:tc>
          <w:tcPr>
            <w:tcW w:w="140" w:type="dxa"/>
            <w:vAlign w:val="bottom"/>
          </w:tcPr>
          <w:p>
            <w:pPr>
              <w:spacing w:after="0"/>
              <w:rPr>
                <w:sz w:val="14"/>
                <w:szCs w:val="14"/>
                <w:color w:val="auto"/>
              </w:rPr>
            </w:pPr>
          </w:p>
        </w:tc>
        <w:tc>
          <w:tcPr>
            <w:tcW w:w="1100" w:type="dxa"/>
            <w:vAlign w:val="bottom"/>
          </w:tcPr>
          <w:p>
            <w:pPr>
              <w:jc w:val="right"/>
              <w:ind w:right="80"/>
              <w:spacing w:after="0"/>
              <w:rPr>
                <w:sz w:val="20"/>
                <w:szCs w:val="20"/>
                <w:color w:val="auto"/>
              </w:rPr>
            </w:pPr>
            <w:r>
              <w:rPr>
                <w:rFonts w:ascii="Arial" w:cs="Arial" w:eastAsia="Arial" w:hAnsi="Arial"/>
                <w:sz w:val="14"/>
                <w:szCs w:val="14"/>
                <w:color w:val="auto"/>
              </w:rPr>
              <w:t>December 31,</w:t>
            </w:r>
          </w:p>
        </w:tc>
      </w:tr>
      <w:tr>
        <w:trPr>
          <w:trHeight w:val="222"/>
        </w:trPr>
        <w:tc>
          <w:tcPr>
            <w:tcW w:w="6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color w:val="auto"/>
              </w:rPr>
              <w:t>2009</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2008</w:t>
            </w:r>
          </w:p>
        </w:tc>
      </w:tr>
      <w:tr>
        <w:trPr>
          <w:trHeight w:val="204"/>
        </w:trPr>
        <w:tc>
          <w:tcPr>
            <w:tcW w:w="6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center"/>
              <w:ind w:right="80"/>
              <w:spacing w:after="0"/>
              <w:rPr>
                <w:sz w:val="20"/>
                <w:szCs w:val="20"/>
                <w:color w:val="auto"/>
              </w:rPr>
            </w:pPr>
            <w:r>
              <w:rPr>
                <w:rFonts w:ascii="Arial" w:cs="Arial" w:eastAsia="Arial" w:hAnsi="Arial"/>
                <w:sz w:val="14"/>
                <w:szCs w:val="14"/>
                <w:color w:val="auto"/>
              </w:rPr>
              <w:t>(unaudited)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2"/>
        </w:trPr>
        <w:tc>
          <w:tcPr>
            <w:tcW w:w="6720" w:type="dxa"/>
            <w:vAlign w:val="bottom"/>
          </w:tcPr>
          <w:p>
            <w:pPr>
              <w:ind w:left="20"/>
              <w:spacing w:after="0"/>
              <w:rPr>
                <w:sz w:val="20"/>
                <w:szCs w:val="20"/>
                <w:color w:val="auto"/>
              </w:rPr>
            </w:pPr>
            <w:r>
              <w:rPr>
                <w:rFonts w:ascii="Arial" w:cs="Arial" w:eastAsia="Arial" w:hAnsi="Arial"/>
                <w:sz w:val="16"/>
                <w:szCs w:val="16"/>
                <w:color w:val="auto"/>
              </w:rPr>
              <w:t>LIABILITIES AND SHAREHOLDERS' EQUITY</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67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Accounts payable - trade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257</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Accounts payable - other</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Due to unconsolidated affiliates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Income taxes payable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Regulatory balancing accounts, net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426</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221</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Customer deposits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Accrued compensation and benefits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22"/>
        </w:trPr>
        <w:tc>
          <w:tcPr>
            <w:tcW w:w="6720" w:type="dxa"/>
            <w:vAlign w:val="bottom"/>
          </w:tcPr>
          <w:p>
            <w:pPr>
              <w:ind w:left="20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r>
      <w:tr>
        <w:trPr>
          <w:trHeight w:val="210"/>
        </w:trPr>
        <w:tc>
          <w:tcPr>
            <w:tcW w:w="672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1,286</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w:t>
            </w:r>
          </w:p>
        </w:tc>
      </w:tr>
      <w:tr>
        <w:trPr>
          <w:trHeight w:val="210"/>
        </w:trPr>
        <w:tc>
          <w:tcPr>
            <w:tcW w:w="67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1,269</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1,270</w:t>
            </w:r>
          </w:p>
        </w:tc>
      </w:tr>
      <w:tr>
        <w:trPr>
          <w:trHeight w:val="204"/>
        </w:trPr>
        <w:tc>
          <w:tcPr>
            <w:tcW w:w="6720" w:type="dxa"/>
            <w:vAlign w:val="bottom"/>
          </w:tcPr>
          <w:p>
            <w:pPr>
              <w:ind w:left="20"/>
              <w:spacing w:after="0"/>
              <w:rPr>
                <w:sz w:val="20"/>
                <w:szCs w:val="20"/>
                <w:color w:val="auto"/>
              </w:rPr>
            </w:pPr>
            <w:r>
              <w:rPr>
                <w:rFonts w:ascii="Arial" w:cs="Arial" w:eastAsia="Arial" w:hAnsi="Arial"/>
                <w:sz w:val="16"/>
                <w:szCs w:val="16"/>
                <w:color w:val="auto"/>
              </w:rPr>
              <w:t>Deferred credits and other liabilities:</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Customer advances for construction</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132</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Pension and other postretirement benefit obligations, net of plan assets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835</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823</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182</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Deferred investment tax credits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Regulatory liabilities arising from removal obligations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1,225</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1,218</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Asset retirement obligations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590</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581</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Deferred taxes refundable in rates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210</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222"/>
        </w:trPr>
        <w:tc>
          <w:tcPr>
            <w:tcW w:w="6720" w:type="dxa"/>
            <w:vAlign w:val="bottom"/>
          </w:tcPr>
          <w:p>
            <w:pPr>
              <w:ind w:left="200"/>
              <w:spacing w:after="0"/>
              <w:rPr>
                <w:sz w:val="20"/>
                <w:szCs w:val="20"/>
                <w:color w:val="auto"/>
              </w:rPr>
            </w:pPr>
            <w:r>
              <w:rPr>
                <w:rFonts w:ascii="Arial" w:cs="Arial" w:eastAsia="Arial" w:hAnsi="Arial"/>
                <w:sz w:val="16"/>
                <w:szCs w:val="16"/>
                <w:color w:val="auto"/>
              </w:rPr>
              <w:t>Deferred credits and other</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r>
      <w:tr>
        <w:trPr>
          <w:trHeight w:val="210"/>
        </w:trPr>
        <w:tc>
          <w:tcPr>
            <w:tcW w:w="6720" w:type="dxa"/>
            <w:vAlign w:val="bottom"/>
          </w:tcPr>
          <w:p>
            <w:pPr>
              <w:ind w:left="380"/>
              <w:spacing w:after="0"/>
              <w:rPr>
                <w:sz w:val="20"/>
                <w:szCs w:val="20"/>
                <w:color w:val="auto"/>
              </w:rPr>
            </w:pPr>
            <w:r>
              <w:rPr>
                <w:rFonts w:ascii="Arial" w:cs="Arial" w:eastAsia="Arial" w:hAnsi="Arial"/>
                <w:sz w:val="16"/>
                <w:szCs w:val="16"/>
                <w:color w:val="auto"/>
              </w:rPr>
              <w:t>Total deferred credits and other liabilities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3,444</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3,404</w:t>
            </w:r>
          </w:p>
        </w:tc>
      </w:tr>
      <w:tr>
        <w:trPr>
          <w:trHeight w:val="420"/>
        </w:trPr>
        <w:tc>
          <w:tcPr>
            <w:tcW w:w="6720" w:type="dxa"/>
            <w:vAlign w:val="bottom"/>
          </w:tcPr>
          <w:p>
            <w:pPr>
              <w:ind w:left="20"/>
              <w:spacing w:after="0"/>
              <w:rPr>
                <w:sz w:val="20"/>
                <w:szCs w:val="20"/>
                <w:color w:val="auto"/>
              </w:rPr>
            </w:pPr>
            <w:r>
              <w:rPr>
                <w:rFonts w:ascii="Arial" w:cs="Arial" w:eastAsia="Arial" w:hAnsi="Arial"/>
                <w:sz w:val="16"/>
                <w:szCs w:val="16"/>
                <w:color w:val="auto"/>
              </w:rPr>
              <w:t>Commitments and contingencies (Note 10)</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672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Preferred stock</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Common stock (100 million shares authorized; 91 million shares outstanding;</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720" w:type="dxa"/>
            <w:vAlign w:val="bottom"/>
          </w:tcPr>
          <w:p>
            <w:pPr>
              <w:ind w:left="380"/>
              <w:spacing w:after="0"/>
              <w:rPr>
                <w:sz w:val="20"/>
                <w:szCs w:val="20"/>
                <w:color w:val="auto"/>
              </w:rPr>
            </w:pPr>
            <w:r>
              <w:rPr>
                <w:rFonts w:ascii="Arial" w:cs="Arial" w:eastAsia="Arial" w:hAnsi="Arial"/>
                <w:sz w:val="16"/>
                <w:szCs w:val="16"/>
                <w:color w:val="auto"/>
              </w:rPr>
              <w:t>no par value)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866</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866</w:t>
            </w: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689</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630</w:t>
            </w:r>
          </w:p>
        </w:tc>
      </w:tr>
      <w:tr>
        <w:trPr>
          <w:trHeight w:val="222"/>
        </w:trPr>
        <w:tc>
          <w:tcPr>
            <w:tcW w:w="6720" w:type="dxa"/>
            <w:vAlign w:val="bottom"/>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10"/>
        </w:trPr>
        <w:tc>
          <w:tcPr>
            <w:tcW w:w="6720" w:type="dxa"/>
            <w:vAlign w:val="bottom"/>
          </w:tcPr>
          <w:p>
            <w:pPr>
              <w:ind w:left="380"/>
              <w:spacing w:after="0"/>
              <w:rPr>
                <w:sz w:val="20"/>
                <w:szCs w:val="20"/>
                <w:color w:val="auto"/>
              </w:rPr>
            </w:pPr>
            <w:r>
              <w:rPr>
                <w:rFonts w:ascii="Arial" w:cs="Arial" w:eastAsia="Arial" w:hAnsi="Arial"/>
                <w:sz w:val="16"/>
                <w:szCs w:val="16"/>
                <w:color w:val="auto"/>
              </w:rPr>
              <w:t>Total shareholders' equity</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1,550</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1,490</w:t>
            </w:r>
          </w:p>
        </w:tc>
      </w:tr>
      <w:tr>
        <w:trPr>
          <w:trHeight w:val="207"/>
        </w:trPr>
        <w:tc>
          <w:tcPr>
            <w:tcW w:w="6720" w:type="dxa"/>
            <w:vAlign w:val="bottom"/>
          </w:tcPr>
          <w:p>
            <w:pPr>
              <w:ind w:left="20"/>
              <w:spacing w:after="0"/>
              <w:rPr>
                <w:sz w:val="20"/>
                <w:szCs w:val="20"/>
                <w:color w:val="auto"/>
              </w:rPr>
            </w:pPr>
            <w:r>
              <w:rPr>
                <w:rFonts w:ascii="Arial" w:cs="Arial" w:eastAsia="Arial" w:hAnsi="Arial"/>
                <w:sz w:val="16"/>
                <w:szCs w:val="16"/>
                <w:color w:val="auto"/>
              </w:rPr>
              <w:t>Total liabilities and shareholders' equity</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7,549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7,351</w:t>
            </w:r>
          </w:p>
        </w:tc>
      </w:tr>
      <w:tr>
        <w:trPr>
          <w:trHeight w:val="84"/>
        </w:trPr>
        <w:tc>
          <w:tcPr>
            <w:tcW w:w="6720" w:type="dxa"/>
            <w:vAlign w:val="bottom"/>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104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10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75" w:right="1440" w:bottom="1440" w:gutter="0" w:footer="0" w:header="0"/>
        </w:sectPr>
      </w:pPr>
    </w:p>
    <w:bookmarkStart w:id="20" w:name="page21"/>
    <w:bookmarkEnd w:id="20"/>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106045</wp:posOffset>
            </wp:positionV>
            <wp:extent cx="5822950" cy="411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22950" cy="411480"/>
                    </a:xfrm>
                    <a:prstGeom prst="rect">
                      <a:avLst/>
                    </a:prstGeom>
                    <a:noFill/>
                  </pic:spPr>
                </pic:pic>
              </a:graphicData>
            </a:graphic>
          </wp:anchor>
        </w:drawing>
        <w:t>SOUTHERN CALIFORNIA GAS COMPANY AND SUBSIDIARIES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STATEMENTS OF CONSOLIDATED CASH FLOWS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9" w:lineRule="exact"/>
        <w:rPr>
          <w:sz w:val="20"/>
          <w:szCs w:val="20"/>
          <w:color w:val="auto"/>
        </w:rPr>
      </w:pPr>
    </w:p>
    <w:p>
      <w:pPr>
        <w:jc w:val="center"/>
        <w:ind w:left="4480"/>
        <w:spacing w:after="0"/>
        <w:rPr>
          <w:sz w:val="20"/>
          <w:szCs w:val="20"/>
          <w:color w:val="auto"/>
        </w:rPr>
      </w:pPr>
      <w:r>
        <w:rPr>
          <w:rFonts w:ascii="Arial" w:cs="Arial" w:eastAsia="Arial" w:hAnsi="Arial"/>
          <w:sz w:val="14"/>
          <w:szCs w:val="14"/>
          <w:color w:val="auto"/>
        </w:rPr>
        <w:t>Three months ended</w:t>
      </w:r>
    </w:p>
    <w:p>
      <w:pPr>
        <w:spacing w:after="0" w:line="42" w:lineRule="exact"/>
        <w:rPr>
          <w:sz w:val="20"/>
          <w:szCs w:val="20"/>
          <w:color w:val="auto"/>
        </w:rPr>
      </w:pPr>
    </w:p>
    <w:p>
      <w:pPr>
        <w:jc w:val="center"/>
        <w:ind w:left="4480"/>
        <w:spacing w:after="0"/>
        <w:rPr>
          <w:sz w:val="20"/>
          <w:szCs w:val="20"/>
          <w:color w:val="auto"/>
        </w:rPr>
      </w:pPr>
      <w:r>
        <w:rPr>
          <w:rFonts w:ascii="Arial" w:cs="Arial" w:eastAsia="Arial" w:hAnsi="Arial"/>
          <w:sz w:val="14"/>
          <w:szCs w:val="14"/>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14605</wp:posOffset>
            </wp:positionV>
            <wp:extent cx="15608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49" w:lineRule="exact"/>
        <w:rPr>
          <w:sz w:val="20"/>
          <w:szCs w:val="20"/>
          <w:color w:val="auto"/>
        </w:rPr>
      </w:pPr>
    </w:p>
    <w:p>
      <w:pPr>
        <w:jc w:val="both"/>
        <w:ind w:left="7180"/>
        <w:spacing w:after="0"/>
        <w:tabs>
          <w:tab w:leader="none" w:pos="8380" w:val="left"/>
        </w:tabs>
        <w:rPr>
          <w:sz w:val="20"/>
          <w:szCs w:val="20"/>
          <w:color w:val="auto"/>
        </w:rPr>
      </w:pPr>
      <w:r>
        <w:rPr>
          <w:rFonts w:ascii="Arial" w:cs="Arial" w:eastAsia="Arial" w:hAnsi="Arial"/>
          <w:sz w:val="14"/>
          <w:szCs w:val="14"/>
          <w:color w:val="auto"/>
        </w:rPr>
        <w:t>2009</w:t>
      </w:r>
      <w:r>
        <w:rPr>
          <w:sz w:val="20"/>
          <w:szCs w:val="20"/>
          <w:color w:val="auto"/>
        </w:rPr>
        <w:tab/>
      </w:r>
      <w:r>
        <w:rPr>
          <w:rFonts w:ascii="Arial" w:cs="Arial" w:eastAsia="Arial" w:hAnsi="Arial"/>
          <w:sz w:val="14"/>
          <w:szCs w:val="14"/>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8229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49" w:lineRule="exact"/>
        <w:rPr>
          <w:sz w:val="20"/>
          <w:szCs w:val="20"/>
          <w:color w:val="auto"/>
        </w:rPr>
      </w:pPr>
    </w:p>
    <w:p>
      <w:pPr>
        <w:ind w:left="7580"/>
        <w:spacing w:after="0"/>
        <w:rPr>
          <w:sz w:val="20"/>
          <w:szCs w:val="20"/>
          <w:color w:val="auto"/>
        </w:rPr>
      </w:pPr>
      <w:r>
        <w:rPr>
          <w:rFonts w:ascii="Arial" w:cs="Arial" w:eastAsia="Arial" w:hAnsi="Arial"/>
          <w:sz w:val="14"/>
          <w:szCs w:val="14"/>
          <w:color w:val="auto"/>
        </w:rPr>
        <w:t>(unaudited)</w:t>
      </w:r>
    </w:p>
    <w:p>
      <w:pPr>
        <w:sectPr>
          <w:pgSz w:w="11900" w:h="16838" w:orient="portrait"/>
          <w:cols w:equalWidth="0" w:num="1">
            <w:col w:w="10219"/>
          </w:cols>
          <w:pgMar w:left="240" w:top="175" w:right="1440" w:bottom="1440" w:gutter="0" w:footer="0" w:header="0"/>
        </w:sectPr>
      </w:pPr>
    </w:p>
    <w:p>
      <w:pPr>
        <w:spacing w:after="0" w:line="39" w:lineRule="exact"/>
        <w:rPr>
          <w:sz w:val="20"/>
          <w:szCs w:val="20"/>
          <w:color w:val="auto"/>
        </w:rPr>
      </w:pPr>
    </w:p>
    <w:p>
      <w:pPr>
        <w:ind w:left="200" w:right="2460" w:hanging="179"/>
        <w:spacing w:after="0" w:line="281" w:lineRule="auto"/>
        <w:rPr>
          <w:sz w:val="20"/>
          <w:szCs w:val="20"/>
          <w:color w:val="auto"/>
        </w:rPr>
      </w:pPr>
      <w:r>
        <w:rPr>
          <w:rFonts w:ascii="Arial" w:cs="Arial" w:eastAsia="Arial" w:hAnsi="Arial"/>
          <w:sz w:val="16"/>
          <w:szCs w:val="16"/>
          <w:color w:val="auto"/>
        </w:rPr>
        <w:t>CASH FLOWS FROM OPERATING ACTIVITIES Net income</w:t>
      </w:r>
    </w:p>
    <w:p>
      <w:pPr>
        <w:spacing w:after="0" w:line="1" w:lineRule="exact"/>
        <w:rPr>
          <w:sz w:val="20"/>
          <w:szCs w:val="20"/>
          <w:color w:val="auto"/>
        </w:rPr>
      </w:pPr>
    </w:p>
    <w:p>
      <w:pPr>
        <w:ind w:left="380" w:right="1480" w:hanging="188"/>
        <w:spacing w:after="0" w:line="281" w:lineRule="auto"/>
        <w:rPr>
          <w:sz w:val="20"/>
          <w:szCs w:val="20"/>
          <w:color w:val="auto"/>
        </w:rPr>
      </w:pPr>
      <w:r>
        <w:rPr>
          <w:rFonts w:ascii="Arial" w:cs="Arial" w:eastAsia="Arial" w:hAnsi="Arial"/>
          <w:sz w:val="16"/>
          <w:szCs w:val="16"/>
          <w:color w:val="auto"/>
        </w:rPr>
        <w:t>Adjustments to reconcile net income to net cash provided by operating activities:</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Depreciation</w:t>
      </w:r>
    </w:p>
    <w:p>
      <w:pPr>
        <w:spacing w:after="0" w:line="32" w:lineRule="exact"/>
        <w:rPr>
          <w:sz w:val="20"/>
          <w:szCs w:val="20"/>
          <w:color w:val="auto"/>
        </w:rPr>
      </w:pPr>
    </w:p>
    <w:p>
      <w:pPr>
        <w:ind w:left="560" w:right="1880"/>
        <w:spacing w:after="0" w:line="281" w:lineRule="auto"/>
        <w:rPr>
          <w:sz w:val="20"/>
          <w:szCs w:val="20"/>
          <w:color w:val="auto"/>
        </w:rPr>
      </w:pPr>
      <w:r>
        <w:rPr>
          <w:rFonts w:ascii="Arial" w:cs="Arial" w:eastAsia="Arial" w:hAnsi="Arial"/>
          <w:sz w:val="16"/>
          <w:szCs w:val="16"/>
          <w:color w:val="auto"/>
        </w:rPr>
        <w:t>Deferred income taxes and investment tax credits Other</w:t>
      </w:r>
    </w:p>
    <w:p>
      <w:pPr>
        <w:spacing w:after="0" w:line="1" w:lineRule="exact"/>
        <w:rPr>
          <w:sz w:val="20"/>
          <w:szCs w:val="20"/>
          <w:color w:val="auto"/>
        </w:rPr>
      </w:pPr>
    </w:p>
    <w:p>
      <w:pPr>
        <w:ind w:left="200" w:right="2340"/>
        <w:spacing w:after="0" w:line="290" w:lineRule="auto"/>
        <w:rPr>
          <w:sz w:val="20"/>
          <w:szCs w:val="20"/>
          <w:color w:val="auto"/>
        </w:rPr>
      </w:pPr>
      <w:r>
        <w:rPr>
          <w:rFonts w:ascii="Arial" w:cs="Arial" w:eastAsia="Arial" w:hAnsi="Arial"/>
          <w:sz w:val="16"/>
          <w:szCs w:val="16"/>
          <w:color w:val="auto"/>
        </w:rPr>
        <w:t>Net change in other working capital components Changes in other assets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Changes in other liabilities</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cash provided by operating activities</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FLOWS FROM INVESTING ACTIVITIES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Expenditures for property, plant and equipment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Increase in loans to affiliates, net</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cash used in investing activities</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FLOWS FROM FINANCING ACTIVITIES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dividends paid</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cash used in financing activities</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Increase in cash and cash equivalents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January 1</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March 31</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SUPPLEMENTAL DISCLOSURE OF CASH FLOW INFORMATION</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Interest payments, net of amounts capitalized</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Income tax refunds</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left="20"/>
        <w:spacing w:after="0"/>
        <w:tabs>
          <w:tab w:leader="none" w:pos="980" w:val="left"/>
          <w:tab w:leader="none" w:pos="2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59 $</w:t>
      </w:r>
      <w:r>
        <w:rPr>
          <w:sz w:val="20"/>
          <w:szCs w:val="20"/>
          <w:color w:val="auto"/>
        </w:rPr>
        <w:tab/>
      </w:r>
      <w:r>
        <w:rPr>
          <w:rFonts w:ascii="Arial" w:cs="Arial" w:eastAsia="Arial" w:hAnsi="Arial"/>
          <w:sz w:val="16"/>
          <w:szCs w:val="16"/>
          <w:color w:val="auto"/>
        </w:rPr>
        <w:t>57</w:t>
      </w:r>
    </w:p>
    <w:p>
      <w:pPr>
        <w:spacing w:after="0" w:line="200" w:lineRule="exact"/>
        <w:rPr>
          <w:sz w:val="20"/>
          <w:szCs w:val="20"/>
          <w:color w:val="auto"/>
        </w:rPr>
      </w:pPr>
    </w:p>
    <w:p>
      <w:pPr>
        <w:spacing w:after="0" w:line="264" w:lineRule="exact"/>
        <w:rPr>
          <w:sz w:val="20"/>
          <w:szCs w:val="20"/>
          <w:color w:val="auto"/>
        </w:rPr>
      </w:pPr>
    </w:p>
    <w:p>
      <w:pPr>
        <w:ind w:left="1000"/>
        <w:spacing w:after="0"/>
        <w:tabs>
          <w:tab w:leader="none" w:pos="2200"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6"/>
          <w:szCs w:val="16"/>
          <w:color w:val="auto"/>
        </w:rPr>
        <w:t>71</w:t>
      </w:r>
    </w:p>
    <w:p>
      <w:pPr>
        <w:spacing w:after="0" w:line="32" w:lineRule="exact"/>
        <w:rPr>
          <w:sz w:val="20"/>
          <w:szCs w:val="20"/>
          <w:color w:val="auto"/>
        </w:rPr>
      </w:pPr>
    </w:p>
    <w:p>
      <w:pPr>
        <w:ind w:left="2240" w:hanging="1159"/>
        <w:spacing w:after="0"/>
        <w:tabs>
          <w:tab w:leader="none" w:pos="22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(3)</w:t>
      </w:r>
    </w:p>
    <w:p>
      <w:pPr>
        <w:spacing w:after="0" w:line="32" w:lineRule="exact"/>
        <w:rPr>
          <w:sz w:val="20"/>
          <w:szCs w:val="20"/>
          <w:color w:val="auto"/>
        </w:rPr>
      </w:pPr>
    </w:p>
    <w:p>
      <w:pPr>
        <w:ind w:left="2300" w:hanging="1219"/>
        <w:spacing w:after="0"/>
        <w:tabs>
          <w:tab w:leader="none" w:pos="2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1</w:t>
      </w:r>
    </w:p>
    <w:p>
      <w:pPr>
        <w:spacing w:after="0" w:line="32" w:lineRule="exact"/>
        <w:rPr>
          <w:sz w:val="20"/>
          <w:szCs w:val="20"/>
          <w:color w:val="auto"/>
        </w:rPr>
      </w:pPr>
    </w:p>
    <w:p>
      <w:pPr>
        <w:ind w:left="900"/>
        <w:spacing w:after="0"/>
        <w:tabs>
          <w:tab w:leader="none" w:pos="2100" w:val="left"/>
        </w:tabs>
        <w:rPr>
          <w:sz w:val="20"/>
          <w:szCs w:val="20"/>
          <w:color w:val="auto"/>
        </w:rPr>
      </w:pPr>
      <w:r>
        <w:rPr>
          <w:rFonts w:ascii="Arial" w:cs="Arial" w:eastAsia="Arial" w:hAnsi="Arial"/>
          <w:sz w:val="16"/>
          <w:szCs w:val="16"/>
          <w:color w:val="auto"/>
        </w:rPr>
        <w:t>357</w:t>
      </w:r>
      <w:r>
        <w:rPr>
          <w:sz w:val="20"/>
          <w:szCs w:val="20"/>
          <w:color w:val="auto"/>
        </w:rPr>
        <w:tab/>
      </w:r>
      <w:r>
        <w:rPr>
          <w:rFonts w:ascii="Arial" w:cs="Arial" w:eastAsia="Arial" w:hAnsi="Arial"/>
          <w:sz w:val="16"/>
          <w:szCs w:val="16"/>
          <w:color w:val="auto"/>
        </w:rPr>
        <w:t>456</w:t>
      </w:r>
    </w:p>
    <w:p>
      <w:pPr>
        <w:spacing w:after="0" w:line="32" w:lineRule="exact"/>
        <w:rPr>
          <w:sz w:val="20"/>
          <w:szCs w:val="20"/>
          <w:color w:val="auto"/>
        </w:rPr>
      </w:pPr>
    </w:p>
    <w:p>
      <w:pPr>
        <w:ind w:left="2300" w:hanging="1219"/>
        <w:spacing w:after="0"/>
        <w:tabs>
          <w:tab w:leader="none" w:pos="2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2</w:t>
      </w:r>
    </w:p>
    <w:p>
      <w:pPr>
        <w:spacing w:after="0" w:line="32" w:lineRule="exact"/>
        <w:rPr>
          <w:sz w:val="20"/>
          <w:szCs w:val="20"/>
          <w:color w:val="auto"/>
        </w:rPr>
      </w:pPr>
    </w:p>
    <w:p>
      <w:pPr>
        <w:ind w:left="2160" w:hanging="1142"/>
        <w:spacing w:after="0"/>
        <w:tabs>
          <w:tab w:leader="none" w:pos="21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15608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6" w:lineRule="exact"/>
        <w:rPr>
          <w:sz w:val="20"/>
          <w:szCs w:val="20"/>
          <w:color w:val="auto"/>
        </w:rPr>
      </w:pPr>
    </w:p>
    <w:p>
      <w:pPr>
        <w:ind w:left="900"/>
        <w:spacing w:after="0"/>
        <w:tabs>
          <w:tab w:leader="none" w:pos="2100" w:val="left"/>
        </w:tabs>
        <w:rPr>
          <w:sz w:val="20"/>
          <w:szCs w:val="20"/>
          <w:color w:val="auto"/>
        </w:rPr>
      </w:pPr>
      <w:r>
        <w:rPr>
          <w:rFonts w:ascii="Arial" w:cs="Arial" w:eastAsia="Arial" w:hAnsi="Arial"/>
          <w:sz w:val="16"/>
          <w:szCs w:val="16"/>
          <w:color w:val="auto"/>
        </w:rPr>
        <w:t>499</w:t>
      </w:r>
      <w:r>
        <w:rPr>
          <w:sz w:val="20"/>
          <w:szCs w:val="20"/>
          <w:color w:val="auto"/>
        </w:rPr>
        <w:tab/>
      </w:r>
      <w:r>
        <w:rPr>
          <w:rFonts w:ascii="Arial" w:cs="Arial" w:eastAsia="Arial" w:hAnsi="Arial"/>
          <w:sz w:val="16"/>
          <w:szCs w:val="16"/>
          <w:color w:val="auto"/>
        </w:rPr>
        <w:t>569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15608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2060" w:hanging="1223"/>
        <w:spacing w:after="0"/>
        <w:tabs>
          <w:tab w:leader="none" w:pos="20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(116)</w:t>
      </w:r>
    </w:p>
    <w:p>
      <w:pPr>
        <w:spacing w:after="0" w:line="32" w:lineRule="exact"/>
        <w:rPr>
          <w:sz w:val="20"/>
          <w:szCs w:val="20"/>
          <w:color w:val="auto"/>
        </w:rPr>
      </w:pPr>
    </w:p>
    <w:p>
      <w:pPr>
        <w:ind w:left="2160" w:hanging="998"/>
        <w:spacing w:after="0"/>
        <w:tabs>
          <w:tab w:leader="none" w:pos="2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15608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6" w:lineRule="exact"/>
        <w:rPr>
          <w:sz w:val="20"/>
          <w:szCs w:val="20"/>
          <w:color w:val="auto"/>
        </w:rPr>
      </w:pPr>
    </w:p>
    <w:p>
      <w:pPr>
        <w:ind w:left="2060" w:hanging="1223"/>
        <w:spacing w:after="0"/>
        <w:tabs>
          <w:tab w:leader="none" w:pos="20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15608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r>
      <w:tr>
        <w:trPr>
          <w:trHeight w:val="210"/>
        </w:trPr>
        <w:tc>
          <w:tcPr>
            <w:tcW w:w="5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r>
      <w:tr>
        <w:trPr>
          <w:trHeight w:val="423"/>
        </w:trPr>
        <w:tc>
          <w:tcPr>
            <w:tcW w:w="5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387</w:t>
            </w:r>
          </w:p>
        </w:tc>
        <w:tc>
          <w:tcPr>
            <w:tcW w:w="4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292</w:t>
            </w:r>
          </w:p>
        </w:tc>
      </w:tr>
      <w:tr>
        <w:trPr>
          <w:trHeight w:val="219"/>
        </w:trPr>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r>
      <w:tr>
        <w:trPr>
          <w:trHeight w:val="210"/>
        </w:trPr>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593</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351</w:t>
            </w:r>
          </w:p>
        </w:tc>
      </w:tr>
      <w:tr>
        <w:trPr>
          <w:trHeight w:val="84"/>
        </w:trPr>
        <w:tc>
          <w:tcPr>
            <w:tcW w:w="50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r>
      <w:tr>
        <w:trPr>
          <w:trHeight w:val="645"/>
        </w:trPr>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84"/>
        </w:trPr>
        <w:tc>
          <w:tcPr>
            <w:tcW w:w="50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r>
      <w:tr>
        <w:trPr>
          <w:trHeight w:val="429"/>
        </w:trPr>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(23)</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84"/>
        </w:trPr>
        <w:tc>
          <w:tcPr>
            <w:tcW w:w="50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2">
            <w:col w:w="6000" w:space="720"/>
            <w:col w:w="3499"/>
          </w:cols>
          <w:pgMar w:left="240" w:top="175" w:right="1440" w:bottom="1440" w:gutter="0" w:footer="0" w:header="0"/>
          <w:type w:val="continuous"/>
        </w:sectPr>
      </w:pP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20" w:type="dxa"/>
            <w:vAlign w:val="bottom"/>
          </w:tcPr>
          <w:p>
            <w:pPr>
              <w:ind w:left="20"/>
              <w:spacing w:after="0"/>
              <w:rPr>
                <w:sz w:val="20"/>
                <w:szCs w:val="20"/>
                <w:color w:val="auto"/>
              </w:rPr>
            </w:pPr>
            <w:r>
              <w:rPr>
                <w:rFonts w:ascii="Arial" w:cs="Arial" w:eastAsia="Arial" w:hAnsi="Arial"/>
                <w:sz w:val="16"/>
                <w:szCs w:val="16"/>
                <w:color w:val="auto"/>
              </w:rPr>
              <w:t>SUPPLEMENTAL DISCLOSURE OF NONCASH ACTIVITIES</w:t>
            </w: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6"/>
                <w:szCs w:val="16"/>
                <w:color w:val="auto"/>
              </w:rPr>
              <w:t>Decrease in accounts payable from investments in property, plant</w:t>
            </w: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20" w:type="dxa"/>
            <w:vAlign w:val="bottom"/>
            <w:vMerge w:val="restart"/>
          </w:tcPr>
          <w:p>
            <w:pPr>
              <w:ind w:left="380"/>
              <w:spacing w:after="0"/>
              <w:rPr>
                <w:sz w:val="20"/>
                <w:szCs w:val="20"/>
                <w:color w:val="auto"/>
              </w:rPr>
            </w:pPr>
            <w:r>
              <w:rPr>
                <w:rFonts w:ascii="Arial" w:cs="Arial" w:eastAsia="Arial" w:hAnsi="Arial"/>
                <w:sz w:val="16"/>
                <w:szCs w:val="16"/>
                <w:color w:val="auto"/>
              </w:rPr>
              <w:t>and equipment</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19"/>
              <w:spacing w:after="0"/>
              <w:rPr>
                <w:sz w:val="20"/>
                <w:szCs w:val="20"/>
                <w:color w:val="auto"/>
              </w:rPr>
            </w:pPr>
            <w:r>
              <w:rPr>
                <w:rFonts w:ascii="Arial" w:cs="Arial" w:eastAsia="Arial" w:hAnsi="Arial"/>
                <w:sz w:val="16"/>
                <w:szCs w:val="16"/>
                <w:color w:val="auto"/>
              </w:rPr>
              <w:t>(15) $</w:t>
            </w:r>
          </w:p>
        </w:tc>
        <w:tc>
          <w:tcPr>
            <w:tcW w:w="72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84"/>
        </w:trPr>
        <w:tc>
          <w:tcPr>
            <w:tcW w:w="6720" w:type="dxa"/>
            <w:vAlign w:val="bottom"/>
            <w:vMerge w:val="continue"/>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122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9"/>
        </w:trPr>
        <w:tc>
          <w:tcPr>
            <w:tcW w:w="6720" w:type="dxa"/>
            <w:vAlign w:val="bottom"/>
          </w:tcPr>
          <w:p>
            <w:pPr>
              <w:ind w:left="200"/>
              <w:spacing w:after="0"/>
              <w:rPr>
                <w:sz w:val="20"/>
                <w:szCs w:val="20"/>
                <w:color w:val="auto"/>
              </w:rPr>
            </w:pPr>
            <w:r>
              <w:rPr>
                <w:rFonts w:ascii="Arial" w:cs="Arial" w:eastAsia="Arial" w:hAnsi="Arial"/>
                <w:sz w:val="16"/>
                <w:szCs w:val="16"/>
                <w:color w:val="auto"/>
              </w:rPr>
              <w:t>Dividends declared but not paid</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19"/>
              <w:spacing w:after="0"/>
              <w:rPr>
                <w:sz w:val="20"/>
                <w:szCs w:val="20"/>
                <w:color w:val="auto"/>
              </w:rPr>
            </w:pPr>
            <w:r>
              <w:rPr>
                <w:rFonts w:ascii="Arial" w:cs="Arial" w:eastAsia="Arial" w:hAnsi="Arial"/>
                <w:sz w:val="16"/>
                <w:szCs w:val="16"/>
                <w:color w:val="auto"/>
              </w:rPr>
              <w:t>- $</w:t>
            </w:r>
          </w:p>
        </w:tc>
        <w:tc>
          <w:tcPr>
            <w:tcW w:w="72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84"/>
        </w:trPr>
        <w:tc>
          <w:tcPr>
            <w:tcW w:w="672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122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75" w:right="1440"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23"/>
          <w:szCs w:val="23"/>
          <w:color w:val="auto"/>
        </w:rPr>
        <w:t>SEMPRA ENERGY AND SUBSIDIARIES</w:t>
      </w:r>
    </w:p>
    <w:p>
      <w:pPr>
        <w:spacing w:after="0" w:line="6" w:lineRule="exact"/>
        <w:rPr>
          <w:sz w:val="20"/>
          <w:szCs w:val="20"/>
          <w:color w:val="auto"/>
        </w:rPr>
      </w:pPr>
    </w:p>
    <w:p>
      <w:pPr>
        <w:spacing w:after="0"/>
        <w:rPr>
          <w:sz w:val="20"/>
          <w:szCs w:val="20"/>
          <w:color w:val="auto"/>
        </w:rPr>
      </w:pPr>
      <w:r>
        <w:rPr>
          <w:rFonts w:ascii="Arial" w:cs="Arial" w:eastAsia="Arial" w:hAnsi="Arial"/>
          <w:sz w:val="23"/>
          <w:szCs w:val="23"/>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color w:val="auto"/>
        </w:rPr>
        <w:t>NOTE 1. GENERAL</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PRINCIPLES OF CONSOLIDATION</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color w:val="auto"/>
        </w:rPr>
        <w:t>Sempra Energy's Condensed Consolidated Financial Statements include the accounts of Sempra Energy, a California-based Fortune 500 holding company, its consolidated subsidiaries, and a variable interest entity. Sempra Energy’s principal subsidiaries are the following:</w:t>
      </w:r>
    </w:p>
    <w:p>
      <w:pPr>
        <w:spacing w:after="0" w:line="11" w:lineRule="exact"/>
        <w:rPr>
          <w:sz w:val="20"/>
          <w:szCs w:val="20"/>
          <w:color w:val="auto"/>
        </w:rPr>
      </w:pPr>
    </w:p>
    <w:p>
      <w:pPr>
        <w:ind w:left="180" w:right="1720" w:hanging="172"/>
        <w:spacing w:after="0" w:line="249" w:lineRule="auto"/>
        <w:tabs>
          <w:tab w:leader="none" w:pos="1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San Diego Gas &amp; Electric Company (SDG&amp;E) and Southern California Gas Company (SoCalGas), which we collectively refer to as the Sempra Utilities; and</w:t>
      </w:r>
    </w:p>
    <w:p>
      <w:pPr>
        <w:spacing w:after="0" w:line="1" w:lineRule="exact"/>
        <w:rPr>
          <w:rFonts w:ascii="Arial" w:cs="Arial" w:eastAsia="Arial" w:hAnsi="Arial"/>
          <w:sz w:val="22"/>
          <w:szCs w:val="22"/>
          <w:color w:val="auto"/>
        </w:rPr>
      </w:pPr>
    </w:p>
    <w:p>
      <w:pPr>
        <w:ind w:left="180" w:right="1340" w:hanging="172"/>
        <w:spacing w:after="0" w:line="251" w:lineRule="auto"/>
        <w:tabs>
          <w:tab w:leader="none" w:pos="1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Sempra Global, which is the holding company for Sempra Commodities, Sempra Generation, Sempra Pipelines &amp; Storage, Sempra LNG and other, smaller businesses.</w:t>
      </w:r>
    </w:p>
    <w:p>
      <w:pPr>
        <w:spacing w:after="0" w:line="92" w:lineRule="exact"/>
        <w:rPr>
          <w:sz w:val="20"/>
          <w:szCs w:val="20"/>
          <w:color w:val="auto"/>
        </w:rPr>
      </w:pPr>
    </w:p>
    <w:p>
      <w:pPr>
        <w:ind w:right="700"/>
        <w:spacing w:after="0" w:line="251" w:lineRule="auto"/>
        <w:rPr>
          <w:sz w:val="20"/>
          <w:szCs w:val="20"/>
          <w:color w:val="auto"/>
        </w:rPr>
      </w:pPr>
      <w:r>
        <w:rPr>
          <w:rFonts w:ascii="Arial" w:cs="Arial" w:eastAsia="Arial" w:hAnsi="Arial"/>
          <w:sz w:val="22"/>
          <w:szCs w:val="22"/>
          <w:color w:val="auto"/>
        </w:rPr>
        <w:t>Sempra Energy uses the equity method to account for investments in affiliated companies over which we have the ability to exercise significant influence, but not control.</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49"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SDG&amp;E's Condensed Consolidated Financial Statements include its accounts, the accounts of its sole subsidiary, SDG&amp;E Funding LLC, and the accounts of Otay Mesa Energy Center LLC (Otay Mesa VIE), a variable interest entity of which SDG&amp;E is the primary beneficiary, as discussed in Note 5 under "Variable Interest Entities." SDG&amp;E’s common stock is wholly owned by Enova Corporation, which is a wholly owned subsidiary of Sempra Energy. The activities of SDG&amp;E Funding LLC were substantially complete in 2007, and the entity was dissolved in 2008.</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Pacific Enterprises and SoCalGas</w:t>
      </w:r>
    </w:p>
    <w:p>
      <w:pPr>
        <w:spacing w:after="0" w:line="36"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The Condensed Consolidated Financial Statements of Pacific Enterprises include the accounts of Pacific Enterprises (PE) and its subsidiary, SoCalGas. Sempra Energy owns all of PE’s common stock and PE owns all of SoCalGas’ common stock. SoCalGas’ Condensed Consolidated Financial Statements include its subsidiaries, which comprise less than one percent of its consolidated financial position and results of operations.</w:t>
      </w:r>
    </w:p>
    <w:p>
      <w:pPr>
        <w:spacing w:after="0" w:line="6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PE's operations consist solely of those of SoCalGas and additional items (e.g., cash, intercompany accounts and equity) attributable to being a holding company for SoCalGas.</w:t>
      </w: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PRESENTATION</w:t>
      </w:r>
    </w:p>
    <w:p>
      <w:pPr>
        <w:spacing w:after="0" w:line="96" w:lineRule="exact"/>
        <w:rPr>
          <w:sz w:val="20"/>
          <w:szCs w:val="20"/>
          <w:color w:val="auto"/>
        </w:rPr>
      </w:pPr>
    </w:p>
    <w:p>
      <w:pPr>
        <w:ind w:right="280"/>
        <w:spacing w:after="0" w:line="287" w:lineRule="auto"/>
        <w:rPr>
          <w:sz w:val="20"/>
          <w:szCs w:val="20"/>
          <w:color w:val="auto"/>
        </w:rPr>
      </w:pPr>
      <w:r>
        <w:rPr>
          <w:rFonts w:ascii="Arial" w:cs="Arial" w:eastAsia="Arial" w:hAnsi="Arial"/>
          <w:sz w:val="19"/>
          <w:szCs w:val="19"/>
          <w:color w:val="auto"/>
        </w:rPr>
        <w:t>This is a combined report of Sempra Energy, SDG&amp;E, PE and SoCalGas. We provide separate information for SDG&amp;E, PE and SoCalGas as required. When only information for SoCalGas is provided, it is the same for PE. References in this report to "we," "our" and "Sempra Energy Consolidated" are to Sempra Energy and its consolidated entities, unless otherwise indicated by the context. We have eliminated intercompany accounts and transactions within each set of consolidated financial statements.</w:t>
      </w:r>
    </w:p>
    <w:p>
      <w:pPr>
        <w:spacing w:after="0" w:line="22" w:lineRule="exact"/>
        <w:rPr>
          <w:sz w:val="20"/>
          <w:szCs w:val="20"/>
          <w:color w:val="auto"/>
        </w:rPr>
      </w:pPr>
    </w:p>
    <w:p>
      <w:pPr>
        <w:ind w:right="140"/>
        <w:spacing w:after="0" w:line="282" w:lineRule="auto"/>
        <w:rPr>
          <w:sz w:val="20"/>
          <w:szCs w:val="20"/>
          <w:color w:val="auto"/>
        </w:rPr>
      </w:pPr>
      <w:r>
        <w:rPr>
          <w:rFonts w:ascii="Arial" w:cs="Arial" w:eastAsia="Arial" w:hAnsi="Arial"/>
          <w:sz w:val="19"/>
          <w:szCs w:val="19"/>
          <w:color w:val="auto"/>
        </w:rPr>
        <w:t>We have prepared the Condensed Consolidated Financial Statements in conformity with accounting principles generally accepted in the United States of America (GAAP) and in accordance with the interim-period-reporting requirements of Form 10-Q. Results of operations for interim periods are not necessarily indicative of results for the entire year. In the opinion of management, the accompanying statements reflect all adjustments necessary for a fair presentation. These adjustments are only of a normal, recurring nature, except as we discuss below in "Presentation of Preferred Securities" and in Note 2.</w:t>
      </w:r>
    </w:p>
    <w:p>
      <w:pPr>
        <w:sectPr>
          <w:pgSz w:w="11900" w:h="16838" w:orient="portrait"/>
          <w:cols w:equalWidth="0" w:num="1">
            <w:col w:w="11380"/>
          </w:cols>
          <w:pgMar w:left="240" w:top="144" w:right="279" w:bottom="1440" w:gutter="0" w:footer="0" w:header="0"/>
        </w:sectPr>
      </w:pPr>
    </w:p>
    <w:bookmarkStart w:id="22" w:name="page23"/>
    <w:bookmarkEnd w:id="22"/>
    <w:p>
      <w:pPr>
        <w:ind w:right="180"/>
        <w:spacing w:after="0" w:line="319" w:lineRule="auto"/>
        <w:rPr>
          <w:sz w:val="20"/>
          <w:szCs w:val="20"/>
          <w:color w:val="auto"/>
        </w:rPr>
      </w:pPr>
      <w:r>
        <w:rPr>
          <w:rFonts w:ascii="Arial" w:cs="Arial" w:eastAsia="Arial" w:hAnsi="Arial"/>
          <w:sz w:val="19"/>
          <w:szCs w:val="19"/>
          <w:color w:val="auto"/>
        </w:rPr>
        <w:t>You should read the information in this Quarterly Report in conjunction with our Annual Report on Form 10-K for the year ended December 31, 2008 (the Annual Report), which is a combined report for Sempra Energy, SDG&amp;E, PE and SoCalGas.</w:t>
      </w:r>
    </w:p>
    <w:p>
      <w:pPr>
        <w:spacing w:after="0"/>
        <w:rPr>
          <w:sz w:val="20"/>
          <w:szCs w:val="20"/>
          <w:color w:val="auto"/>
        </w:rPr>
      </w:pPr>
      <w:r>
        <w:rPr>
          <w:rFonts w:ascii="Arial" w:cs="Arial" w:eastAsia="Arial" w:hAnsi="Arial"/>
          <w:sz w:val="22"/>
          <w:szCs w:val="22"/>
          <w:color w:val="auto"/>
        </w:rPr>
        <w:t>Our significant accounting policies are described in Note 1 of the Notes to Consolidated Financial Statements in the Annual Report. We follow the same accounting policies for interim reporting purposes, except for the adoption of new accounting standards as we discuss in Note 2.</w:t>
      </w:r>
    </w:p>
    <w:p>
      <w:pPr>
        <w:spacing w:after="0" w:line="51"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 xml:space="preserve">The Sempra Utilities account for the economic effects of regulation on utility operations in accordance with SFAS 71, </w:t>
      </w:r>
      <w:r>
        <w:rPr>
          <w:rFonts w:ascii="Arial" w:cs="Arial" w:eastAsia="Arial" w:hAnsi="Arial"/>
          <w:sz w:val="22"/>
          <w:szCs w:val="22"/>
          <w:i w:val="1"/>
          <w:iCs w:val="1"/>
          <w:color w:val="auto"/>
        </w:rPr>
        <w:t>Accounting</w:t>
      </w:r>
      <w:r>
        <w:rPr>
          <w:rFonts w:ascii="Arial" w:cs="Arial" w:eastAsia="Arial" w:hAnsi="Arial"/>
          <w:sz w:val="22"/>
          <w:szCs w:val="22"/>
          <w:color w:val="auto"/>
        </w:rPr>
        <w:t xml:space="preserve"> </w:t>
      </w:r>
      <w:r>
        <w:rPr>
          <w:rFonts w:ascii="Arial" w:cs="Arial" w:eastAsia="Arial" w:hAnsi="Arial"/>
          <w:sz w:val="22"/>
          <w:szCs w:val="22"/>
          <w:i w:val="1"/>
          <w:iCs w:val="1"/>
          <w:color w:val="auto"/>
        </w:rPr>
        <w:t>for the Effects of Certain Types of Regulation</w:t>
      </w:r>
      <w:r>
        <w:rPr>
          <w:rFonts w:ascii="Arial" w:cs="Arial" w:eastAsia="Arial" w:hAnsi="Arial"/>
          <w:sz w:val="22"/>
          <w:szCs w:val="22"/>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Presentation of Preferred Securities</w:t>
      </w:r>
    </w:p>
    <w:p>
      <w:pPr>
        <w:spacing w:after="0" w:line="49" w:lineRule="exact"/>
        <w:rPr>
          <w:sz w:val="20"/>
          <w:szCs w:val="20"/>
          <w:color w:val="auto"/>
        </w:rPr>
      </w:pPr>
    </w:p>
    <w:p>
      <w:pPr>
        <w:ind w:right="80"/>
        <w:spacing w:after="0" w:line="244" w:lineRule="auto"/>
        <w:rPr>
          <w:sz w:val="20"/>
          <w:szCs w:val="20"/>
          <w:color w:val="auto"/>
        </w:rPr>
      </w:pPr>
      <w:r>
        <w:rPr>
          <w:rFonts w:ascii="Arial" w:cs="Arial" w:eastAsia="Arial" w:hAnsi="Arial"/>
          <w:sz w:val="21"/>
          <w:szCs w:val="21"/>
          <w:color w:val="auto"/>
        </w:rPr>
        <w:t xml:space="preserve">In connection with the adoption of Statement of Financial Accounting Standards (SFAS) 160, </w:t>
      </w:r>
      <w:r>
        <w:rPr>
          <w:rFonts w:ascii="Arial" w:cs="Arial" w:eastAsia="Arial" w:hAnsi="Arial"/>
          <w:sz w:val="21"/>
          <w:szCs w:val="21"/>
          <w:i w:val="1"/>
          <w:iCs w:val="1"/>
          <w:color w:val="auto"/>
        </w:rPr>
        <w:t>Noncontrolling Interests in</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Consolidated Financial Statements – an amendment of ARB No. 51 </w:t>
      </w:r>
      <w:r>
        <w:rPr>
          <w:rFonts w:ascii="Arial" w:cs="Arial" w:eastAsia="Arial" w:hAnsi="Arial"/>
          <w:sz w:val="21"/>
          <w:szCs w:val="21"/>
          <w:color w:val="auto"/>
        </w:rPr>
        <w:t>(SFAS 160), as we discuss in Note 2, we evaluated the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requirements of Emerging Issues Task Force (EITF) Topic No. 98, </w:t>
      </w:r>
      <w:r>
        <w:rPr>
          <w:rFonts w:ascii="Arial" w:cs="Arial" w:eastAsia="Arial" w:hAnsi="Arial"/>
          <w:sz w:val="21"/>
          <w:szCs w:val="21"/>
          <w:i w:val="1"/>
          <w:iCs w:val="1"/>
          <w:color w:val="auto"/>
        </w:rPr>
        <w:t>Classification and Measurement of Redeemable Securities</w:t>
      </w:r>
      <w:r>
        <w:rPr>
          <w:rFonts w:ascii="Arial" w:cs="Arial" w:eastAsia="Arial" w:hAnsi="Arial"/>
          <w:sz w:val="21"/>
          <w:szCs w:val="21"/>
          <w:color w:val="auto"/>
        </w:rPr>
        <w:t xml:space="preserve"> (Topic D-98), with respect to the presentation of preferred securities. In previously issued financial statements, SDG&amp;E classified certain preferred securities within the shareholders' equity section of the balance sheet. These preferred securities contain a contingent redemption feature that allows the holder to elect a majority of SDG&amp;E's board of directors if dividends are not paid for eight consecutive quarters. Because such a redemption triggering event is not solely within the control of SDG&amp;E, SDG&amp;E has concluded that these preferred securities should have been pr esented separate from and outside of shareholders' equity in a manner consistent with temporary equity defined in Topic D-98. Although SDG&amp;E believes that the effects are not material to the previously issued balance sheets, SDG&amp;E has corrected the classification of these amounts as of December 31, 2008 for comparability purposes. This change, which affects preferred securities totaling $79 million at December 31, 2008 and March 31, 2009, affects only the balance sheet presentation of equity accounts and has no impact on earnings or on cash flows for any period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NOTE 2. NEW ACCOUNTING STANDARDS</w:t>
      </w:r>
    </w:p>
    <w:p>
      <w:pPr>
        <w:spacing w:after="0" w:line="63" w:lineRule="exact"/>
        <w:rPr>
          <w:sz w:val="20"/>
          <w:szCs w:val="20"/>
          <w:color w:val="auto"/>
        </w:rPr>
      </w:pPr>
    </w:p>
    <w:p>
      <w:pPr>
        <w:jc w:val="both"/>
        <w:ind w:right="280"/>
        <w:spacing w:after="0"/>
        <w:rPr>
          <w:sz w:val="20"/>
          <w:szCs w:val="20"/>
          <w:color w:val="auto"/>
        </w:rPr>
      </w:pPr>
      <w:r>
        <w:rPr>
          <w:rFonts w:ascii="Arial" w:cs="Arial" w:eastAsia="Arial" w:hAnsi="Arial"/>
          <w:sz w:val="22"/>
          <w:szCs w:val="22"/>
          <w:color w:val="auto"/>
        </w:rPr>
        <w:t>We describe below recent pronouncements that have had or may have a significant effect on our financial statements. We do not discuss recent pronouncements that are not anticipated to have an impact on or are unrelated to our financial condition, results of operations, or disclosures.</w:t>
      </w: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SEMPRA ENERGY, SDG&amp;E, PE AND SOCALGAS</w:t>
      </w:r>
    </w:p>
    <w:p>
      <w:pPr>
        <w:spacing w:after="0" w:line="96" w:lineRule="exact"/>
        <w:rPr>
          <w:sz w:val="20"/>
          <w:szCs w:val="20"/>
          <w:color w:val="auto"/>
        </w:rPr>
      </w:pPr>
    </w:p>
    <w:p>
      <w:pPr>
        <w:ind w:right="280"/>
        <w:spacing w:after="0" w:line="297" w:lineRule="auto"/>
        <w:rPr>
          <w:sz w:val="20"/>
          <w:szCs w:val="20"/>
          <w:color w:val="auto"/>
        </w:rPr>
      </w:pPr>
      <w:r>
        <w:rPr>
          <w:rFonts w:ascii="Arial" w:cs="Arial" w:eastAsia="Arial" w:hAnsi="Arial"/>
          <w:sz w:val="19"/>
          <w:szCs w:val="19"/>
          <w:b w:val="1"/>
          <w:bCs w:val="1"/>
          <w:i w:val="1"/>
          <w:iCs w:val="1"/>
          <w:color w:val="auto"/>
        </w:rPr>
        <w:t xml:space="preserve">SFAS 160, "Noncontrolling Interests in Consolidated Financial Statements – an amendment of ARB No. 51" (SFAS 160): </w:t>
      </w:r>
      <w:r>
        <w:rPr>
          <w:rFonts w:ascii="Arial" w:cs="Arial" w:eastAsia="Arial" w:hAnsi="Arial"/>
          <w:sz w:val="19"/>
          <w:szCs w:val="19"/>
          <w:color w:val="auto"/>
        </w:rPr>
        <w:t xml:space="preserve">SFAS 160 amends Accounting Research Bulletin (ARB) No. 51, </w:t>
      </w:r>
      <w:r>
        <w:rPr>
          <w:rFonts w:ascii="Arial" w:cs="Arial" w:eastAsia="Arial" w:hAnsi="Arial"/>
          <w:sz w:val="19"/>
          <w:szCs w:val="19"/>
          <w:i w:val="1"/>
          <w:iCs w:val="1"/>
          <w:color w:val="auto"/>
        </w:rPr>
        <w:t>Consolidated Financial Statements</w:t>
      </w:r>
      <w:r>
        <w:rPr>
          <w:rFonts w:ascii="Arial" w:cs="Arial" w:eastAsia="Arial" w:hAnsi="Arial"/>
          <w:sz w:val="19"/>
          <w:szCs w:val="19"/>
          <w:color w:val="auto"/>
        </w:rPr>
        <w:t>, to establish accounting and reporting standards for ownership interests in subsidiaries held by parties other than the parent.</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SFAS 160 provides guidance on the following:</w:t>
      </w:r>
    </w:p>
    <w:p>
      <w:pPr>
        <w:spacing w:after="0" w:line="31"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how to report noncontrolling interests in a subsidiary in consolidated financial statements;</w:t>
      </w:r>
    </w:p>
    <w:p>
      <w:pPr>
        <w:spacing w:after="0" w:line="21" w:lineRule="exact"/>
        <w:rPr>
          <w:rFonts w:ascii="Arial" w:cs="Arial" w:eastAsia="Arial" w:hAnsi="Arial"/>
          <w:sz w:val="22"/>
          <w:szCs w:val="22"/>
          <w:color w:val="auto"/>
        </w:rPr>
      </w:pPr>
    </w:p>
    <w:p>
      <w:pPr>
        <w:ind w:left="180" w:hanging="172"/>
        <w:spacing w:after="0"/>
        <w:tabs>
          <w:tab w:leader="none" w:pos="1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amount of consolidated net income attributable to the parent and to the noncontrolling interest; and</w:t>
      </w:r>
    </w:p>
    <w:p>
      <w:pPr>
        <w:spacing w:after="0" w:line="30" w:lineRule="exact"/>
        <w:rPr>
          <w:rFonts w:ascii="Arial" w:cs="Arial" w:eastAsia="Arial" w:hAnsi="Arial"/>
          <w:sz w:val="22"/>
          <w:szCs w:val="22"/>
          <w:color w:val="auto"/>
        </w:rPr>
      </w:pPr>
    </w:p>
    <w:p>
      <w:pPr>
        <w:ind w:left="180" w:right="1580" w:hanging="172"/>
        <w:spacing w:after="0" w:line="246" w:lineRule="auto"/>
        <w:tabs>
          <w:tab w:leader="none" w:pos="1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changes in a parent’s ownership interest and the valuation of retained noncontrolling equity investments when a subsidiary is deconsolidated.</w:t>
      </w:r>
    </w:p>
    <w:p>
      <w:pPr>
        <w:spacing w:after="0" w:line="98" w:lineRule="exact"/>
        <w:rPr>
          <w:sz w:val="20"/>
          <w:szCs w:val="20"/>
          <w:color w:val="auto"/>
        </w:rPr>
      </w:pPr>
    </w:p>
    <w:p>
      <w:pPr>
        <w:ind w:right="140"/>
        <w:spacing w:after="0" w:line="252" w:lineRule="auto"/>
        <w:rPr>
          <w:sz w:val="20"/>
          <w:szCs w:val="20"/>
          <w:color w:val="auto"/>
        </w:rPr>
      </w:pPr>
      <w:r>
        <w:rPr>
          <w:rFonts w:ascii="Arial" w:cs="Arial" w:eastAsia="Arial" w:hAnsi="Arial"/>
          <w:sz w:val="21"/>
          <w:szCs w:val="21"/>
          <w:color w:val="auto"/>
        </w:rPr>
        <w:t>We adopted SFAS 160 on January 1, 2009, and the presentation and disclosure requirements must be applied retrospectively. Accordingly, Sempra Energy’s, SDG&amp;E’s and PE's condensed consolidated financial statements at December 31, 2008 and for the three months ended March 31, 2008 have been reclassified to conform to the new presentation. The adoption of SFAS 160 had no impact on SoCalGas’ financial statements. The pronouncement also</w:t>
      </w:r>
    </w:p>
    <w:p>
      <w:pPr>
        <w:sectPr>
          <w:pgSz w:w="11900" w:h="16838" w:orient="portrait"/>
          <w:cols w:equalWidth="0" w:num="1">
            <w:col w:w="11420"/>
          </w:cols>
          <w:pgMar w:left="240" w:top="118" w:right="239" w:bottom="1440" w:gutter="0" w:footer="0" w:header="0"/>
        </w:sectPr>
      </w:pPr>
    </w:p>
    <w:bookmarkStart w:id="23" w:name="page24"/>
    <w:bookmarkEnd w:id="23"/>
    <w:p>
      <w:pPr>
        <w:ind w:right="280"/>
        <w:spacing w:after="0" w:line="251" w:lineRule="auto"/>
        <w:rPr>
          <w:sz w:val="20"/>
          <w:szCs w:val="20"/>
          <w:color w:val="auto"/>
        </w:rPr>
      </w:pPr>
      <w:r>
        <w:rPr>
          <w:rFonts w:ascii="Arial" w:cs="Arial" w:eastAsia="Arial" w:hAnsi="Arial"/>
          <w:sz w:val="22"/>
          <w:szCs w:val="22"/>
          <w:color w:val="auto"/>
        </w:rPr>
        <w:t>requires disclosures that clearly identify and distinguish between the interest of the parent and the interests of the noncontrolling owners. We provide the required disclosure in Note 5.</w:t>
      </w:r>
    </w:p>
    <w:p>
      <w:pPr>
        <w:spacing w:after="0" w:line="52" w:lineRule="exact"/>
        <w:rPr>
          <w:sz w:val="20"/>
          <w:szCs w:val="20"/>
          <w:color w:val="auto"/>
        </w:rPr>
      </w:pPr>
    </w:p>
    <w:p>
      <w:pPr>
        <w:jc w:val="both"/>
        <w:ind w:right="300"/>
        <w:spacing w:after="0"/>
        <w:rPr>
          <w:sz w:val="20"/>
          <w:szCs w:val="20"/>
          <w:color w:val="auto"/>
        </w:rPr>
      </w:pPr>
      <w:r>
        <w:rPr>
          <w:rFonts w:ascii="Arial" w:cs="Arial" w:eastAsia="Arial" w:hAnsi="Arial"/>
          <w:sz w:val="22"/>
          <w:szCs w:val="22"/>
          <w:b w:val="1"/>
          <w:bCs w:val="1"/>
          <w:i w:val="1"/>
          <w:iCs w:val="1"/>
          <w:color w:val="auto"/>
        </w:rPr>
        <w:t xml:space="preserve">SFAS 161, "Disclosures about Derivative Instruments and Hedging Activities – an amendment of FASB Statement No. 133" (SFAS 161): </w:t>
      </w:r>
      <w:r>
        <w:rPr>
          <w:rFonts w:ascii="Arial" w:cs="Arial" w:eastAsia="Arial" w:hAnsi="Arial"/>
          <w:sz w:val="22"/>
          <w:szCs w:val="22"/>
          <w:color w:val="auto"/>
        </w:rPr>
        <w:t>SFAS 161 expands the disclosure requirements in SFAS 133,</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Accounting for Derivative Instruments and Hedging</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Activities (SFAS 133)</w:t>
      </w:r>
      <w:r>
        <w:rPr>
          <w:rFonts w:ascii="Arial" w:cs="Arial" w:eastAsia="Arial" w:hAnsi="Arial"/>
          <w:sz w:val="22"/>
          <w:szCs w:val="22"/>
          <w:color w:val="auto"/>
        </w:rPr>
        <w:t>.</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SFAS 161 requires disclosures about the following:</w:t>
      </w:r>
    </w:p>
    <w:p>
      <w:pPr>
        <w:spacing w:after="0" w:line="31"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22"/>
          <w:szCs w:val="22"/>
          <w:color w:val="auto"/>
        </w:rPr>
      </w:pPr>
      <w:r>
        <w:rPr>
          <w:rFonts w:ascii="Arial" w:cs="Arial" w:eastAsia="Arial" w:hAnsi="Arial"/>
          <w:sz w:val="22"/>
          <w:szCs w:val="22"/>
          <w:color w:val="auto"/>
        </w:rPr>
        <w:t>qualitative objectives and strategies for using derivatives;</w:t>
      </w:r>
    </w:p>
    <w:p>
      <w:pPr>
        <w:spacing w:after="0" w:line="35" w:lineRule="exact"/>
        <w:rPr>
          <w:rFonts w:ascii="Arial" w:cs="Arial" w:eastAsia="Arial" w:hAnsi="Arial"/>
          <w:sz w:val="22"/>
          <w:szCs w:val="22"/>
          <w:color w:val="auto"/>
        </w:rPr>
      </w:pPr>
    </w:p>
    <w:p>
      <w:pPr>
        <w:ind w:left="180" w:right="1460" w:hanging="172"/>
        <w:spacing w:after="0" w:line="243" w:lineRule="auto"/>
        <w:tabs>
          <w:tab w:leader="none" w:pos="180" w:val="left"/>
        </w:tabs>
        <w:numPr>
          <w:ilvl w:val="0"/>
          <w:numId w:val="36"/>
        </w:numPr>
        <w:rPr>
          <w:rFonts w:ascii="Arial" w:cs="Arial" w:eastAsia="Arial" w:hAnsi="Arial"/>
          <w:sz w:val="22"/>
          <w:szCs w:val="22"/>
          <w:color w:val="auto"/>
        </w:rPr>
      </w:pPr>
      <w:r>
        <w:rPr>
          <w:rFonts w:ascii="Arial" w:cs="Arial" w:eastAsia="Arial" w:hAnsi="Arial"/>
          <w:sz w:val="22"/>
          <w:szCs w:val="22"/>
          <w:color w:val="auto"/>
        </w:rPr>
        <w:t>quantitative disclosures of fair value amounts, and gains and losses on derivative instruments and related hedged items; and</w:t>
      </w:r>
    </w:p>
    <w:p>
      <w:pPr>
        <w:ind w:left="180" w:hanging="172"/>
        <w:spacing w:after="0"/>
        <w:tabs>
          <w:tab w:leader="none" w:pos="180" w:val="left"/>
        </w:tabs>
        <w:numPr>
          <w:ilvl w:val="0"/>
          <w:numId w:val="36"/>
        </w:numPr>
        <w:rPr>
          <w:rFonts w:ascii="Arial" w:cs="Arial" w:eastAsia="Arial" w:hAnsi="Arial"/>
          <w:sz w:val="22"/>
          <w:szCs w:val="22"/>
          <w:color w:val="auto"/>
        </w:rPr>
      </w:pPr>
      <w:r>
        <w:rPr>
          <w:rFonts w:ascii="Arial" w:cs="Arial" w:eastAsia="Arial" w:hAnsi="Arial"/>
          <w:sz w:val="22"/>
          <w:szCs w:val="22"/>
          <w:color w:val="auto"/>
        </w:rPr>
        <w:t>credit-risk-related contingent features in derivative agreements.</w:t>
      </w:r>
    </w:p>
    <w:p>
      <w:pPr>
        <w:spacing w:after="0" w:line="121"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We adopted SFAS 161 on January 1, 2009 and it is not required to be applied retrospectively. We provide the required disclosure in Note 7.</w:t>
      </w:r>
    </w:p>
    <w:p>
      <w:pPr>
        <w:spacing w:after="0" w:line="52" w:lineRule="exact"/>
        <w:rPr>
          <w:sz w:val="20"/>
          <w:szCs w:val="20"/>
          <w:color w:val="auto"/>
        </w:rPr>
      </w:pPr>
    </w:p>
    <w:p>
      <w:pPr>
        <w:ind w:right="140"/>
        <w:spacing w:after="0" w:line="234" w:lineRule="auto"/>
        <w:rPr>
          <w:sz w:val="20"/>
          <w:szCs w:val="20"/>
          <w:color w:val="auto"/>
        </w:rPr>
      </w:pPr>
      <w:r>
        <w:rPr>
          <w:rFonts w:ascii="Arial" w:cs="Arial" w:eastAsia="Arial" w:hAnsi="Arial"/>
          <w:sz w:val="22"/>
          <w:szCs w:val="22"/>
          <w:b w:val="1"/>
          <w:bCs w:val="1"/>
          <w:i w:val="1"/>
          <w:iCs w:val="1"/>
          <w:color w:val="auto"/>
        </w:rPr>
        <w:t xml:space="preserve">FASB Staff Position (FSP) FAS 157-4, “Determining Fair Value When the Volume and Level of Activity for the Asset or Liability Have Significantly Decreased and Identifying Transactions That are Not Orderly” (FSP FAS 157-4): </w:t>
      </w:r>
      <w:r>
        <w:rPr>
          <w:rFonts w:ascii="Arial" w:cs="Arial" w:eastAsia="Arial" w:hAnsi="Arial"/>
          <w:sz w:val="22"/>
          <w:szCs w:val="22"/>
          <w:color w:val="auto"/>
        </w:rPr>
        <w:t>FSP FAS 157-4</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concerns the determination of fair values for assets and liabilities when there is no active market or where the prices used might represent distressed sales. Specifically, it reaffirms the need to use judgment to ascertain if a formerly active market has become inactive and in determining fair values when markets have become inactive. The FSP also outlines factors to be used to determine whether there has been a significant decrease in the volume and level of activity for the assets and liabilities when compared with normal market activity.</w:t>
      </w:r>
    </w:p>
    <w:p>
      <w:pPr>
        <w:spacing w:after="0" w:line="70"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color w:val="auto"/>
        </w:rPr>
        <w:t>FSP FAS 157-4 applies to us prospectively for interim and annual periods ending after June 15, 2009. We are in the process of evaluating the effects of this statement on our financial position and results of operations.</w:t>
      </w:r>
    </w:p>
    <w:p>
      <w:pPr>
        <w:spacing w:after="0" w:line="38" w:lineRule="exact"/>
        <w:rPr>
          <w:sz w:val="20"/>
          <w:szCs w:val="20"/>
          <w:color w:val="auto"/>
        </w:rPr>
      </w:pPr>
    </w:p>
    <w:p>
      <w:pPr>
        <w:ind w:right="260"/>
        <w:spacing w:after="0" w:line="258" w:lineRule="auto"/>
        <w:rPr>
          <w:sz w:val="20"/>
          <w:szCs w:val="20"/>
          <w:color w:val="auto"/>
        </w:rPr>
      </w:pPr>
      <w:r>
        <w:rPr>
          <w:rFonts w:ascii="Arial" w:cs="Arial" w:eastAsia="Arial" w:hAnsi="Arial"/>
          <w:sz w:val="21"/>
          <w:szCs w:val="21"/>
          <w:b w:val="1"/>
          <w:bCs w:val="1"/>
          <w:i w:val="1"/>
          <w:iCs w:val="1"/>
          <w:color w:val="auto"/>
        </w:rPr>
        <w:t xml:space="preserve">FSP FAS 107-1 and APB 28-1, "Interim Disclosures About Fair Value of Financial Instruments" (FSP FAS 107-1 and APB 28-1): </w:t>
      </w:r>
      <w:r>
        <w:rPr>
          <w:rFonts w:ascii="Arial" w:cs="Arial" w:eastAsia="Arial" w:hAnsi="Arial"/>
          <w:sz w:val="21"/>
          <w:szCs w:val="21"/>
          <w:color w:val="auto"/>
        </w:rPr>
        <w:t>FSP FAS 107-1 and APB 28-1 requires disclosure about the carrying amount and fair value of financial instruments for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interim periods. Prior to the issuance of this FSP, this disclosure was required only for annual periods.</w:t>
      </w:r>
    </w:p>
    <w:p>
      <w:pPr>
        <w:spacing w:after="0" w:line="45"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FSP FAS 107-1 and APB 28-1 applies to us prospectively for interim and annual periods ending after June 15, 2009. Our second quarter 2009 financial statements will include the additional disclosure.</w:t>
      </w:r>
    </w:p>
    <w:p>
      <w:pPr>
        <w:spacing w:after="0" w:line="52" w:lineRule="exact"/>
        <w:rPr>
          <w:sz w:val="20"/>
          <w:szCs w:val="20"/>
          <w:color w:val="auto"/>
        </w:rPr>
      </w:pPr>
    </w:p>
    <w:p>
      <w:pPr>
        <w:ind w:right="100"/>
        <w:spacing w:after="0"/>
        <w:rPr>
          <w:sz w:val="20"/>
          <w:szCs w:val="20"/>
          <w:color w:val="auto"/>
        </w:rPr>
      </w:pPr>
      <w:r>
        <w:rPr>
          <w:rFonts w:ascii="Arial" w:cs="Arial" w:eastAsia="Arial" w:hAnsi="Arial"/>
          <w:sz w:val="22"/>
          <w:szCs w:val="22"/>
          <w:b w:val="1"/>
          <w:bCs w:val="1"/>
          <w:i w:val="1"/>
          <w:iCs w:val="1"/>
          <w:color w:val="auto"/>
        </w:rPr>
        <w:t xml:space="preserve">FSP FAS 115-2 and FAS 124-2, "Recognition and Presentation of Other-Than-Temporary Impairments" (FSP FAS 115-2 and FAS 124-2): </w:t>
      </w:r>
      <w:r>
        <w:rPr>
          <w:rFonts w:ascii="Arial" w:cs="Arial" w:eastAsia="Arial" w:hAnsi="Arial"/>
          <w:sz w:val="22"/>
          <w:szCs w:val="22"/>
          <w:color w:val="auto"/>
        </w:rPr>
        <w:t>FSP FAS 115-2 and FAS 124-2 establishes a new model for determining and recording other-than-temporary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impairment for debt securities.</w:t>
      </w:r>
    </w:p>
    <w:p>
      <w:pPr>
        <w:spacing w:after="0" w:line="51" w:lineRule="exact"/>
        <w:rPr>
          <w:sz w:val="20"/>
          <w:szCs w:val="20"/>
          <w:color w:val="auto"/>
        </w:rPr>
      </w:pPr>
    </w:p>
    <w:p>
      <w:pPr>
        <w:ind w:right="300"/>
        <w:spacing w:after="0" w:line="318" w:lineRule="auto"/>
        <w:rPr>
          <w:sz w:val="20"/>
          <w:szCs w:val="20"/>
          <w:color w:val="auto"/>
        </w:rPr>
      </w:pPr>
      <w:r>
        <w:rPr>
          <w:rFonts w:ascii="Arial" w:cs="Arial" w:eastAsia="Arial" w:hAnsi="Arial"/>
          <w:sz w:val="19"/>
          <w:szCs w:val="19"/>
          <w:color w:val="auto"/>
        </w:rPr>
        <w:t>FSP FAS 115-2 and FAS 124-2 applies to us prospectively for interim and annual periods ending after June 15, 2009. We do not expect the effects of adopting this statement to have a material impact on our financial position or results of operations.</w:t>
      </w:r>
    </w:p>
    <w:p>
      <w:pPr>
        <w:spacing w:after="0" w:line="2" w:lineRule="exact"/>
        <w:rPr>
          <w:sz w:val="20"/>
          <w:szCs w:val="20"/>
          <w:color w:val="auto"/>
        </w:rPr>
      </w:pPr>
    </w:p>
    <w:p>
      <w:pPr>
        <w:spacing w:after="0" w:line="238" w:lineRule="auto"/>
        <w:rPr>
          <w:sz w:val="20"/>
          <w:szCs w:val="20"/>
          <w:color w:val="auto"/>
        </w:rPr>
      </w:pPr>
      <w:r>
        <w:rPr>
          <w:rFonts w:ascii="Arial" w:cs="Arial" w:eastAsia="Arial" w:hAnsi="Arial"/>
          <w:sz w:val="22"/>
          <w:szCs w:val="22"/>
          <w:b w:val="1"/>
          <w:bCs w:val="1"/>
          <w:i w:val="1"/>
          <w:iCs w:val="1"/>
          <w:color w:val="auto"/>
        </w:rPr>
        <w:t xml:space="preserve">FSP FAS 132(R)-1, "Employers’ Disclosures about Postretirement Benefit Plan Assets" (FSP FAS 132(R)-1): </w:t>
      </w:r>
      <w:r>
        <w:rPr>
          <w:rFonts w:ascii="Arial" w:cs="Arial" w:eastAsia="Arial" w:hAnsi="Arial"/>
          <w:sz w:val="22"/>
          <w:szCs w:val="22"/>
          <w:color w:val="auto"/>
        </w:rPr>
        <w:t>FSP FAS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132(R)-1 requires annual disclosure about the assets held in postretirement benefit plans, including a breakdown by the level of the assets and a reconciliation of any change in Level 3 assets during the year. It requires that disclosures include information about the following:</w:t>
      </w:r>
    </w:p>
    <w:p>
      <w:pPr>
        <w:spacing w:after="0" w:line="50"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valuation inputs, with detailed disclosure required about Level 3 assets</w:t>
      </w:r>
    </w:p>
    <w:p>
      <w:pPr>
        <w:spacing w:after="0" w:line="35" w:lineRule="exact"/>
        <w:rPr>
          <w:rFonts w:ascii="Arial" w:cs="Arial" w:eastAsia="Arial" w:hAnsi="Arial"/>
          <w:sz w:val="22"/>
          <w:szCs w:val="22"/>
          <w:color w:val="auto"/>
        </w:rPr>
      </w:pPr>
    </w:p>
    <w:p>
      <w:pPr>
        <w:ind w:left="180" w:hanging="172"/>
        <w:spacing w:after="0"/>
        <w:tabs>
          <w:tab w:leader="none" w:pos="1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asset categories, broken down to relevant detail</w:t>
      </w:r>
    </w:p>
    <w:p>
      <w:pPr>
        <w:spacing w:after="0" w:line="17" w:lineRule="exact"/>
        <w:rPr>
          <w:rFonts w:ascii="Arial" w:cs="Arial" w:eastAsia="Arial" w:hAnsi="Arial"/>
          <w:sz w:val="22"/>
          <w:szCs w:val="22"/>
          <w:color w:val="auto"/>
        </w:rPr>
      </w:pPr>
    </w:p>
    <w:p>
      <w:pPr>
        <w:ind w:left="180" w:hanging="172"/>
        <w:spacing w:after="0"/>
        <w:tabs>
          <w:tab w:leader="none" w:pos="1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concentration of risk in plan assets</w:t>
      </w:r>
    </w:p>
    <w:p>
      <w:pPr>
        <w:spacing w:after="0" w:line="121"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FSP FAS 132(R)-1 applies to us prospectively for fiscal years ending after December 15, 2009. Early application is permitted. We are in the process of evaluating the effect of this statement on our financial statement disclosures.</w:t>
      </w:r>
    </w:p>
    <w:p>
      <w:pPr>
        <w:sectPr>
          <w:pgSz w:w="11900" w:h="16838" w:orient="portrait"/>
          <w:cols w:equalWidth="0" w:num="1">
            <w:col w:w="11380"/>
          </w:cols>
          <w:pgMar w:left="240" w:top="118" w:right="279"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auto"/>
        </w:rPr>
        <w:t>SEMPRA ENERGY</w:t>
      </w:r>
    </w:p>
    <w:p>
      <w:pPr>
        <w:spacing w:after="0" w:line="96" w:lineRule="exact"/>
        <w:rPr>
          <w:sz w:val="20"/>
          <w:szCs w:val="20"/>
          <w:color w:val="auto"/>
        </w:rPr>
      </w:pPr>
    </w:p>
    <w:p>
      <w:pPr>
        <w:ind w:right="180"/>
        <w:spacing w:after="0" w:line="279" w:lineRule="auto"/>
        <w:rPr>
          <w:sz w:val="20"/>
          <w:szCs w:val="20"/>
          <w:color w:val="auto"/>
        </w:rPr>
      </w:pPr>
      <w:r>
        <w:rPr>
          <w:rFonts w:ascii="Arial" w:cs="Arial" w:eastAsia="Arial" w:hAnsi="Arial"/>
          <w:sz w:val="19"/>
          <w:szCs w:val="19"/>
          <w:b w:val="1"/>
          <w:bCs w:val="1"/>
          <w:i w:val="1"/>
          <w:iCs w:val="1"/>
          <w:color w:val="auto"/>
        </w:rPr>
        <w:t xml:space="preserve">FSP EITF 03-6-1, "Determining Whether Instruments Granted in Share-Based Payment Transactions Are Participating Securities" (FSP EITF 03-6-1): </w:t>
      </w:r>
      <w:r>
        <w:rPr>
          <w:rFonts w:ascii="Arial" w:cs="Arial" w:eastAsia="Arial" w:hAnsi="Arial"/>
          <w:sz w:val="19"/>
          <w:szCs w:val="19"/>
          <w:color w:val="auto"/>
        </w:rPr>
        <w:t>FSP EITF 03-6-1 states that unvested share-based payment awards that contain nonforfeitable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rights to dividends or dividend equivalents (whether paid or unpaid) are participating securities. As such, they are required to be included when computing earnings per share (EPS) under the two-class method described in SFAS 128, </w:t>
      </w:r>
      <w:r>
        <w:rPr>
          <w:rFonts w:ascii="Arial" w:cs="Arial" w:eastAsia="Arial" w:hAnsi="Arial"/>
          <w:sz w:val="19"/>
          <w:szCs w:val="19"/>
          <w:i w:val="1"/>
          <w:iCs w:val="1"/>
          <w:color w:val="auto"/>
        </w:rPr>
        <w:t>Earnings per Share</w:t>
      </w:r>
      <w:r>
        <w:rPr>
          <w:rFonts w:ascii="Arial" w:cs="Arial" w:eastAsia="Arial" w:hAnsi="Arial"/>
          <w:sz w:val="19"/>
          <w:szCs w:val="19"/>
          <w:color w:val="auto"/>
        </w:rPr>
        <w:t>. All prior-period EPS data are to be adjusted retrospectively to conform with the provisions of this FSP. We adopted FSP EITF 03-6-1 on January 1, 2009 and it did not have a material impact on our EPS.</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 xml:space="preserve">EITF Issue No. 08-6, "Equity Method Investment Accounting Considerations" (EITF 08-6): </w:t>
      </w:r>
      <w:r>
        <w:rPr>
          <w:rFonts w:ascii="Arial" w:cs="Arial" w:eastAsia="Arial" w:hAnsi="Arial"/>
          <w:sz w:val="22"/>
          <w:szCs w:val="22"/>
          <w:color w:val="auto"/>
        </w:rPr>
        <w:t>EITF 08-6 clarifies accounting</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impairment considerations involving equity method investments. We adopted EITF 08-6 on January 1, 2009 and it did not have a material impact on our financial position and results of operations.</w:t>
      </w:r>
    </w:p>
    <w:p>
      <w:pPr>
        <w:spacing w:after="0" w:line="51"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b w:val="1"/>
          <w:bCs w:val="1"/>
          <w:i w:val="1"/>
          <w:iCs w:val="1"/>
          <w:color w:val="auto"/>
        </w:rPr>
        <w:t xml:space="preserve">EITF Issue No. 08-5, "Issuer’s Accounting for Liabilities Measured at Fair Value with a Third-Party Credit Enhancement" (EITF 08-5): </w:t>
      </w:r>
      <w:r>
        <w:rPr>
          <w:rFonts w:ascii="Arial" w:cs="Arial" w:eastAsia="Arial" w:hAnsi="Arial"/>
          <w:sz w:val="19"/>
          <w:szCs w:val="19"/>
          <w:color w:val="auto"/>
        </w:rPr>
        <w:t>EITF 08-5 provides that an issuer of a liability with a third-party credit enhancement that is inseparable from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liability may not include the effect of the credit enhancement in the fair value measurement of the liability. We adopted EITF 08-5 on January 1, 2009 and it did not have a material impact on our financial position or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color w:val="auto"/>
        </w:rPr>
        <w:t>NOTE 3. RECENT EQUITY TRANSACTION</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SEMPRA PIPELINES &amp; STORAGE</w:t>
      </w:r>
    </w:p>
    <w:p>
      <w:pPr>
        <w:spacing w:after="0" w:line="96"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Sempra Midstream, a subsidiary of Sempra Pipelines &amp; Storage, owned 60 percent of Mississippi Hub, LLC (Mississippi Hub) at December 31, 2008. On January 16, 2009, Sempra Midstream purchased the remaining 40-percent ownership interest of Mississippi Hub for $94 million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NOTE 4. INVESTMENTS IN UNCONSOLIDATED ENTITIES</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SEMPRA ENERGY AND SDG&amp;E</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Available-for-Sale Securities</w:t>
      </w:r>
    </w:p>
    <w:p>
      <w:pPr>
        <w:spacing w:after="0" w:line="49"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In March 2008, Sempra Energy and SDG&amp;E purchased $177 million and $236 million, respectively, of industrial development bonds. In December 2008, SDG&amp;E remarketed $237 million of these industrial development bonds. The remaining $176 million of industrial development bonds, $24 million of which are held by SDG&amp;E, are classified as available-for-sale securities and included in Short-Term Investments on the Condensed Consolidated Balance Sheets at March 31, 2009 and December 31, 2008. Sempra Energy and SDG&amp;E intend to remarket the bonds by the end of 2009 and will make any necessary modifications to the</w:t>
      </w:r>
    </w:p>
    <w:p>
      <w:pPr>
        <w:spacing w:after="0" w:line="4" w:lineRule="exact"/>
        <w:rPr>
          <w:sz w:val="20"/>
          <w:szCs w:val="20"/>
          <w:color w:val="auto"/>
        </w:rPr>
      </w:pPr>
    </w:p>
    <w:p>
      <w:pPr>
        <w:ind w:right="40"/>
        <w:spacing w:after="0" w:line="237" w:lineRule="auto"/>
        <w:rPr>
          <w:sz w:val="20"/>
          <w:szCs w:val="20"/>
          <w:color w:val="auto"/>
        </w:rPr>
      </w:pPr>
      <w:r>
        <w:rPr>
          <w:rFonts w:ascii="Arial" w:cs="Arial" w:eastAsia="Arial" w:hAnsi="Arial"/>
          <w:sz w:val="22"/>
          <w:szCs w:val="22"/>
          <w:color w:val="auto"/>
        </w:rPr>
        <w:t>bonds' credit and liquidity support at the time of their remarketing to investors. We discuss the bonds further in Note 6 of the Notes to Consolidated Financial Statements in the Annual Report.</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SEMPRA COMMODITIES</w:t>
      </w:r>
    </w:p>
    <w:p>
      <w:pPr>
        <w:spacing w:after="0" w:line="96"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On April 1, 2008, Sempra Energy and The Royal Bank of Scotland (RBS) completed the formation of RBS Sempra Commodities LLP (RBS Sempra Commodities), a United Kingdom limited liability partnership formed to own and operate the commodities-marketing businesses previously operated through wholly owned subsidiaries of Sempra Energy. We account for our investment in RBS Sempra Commodities under the equity method, and our share of partnership earnings is reported in the Sempra Commodities segment.</w:t>
      </w:r>
    </w:p>
    <w:p>
      <w:pPr>
        <w:sectPr>
          <w:pgSz w:w="11900" w:h="16838" w:orient="portrait"/>
          <w:cols w:equalWidth="0" w:num="1">
            <w:col w:w="11380"/>
          </w:cols>
          <w:pgMar w:left="240" w:top="458" w:right="279" w:bottom="1440" w:gutter="0" w:footer="0" w:header="0"/>
        </w:sectPr>
      </w:pPr>
    </w:p>
    <w:bookmarkStart w:id="25" w:name="page26"/>
    <w:bookmarkEnd w:id="25"/>
    <w:p>
      <w:pPr>
        <w:ind w:right="100"/>
        <w:spacing w:after="0" w:line="236" w:lineRule="auto"/>
        <w:rPr>
          <w:sz w:val="20"/>
          <w:szCs w:val="20"/>
          <w:color w:val="auto"/>
        </w:rPr>
      </w:pPr>
      <w:r>
        <w:rPr>
          <w:rFonts w:ascii="Arial" w:cs="Arial" w:eastAsia="Arial" w:hAnsi="Arial"/>
          <w:sz w:val="22"/>
          <w:szCs w:val="22"/>
          <w:color w:val="auto"/>
        </w:rPr>
        <w:t>For the three months ended March 31, 2009, we had $153 million of pretax equity earnings from RBS Sempra Commodities. The partnership income that is distributable to us on an annual basis is computed on the partnership's basis of accounting, International Financial Reporting Standards (IFRS) as adopted by the European Union. For the three months ended March 31, 2009, this distributable income, on an IFRS basis, is $114 million. In the first quarter of 2009, we received the remaining distribution of 2008 partnership income of $305 million.</w:t>
      </w:r>
    </w:p>
    <w:p>
      <w:pPr>
        <w:spacing w:after="0" w:line="67"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We have indemnified the partnership for certain litigation and tax liabilities related to the businesses purchased by the partnership. We recorded these obligations at a fair value of $5 million on April 1, 2008, the date we formed the partnership, and they are being amortized over 4 years.</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We provide information regarding the Sempra Commodities segment in Note 11.</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shows summarized financial information for RBS Sempra Commodities (on a GAAP basis):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20" w:type="dxa"/>
            <w:vAlign w:val="bottom"/>
          </w:tcPr>
          <w:p>
            <w:pPr>
              <w:spacing w:after="0"/>
              <w:rPr>
                <w:sz w:val="14"/>
                <w:szCs w:val="14"/>
                <w:color w:val="auto"/>
              </w:rPr>
            </w:pPr>
          </w:p>
        </w:tc>
        <w:tc>
          <w:tcPr>
            <w:tcW w:w="2900" w:type="dxa"/>
            <w:vAlign w:val="bottom"/>
            <w:gridSpan w:val="2"/>
          </w:tcPr>
          <w:p>
            <w:pPr>
              <w:jc w:val="right"/>
              <w:ind w:right="21"/>
              <w:spacing w:after="0"/>
              <w:rPr>
                <w:sz w:val="20"/>
                <w:szCs w:val="20"/>
                <w:color w:val="auto"/>
              </w:rPr>
            </w:pPr>
            <w:r>
              <w:rPr>
                <w:rFonts w:ascii="Arial" w:cs="Arial" w:eastAsia="Arial" w:hAnsi="Arial"/>
                <w:sz w:val="14"/>
                <w:szCs w:val="14"/>
                <w:color w:val="auto"/>
              </w:rPr>
              <w:t>Three months ended</w:t>
            </w:r>
          </w:p>
        </w:tc>
      </w:tr>
      <w:tr>
        <w:trPr>
          <w:trHeight w:val="209"/>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5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color w:val="auto"/>
              </w:rPr>
              <w:t>March 31, 2009</w:t>
            </w:r>
          </w:p>
        </w:tc>
      </w:tr>
      <w:tr>
        <w:trPr>
          <w:trHeight w:val="210"/>
        </w:trPr>
        <w:tc>
          <w:tcPr>
            <w:tcW w:w="3920" w:type="dxa"/>
            <w:vAlign w:val="bottom"/>
          </w:tcPr>
          <w:p>
            <w:pPr>
              <w:ind w:left="20"/>
              <w:spacing w:after="0"/>
              <w:rPr>
                <w:sz w:val="20"/>
                <w:szCs w:val="20"/>
                <w:color w:val="auto"/>
              </w:rPr>
            </w:pPr>
            <w:r>
              <w:rPr>
                <w:rFonts w:ascii="Arial" w:cs="Arial" w:eastAsia="Arial" w:hAnsi="Arial"/>
                <w:sz w:val="16"/>
                <w:szCs w:val="16"/>
                <w:color w:val="auto"/>
              </w:rPr>
              <w:t>Gross revenues and fee income</w:t>
            </w:r>
          </w:p>
        </w:tc>
        <w:tc>
          <w:tcPr>
            <w:tcW w:w="15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509</w:t>
            </w:r>
          </w:p>
        </w:tc>
      </w:tr>
      <w:tr>
        <w:trPr>
          <w:trHeight w:val="216"/>
        </w:trPr>
        <w:tc>
          <w:tcPr>
            <w:tcW w:w="39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5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486</w:t>
            </w:r>
          </w:p>
        </w:tc>
      </w:tr>
      <w:tr>
        <w:trPr>
          <w:trHeight w:val="216"/>
        </w:trPr>
        <w:tc>
          <w:tcPr>
            <w:tcW w:w="3920" w:type="dxa"/>
            <w:vAlign w:val="bottom"/>
          </w:tcPr>
          <w:p>
            <w:pPr>
              <w:ind w:left="20"/>
              <w:spacing w:after="0"/>
              <w:rPr>
                <w:sz w:val="20"/>
                <w:szCs w:val="20"/>
                <w:color w:val="auto"/>
              </w:rPr>
            </w:pPr>
            <w:r>
              <w:rPr>
                <w:rFonts w:ascii="Arial" w:cs="Arial" w:eastAsia="Arial" w:hAnsi="Arial"/>
                <w:sz w:val="16"/>
                <w:szCs w:val="16"/>
                <w:color w:val="auto"/>
              </w:rPr>
              <w:t>Income from continuing operations</w:t>
            </w:r>
          </w:p>
        </w:tc>
        <w:tc>
          <w:tcPr>
            <w:tcW w:w="15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236</w:t>
            </w:r>
          </w:p>
        </w:tc>
      </w:tr>
      <w:tr>
        <w:trPr>
          <w:trHeight w:val="219"/>
        </w:trPr>
        <w:tc>
          <w:tcPr>
            <w:tcW w:w="3920" w:type="dxa"/>
            <w:vAlign w:val="bottom"/>
          </w:tcPr>
          <w:p>
            <w:pPr>
              <w:ind w:left="20"/>
              <w:spacing w:after="0"/>
              <w:rPr>
                <w:sz w:val="20"/>
                <w:szCs w:val="20"/>
                <w:color w:val="auto"/>
              </w:rPr>
            </w:pPr>
            <w:r>
              <w:rPr>
                <w:rFonts w:ascii="Arial" w:cs="Arial" w:eastAsia="Arial" w:hAnsi="Arial"/>
                <w:sz w:val="16"/>
                <w:szCs w:val="16"/>
                <w:color w:val="auto"/>
              </w:rPr>
              <w:t>Partnership net income</w:t>
            </w:r>
          </w:p>
        </w:tc>
        <w:tc>
          <w:tcPr>
            <w:tcW w:w="15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236</w:t>
            </w:r>
          </w:p>
        </w:tc>
      </w:tr>
      <w:tr>
        <w:trPr>
          <w:trHeight w:val="84"/>
        </w:trPr>
        <w:tc>
          <w:tcPr>
            <w:tcW w:w="3920" w:type="dxa"/>
            <w:vAlign w:val="bottom"/>
            <w:shd w:val="clear" w:color="auto" w:fill="DFDFDF"/>
          </w:tcPr>
          <w:p>
            <w:pPr>
              <w:spacing w:after="0"/>
              <w:rPr>
                <w:sz w:val="7"/>
                <w:szCs w:val="7"/>
                <w:color w:val="auto"/>
              </w:rPr>
            </w:pPr>
          </w:p>
        </w:tc>
        <w:tc>
          <w:tcPr>
            <w:tcW w:w="1560" w:type="dxa"/>
            <w:vAlign w:val="bottom"/>
            <w:shd w:val="clear" w:color="auto" w:fill="DFDFDF"/>
          </w:tcPr>
          <w:p>
            <w:pPr>
              <w:spacing w:after="0"/>
              <w:rPr>
                <w:sz w:val="7"/>
                <w:szCs w:val="7"/>
                <w:color w:val="auto"/>
              </w:rPr>
            </w:pPr>
          </w:p>
        </w:tc>
        <w:tc>
          <w:tcPr>
            <w:tcW w:w="1340" w:type="dxa"/>
            <w:vAlign w:val="bottom"/>
            <w:shd w:val="clear" w:color="auto" w:fill="DFDFDF"/>
          </w:tcPr>
          <w:p>
            <w:pPr>
              <w:spacing w:after="0"/>
              <w:rPr>
                <w:sz w:val="7"/>
                <w:szCs w:val="7"/>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Available-for-Sale Securities</w:t>
      </w:r>
    </w:p>
    <w:p>
      <w:pPr>
        <w:spacing w:after="0" w:line="49" w:lineRule="exact"/>
        <w:rPr>
          <w:sz w:val="20"/>
          <w:szCs w:val="20"/>
          <w:color w:val="auto"/>
        </w:rPr>
      </w:pPr>
    </w:p>
    <w:p>
      <w:pPr>
        <w:ind w:right="740"/>
        <w:spacing w:after="0"/>
        <w:rPr>
          <w:sz w:val="20"/>
          <w:szCs w:val="20"/>
          <w:color w:val="auto"/>
        </w:rPr>
      </w:pPr>
      <w:r>
        <w:rPr>
          <w:rFonts w:ascii="Arial" w:cs="Arial" w:eastAsia="Arial" w:hAnsi="Arial"/>
          <w:sz w:val="22"/>
          <w:szCs w:val="22"/>
          <w:color w:val="auto"/>
        </w:rPr>
        <w:t>Sempra Commodities recorded purchases of available-for-sale securities of $1 million in the first quarter of 2008. Sempra Commodities had no sales and no impairment of available-for-sale securities in 2008 prior to the formation of RBS Sempra Commodities.</w:t>
      </w: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SEMPRA PIPELINES &amp; STORAGE</w:t>
      </w:r>
    </w:p>
    <w:p>
      <w:pPr>
        <w:spacing w:after="0" w:line="96" w:lineRule="exact"/>
        <w:rPr>
          <w:sz w:val="20"/>
          <w:szCs w:val="20"/>
          <w:color w:val="auto"/>
        </w:rPr>
      </w:pPr>
    </w:p>
    <w:p>
      <w:pPr>
        <w:ind w:right="100"/>
        <w:spacing w:after="0" w:line="273" w:lineRule="auto"/>
        <w:rPr>
          <w:sz w:val="20"/>
          <w:szCs w:val="20"/>
          <w:color w:val="auto"/>
        </w:rPr>
      </w:pPr>
      <w:r>
        <w:rPr>
          <w:rFonts w:ascii="Arial" w:cs="Arial" w:eastAsia="Arial" w:hAnsi="Arial"/>
          <w:sz w:val="19"/>
          <w:szCs w:val="19"/>
          <w:color w:val="auto"/>
        </w:rPr>
        <w:t>Sempra Pipelines &amp; Storage owns 43 percent of two Argentine natural gas utility holding companies, Sodigas Pampeana and Sodigas Sur. The Argentine economic decline and government responses (including Argentina’s unilateral, retroactive abrogation of utility agreements early in 2002) continue to adversely affect the operations of these Argentine utilities. In 2002, Sempra Pipelines &amp; Storage initiated arbitration proceedings at the International Center for the Settlement of Investment Disputes (ICSID) under the 1994 Bilateral Investment Treaty between the United States and Argentina for recovery of the diminution of the value of its investments that has resulted from Argentine governmental actions. In September 2007, the tribunal officially closed the arbitration proceedings and awarded us compensation of $172 million, which includes interest up to the award date. In January 2008, Argentina filed an action at the ICSID seeking to annul the award. O n March 5, 2009, the ICSID ordered Argentina to place $75 million in escrow within 120 days, as tangible evidence of its preparedness to comply in good faith, as a condition of a continued stay in the annulment case. We will not recognize the award until collectibility is assured.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NOTE 5. OTHER FINANCIAL DATA</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VARIABLE INTEREST ENTITIES</w:t>
      </w:r>
    </w:p>
    <w:p>
      <w:pPr>
        <w:spacing w:after="0" w:line="82"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 xml:space="preserve">Financial Accounting Standards Board (FASB) Interpretation (FIN) No. 46 (revised December 2003), </w:t>
      </w:r>
      <w:r>
        <w:rPr>
          <w:rFonts w:ascii="Arial" w:cs="Arial" w:eastAsia="Arial" w:hAnsi="Arial"/>
          <w:sz w:val="21"/>
          <w:szCs w:val="21"/>
          <w:i w:val="1"/>
          <w:iCs w:val="1"/>
          <w:color w:val="auto"/>
        </w:rPr>
        <w:t>Consolidation of Variable</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Interest Entities - an interpretation </w:t>
      </w:r>
      <w:r>
        <w:rPr>
          <w:rFonts w:ascii="Arial" w:cs="Arial" w:eastAsia="Arial" w:hAnsi="Arial"/>
          <w:sz w:val="21"/>
          <w:szCs w:val="21"/>
          <w:color w:val="auto"/>
        </w:rPr>
        <w:t>of</w:t>
      </w:r>
      <w:r>
        <w:rPr>
          <w:rFonts w:ascii="Arial" w:cs="Arial" w:eastAsia="Arial" w:hAnsi="Arial"/>
          <w:sz w:val="21"/>
          <w:szCs w:val="21"/>
          <w:i w:val="1"/>
          <w:iCs w:val="1"/>
          <w:color w:val="auto"/>
        </w:rPr>
        <w:t xml:space="preserve"> ARB No. 51 </w:t>
      </w:r>
      <w:r>
        <w:rPr>
          <w:rFonts w:ascii="Arial" w:cs="Arial" w:eastAsia="Arial" w:hAnsi="Arial"/>
          <w:sz w:val="21"/>
          <w:szCs w:val="21"/>
          <w:color w:val="auto"/>
        </w:rPr>
        <w:t>(FIN 46(R)), requires an enterprise to consolidate a variable interest entity (VIE),</w:t>
      </w:r>
      <w:r>
        <w:rPr>
          <w:rFonts w:ascii="Arial" w:cs="Arial" w:eastAsia="Arial" w:hAnsi="Arial"/>
          <w:sz w:val="21"/>
          <w:szCs w:val="21"/>
          <w:i w:val="1"/>
          <w:iCs w:val="1"/>
          <w:color w:val="auto"/>
        </w:rPr>
        <w:t xml:space="preserve"> </w:t>
      </w:r>
      <w:r>
        <w:rPr>
          <w:rFonts w:ascii="Arial" w:cs="Arial" w:eastAsia="Arial" w:hAnsi="Arial"/>
          <w:sz w:val="21"/>
          <w:szCs w:val="21"/>
          <w:color w:val="auto"/>
        </w:rPr>
        <w:t>as defined in FIN 46(R), if the company is the primary beneficiary of the VIE’s activities. Our determination of whether we are the primary beneficiary is based upon qualitative and quantitative analyses, which assess</w:t>
      </w:r>
    </w:p>
    <w:p>
      <w:pPr>
        <w:sectPr>
          <w:pgSz w:w="11900" w:h="16838" w:orient="portrait"/>
          <w:cols w:equalWidth="0" w:num="1">
            <w:col w:w="11420"/>
          </w:cols>
          <w:pgMar w:left="240" w:top="118" w:right="239" w:bottom="1440" w:gutter="0" w:footer="0" w:header="0"/>
        </w:sectPr>
      </w:pPr>
    </w:p>
    <w:bookmarkStart w:id="26" w:name="page27"/>
    <w:bookmarkEnd w:id="26"/>
    <w:p>
      <w:pPr>
        <w:ind w:left="180" w:hanging="172"/>
        <w:spacing w:after="0"/>
        <w:tabs>
          <w:tab w:leader="none" w:pos="1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purpose and design of the VIE;</w:t>
      </w:r>
    </w:p>
    <w:p>
      <w:pPr>
        <w:spacing w:after="0" w:line="31" w:lineRule="exact"/>
        <w:rPr>
          <w:rFonts w:ascii="Arial" w:cs="Arial" w:eastAsia="Arial" w:hAnsi="Arial"/>
          <w:sz w:val="22"/>
          <w:szCs w:val="22"/>
          <w:color w:val="auto"/>
        </w:rPr>
      </w:pPr>
    </w:p>
    <w:p>
      <w:pPr>
        <w:ind w:left="180" w:hanging="172"/>
        <w:spacing w:after="0"/>
        <w:tabs>
          <w:tab w:leader="none" w:pos="1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nature of the VIE's risks and the risks we absorb; and</w:t>
      </w:r>
    </w:p>
    <w:p>
      <w:pPr>
        <w:spacing w:after="0" w:line="21" w:lineRule="exact"/>
        <w:rPr>
          <w:rFonts w:ascii="Arial" w:cs="Arial" w:eastAsia="Arial" w:hAnsi="Arial"/>
          <w:sz w:val="22"/>
          <w:szCs w:val="22"/>
          <w:color w:val="auto"/>
        </w:rPr>
      </w:pPr>
    </w:p>
    <w:p>
      <w:pPr>
        <w:ind w:left="180" w:right="1320" w:hanging="172"/>
        <w:spacing w:after="0" w:line="246" w:lineRule="auto"/>
        <w:tabs>
          <w:tab w:leader="none" w:pos="1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whether the variable interest holders will absorb a majority of the VIE's expected losses or receive a majority of its expected residual returns (or both).</w:t>
      </w:r>
    </w:p>
    <w:p>
      <w:pPr>
        <w:spacing w:after="0" w:line="98" w:lineRule="exact"/>
        <w:rPr>
          <w:sz w:val="20"/>
          <w:szCs w:val="20"/>
          <w:color w:val="auto"/>
        </w:rPr>
      </w:pPr>
    </w:p>
    <w:p>
      <w:pPr>
        <w:jc w:val="both"/>
        <w:ind w:right="340"/>
        <w:spacing w:after="0" w:line="318" w:lineRule="auto"/>
        <w:rPr>
          <w:sz w:val="20"/>
          <w:szCs w:val="20"/>
          <w:color w:val="auto"/>
        </w:rPr>
      </w:pPr>
      <w:r>
        <w:rPr>
          <w:rFonts w:ascii="Arial" w:cs="Arial" w:eastAsia="Arial" w:hAnsi="Arial"/>
          <w:sz w:val="19"/>
          <w:szCs w:val="19"/>
          <w:color w:val="auto"/>
        </w:rPr>
        <w:t>SDG&amp;E has a 10-year agreement to purchase power to be generated at the Otay Mesa Energy Center (OMEC), a 573-megawatt (MW) generating facility currently under construction and expected to be in commercial operation in the fourth quarter of 2009.</w:t>
      </w:r>
    </w:p>
    <w:p>
      <w:pPr>
        <w:spacing w:after="0" w:line="2" w:lineRule="exact"/>
        <w:rPr>
          <w:sz w:val="20"/>
          <w:szCs w:val="20"/>
          <w:color w:val="auto"/>
        </w:rPr>
      </w:pPr>
    </w:p>
    <w:p>
      <w:pPr>
        <w:ind w:right="140"/>
        <w:spacing w:after="0" w:line="297" w:lineRule="auto"/>
        <w:rPr>
          <w:sz w:val="20"/>
          <w:szCs w:val="20"/>
          <w:color w:val="auto"/>
        </w:rPr>
      </w:pPr>
      <w:r>
        <w:rPr>
          <w:rFonts w:ascii="Arial" w:cs="Arial" w:eastAsia="Arial" w:hAnsi="Arial"/>
          <w:sz w:val="19"/>
          <w:szCs w:val="19"/>
          <w:color w:val="auto"/>
        </w:rPr>
        <w:t>As defined in FIN 46(R), the facility owner, Otay Mesa Energy Center LLC (OMEC LLC), is a VIE (Otay Mesa VIE), of which SDG&amp;E is the primary beneficiary. SDG&amp;E has no OMEC LLC voting rights and does not operate OMEC. We provide additional information about Otay Mesa VIE in Note 1 of the Notes to Consolidated Financial Statements in the Annual Report.</w:t>
      </w:r>
    </w:p>
    <w:p>
      <w:pPr>
        <w:spacing w:after="0" w:line="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Accordingly, Sempra Energy and SDG&amp;E have consolidated Otay Mesa VIE. Otay Mesa VIE's equity of $137 million at March 31, 2009 and $128 million at December 31, 2008 is included in Noncontrolling Interest on the Sempra Energy and SDG&amp;E Condensed Consolidated Balance Sheets.</w:t>
      </w:r>
    </w:p>
    <w:p>
      <w:pPr>
        <w:spacing w:after="0" w:line="51" w:lineRule="exact"/>
        <w:rPr>
          <w:sz w:val="20"/>
          <w:szCs w:val="20"/>
          <w:color w:val="auto"/>
        </w:rPr>
      </w:pPr>
    </w:p>
    <w:p>
      <w:pPr>
        <w:ind w:right="160"/>
        <w:spacing w:after="0" w:line="248" w:lineRule="auto"/>
        <w:rPr>
          <w:sz w:val="20"/>
          <w:szCs w:val="20"/>
          <w:color w:val="auto"/>
        </w:rPr>
      </w:pPr>
      <w:r>
        <w:rPr>
          <w:rFonts w:ascii="Arial" w:cs="Arial" w:eastAsia="Arial" w:hAnsi="Arial"/>
          <w:sz w:val="21"/>
          <w:szCs w:val="21"/>
          <w:color w:val="auto"/>
        </w:rPr>
        <w:t>OMEC LLC has a project finance credit facility with third party lenders, secured by its assets, that provides for up to $377 million for the construction of OMEC. SDG&amp;E is not a party to the credit agreement and does not have any additional implicit or explicit financial responsibility to Otay Mesa VIE. The loan matures in April 2019. Borrowings under the facility bear interest at rates varying with market rates. OMEC LLC had $278 million of outstanding borrowings under this facility at March 31, 2009. In addition, OMEC LLC has entered into interest-rate swap agreements to moderate its exposure to interest-rate changes on this facility. We provide additional information concerning the interest-rate swaps in Note 7.</w:t>
      </w:r>
    </w:p>
    <w:p>
      <w:pPr>
        <w:spacing w:after="0" w:line="56" w:lineRule="exact"/>
        <w:rPr>
          <w:sz w:val="20"/>
          <w:szCs w:val="20"/>
          <w:color w:val="auto"/>
        </w:rPr>
      </w:pPr>
    </w:p>
    <w:p>
      <w:pPr>
        <w:ind w:right="340"/>
        <w:spacing w:after="0" w:line="279" w:lineRule="auto"/>
        <w:rPr>
          <w:sz w:val="20"/>
          <w:szCs w:val="20"/>
          <w:color w:val="auto"/>
        </w:rPr>
      </w:pPr>
      <w:r>
        <w:rPr>
          <w:rFonts w:ascii="Arial" w:cs="Arial" w:eastAsia="Arial" w:hAnsi="Arial"/>
          <w:sz w:val="19"/>
          <w:szCs w:val="19"/>
          <w:color w:val="auto"/>
        </w:rPr>
        <w:t>Contracts, under which SDG&amp;E acquires power from generation facilities otherwise unrelated to SDG&amp;E, could result in a requirement for SDG&amp;E to consolidate the entity that owns the facility. In accordance with FIN 46(R), SDG&amp;E continues the process of determining if it has any such situations and, if so, gathering the information that would be needed to perform the consolidation. However, such information has not been made available to us and an evaluation of variable interests has not been completed for these entities that are grandfathered pursuant to FIN 46(R). The effects of any required consolidation are not expected to significantly affect the financial position, results of operations or liquidity of SDG&amp;E.</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PENSION AND OTHER POSTRETIREMENT BENEFITS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Periodic Benefit Cost</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three tables provide the components of net periodic benefit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5282565" cy="274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82565" cy="274320"/>
                    </a:xfrm>
                    <a:prstGeom prst="rect">
                      <a:avLst/>
                    </a:prstGeom>
                    <a:noFill/>
                  </pic:spPr>
                </pic:pic>
              </a:graphicData>
            </a:graphic>
          </wp:anchor>
        </w:drawing>
      </w:r>
    </w:p>
    <w:p>
      <w:pPr>
        <w:spacing w:after="0" w:line="35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PERIODIC BENEFIT COST -- SEMPRA ENERGY CONSOLIDATED</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20" w:type="dxa"/>
            <w:vAlign w:val="bottom"/>
          </w:tcPr>
          <w:p>
            <w:pPr>
              <w:spacing w:after="0"/>
              <w:rPr>
                <w:sz w:val="15"/>
                <w:szCs w:val="15"/>
                <w:color w:val="auto"/>
              </w:rPr>
            </w:pPr>
          </w:p>
        </w:tc>
        <w:tc>
          <w:tcPr>
            <w:tcW w:w="2080" w:type="dxa"/>
            <w:vAlign w:val="bottom"/>
            <w:tcBorders>
              <w:bottom w:val="single" w:sz="8" w:color="auto"/>
            </w:tcBorders>
            <w:gridSpan w:val="3"/>
          </w:tcPr>
          <w:p>
            <w:pPr>
              <w:jc w:val="center"/>
              <w:ind w:left="284"/>
              <w:spacing w:after="0"/>
              <w:rPr>
                <w:sz w:val="20"/>
                <w:szCs w:val="20"/>
                <w:color w:val="auto"/>
              </w:rPr>
            </w:pPr>
            <w:r>
              <w:rPr>
                <w:rFonts w:ascii="Arial" w:cs="Arial" w:eastAsia="Arial" w:hAnsi="Arial"/>
                <w:sz w:val="14"/>
                <w:szCs w:val="14"/>
                <w:color w:val="auto"/>
              </w:rPr>
              <w:t>Pension Benefits</w:t>
            </w:r>
          </w:p>
        </w:tc>
        <w:tc>
          <w:tcPr>
            <w:tcW w:w="3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color w:val="auto"/>
              </w:rPr>
              <w:t>Other Postretirement Benefits</w:t>
            </w:r>
          </w:p>
        </w:tc>
      </w:tr>
      <w:tr>
        <w:trPr>
          <w:trHeight w:val="204"/>
        </w:trPr>
        <w:tc>
          <w:tcPr>
            <w:tcW w:w="3420" w:type="dxa"/>
            <w:vAlign w:val="bottom"/>
          </w:tcPr>
          <w:p>
            <w:pPr>
              <w:spacing w:after="0"/>
              <w:rPr>
                <w:sz w:val="17"/>
                <w:szCs w:val="17"/>
                <w:color w:val="auto"/>
              </w:rPr>
            </w:pPr>
          </w:p>
        </w:tc>
        <w:tc>
          <w:tcPr>
            <w:tcW w:w="2080" w:type="dxa"/>
            <w:vAlign w:val="bottom"/>
            <w:gridSpan w:val="3"/>
          </w:tcPr>
          <w:p>
            <w:pPr>
              <w:jc w:val="center"/>
              <w:ind w:left="284"/>
              <w:spacing w:after="0"/>
              <w:rPr>
                <w:sz w:val="20"/>
                <w:szCs w:val="20"/>
                <w:color w:val="auto"/>
              </w:rPr>
            </w:pPr>
            <w:r>
              <w:rPr>
                <w:rFonts w:ascii="Arial" w:cs="Arial" w:eastAsia="Arial" w:hAnsi="Arial"/>
                <w:sz w:val="14"/>
                <w:szCs w:val="14"/>
                <w:color w:val="auto"/>
              </w:rPr>
              <w:t>Three months ended</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60" w:type="dxa"/>
            <w:vAlign w:val="bottom"/>
            <w:gridSpan w:val="3"/>
          </w:tcPr>
          <w:p>
            <w:pPr>
              <w:jc w:val="center"/>
              <w:ind w:right="100"/>
              <w:spacing w:after="0"/>
              <w:rPr>
                <w:sz w:val="20"/>
                <w:szCs w:val="20"/>
                <w:color w:val="auto"/>
              </w:rPr>
            </w:pPr>
            <w:r>
              <w:rPr>
                <w:rFonts w:ascii="Arial" w:cs="Arial" w:eastAsia="Arial" w:hAnsi="Arial"/>
                <w:sz w:val="14"/>
                <w:szCs w:val="14"/>
                <w:color w:val="auto"/>
              </w:rPr>
              <w:t>Three months ended</w:t>
            </w:r>
          </w:p>
        </w:tc>
      </w:tr>
      <w:tr>
        <w:trPr>
          <w:trHeight w:val="209"/>
        </w:trPr>
        <w:tc>
          <w:tcPr>
            <w:tcW w:w="34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402"/>
              <w:spacing w:after="0"/>
              <w:rPr>
                <w:sz w:val="20"/>
                <w:szCs w:val="20"/>
                <w:color w:val="auto"/>
              </w:rPr>
            </w:pPr>
            <w:r>
              <w:rPr>
                <w:rFonts w:ascii="Arial" w:cs="Arial" w:eastAsia="Arial" w:hAnsi="Arial"/>
                <w:sz w:val="14"/>
                <w:szCs w:val="14"/>
                <w:color w:val="auto"/>
              </w:rPr>
              <w:t>March 31,</w:t>
            </w:r>
          </w:p>
        </w:tc>
        <w:tc>
          <w:tcPr>
            <w:tcW w:w="3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left="582"/>
              <w:spacing w:after="0"/>
              <w:rPr>
                <w:sz w:val="20"/>
                <w:szCs w:val="20"/>
                <w:color w:val="auto"/>
              </w:rPr>
            </w:pPr>
            <w:r>
              <w:rPr>
                <w:rFonts w:ascii="Arial" w:cs="Arial" w:eastAsia="Arial" w:hAnsi="Arial"/>
                <w:sz w:val="14"/>
                <w:szCs w:val="14"/>
                <w:color w:val="auto"/>
              </w:rPr>
              <w:t>March 31,</w:t>
            </w:r>
          </w:p>
        </w:tc>
        <w:tc>
          <w:tcPr>
            <w:tcW w:w="840" w:type="dxa"/>
            <w:vAlign w:val="bottom"/>
            <w:tcBorders>
              <w:bottom w:val="single" w:sz="8" w:color="auto"/>
            </w:tcBorders>
          </w:tcPr>
          <w:p>
            <w:pPr>
              <w:spacing w:after="0"/>
              <w:rPr>
                <w:sz w:val="18"/>
                <w:szCs w:val="18"/>
                <w:color w:val="auto"/>
              </w:rPr>
            </w:pPr>
          </w:p>
        </w:tc>
      </w:tr>
      <w:tr>
        <w:trPr>
          <w:trHeight w:val="223"/>
        </w:trPr>
        <w:tc>
          <w:tcPr>
            <w:tcW w:w="3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color w:val="auto"/>
              </w:rPr>
              <w:t>2009</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rPr>
              <w:t>2008</w:t>
            </w:r>
          </w:p>
        </w:tc>
        <w:tc>
          <w:tcPr>
            <w:tcW w:w="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2009</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2008</w:t>
            </w:r>
          </w:p>
        </w:tc>
      </w:tr>
      <w:tr>
        <w:trPr>
          <w:trHeight w:val="210"/>
        </w:trPr>
        <w:tc>
          <w:tcPr>
            <w:tcW w:w="342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840" w:type="dxa"/>
            <w:vAlign w:val="bottom"/>
          </w:tcPr>
          <w:p>
            <w:pPr>
              <w:jc w:val="right"/>
              <w:ind w:right="664"/>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19</w:t>
            </w:r>
          </w:p>
        </w:tc>
        <w:tc>
          <w:tcPr>
            <w:tcW w:w="860" w:type="dxa"/>
            <w:vAlign w:val="bottom"/>
          </w:tcPr>
          <w:p>
            <w:pPr>
              <w:jc w:val="right"/>
              <w:ind w:right="682"/>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34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43</w:t>
            </w:r>
          </w:p>
        </w:tc>
        <w:tc>
          <w:tcPr>
            <w:tcW w:w="8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42</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342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(35)</w:t>
            </w:r>
          </w:p>
        </w:tc>
        <w:tc>
          <w:tcPr>
            <w:tcW w:w="8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(40)</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3420" w:type="dxa"/>
            <w:vAlign w:val="bottom"/>
          </w:tcPr>
          <w:p>
            <w:pPr>
              <w:ind w:left="20"/>
              <w:spacing w:after="0"/>
              <w:rPr>
                <w:sz w:val="20"/>
                <w:szCs w:val="20"/>
                <w:color w:val="auto"/>
              </w:rPr>
            </w:pPr>
            <w:r>
              <w:rPr>
                <w:rFonts w:ascii="Arial" w:cs="Arial" w:eastAsia="Arial" w:hAnsi="Arial"/>
                <w:sz w:val="16"/>
                <w:szCs w:val="16"/>
                <w:color w:val="auto"/>
              </w:rPr>
              <w:t>Amortization of:</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420" w:type="dxa"/>
            <w:vAlign w:val="bottom"/>
          </w:tcPr>
          <w:p>
            <w:pPr>
              <w:ind w:left="200"/>
              <w:spacing w:after="0"/>
              <w:rPr>
                <w:sz w:val="20"/>
                <w:szCs w:val="20"/>
                <w:color w:val="auto"/>
              </w:rPr>
            </w:pPr>
            <w:r>
              <w:rPr>
                <w:rFonts w:ascii="Arial" w:cs="Arial" w:eastAsia="Arial" w:hAnsi="Arial"/>
                <w:sz w:val="16"/>
                <w:szCs w:val="16"/>
                <w:color w:val="auto"/>
              </w:rPr>
              <w:t>Prior service cost (credit)</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8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3420" w:type="dxa"/>
            <w:vAlign w:val="bottom"/>
          </w:tcPr>
          <w:p>
            <w:pPr>
              <w:ind w:left="200"/>
              <w:spacing w:after="0"/>
              <w:rPr>
                <w:sz w:val="20"/>
                <w:szCs w:val="20"/>
                <w:color w:val="auto"/>
              </w:rPr>
            </w:pPr>
            <w:r>
              <w:rPr>
                <w:rFonts w:ascii="Arial" w:cs="Arial" w:eastAsia="Arial" w:hAnsi="Arial"/>
                <w:sz w:val="16"/>
                <w:szCs w:val="16"/>
                <w:color w:val="auto"/>
              </w:rPr>
              <w:t>Actuarial loss</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6</w:t>
            </w:r>
          </w:p>
        </w:tc>
        <w:tc>
          <w:tcPr>
            <w:tcW w:w="8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2"/>
        </w:trPr>
        <w:tc>
          <w:tcPr>
            <w:tcW w:w="3420" w:type="dxa"/>
            <w:vAlign w:val="bottom"/>
          </w:tcPr>
          <w:p>
            <w:pPr>
              <w:ind w:left="20"/>
              <w:spacing w:after="0"/>
              <w:rPr>
                <w:sz w:val="20"/>
                <w:szCs w:val="20"/>
                <w:color w:val="auto"/>
              </w:rPr>
            </w:pPr>
            <w:r>
              <w:rPr>
                <w:rFonts w:ascii="Arial" w:cs="Arial" w:eastAsia="Arial" w:hAnsi="Arial"/>
                <w:sz w:val="16"/>
                <w:szCs w:val="16"/>
                <w:color w:val="auto"/>
              </w:rPr>
              <w:t>Regulatory adjustment</w:t>
            </w:r>
          </w:p>
        </w:tc>
        <w:tc>
          <w:tcPr>
            <w:tcW w:w="8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8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3420" w:type="dxa"/>
            <w:vAlign w:val="bottom"/>
          </w:tcPr>
          <w:p>
            <w:pPr>
              <w:ind w:left="20"/>
              <w:spacing w:after="0"/>
              <w:rPr>
                <w:sz w:val="20"/>
                <w:szCs w:val="20"/>
                <w:color w:val="auto"/>
              </w:rPr>
            </w:pPr>
            <w:r>
              <w:rPr>
                <w:rFonts w:ascii="Arial" w:cs="Arial" w:eastAsia="Arial" w:hAnsi="Arial"/>
                <w:sz w:val="16"/>
                <w:szCs w:val="16"/>
                <w:color w:val="auto"/>
              </w:rPr>
              <w:t>Total net periodic benefit cost</w:t>
            </w:r>
          </w:p>
        </w:tc>
        <w:tc>
          <w:tcPr>
            <w:tcW w:w="840" w:type="dxa"/>
            <w:vAlign w:val="bottom"/>
          </w:tcPr>
          <w:p>
            <w:pPr>
              <w:jc w:val="right"/>
              <w:ind w:right="664"/>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8</w:t>
            </w:r>
          </w:p>
        </w:tc>
        <w:tc>
          <w:tcPr>
            <w:tcW w:w="860" w:type="dxa"/>
            <w:vAlign w:val="bottom"/>
          </w:tcPr>
          <w:p>
            <w:pPr>
              <w:jc w:val="right"/>
              <w:ind w:right="682"/>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84"/>
        </w:trPr>
        <w:tc>
          <w:tcPr>
            <w:tcW w:w="342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104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r>
    </w:tbl>
    <w:p>
      <w:pPr>
        <w:sectPr>
          <w:pgSz w:w="11900" w:h="16838" w:orient="portrait"/>
          <w:cols w:equalWidth="0" w:num="1">
            <w:col w:w="11420"/>
          </w:cols>
          <w:pgMar w:left="240" w:top="118" w:right="239" w:bottom="1440" w:gutter="0" w:footer="0" w:header="0"/>
        </w:sectPr>
      </w:pPr>
    </w:p>
    <w:bookmarkStart w:id="27" w:name="page28"/>
    <w:bookmarkEnd w:id="27"/>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5282565" cy="274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82565" cy="274320"/>
                    </a:xfrm>
                    <a:prstGeom prst="rect">
                      <a:avLst/>
                    </a:prstGeom>
                    <a:noFill/>
                  </pic:spPr>
                </pic:pic>
              </a:graphicData>
            </a:graphic>
          </wp:anchor>
        </w:drawing>
        <w:t>NET PERIODIC BENEFIT COST -- SDG&amp;E</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20" w:type="dxa"/>
            <w:vAlign w:val="bottom"/>
          </w:tcPr>
          <w:p>
            <w:pPr>
              <w:spacing w:after="0"/>
              <w:rPr>
                <w:sz w:val="15"/>
                <w:szCs w:val="15"/>
                <w:color w:val="auto"/>
              </w:rPr>
            </w:pPr>
          </w:p>
        </w:tc>
        <w:tc>
          <w:tcPr>
            <w:tcW w:w="2080" w:type="dxa"/>
            <w:vAlign w:val="bottom"/>
            <w:tcBorders>
              <w:bottom w:val="single" w:sz="8" w:color="auto"/>
            </w:tcBorders>
            <w:gridSpan w:val="3"/>
          </w:tcPr>
          <w:p>
            <w:pPr>
              <w:jc w:val="center"/>
              <w:ind w:left="284"/>
              <w:spacing w:after="0"/>
              <w:rPr>
                <w:sz w:val="20"/>
                <w:szCs w:val="20"/>
                <w:color w:val="auto"/>
              </w:rPr>
            </w:pPr>
            <w:r>
              <w:rPr>
                <w:rFonts w:ascii="Arial" w:cs="Arial" w:eastAsia="Arial" w:hAnsi="Arial"/>
                <w:sz w:val="14"/>
                <w:szCs w:val="14"/>
                <w:color w:val="auto"/>
              </w:rPr>
              <w:t>Pension Benefits</w:t>
            </w:r>
          </w:p>
        </w:tc>
        <w:tc>
          <w:tcPr>
            <w:tcW w:w="3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color w:val="auto"/>
              </w:rPr>
              <w:t>Other Postretirement Benefits</w:t>
            </w:r>
          </w:p>
        </w:tc>
      </w:tr>
      <w:tr>
        <w:trPr>
          <w:trHeight w:val="204"/>
        </w:trPr>
        <w:tc>
          <w:tcPr>
            <w:tcW w:w="3420" w:type="dxa"/>
            <w:vAlign w:val="bottom"/>
          </w:tcPr>
          <w:p>
            <w:pPr>
              <w:spacing w:after="0"/>
              <w:rPr>
                <w:sz w:val="17"/>
                <w:szCs w:val="17"/>
                <w:color w:val="auto"/>
              </w:rPr>
            </w:pPr>
          </w:p>
        </w:tc>
        <w:tc>
          <w:tcPr>
            <w:tcW w:w="2080" w:type="dxa"/>
            <w:vAlign w:val="bottom"/>
            <w:gridSpan w:val="3"/>
          </w:tcPr>
          <w:p>
            <w:pPr>
              <w:jc w:val="center"/>
              <w:ind w:left="284"/>
              <w:spacing w:after="0"/>
              <w:rPr>
                <w:sz w:val="20"/>
                <w:szCs w:val="20"/>
                <w:color w:val="auto"/>
              </w:rPr>
            </w:pPr>
            <w:r>
              <w:rPr>
                <w:rFonts w:ascii="Arial" w:cs="Arial" w:eastAsia="Arial" w:hAnsi="Arial"/>
                <w:sz w:val="14"/>
                <w:szCs w:val="14"/>
                <w:color w:val="auto"/>
              </w:rPr>
              <w:t>Three months ended</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60" w:type="dxa"/>
            <w:vAlign w:val="bottom"/>
            <w:gridSpan w:val="3"/>
          </w:tcPr>
          <w:p>
            <w:pPr>
              <w:jc w:val="center"/>
              <w:ind w:right="100"/>
              <w:spacing w:after="0"/>
              <w:rPr>
                <w:sz w:val="20"/>
                <w:szCs w:val="20"/>
                <w:color w:val="auto"/>
              </w:rPr>
            </w:pPr>
            <w:r>
              <w:rPr>
                <w:rFonts w:ascii="Arial" w:cs="Arial" w:eastAsia="Arial" w:hAnsi="Arial"/>
                <w:sz w:val="14"/>
                <w:szCs w:val="14"/>
                <w:color w:val="auto"/>
              </w:rPr>
              <w:t>Three months ended</w:t>
            </w:r>
          </w:p>
        </w:tc>
      </w:tr>
      <w:tr>
        <w:trPr>
          <w:trHeight w:val="209"/>
        </w:trPr>
        <w:tc>
          <w:tcPr>
            <w:tcW w:w="34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402"/>
              <w:spacing w:after="0"/>
              <w:rPr>
                <w:sz w:val="20"/>
                <w:szCs w:val="20"/>
                <w:color w:val="auto"/>
              </w:rPr>
            </w:pPr>
            <w:r>
              <w:rPr>
                <w:rFonts w:ascii="Arial" w:cs="Arial" w:eastAsia="Arial" w:hAnsi="Arial"/>
                <w:sz w:val="14"/>
                <w:szCs w:val="14"/>
                <w:color w:val="auto"/>
              </w:rPr>
              <w:t>March 31,</w:t>
            </w:r>
          </w:p>
        </w:tc>
        <w:tc>
          <w:tcPr>
            <w:tcW w:w="3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left="582"/>
              <w:spacing w:after="0"/>
              <w:rPr>
                <w:sz w:val="20"/>
                <w:szCs w:val="20"/>
                <w:color w:val="auto"/>
              </w:rPr>
            </w:pPr>
            <w:r>
              <w:rPr>
                <w:rFonts w:ascii="Arial" w:cs="Arial" w:eastAsia="Arial" w:hAnsi="Arial"/>
                <w:sz w:val="14"/>
                <w:szCs w:val="14"/>
                <w:color w:val="auto"/>
              </w:rPr>
              <w:t>March 31,</w:t>
            </w:r>
          </w:p>
        </w:tc>
        <w:tc>
          <w:tcPr>
            <w:tcW w:w="840" w:type="dxa"/>
            <w:vAlign w:val="bottom"/>
            <w:tcBorders>
              <w:bottom w:val="single" w:sz="8" w:color="auto"/>
            </w:tcBorders>
          </w:tcPr>
          <w:p>
            <w:pPr>
              <w:spacing w:after="0"/>
              <w:rPr>
                <w:sz w:val="18"/>
                <w:szCs w:val="18"/>
                <w:color w:val="auto"/>
              </w:rPr>
            </w:pPr>
          </w:p>
        </w:tc>
      </w:tr>
      <w:tr>
        <w:trPr>
          <w:trHeight w:val="210"/>
        </w:trPr>
        <w:tc>
          <w:tcPr>
            <w:tcW w:w="3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color w:val="auto"/>
              </w:rPr>
              <w:t>2009</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rPr>
              <w:t>2008</w:t>
            </w:r>
          </w:p>
        </w:tc>
        <w:tc>
          <w:tcPr>
            <w:tcW w:w="3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2009</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2008</w:t>
            </w:r>
          </w:p>
        </w:tc>
      </w:tr>
      <w:tr>
        <w:trPr>
          <w:trHeight w:val="210"/>
        </w:trPr>
        <w:tc>
          <w:tcPr>
            <w:tcW w:w="342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840" w:type="dxa"/>
            <w:vAlign w:val="bottom"/>
          </w:tcPr>
          <w:p>
            <w:pPr>
              <w:jc w:val="right"/>
              <w:ind w:right="664"/>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6</w:t>
            </w:r>
          </w:p>
        </w:tc>
        <w:tc>
          <w:tcPr>
            <w:tcW w:w="860" w:type="dxa"/>
            <w:vAlign w:val="bottom"/>
          </w:tcPr>
          <w:p>
            <w:pPr>
              <w:jc w:val="right"/>
              <w:ind w:right="682"/>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34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12</w:t>
            </w:r>
          </w:p>
        </w:tc>
        <w:tc>
          <w:tcPr>
            <w:tcW w:w="8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342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(8)</w:t>
            </w:r>
          </w:p>
        </w:tc>
        <w:tc>
          <w:tcPr>
            <w:tcW w:w="8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3420" w:type="dxa"/>
            <w:vAlign w:val="bottom"/>
          </w:tcPr>
          <w:p>
            <w:pPr>
              <w:ind w:left="20"/>
              <w:spacing w:after="0"/>
              <w:rPr>
                <w:sz w:val="20"/>
                <w:szCs w:val="20"/>
                <w:color w:val="auto"/>
              </w:rPr>
            </w:pPr>
            <w:r>
              <w:rPr>
                <w:rFonts w:ascii="Arial" w:cs="Arial" w:eastAsia="Arial" w:hAnsi="Arial"/>
                <w:sz w:val="16"/>
                <w:szCs w:val="16"/>
                <w:color w:val="auto"/>
              </w:rPr>
              <w:t>Amortization of:</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420" w:type="dxa"/>
            <w:vAlign w:val="bottom"/>
          </w:tcPr>
          <w:p>
            <w:pPr>
              <w:ind w:left="200"/>
              <w:spacing w:after="0"/>
              <w:rPr>
                <w:sz w:val="20"/>
                <w:szCs w:val="20"/>
                <w:color w:val="auto"/>
              </w:rPr>
            </w:pPr>
            <w:r>
              <w:rPr>
                <w:rFonts w:ascii="Arial" w:cs="Arial" w:eastAsia="Arial" w:hAnsi="Arial"/>
                <w:sz w:val="16"/>
                <w:szCs w:val="16"/>
                <w:color w:val="auto"/>
              </w:rPr>
              <w:t>Prior service cost</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8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3420" w:type="dxa"/>
            <w:vAlign w:val="bottom"/>
          </w:tcPr>
          <w:p>
            <w:pPr>
              <w:ind w:left="200"/>
              <w:spacing w:after="0"/>
              <w:rPr>
                <w:sz w:val="20"/>
                <w:szCs w:val="20"/>
                <w:color w:val="auto"/>
              </w:rPr>
            </w:pPr>
            <w:r>
              <w:rPr>
                <w:rFonts w:ascii="Arial" w:cs="Arial" w:eastAsia="Arial" w:hAnsi="Arial"/>
                <w:sz w:val="16"/>
                <w:szCs w:val="16"/>
                <w:color w:val="auto"/>
              </w:rPr>
              <w:t>Actuarial loss</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w:t>
            </w:r>
          </w:p>
        </w:tc>
        <w:tc>
          <w:tcPr>
            <w:tcW w:w="8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2"/>
        </w:trPr>
        <w:tc>
          <w:tcPr>
            <w:tcW w:w="3420" w:type="dxa"/>
            <w:vAlign w:val="bottom"/>
          </w:tcPr>
          <w:p>
            <w:pPr>
              <w:ind w:left="20"/>
              <w:spacing w:after="0"/>
              <w:rPr>
                <w:sz w:val="20"/>
                <w:szCs w:val="20"/>
                <w:color w:val="auto"/>
              </w:rPr>
            </w:pPr>
            <w:r>
              <w:rPr>
                <w:rFonts w:ascii="Arial" w:cs="Arial" w:eastAsia="Arial" w:hAnsi="Arial"/>
                <w:sz w:val="16"/>
                <w:szCs w:val="16"/>
                <w:color w:val="auto"/>
              </w:rPr>
              <w:t>Regulatory adjustment</w:t>
            </w:r>
          </w:p>
        </w:tc>
        <w:tc>
          <w:tcPr>
            <w:tcW w:w="8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8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3420" w:type="dxa"/>
            <w:vAlign w:val="bottom"/>
          </w:tcPr>
          <w:p>
            <w:pPr>
              <w:ind w:left="20"/>
              <w:spacing w:after="0"/>
              <w:rPr>
                <w:sz w:val="20"/>
                <w:szCs w:val="20"/>
                <w:color w:val="auto"/>
              </w:rPr>
            </w:pPr>
            <w:r>
              <w:rPr>
                <w:rFonts w:ascii="Arial" w:cs="Arial" w:eastAsia="Arial" w:hAnsi="Arial"/>
                <w:sz w:val="16"/>
                <w:szCs w:val="16"/>
                <w:color w:val="auto"/>
              </w:rPr>
              <w:t>Total net periodic benefit cost</w:t>
            </w:r>
          </w:p>
        </w:tc>
        <w:tc>
          <w:tcPr>
            <w:tcW w:w="840" w:type="dxa"/>
            <w:vAlign w:val="bottom"/>
          </w:tcPr>
          <w:p>
            <w:pPr>
              <w:jc w:val="right"/>
              <w:ind w:right="664"/>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860" w:type="dxa"/>
            <w:vAlign w:val="bottom"/>
          </w:tcPr>
          <w:p>
            <w:pPr>
              <w:jc w:val="right"/>
              <w:ind w:right="682"/>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84"/>
        </w:trPr>
        <w:tc>
          <w:tcPr>
            <w:tcW w:w="4260" w:type="dxa"/>
            <w:vAlign w:val="bottom"/>
            <w:gridSpan w:val="2"/>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104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r>
      <w:tr>
        <w:trPr>
          <w:trHeight w:val="270"/>
        </w:trPr>
        <w:tc>
          <w:tcPr>
            <w:tcW w:w="4260" w:type="dxa"/>
            <w:vAlign w:val="bottom"/>
            <w:tcBorders>
              <w:bottom w:val="single" w:sz="8" w:color="auto"/>
            </w:tcBorders>
            <w:gridSpan w:val="2"/>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r>
      <w:tr>
        <w:trPr>
          <w:trHeight w:val="208"/>
        </w:trPr>
        <w:tc>
          <w:tcPr>
            <w:tcW w:w="4260" w:type="dxa"/>
            <w:vAlign w:val="bottom"/>
            <w:gridSpan w:val="2"/>
            <w:shd w:val="clear" w:color="auto" w:fill="C0C0C0"/>
          </w:tcPr>
          <w:p>
            <w:pPr>
              <w:ind w:left="20"/>
              <w:spacing w:after="0"/>
              <w:rPr>
                <w:sz w:val="20"/>
                <w:szCs w:val="20"/>
                <w:color w:val="auto"/>
              </w:rPr>
            </w:pPr>
            <w:r>
              <w:rPr>
                <w:rFonts w:ascii="Arial" w:cs="Arial" w:eastAsia="Arial" w:hAnsi="Arial"/>
                <w:sz w:val="16"/>
                <w:szCs w:val="16"/>
                <w:b w:val="1"/>
                <w:bCs w:val="1"/>
                <w:color w:val="auto"/>
              </w:rPr>
              <w:t>NET PERIODIC BENEFIT COST -- SOCALGAS</w:t>
            </w:r>
          </w:p>
        </w:tc>
        <w:tc>
          <w:tcPr>
            <w:tcW w:w="380" w:type="dxa"/>
            <w:vAlign w:val="bottom"/>
            <w:shd w:val="clear" w:color="auto" w:fill="C0C0C0"/>
          </w:tcPr>
          <w:p>
            <w:pPr>
              <w:spacing w:after="0"/>
              <w:rPr>
                <w:sz w:val="18"/>
                <w:szCs w:val="18"/>
                <w:color w:val="auto"/>
              </w:rPr>
            </w:pPr>
          </w:p>
        </w:tc>
        <w:tc>
          <w:tcPr>
            <w:tcW w:w="860" w:type="dxa"/>
            <w:vAlign w:val="bottom"/>
            <w:shd w:val="clear" w:color="auto" w:fill="C0C0C0"/>
          </w:tcPr>
          <w:p>
            <w:pPr>
              <w:spacing w:after="0"/>
              <w:rPr>
                <w:sz w:val="18"/>
                <w:szCs w:val="18"/>
                <w:color w:val="auto"/>
              </w:rPr>
            </w:pPr>
          </w:p>
        </w:tc>
        <w:tc>
          <w:tcPr>
            <w:tcW w:w="36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104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840" w:type="dxa"/>
            <w:vAlign w:val="bottom"/>
            <w:shd w:val="clear" w:color="auto" w:fill="C0C0C0"/>
          </w:tcPr>
          <w:p>
            <w:pPr>
              <w:spacing w:after="0"/>
              <w:rPr>
                <w:sz w:val="18"/>
                <w:szCs w:val="18"/>
                <w:color w:val="auto"/>
              </w:rPr>
            </w:pPr>
          </w:p>
        </w:tc>
      </w:tr>
      <w:tr>
        <w:trPr>
          <w:trHeight w:val="204"/>
        </w:trPr>
        <w:tc>
          <w:tcPr>
            <w:tcW w:w="3420" w:type="dxa"/>
            <w:vAlign w:val="bottom"/>
            <w:shd w:val="clear" w:color="auto" w:fill="C0C0C0"/>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840" w:type="dxa"/>
            <w:vAlign w:val="bottom"/>
            <w:shd w:val="clear" w:color="auto" w:fill="C0C0C0"/>
          </w:tcPr>
          <w:p>
            <w:pPr>
              <w:spacing w:after="0"/>
              <w:rPr>
                <w:sz w:val="17"/>
                <w:szCs w:val="17"/>
                <w:color w:val="auto"/>
              </w:rPr>
            </w:pPr>
          </w:p>
        </w:tc>
        <w:tc>
          <w:tcPr>
            <w:tcW w:w="380" w:type="dxa"/>
            <w:vAlign w:val="bottom"/>
            <w:shd w:val="clear" w:color="auto" w:fill="C0C0C0"/>
          </w:tcPr>
          <w:p>
            <w:pPr>
              <w:spacing w:after="0"/>
              <w:rPr>
                <w:sz w:val="17"/>
                <w:szCs w:val="17"/>
                <w:color w:val="auto"/>
              </w:rPr>
            </w:pPr>
          </w:p>
        </w:tc>
        <w:tc>
          <w:tcPr>
            <w:tcW w:w="86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040" w:type="dxa"/>
            <w:vAlign w:val="bottom"/>
            <w:shd w:val="clear" w:color="auto" w:fill="C0C0C0"/>
          </w:tcPr>
          <w:p>
            <w:pPr>
              <w:spacing w:after="0"/>
              <w:rPr>
                <w:sz w:val="17"/>
                <w:szCs w:val="17"/>
                <w:color w:val="auto"/>
              </w:rPr>
            </w:pPr>
          </w:p>
        </w:tc>
        <w:tc>
          <w:tcPr>
            <w:tcW w:w="380" w:type="dxa"/>
            <w:vAlign w:val="bottom"/>
            <w:shd w:val="clear" w:color="auto" w:fill="C0C0C0"/>
          </w:tcPr>
          <w:p>
            <w:pPr>
              <w:spacing w:after="0"/>
              <w:rPr>
                <w:sz w:val="17"/>
                <w:szCs w:val="17"/>
                <w:color w:val="auto"/>
              </w:rPr>
            </w:pPr>
          </w:p>
        </w:tc>
        <w:tc>
          <w:tcPr>
            <w:tcW w:w="840" w:type="dxa"/>
            <w:vAlign w:val="bottom"/>
            <w:shd w:val="clear" w:color="auto" w:fill="C0C0C0"/>
          </w:tcPr>
          <w:p>
            <w:pPr>
              <w:spacing w:after="0"/>
              <w:rPr>
                <w:sz w:val="17"/>
                <w:szCs w:val="17"/>
                <w:color w:val="auto"/>
              </w:rPr>
            </w:pPr>
          </w:p>
        </w:tc>
      </w:tr>
      <w:tr>
        <w:trPr>
          <w:trHeight w:val="197"/>
        </w:trPr>
        <w:tc>
          <w:tcPr>
            <w:tcW w:w="3420" w:type="dxa"/>
            <w:vAlign w:val="bottom"/>
          </w:tcPr>
          <w:p>
            <w:pPr>
              <w:spacing w:after="0"/>
              <w:rPr>
                <w:sz w:val="17"/>
                <w:szCs w:val="17"/>
                <w:color w:val="auto"/>
              </w:rPr>
            </w:pPr>
          </w:p>
        </w:tc>
        <w:tc>
          <w:tcPr>
            <w:tcW w:w="2080" w:type="dxa"/>
            <w:vAlign w:val="bottom"/>
            <w:tcBorders>
              <w:bottom w:val="single" w:sz="8" w:color="auto"/>
            </w:tcBorders>
            <w:gridSpan w:val="3"/>
          </w:tcPr>
          <w:p>
            <w:pPr>
              <w:jc w:val="center"/>
              <w:ind w:left="284"/>
              <w:spacing w:after="0"/>
              <w:rPr>
                <w:sz w:val="20"/>
                <w:szCs w:val="20"/>
                <w:color w:val="auto"/>
              </w:rPr>
            </w:pPr>
            <w:r>
              <w:rPr>
                <w:rFonts w:ascii="Arial" w:cs="Arial" w:eastAsia="Arial" w:hAnsi="Arial"/>
                <w:sz w:val="14"/>
                <w:szCs w:val="14"/>
                <w:color w:val="auto"/>
              </w:rPr>
              <w:t>Pension Benefits</w:t>
            </w:r>
          </w:p>
        </w:tc>
        <w:tc>
          <w:tcPr>
            <w:tcW w:w="3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color w:val="auto"/>
              </w:rPr>
              <w:t>Other Postretirement Benefits</w:t>
            </w:r>
          </w:p>
        </w:tc>
      </w:tr>
      <w:tr>
        <w:trPr>
          <w:trHeight w:val="204"/>
        </w:trPr>
        <w:tc>
          <w:tcPr>
            <w:tcW w:w="3420" w:type="dxa"/>
            <w:vAlign w:val="bottom"/>
          </w:tcPr>
          <w:p>
            <w:pPr>
              <w:spacing w:after="0"/>
              <w:rPr>
                <w:sz w:val="17"/>
                <w:szCs w:val="17"/>
                <w:color w:val="auto"/>
              </w:rPr>
            </w:pPr>
          </w:p>
        </w:tc>
        <w:tc>
          <w:tcPr>
            <w:tcW w:w="2080" w:type="dxa"/>
            <w:vAlign w:val="bottom"/>
            <w:gridSpan w:val="3"/>
          </w:tcPr>
          <w:p>
            <w:pPr>
              <w:jc w:val="center"/>
              <w:ind w:left="284"/>
              <w:spacing w:after="0"/>
              <w:rPr>
                <w:sz w:val="20"/>
                <w:szCs w:val="20"/>
                <w:color w:val="auto"/>
              </w:rPr>
            </w:pPr>
            <w:r>
              <w:rPr>
                <w:rFonts w:ascii="Arial" w:cs="Arial" w:eastAsia="Arial" w:hAnsi="Arial"/>
                <w:sz w:val="14"/>
                <w:szCs w:val="14"/>
                <w:color w:val="auto"/>
              </w:rPr>
              <w:t>Three months ended</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60" w:type="dxa"/>
            <w:vAlign w:val="bottom"/>
            <w:gridSpan w:val="3"/>
          </w:tcPr>
          <w:p>
            <w:pPr>
              <w:jc w:val="center"/>
              <w:ind w:right="100"/>
              <w:spacing w:after="0"/>
              <w:rPr>
                <w:sz w:val="20"/>
                <w:szCs w:val="20"/>
                <w:color w:val="auto"/>
              </w:rPr>
            </w:pPr>
            <w:r>
              <w:rPr>
                <w:rFonts w:ascii="Arial" w:cs="Arial" w:eastAsia="Arial" w:hAnsi="Arial"/>
                <w:sz w:val="14"/>
                <w:szCs w:val="14"/>
                <w:color w:val="auto"/>
              </w:rPr>
              <w:t>Three months ended</w:t>
            </w:r>
          </w:p>
        </w:tc>
      </w:tr>
      <w:tr>
        <w:trPr>
          <w:trHeight w:val="209"/>
        </w:trPr>
        <w:tc>
          <w:tcPr>
            <w:tcW w:w="34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402"/>
              <w:spacing w:after="0"/>
              <w:rPr>
                <w:sz w:val="20"/>
                <w:szCs w:val="20"/>
                <w:color w:val="auto"/>
              </w:rPr>
            </w:pPr>
            <w:r>
              <w:rPr>
                <w:rFonts w:ascii="Arial" w:cs="Arial" w:eastAsia="Arial" w:hAnsi="Arial"/>
                <w:sz w:val="14"/>
                <w:szCs w:val="14"/>
                <w:color w:val="auto"/>
              </w:rPr>
              <w:t>March 31,</w:t>
            </w:r>
          </w:p>
        </w:tc>
        <w:tc>
          <w:tcPr>
            <w:tcW w:w="3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left="582"/>
              <w:spacing w:after="0"/>
              <w:rPr>
                <w:sz w:val="20"/>
                <w:szCs w:val="20"/>
                <w:color w:val="auto"/>
              </w:rPr>
            </w:pPr>
            <w:r>
              <w:rPr>
                <w:rFonts w:ascii="Arial" w:cs="Arial" w:eastAsia="Arial" w:hAnsi="Arial"/>
                <w:sz w:val="14"/>
                <w:szCs w:val="14"/>
                <w:color w:val="auto"/>
              </w:rPr>
              <w:t>March 31,</w:t>
            </w:r>
          </w:p>
        </w:tc>
        <w:tc>
          <w:tcPr>
            <w:tcW w:w="840" w:type="dxa"/>
            <w:vAlign w:val="bottom"/>
            <w:tcBorders>
              <w:bottom w:val="single" w:sz="8" w:color="auto"/>
            </w:tcBorders>
          </w:tcPr>
          <w:p>
            <w:pPr>
              <w:spacing w:after="0"/>
              <w:rPr>
                <w:sz w:val="18"/>
                <w:szCs w:val="18"/>
                <w:color w:val="auto"/>
              </w:rPr>
            </w:pPr>
          </w:p>
        </w:tc>
      </w:tr>
      <w:tr>
        <w:trPr>
          <w:trHeight w:val="210"/>
        </w:trPr>
        <w:tc>
          <w:tcPr>
            <w:tcW w:w="3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color w:val="auto"/>
              </w:rPr>
              <w:t>2009</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rPr>
              <w:t>2008</w:t>
            </w:r>
          </w:p>
        </w:tc>
        <w:tc>
          <w:tcPr>
            <w:tcW w:w="3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2009</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2008</w:t>
            </w:r>
          </w:p>
        </w:tc>
      </w:tr>
      <w:tr>
        <w:trPr>
          <w:trHeight w:val="210"/>
        </w:trPr>
        <w:tc>
          <w:tcPr>
            <w:tcW w:w="342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840" w:type="dxa"/>
            <w:vAlign w:val="bottom"/>
          </w:tcPr>
          <w:p>
            <w:pPr>
              <w:jc w:val="right"/>
              <w:ind w:right="664"/>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11</w:t>
            </w:r>
          </w:p>
        </w:tc>
        <w:tc>
          <w:tcPr>
            <w:tcW w:w="860" w:type="dxa"/>
            <w:vAlign w:val="bottom"/>
          </w:tcPr>
          <w:p>
            <w:pPr>
              <w:jc w:val="right"/>
              <w:ind w:right="682"/>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34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25</w:t>
            </w:r>
          </w:p>
        </w:tc>
        <w:tc>
          <w:tcPr>
            <w:tcW w:w="8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25</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342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(24)</w:t>
            </w:r>
          </w:p>
        </w:tc>
        <w:tc>
          <w:tcPr>
            <w:tcW w:w="8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3420" w:type="dxa"/>
            <w:vAlign w:val="bottom"/>
          </w:tcPr>
          <w:p>
            <w:pPr>
              <w:ind w:left="20"/>
              <w:spacing w:after="0"/>
              <w:rPr>
                <w:sz w:val="20"/>
                <w:szCs w:val="20"/>
                <w:color w:val="auto"/>
              </w:rPr>
            </w:pPr>
            <w:r>
              <w:rPr>
                <w:rFonts w:ascii="Arial" w:cs="Arial" w:eastAsia="Arial" w:hAnsi="Arial"/>
                <w:sz w:val="16"/>
                <w:szCs w:val="16"/>
                <w:color w:val="auto"/>
              </w:rPr>
              <w:t>Amortization of:</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420" w:type="dxa"/>
            <w:vAlign w:val="bottom"/>
          </w:tcPr>
          <w:p>
            <w:pPr>
              <w:ind w:left="200"/>
              <w:spacing w:after="0"/>
              <w:rPr>
                <w:sz w:val="20"/>
                <w:szCs w:val="20"/>
                <w:color w:val="auto"/>
              </w:rPr>
            </w:pPr>
            <w:r>
              <w:rPr>
                <w:rFonts w:ascii="Arial" w:cs="Arial" w:eastAsia="Arial" w:hAnsi="Arial"/>
                <w:sz w:val="16"/>
                <w:szCs w:val="16"/>
                <w:color w:val="auto"/>
              </w:rPr>
              <w:t>Prior service cost (credit)</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8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3420" w:type="dxa"/>
            <w:vAlign w:val="bottom"/>
          </w:tcPr>
          <w:p>
            <w:pPr>
              <w:ind w:left="200"/>
              <w:spacing w:after="0"/>
              <w:rPr>
                <w:sz w:val="20"/>
                <w:szCs w:val="20"/>
                <w:color w:val="auto"/>
              </w:rPr>
            </w:pPr>
            <w:r>
              <w:rPr>
                <w:rFonts w:ascii="Arial" w:cs="Arial" w:eastAsia="Arial" w:hAnsi="Arial"/>
                <w:sz w:val="16"/>
                <w:szCs w:val="16"/>
                <w:color w:val="auto"/>
              </w:rPr>
              <w:t>Actuarial loss</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2"/>
        </w:trPr>
        <w:tc>
          <w:tcPr>
            <w:tcW w:w="3420" w:type="dxa"/>
            <w:vAlign w:val="bottom"/>
          </w:tcPr>
          <w:p>
            <w:pPr>
              <w:ind w:left="20"/>
              <w:spacing w:after="0"/>
              <w:rPr>
                <w:sz w:val="20"/>
                <w:szCs w:val="20"/>
                <w:color w:val="auto"/>
              </w:rPr>
            </w:pPr>
            <w:r>
              <w:rPr>
                <w:rFonts w:ascii="Arial" w:cs="Arial" w:eastAsia="Arial" w:hAnsi="Arial"/>
                <w:sz w:val="16"/>
                <w:szCs w:val="16"/>
                <w:color w:val="auto"/>
              </w:rPr>
              <w:t>Regulatory adjustment</w:t>
            </w:r>
          </w:p>
        </w:tc>
        <w:tc>
          <w:tcPr>
            <w:tcW w:w="8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8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7"/>
        </w:trPr>
        <w:tc>
          <w:tcPr>
            <w:tcW w:w="3420" w:type="dxa"/>
            <w:vAlign w:val="bottom"/>
          </w:tcPr>
          <w:p>
            <w:pPr>
              <w:ind w:left="20"/>
              <w:spacing w:after="0"/>
              <w:rPr>
                <w:sz w:val="20"/>
                <w:szCs w:val="20"/>
                <w:color w:val="auto"/>
              </w:rPr>
            </w:pPr>
            <w:r>
              <w:rPr>
                <w:rFonts w:ascii="Arial" w:cs="Arial" w:eastAsia="Arial" w:hAnsi="Arial"/>
                <w:sz w:val="16"/>
                <w:szCs w:val="16"/>
                <w:color w:val="auto"/>
              </w:rPr>
              <w:t>Total net periodic benefit cost</w:t>
            </w:r>
          </w:p>
        </w:tc>
        <w:tc>
          <w:tcPr>
            <w:tcW w:w="840" w:type="dxa"/>
            <w:vAlign w:val="bottom"/>
          </w:tcPr>
          <w:p>
            <w:pPr>
              <w:jc w:val="right"/>
              <w:ind w:right="664"/>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860" w:type="dxa"/>
            <w:vAlign w:val="bottom"/>
          </w:tcPr>
          <w:p>
            <w:pPr>
              <w:jc w:val="right"/>
              <w:ind w:right="682"/>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84"/>
        </w:trPr>
        <w:tc>
          <w:tcPr>
            <w:tcW w:w="342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104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Future Payments</w:t>
      </w:r>
    </w:p>
    <w:p>
      <w:pPr>
        <w:spacing w:after="0" w:line="3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following table shows our year-to-date contributions to our pension and other postretirement benefit plans and the amounts we expect to contribute in 2009:</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jc w:val="right"/>
              <w:ind w:right="82"/>
              <w:spacing w:after="0"/>
              <w:rPr>
                <w:sz w:val="20"/>
                <w:szCs w:val="20"/>
                <w:color w:val="auto"/>
              </w:rPr>
            </w:pPr>
            <w:r>
              <w:rPr>
                <w:rFonts w:ascii="Arial" w:cs="Arial" w:eastAsia="Arial" w:hAnsi="Arial"/>
                <w:sz w:val="14"/>
                <w:szCs w:val="14"/>
                <w:color w:val="auto"/>
              </w:rPr>
              <w:t>Sempra Energy</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9"/>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rPr>
              <w:t>Consolidated</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SDG&amp;E</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color w:val="auto"/>
              </w:rPr>
              <w:t>SoCalGas</w:t>
            </w:r>
          </w:p>
        </w:tc>
      </w:tr>
      <w:tr>
        <w:trPr>
          <w:trHeight w:val="210"/>
        </w:trPr>
        <w:tc>
          <w:tcPr>
            <w:tcW w:w="3100" w:type="dxa"/>
            <w:vAlign w:val="bottom"/>
          </w:tcPr>
          <w:p>
            <w:pPr>
              <w:ind w:left="20"/>
              <w:spacing w:after="0"/>
              <w:rPr>
                <w:sz w:val="20"/>
                <w:szCs w:val="20"/>
                <w:color w:val="auto"/>
              </w:rPr>
            </w:pPr>
            <w:r>
              <w:rPr>
                <w:rFonts w:ascii="Arial" w:cs="Arial" w:eastAsia="Arial" w:hAnsi="Arial"/>
                <w:sz w:val="16"/>
                <w:szCs w:val="16"/>
                <w:color w:val="auto"/>
              </w:rPr>
              <w:t>Contributions through March 31, 2009:</w:t>
            </w: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100" w:type="dxa"/>
            <w:vAlign w:val="bottom"/>
          </w:tcPr>
          <w:p>
            <w:pPr>
              <w:ind w:left="200"/>
              <w:spacing w:after="0"/>
              <w:rPr>
                <w:sz w:val="20"/>
                <w:szCs w:val="20"/>
                <w:color w:val="auto"/>
              </w:rPr>
            </w:pPr>
            <w:r>
              <w:rPr>
                <w:rFonts w:ascii="Arial" w:cs="Arial" w:eastAsia="Arial" w:hAnsi="Arial"/>
                <w:sz w:val="16"/>
                <w:szCs w:val="16"/>
                <w:color w:val="auto"/>
              </w:rPr>
              <w:t>Pension plans</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39"/>
              <w:spacing w:after="0"/>
              <w:rPr>
                <w:sz w:val="20"/>
                <w:szCs w:val="20"/>
                <w:color w:val="auto"/>
              </w:rPr>
            </w:pPr>
            <w:r>
              <w:rPr>
                <w:rFonts w:ascii="Arial" w:cs="Arial" w:eastAsia="Arial" w:hAnsi="Arial"/>
                <w:sz w:val="16"/>
                <w:szCs w:val="16"/>
                <w:color w:val="auto"/>
              </w:rPr>
              <w:t>- $</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100" w:type="dxa"/>
            <w:vAlign w:val="bottom"/>
          </w:tcPr>
          <w:p>
            <w:pPr>
              <w:ind w:left="200"/>
              <w:spacing w:after="0"/>
              <w:rPr>
                <w:sz w:val="20"/>
                <w:szCs w:val="20"/>
                <w:color w:val="auto"/>
              </w:rPr>
            </w:pPr>
            <w:r>
              <w:rPr>
                <w:rFonts w:ascii="Arial" w:cs="Arial" w:eastAsia="Arial" w:hAnsi="Arial"/>
                <w:sz w:val="16"/>
                <w:szCs w:val="16"/>
                <w:color w:val="auto"/>
              </w:rPr>
              <w:t>Other postretirement benefit plans</w:t>
            </w:r>
          </w:p>
        </w:tc>
        <w:tc>
          <w:tcPr>
            <w:tcW w:w="4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3100" w:type="dxa"/>
            <w:vAlign w:val="bottom"/>
          </w:tcPr>
          <w:p>
            <w:pPr>
              <w:ind w:left="20"/>
              <w:spacing w:after="0"/>
              <w:rPr>
                <w:sz w:val="20"/>
                <w:szCs w:val="20"/>
                <w:color w:val="auto"/>
              </w:rPr>
            </w:pPr>
            <w:r>
              <w:rPr>
                <w:rFonts w:ascii="Arial" w:cs="Arial" w:eastAsia="Arial" w:hAnsi="Arial"/>
                <w:sz w:val="16"/>
                <w:szCs w:val="16"/>
                <w:color w:val="auto"/>
              </w:rPr>
              <w:t>Total expected contributions in 2009:</w:t>
            </w: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100" w:type="dxa"/>
            <w:vAlign w:val="bottom"/>
          </w:tcPr>
          <w:p>
            <w:pPr>
              <w:ind w:left="200"/>
              <w:spacing w:after="0"/>
              <w:rPr>
                <w:sz w:val="20"/>
                <w:szCs w:val="20"/>
                <w:color w:val="auto"/>
              </w:rPr>
            </w:pPr>
            <w:r>
              <w:rPr>
                <w:rFonts w:ascii="Arial" w:cs="Arial" w:eastAsia="Arial" w:hAnsi="Arial"/>
                <w:sz w:val="16"/>
                <w:szCs w:val="16"/>
                <w:color w:val="auto"/>
              </w:rPr>
              <w:t>Pension plans</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161</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57</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19"/>
        </w:trPr>
        <w:tc>
          <w:tcPr>
            <w:tcW w:w="3100" w:type="dxa"/>
            <w:vAlign w:val="bottom"/>
          </w:tcPr>
          <w:p>
            <w:pPr>
              <w:ind w:left="200"/>
              <w:spacing w:after="0"/>
              <w:rPr>
                <w:sz w:val="20"/>
                <w:szCs w:val="20"/>
                <w:color w:val="auto"/>
              </w:rPr>
            </w:pPr>
            <w:r>
              <w:rPr>
                <w:rFonts w:ascii="Arial" w:cs="Arial" w:eastAsia="Arial" w:hAnsi="Arial"/>
                <w:sz w:val="16"/>
                <w:szCs w:val="16"/>
                <w:color w:val="auto"/>
              </w:rPr>
              <w:t>Other postretirement benefit plans</w:t>
            </w: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84"/>
        </w:trPr>
        <w:tc>
          <w:tcPr>
            <w:tcW w:w="3100" w:type="dxa"/>
            <w:vAlign w:val="bottom"/>
            <w:shd w:val="clear" w:color="auto" w:fill="DFDFDF"/>
          </w:tcPr>
          <w:p>
            <w:pPr>
              <w:spacing w:after="0"/>
              <w:rPr>
                <w:sz w:val="7"/>
                <w:szCs w:val="7"/>
                <w:color w:val="auto"/>
              </w:rPr>
            </w:pPr>
          </w:p>
        </w:tc>
        <w:tc>
          <w:tcPr>
            <w:tcW w:w="460" w:type="dxa"/>
            <w:vAlign w:val="bottom"/>
            <w:shd w:val="clear" w:color="auto" w:fill="DFDFDF"/>
          </w:tcPr>
          <w:p>
            <w:pPr>
              <w:spacing w:after="0"/>
              <w:rPr>
                <w:sz w:val="7"/>
                <w:szCs w:val="7"/>
                <w:color w:val="auto"/>
              </w:rPr>
            </w:pPr>
          </w:p>
        </w:tc>
        <w:tc>
          <w:tcPr>
            <w:tcW w:w="1200" w:type="dxa"/>
            <w:vAlign w:val="bottom"/>
            <w:shd w:val="clear" w:color="auto" w:fill="DFDFDF"/>
          </w:tcPr>
          <w:p>
            <w:pPr>
              <w:spacing w:after="0"/>
              <w:rPr>
                <w:sz w:val="7"/>
                <w:szCs w:val="7"/>
                <w:color w:val="auto"/>
              </w:rPr>
            </w:pPr>
          </w:p>
        </w:tc>
        <w:tc>
          <w:tcPr>
            <w:tcW w:w="280" w:type="dxa"/>
            <w:vAlign w:val="bottom"/>
            <w:shd w:val="clear" w:color="auto" w:fill="DFDFDF"/>
          </w:tcPr>
          <w:p>
            <w:pPr>
              <w:spacing w:after="0"/>
              <w:rPr>
                <w:sz w:val="7"/>
                <w:szCs w:val="7"/>
                <w:color w:val="auto"/>
              </w:rPr>
            </w:pPr>
          </w:p>
        </w:tc>
        <w:tc>
          <w:tcPr>
            <w:tcW w:w="1080" w:type="dxa"/>
            <w:vAlign w:val="bottom"/>
            <w:shd w:val="clear" w:color="auto" w:fill="DFDFDF"/>
          </w:tcPr>
          <w:p>
            <w:pPr>
              <w:spacing w:after="0"/>
              <w:rPr>
                <w:sz w:val="7"/>
                <w:szCs w:val="7"/>
                <w:color w:val="auto"/>
              </w:rPr>
            </w:pPr>
          </w:p>
        </w:tc>
        <w:tc>
          <w:tcPr>
            <w:tcW w:w="240" w:type="dxa"/>
            <w:vAlign w:val="bottom"/>
            <w:shd w:val="clear" w:color="auto" w:fill="DFDFDF"/>
          </w:tcPr>
          <w:p>
            <w:pPr>
              <w:spacing w:after="0"/>
              <w:rPr>
                <w:sz w:val="7"/>
                <w:szCs w:val="7"/>
                <w:color w:val="auto"/>
              </w:rPr>
            </w:pPr>
          </w:p>
        </w:tc>
        <w:tc>
          <w:tcPr>
            <w:tcW w:w="1140" w:type="dxa"/>
            <w:vAlign w:val="bottom"/>
            <w:shd w:val="clear" w:color="auto" w:fill="DFDFDF"/>
          </w:tcPr>
          <w:p>
            <w:pPr>
              <w:spacing w:after="0"/>
              <w:rPr>
                <w:sz w:val="7"/>
                <w:szCs w:val="7"/>
                <w:color w:val="auto"/>
              </w:rPr>
            </w:pPr>
          </w:p>
        </w:tc>
      </w:tr>
    </w:tbl>
    <w:p>
      <w:pPr>
        <w:sectPr>
          <w:pgSz w:w="11900" w:h="16838" w:orient="portrait"/>
          <w:cols w:equalWidth="0" w:num="1">
            <w:col w:w="11340"/>
          </w:cols>
          <w:pgMar w:left="240" w:top="419" w:right="319" w:bottom="1440" w:gutter="0" w:footer="0" w:header="0"/>
        </w:sectPr>
      </w:pPr>
    </w:p>
    <w:bookmarkStart w:id="28" w:name="page29"/>
    <w:bookmarkEnd w:id="28"/>
    <w:p>
      <w:pPr>
        <w:spacing w:after="0" w:line="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PER SHARE</w:t>
      </w:r>
    </w:p>
    <w:p>
      <w:pPr>
        <w:spacing w:after="0" w:line="96" w:lineRule="exact"/>
        <w:rPr>
          <w:sz w:val="20"/>
          <w:szCs w:val="20"/>
          <w:color w:val="auto"/>
        </w:rPr>
      </w:pPr>
    </w:p>
    <w:p>
      <w:pPr>
        <w:ind w:right="400"/>
        <w:spacing w:after="0" w:line="287" w:lineRule="auto"/>
        <w:rPr>
          <w:sz w:val="20"/>
          <w:szCs w:val="20"/>
          <w:color w:val="auto"/>
        </w:rPr>
      </w:pPr>
      <w:r>
        <w:rPr>
          <w:rFonts w:ascii="Arial" w:cs="Arial" w:eastAsia="Arial" w:hAnsi="Arial"/>
          <w:sz w:val="19"/>
          <w:szCs w:val="19"/>
          <w:color w:val="auto"/>
        </w:rPr>
        <w:t>The following table provides the per share computations for our earnings for the three months ended March 31, 2009 and 2008. Basic EPS is calculated by dividing earnings attributable to common stock by the weighted-average number of common shares outstanding for the period. Diluted EPS includes the potential dilution of common stock equivalent shares that would occur if securities or other contracts to issue common stock were exercised or converted into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5694045" cy="274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94045" cy="274320"/>
                    </a:xfrm>
                    <a:prstGeom prst="rect">
                      <a:avLst/>
                    </a:prstGeom>
                    <a:noFill/>
                  </pic:spPr>
                </pic:pic>
              </a:graphicData>
            </a:graphic>
          </wp:anchor>
        </w:drawing>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EARNINGS PER SHARE COMPUTATIONS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 except per share amounts; shares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3"/>
          </w:tcPr>
          <w:p>
            <w:pPr>
              <w:jc w:val="right"/>
              <w:ind w:right="620"/>
              <w:spacing w:after="0"/>
              <w:rPr>
                <w:sz w:val="20"/>
                <w:szCs w:val="20"/>
                <w:color w:val="auto"/>
              </w:rPr>
            </w:pPr>
            <w:r>
              <w:rPr>
                <w:rFonts w:ascii="Arial" w:cs="Arial" w:eastAsia="Arial" w:hAnsi="Arial"/>
                <w:sz w:val="14"/>
                <w:szCs w:val="14"/>
                <w:color w:val="auto"/>
              </w:rPr>
              <w:t>Three months ended</w:t>
            </w:r>
          </w:p>
        </w:tc>
      </w:tr>
      <w:tr>
        <w:trPr>
          <w:trHeight w:val="209"/>
        </w:trPr>
        <w:tc>
          <w:tcPr>
            <w:tcW w:w="6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color w:val="auto"/>
              </w:rPr>
              <w:t>March 31,</w:t>
            </w:r>
          </w:p>
        </w:tc>
        <w:tc>
          <w:tcPr>
            <w:tcW w:w="940" w:type="dxa"/>
            <w:vAlign w:val="bottom"/>
            <w:tcBorders>
              <w:bottom w:val="single" w:sz="8" w:color="auto"/>
            </w:tcBorders>
          </w:tcPr>
          <w:p>
            <w:pPr>
              <w:spacing w:after="0"/>
              <w:rPr>
                <w:sz w:val="18"/>
                <w:szCs w:val="18"/>
                <w:color w:val="auto"/>
              </w:rPr>
            </w:pPr>
          </w:p>
        </w:tc>
      </w:tr>
      <w:tr>
        <w:trPr>
          <w:trHeight w:val="210"/>
        </w:trPr>
        <w:tc>
          <w:tcPr>
            <w:tcW w:w="62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color w:val="auto"/>
              </w:rPr>
              <w:t>2009</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2008</w:t>
            </w:r>
          </w:p>
        </w:tc>
      </w:tr>
      <w:tr>
        <w:trPr>
          <w:trHeight w:val="210"/>
        </w:trPr>
        <w:tc>
          <w:tcPr>
            <w:tcW w:w="6240" w:type="dxa"/>
            <w:vAlign w:val="bottom"/>
          </w:tcPr>
          <w:p>
            <w:pPr>
              <w:ind w:left="20"/>
              <w:spacing w:after="0"/>
              <w:rPr>
                <w:sz w:val="20"/>
                <w:szCs w:val="20"/>
                <w:color w:val="auto"/>
              </w:rPr>
            </w:pPr>
            <w:r>
              <w:rPr>
                <w:rFonts w:ascii="Arial" w:cs="Arial" w:eastAsia="Arial" w:hAnsi="Arial"/>
                <w:sz w:val="16"/>
                <w:szCs w:val="16"/>
                <w:color w:val="auto"/>
              </w:rPr>
              <w:t>Numerator:</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240" w:type="dxa"/>
            <w:vAlign w:val="bottom"/>
          </w:tcPr>
          <w:p>
            <w:pPr>
              <w:ind w:left="200"/>
              <w:spacing w:after="0"/>
              <w:rPr>
                <w:sz w:val="20"/>
                <w:szCs w:val="20"/>
                <w:color w:val="auto"/>
              </w:rPr>
            </w:pPr>
            <w:r>
              <w:rPr>
                <w:rFonts w:ascii="Arial" w:cs="Arial" w:eastAsia="Arial" w:hAnsi="Arial"/>
                <w:sz w:val="16"/>
                <w:szCs w:val="16"/>
                <w:color w:val="auto"/>
              </w:rPr>
              <w:t>Earnings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316</w:t>
            </w:r>
          </w:p>
        </w:tc>
        <w:tc>
          <w:tcPr>
            <w:tcW w:w="4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242</w:t>
            </w:r>
          </w:p>
        </w:tc>
      </w:tr>
      <w:tr>
        <w:trPr>
          <w:trHeight w:val="432"/>
        </w:trPr>
        <w:tc>
          <w:tcPr>
            <w:tcW w:w="6240" w:type="dxa"/>
            <w:vAlign w:val="bottom"/>
          </w:tcPr>
          <w:p>
            <w:pPr>
              <w:ind w:left="20"/>
              <w:spacing w:after="0"/>
              <w:rPr>
                <w:sz w:val="20"/>
                <w:szCs w:val="20"/>
                <w:color w:val="auto"/>
              </w:rPr>
            </w:pPr>
            <w:r>
              <w:rPr>
                <w:rFonts w:ascii="Arial" w:cs="Arial" w:eastAsia="Arial" w:hAnsi="Arial"/>
                <w:sz w:val="16"/>
                <w:szCs w:val="16"/>
                <w:color w:val="auto"/>
              </w:rPr>
              <w:t>Denominator:</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6240" w:type="dxa"/>
            <w:vAlign w:val="bottom"/>
          </w:tcPr>
          <w:p>
            <w:pPr>
              <w:ind w:left="200"/>
              <w:spacing w:after="0"/>
              <w:rPr>
                <w:sz w:val="20"/>
                <w:szCs w:val="20"/>
                <w:color w:val="auto"/>
              </w:rPr>
            </w:pPr>
            <w:r>
              <w:rPr>
                <w:rFonts w:ascii="Arial" w:cs="Arial" w:eastAsia="Arial" w:hAnsi="Arial"/>
                <w:sz w:val="16"/>
                <w:szCs w:val="16"/>
                <w:color w:val="auto"/>
              </w:rPr>
              <w:t>Weighted-average common shares outstanding for basic EPS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241,766</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258,624</w:t>
            </w:r>
          </w:p>
        </w:tc>
      </w:tr>
      <w:tr>
        <w:trPr>
          <w:trHeight w:val="216"/>
        </w:trPr>
        <w:tc>
          <w:tcPr>
            <w:tcW w:w="6240" w:type="dxa"/>
            <w:vAlign w:val="bottom"/>
          </w:tcPr>
          <w:p>
            <w:pPr>
              <w:ind w:left="200"/>
              <w:spacing w:after="0"/>
              <w:rPr>
                <w:sz w:val="20"/>
                <w:szCs w:val="20"/>
                <w:color w:val="auto"/>
              </w:rPr>
            </w:pPr>
            <w:r>
              <w:rPr>
                <w:rFonts w:ascii="Arial" w:cs="Arial" w:eastAsia="Arial" w:hAnsi="Arial"/>
                <w:sz w:val="16"/>
                <w:szCs w:val="16"/>
                <w:color w:val="auto"/>
              </w:rPr>
              <w:t>Dilutive effect of stock options, restricted stock awards and restricted stock units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3,251</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4,047</w:t>
            </w:r>
          </w:p>
        </w:tc>
      </w:tr>
      <w:tr>
        <w:trPr>
          <w:trHeight w:val="216"/>
        </w:trPr>
        <w:tc>
          <w:tcPr>
            <w:tcW w:w="6240" w:type="dxa"/>
            <w:vAlign w:val="bottom"/>
          </w:tcPr>
          <w:p>
            <w:pPr>
              <w:ind w:left="200"/>
              <w:spacing w:after="0"/>
              <w:rPr>
                <w:sz w:val="20"/>
                <w:szCs w:val="20"/>
                <w:color w:val="auto"/>
              </w:rPr>
            </w:pPr>
            <w:r>
              <w:rPr>
                <w:rFonts w:ascii="Arial" w:cs="Arial" w:eastAsia="Arial" w:hAnsi="Arial"/>
                <w:sz w:val="16"/>
                <w:szCs w:val="16"/>
                <w:color w:val="auto"/>
              </w:rPr>
              <w:t>Weighted-average common shares outstanding for diluted EPS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245,017</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262,671</w:t>
            </w:r>
          </w:p>
        </w:tc>
      </w:tr>
      <w:tr>
        <w:trPr>
          <w:trHeight w:val="432"/>
        </w:trPr>
        <w:tc>
          <w:tcPr>
            <w:tcW w:w="6240" w:type="dxa"/>
            <w:vAlign w:val="bottom"/>
          </w:tcPr>
          <w:p>
            <w:pPr>
              <w:ind w:left="20"/>
              <w:spacing w:after="0"/>
              <w:rPr>
                <w:sz w:val="20"/>
                <w:szCs w:val="20"/>
                <w:color w:val="auto"/>
              </w:rPr>
            </w:pPr>
            <w:r>
              <w:rPr>
                <w:rFonts w:ascii="Arial" w:cs="Arial" w:eastAsia="Arial" w:hAnsi="Arial"/>
                <w:sz w:val="16"/>
                <w:szCs w:val="16"/>
                <w:color w:val="auto"/>
              </w:rPr>
              <w:t>Earnings per share:</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6240" w:type="dxa"/>
            <w:vAlign w:val="bottom"/>
          </w:tcPr>
          <w:p>
            <w:pPr>
              <w:ind w:left="200"/>
              <w:spacing w:after="0"/>
              <w:rPr>
                <w:sz w:val="20"/>
                <w:szCs w:val="20"/>
                <w:color w:val="auto"/>
              </w:rPr>
            </w:pPr>
            <w:r>
              <w:rPr>
                <w:rFonts w:ascii="Arial" w:cs="Arial" w:eastAsia="Arial" w:hAnsi="Arial"/>
                <w:sz w:val="16"/>
                <w:szCs w:val="16"/>
                <w:color w:val="auto"/>
              </w:rPr>
              <w:t>Basic</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1.31</w:t>
            </w:r>
          </w:p>
        </w:tc>
        <w:tc>
          <w:tcPr>
            <w:tcW w:w="4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0.94</w:t>
            </w:r>
          </w:p>
        </w:tc>
      </w:tr>
      <w:tr>
        <w:trPr>
          <w:trHeight w:val="219"/>
        </w:trPr>
        <w:tc>
          <w:tcPr>
            <w:tcW w:w="6240" w:type="dxa"/>
            <w:vAlign w:val="bottom"/>
          </w:tcPr>
          <w:p>
            <w:pPr>
              <w:ind w:left="200"/>
              <w:spacing w:after="0"/>
              <w:rPr>
                <w:sz w:val="20"/>
                <w:szCs w:val="20"/>
                <w:color w:val="auto"/>
              </w:rPr>
            </w:pPr>
            <w:r>
              <w:rPr>
                <w:rFonts w:ascii="Arial" w:cs="Arial" w:eastAsia="Arial" w:hAnsi="Arial"/>
                <w:sz w:val="16"/>
                <w:szCs w:val="16"/>
                <w:color w:val="auto"/>
              </w:rPr>
              <w:t>Diluted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1.29</w:t>
            </w:r>
          </w:p>
        </w:tc>
        <w:tc>
          <w:tcPr>
            <w:tcW w:w="4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0.92</w:t>
            </w:r>
          </w:p>
        </w:tc>
      </w:tr>
      <w:tr>
        <w:trPr>
          <w:trHeight w:val="84"/>
        </w:trPr>
        <w:tc>
          <w:tcPr>
            <w:tcW w:w="624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r>
    </w:tbl>
    <w:p>
      <w:pPr>
        <w:spacing w:after="0" w:line="222"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 xml:space="preserve">The dilution from common stock options is based on the treasury stock method. Under this method, proceeds based on the exercise price plus unearned compensation and windfall tax benefits or tax shortfalls, as defined by SFAS 123 (revised 2004), </w:t>
      </w:r>
      <w:r>
        <w:rPr>
          <w:rFonts w:ascii="Arial" w:cs="Arial" w:eastAsia="Arial" w:hAnsi="Arial"/>
          <w:sz w:val="19"/>
          <w:szCs w:val="19"/>
          <w:i w:val="1"/>
          <w:iCs w:val="1"/>
          <w:color w:val="auto"/>
        </w:rPr>
        <w:t>Share-Based</w:t>
      </w:r>
      <w:r>
        <w:rPr>
          <w:rFonts w:ascii="Arial" w:cs="Arial" w:eastAsia="Arial" w:hAnsi="Arial"/>
          <w:sz w:val="19"/>
          <w:szCs w:val="19"/>
          <w:color w:val="auto"/>
        </w:rPr>
        <w:t xml:space="preserve"> </w:t>
      </w:r>
      <w:r>
        <w:rPr>
          <w:rFonts w:ascii="Arial" w:cs="Arial" w:eastAsia="Arial" w:hAnsi="Arial"/>
          <w:sz w:val="19"/>
          <w:szCs w:val="19"/>
          <w:i w:val="1"/>
          <w:iCs w:val="1"/>
          <w:color w:val="auto"/>
        </w:rPr>
        <w:t>Payment (SFAS 123(R))</w:t>
      </w:r>
      <w:r>
        <w:rPr>
          <w:rFonts w:ascii="Arial" w:cs="Arial" w:eastAsia="Arial" w:hAnsi="Arial"/>
          <w:sz w:val="19"/>
          <w:szCs w:val="19"/>
          <w:color w:val="auto"/>
        </w:rPr>
        <w:t>, are assumed to be used to repurchase shares on the open market at the average market price for the period.</w:t>
      </w:r>
      <w:r>
        <w:rPr>
          <w:rFonts w:ascii="Arial" w:cs="Arial" w:eastAsia="Arial" w:hAnsi="Arial"/>
          <w:sz w:val="19"/>
          <w:szCs w:val="19"/>
          <w:i w:val="1"/>
          <w:iCs w:val="1"/>
          <w:color w:val="auto"/>
        </w:rPr>
        <w:t xml:space="preserve"> </w:t>
      </w:r>
      <w:r>
        <w:rPr>
          <w:rFonts w:ascii="Arial" w:cs="Arial" w:eastAsia="Arial" w:hAnsi="Arial"/>
          <w:sz w:val="19"/>
          <w:szCs w:val="19"/>
          <w:color w:val="auto"/>
        </w:rPr>
        <w:t>The windfall tax benefits are tax deductions we would receive upon the assumed exercise of stock options in excess of the deferred income taxes we recorded related to the compensation expense on the stock options. Tax shortfalls occur when the assumed tax deductions are less than recorded deferred income taxes. The calculation excludes options for which the exercise price for common stock was greater than the average market price during the period. We had 3,153,534 and 1,474,287 of such stock options outstanding during the three months ended March 31, 2009 and 2008, respect ively.</w:t>
      </w:r>
    </w:p>
    <w:p>
      <w:pPr>
        <w:spacing w:after="0" w:line="23" w:lineRule="exact"/>
        <w:rPr>
          <w:sz w:val="20"/>
          <w:szCs w:val="20"/>
          <w:color w:val="auto"/>
        </w:rPr>
      </w:pPr>
    </w:p>
    <w:p>
      <w:pPr>
        <w:ind w:right="360"/>
        <w:spacing w:after="0" w:line="258" w:lineRule="auto"/>
        <w:rPr>
          <w:sz w:val="20"/>
          <w:szCs w:val="20"/>
          <w:color w:val="auto"/>
        </w:rPr>
      </w:pPr>
      <w:r>
        <w:rPr>
          <w:rFonts w:ascii="Arial" w:cs="Arial" w:eastAsia="Arial" w:hAnsi="Arial"/>
          <w:sz w:val="21"/>
          <w:szCs w:val="21"/>
          <w:color w:val="auto"/>
        </w:rPr>
        <w:t>During the three months ended March 31, 2008, we had 2,500 stock options outstanding that were antidilutive because of the unearned compensation and windfall tax benefits included in the assumed proceeds under the treasury stock method. We had no such antidilutive stock options outstanding during the three months ended March 31, 2009.</w:t>
      </w:r>
    </w:p>
    <w:p>
      <w:pPr>
        <w:spacing w:after="0" w:line="45"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The dilution from unvested restricted stock awards and units is also based on the treasury stock method. Assumed proceeds equal to the unearned compensation and windfall tax benefits or tax shortfalls related to the awards, as defined by SFAS 123(R), are assumed to be used to repurchase shares on the open market at the average market price for the period. The windfall tax benefits or tax shortfalls are the difference between tax deductions we would receive upon the assumed vesting of restricted stock awards and units and the deferred income taxes we recorded related to the compensation expense on the restricted stock awards and units. We had 544,399 restricted stock units outstanding that were antidilutive during the three months ended March 31, 2008. There were no restricted stock awards or units outstanding that were antidilutive during the three months ended March 31, 2009.</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SHARE-BASED COMPENSATION</w:t>
      </w:r>
    </w:p>
    <w:p>
      <w:pPr>
        <w:spacing w:after="0" w:line="96" w:lineRule="exact"/>
        <w:rPr>
          <w:sz w:val="20"/>
          <w:szCs w:val="20"/>
          <w:color w:val="auto"/>
        </w:rPr>
      </w:pPr>
    </w:p>
    <w:p>
      <w:pPr>
        <w:ind w:right="180"/>
        <w:spacing w:after="0" w:line="236" w:lineRule="auto"/>
        <w:rPr>
          <w:sz w:val="20"/>
          <w:szCs w:val="20"/>
          <w:color w:val="auto"/>
        </w:rPr>
      </w:pPr>
      <w:r>
        <w:rPr>
          <w:rFonts w:ascii="Arial" w:cs="Arial" w:eastAsia="Arial" w:hAnsi="Arial"/>
          <w:sz w:val="22"/>
          <w:szCs w:val="22"/>
          <w:color w:val="auto"/>
        </w:rPr>
        <w:t>We discuss our share-based compensation plans in Note 10 of the Notes to Consolidated Financial Statements in the Annual Report. We recorded share-based compensation expense, net of income taxes, of $6 million and $8 million for the three months ended March 31, 2009 and 2008, respectively. Pursuant to our share-based compensation plans, we granted 868,200 non-qualified stock options, 37,200 restricted stock awards and 907,700 restricted stock units during the three months ended March 31, 2009, primarily in January 2009.</w:t>
      </w: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CAPITALIZED FINANCING COSTS</w:t>
      </w:r>
    </w:p>
    <w:p>
      <w:pPr>
        <w:spacing w:after="0" w:line="96" w:lineRule="exact"/>
        <w:rPr>
          <w:sz w:val="20"/>
          <w:szCs w:val="20"/>
          <w:color w:val="auto"/>
        </w:rPr>
      </w:pPr>
    </w:p>
    <w:p>
      <w:pPr>
        <w:ind w:right="320"/>
        <w:spacing w:after="0"/>
        <w:rPr>
          <w:sz w:val="20"/>
          <w:szCs w:val="20"/>
          <w:color w:val="auto"/>
        </w:rPr>
      </w:pPr>
      <w:r>
        <w:rPr>
          <w:rFonts w:ascii="Arial" w:cs="Arial" w:eastAsia="Arial" w:hAnsi="Arial"/>
          <w:sz w:val="22"/>
          <w:szCs w:val="22"/>
          <w:color w:val="auto"/>
        </w:rPr>
        <w:t>Capitalized financing costs include capitalized interest costs and, at the Sempra Utilities, an allowance for funds used during construction (AFUDC) related to both debt and equity financing of construction projects. The following table shows capitalized financing costs for the three months ended March 31, 2009 and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4022090" cy="274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022090" cy="274320"/>
                    </a:xfrm>
                    <a:prstGeom prst="rect">
                      <a:avLst/>
                    </a:prstGeom>
                    <a:noFill/>
                  </pic:spPr>
                </pic:pic>
              </a:graphicData>
            </a:graphic>
          </wp:anchor>
        </w:drawing>
      </w:r>
    </w:p>
    <w:p>
      <w:pPr>
        <w:spacing w:after="0" w:line="34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CAPITALIZED FINANCING COSTS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80" w:type="dxa"/>
            <w:vAlign w:val="bottom"/>
          </w:tcPr>
          <w:p>
            <w:pPr>
              <w:spacing w:after="0"/>
              <w:rPr>
                <w:sz w:val="14"/>
                <w:szCs w:val="14"/>
                <w:color w:val="auto"/>
              </w:rPr>
            </w:pPr>
          </w:p>
        </w:tc>
        <w:tc>
          <w:tcPr>
            <w:tcW w:w="2120" w:type="dxa"/>
            <w:vAlign w:val="bottom"/>
            <w:gridSpan w:val="3"/>
          </w:tcPr>
          <w:p>
            <w:pPr>
              <w:jc w:val="center"/>
              <w:ind w:left="265"/>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14"/>
                <w:szCs w:val="14"/>
                <w:color w:val="auto"/>
              </w:rPr>
            </w:pPr>
          </w:p>
        </w:tc>
      </w:tr>
      <w:tr>
        <w:trPr>
          <w:trHeight w:val="209"/>
        </w:trPr>
        <w:tc>
          <w:tcPr>
            <w:tcW w:w="38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right="403"/>
              <w:spacing w:after="0"/>
              <w:rPr>
                <w:sz w:val="20"/>
                <w:szCs w:val="20"/>
                <w:color w:val="auto"/>
              </w:rPr>
            </w:pPr>
            <w:r>
              <w:rPr>
                <w:rFonts w:ascii="Arial" w:cs="Arial" w:eastAsia="Arial" w:hAnsi="Arial"/>
                <w:sz w:val="14"/>
                <w:szCs w:val="14"/>
                <w:color w:val="auto"/>
              </w:rPr>
              <w:t>March 31,</w:t>
            </w:r>
          </w:p>
        </w:tc>
        <w:tc>
          <w:tcPr>
            <w:tcW w:w="340" w:type="dxa"/>
            <w:vAlign w:val="bottom"/>
            <w:tcBorders>
              <w:bottom w:val="single" w:sz="8" w:color="auto"/>
            </w:tcBorders>
          </w:tcPr>
          <w:p>
            <w:pPr>
              <w:spacing w:after="0"/>
              <w:rPr>
                <w:sz w:val="18"/>
                <w:szCs w:val="18"/>
                <w:color w:val="auto"/>
              </w:rPr>
            </w:pPr>
          </w:p>
        </w:tc>
      </w:tr>
      <w:tr>
        <w:trPr>
          <w:trHeight w:val="210"/>
        </w:trPr>
        <w:tc>
          <w:tcPr>
            <w:tcW w:w="38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color w:val="auto"/>
              </w:rPr>
              <w:t>2008</w:t>
            </w:r>
          </w:p>
        </w:tc>
        <w:tc>
          <w:tcPr>
            <w:tcW w:w="340" w:type="dxa"/>
            <w:vAlign w:val="bottom"/>
            <w:tcBorders>
              <w:bottom w:val="single" w:sz="8" w:color="auto"/>
            </w:tcBorders>
          </w:tcPr>
          <w:p>
            <w:pPr>
              <w:spacing w:after="0"/>
              <w:rPr>
                <w:sz w:val="18"/>
                <w:szCs w:val="18"/>
                <w:color w:val="auto"/>
              </w:rPr>
            </w:pPr>
          </w:p>
        </w:tc>
      </w:tr>
      <w:tr>
        <w:trPr>
          <w:trHeight w:val="214"/>
        </w:trPr>
        <w:tc>
          <w:tcPr>
            <w:tcW w:w="388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1"/>
        </w:trPr>
        <w:tc>
          <w:tcPr>
            <w:tcW w:w="3880" w:type="dxa"/>
            <w:vAlign w:val="bottom"/>
          </w:tcPr>
          <w:p>
            <w:pPr>
              <w:ind w:left="200"/>
              <w:spacing w:after="0"/>
              <w:rPr>
                <w:sz w:val="20"/>
                <w:szCs w:val="20"/>
                <w:color w:val="auto"/>
              </w:rPr>
            </w:pPr>
            <w:r>
              <w:rPr>
                <w:rFonts w:ascii="Arial" w:cs="Arial" w:eastAsia="Arial" w:hAnsi="Arial"/>
                <w:sz w:val="16"/>
                <w:szCs w:val="16"/>
                <w:color w:val="auto"/>
              </w:rPr>
              <w:t>AFUDC related to debt</w:t>
            </w:r>
          </w:p>
        </w:tc>
        <w:tc>
          <w:tcPr>
            <w:tcW w:w="840" w:type="dxa"/>
            <w:vAlign w:val="bottom"/>
          </w:tcPr>
          <w:p>
            <w:pPr>
              <w:jc w:val="right"/>
              <w:ind w:right="665"/>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2</w:t>
            </w:r>
          </w:p>
        </w:tc>
        <w:tc>
          <w:tcPr>
            <w:tcW w:w="880" w:type="dxa"/>
            <w:vAlign w:val="bottom"/>
          </w:tcPr>
          <w:p>
            <w:pPr>
              <w:jc w:val="right"/>
              <w:ind w:right="703"/>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3880" w:type="dxa"/>
            <w:vAlign w:val="bottom"/>
          </w:tcPr>
          <w:p>
            <w:pPr>
              <w:ind w:left="200"/>
              <w:spacing w:after="0"/>
              <w:rPr>
                <w:sz w:val="20"/>
                <w:szCs w:val="20"/>
                <w:color w:val="auto"/>
              </w:rPr>
            </w:pPr>
            <w:r>
              <w:rPr>
                <w:rFonts w:ascii="Arial" w:cs="Arial" w:eastAsia="Arial" w:hAnsi="Arial"/>
                <w:sz w:val="16"/>
                <w:szCs w:val="16"/>
                <w:color w:val="auto"/>
              </w:rPr>
              <w:t>AFUDC related to equity</w:t>
            </w: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w:t>
            </w: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2"/>
        </w:trPr>
        <w:tc>
          <w:tcPr>
            <w:tcW w:w="3880" w:type="dxa"/>
            <w:vAlign w:val="bottom"/>
          </w:tcPr>
          <w:p>
            <w:pPr>
              <w:ind w:left="200"/>
              <w:spacing w:after="0"/>
              <w:rPr>
                <w:sz w:val="20"/>
                <w:szCs w:val="20"/>
                <w:color w:val="auto"/>
              </w:rPr>
            </w:pPr>
            <w:r>
              <w:rPr>
                <w:rFonts w:ascii="Arial" w:cs="Arial" w:eastAsia="Arial" w:hAnsi="Arial"/>
                <w:sz w:val="16"/>
                <w:szCs w:val="16"/>
                <w:color w:val="auto"/>
              </w:rPr>
              <w:t>Other capitalized financing costs</w:t>
            </w: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3880" w:type="dxa"/>
            <w:vAlign w:val="bottom"/>
          </w:tcPr>
          <w:p>
            <w:pPr>
              <w:ind w:left="380"/>
              <w:spacing w:after="0"/>
              <w:rPr>
                <w:sz w:val="20"/>
                <w:szCs w:val="20"/>
                <w:color w:val="auto"/>
              </w:rPr>
            </w:pPr>
            <w:r>
              <w:rPr>
                <w:rFonts w:ascii="Arial" w:cs="Arial" w:eastAsia="Arial" w:hAnsi="Arial"/>
                <w:sz w:val="16"/>
                <w:szCs w:val="16"/>
                <w:color w:val="auto"/>
              </w:rPr>
              <w:t>Total SDG&amp;E</w:t>
            </w:r>
          </w:p>
        </w:tc>
        <w:tc>
          <w:tcPr>
            <w:tcW w:w="8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bl>
    <w:p>
      <w:pPr>
        <w:spacing w:after="0" w:line="21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SoCalGas:</w:t>
      </w:r>
    </w:p>
    <w:p>
      <w:pPr>
        <w:sectPr>
          <w:pgSz w:w="11900" w:h="16874" w:orient="portrait"/>
          <w:cols w:equalWidth="0" w:num="1">
            <w:col w:w="11420"/>
          </w:cols>
          <w:pgMar w:left="240" w:top="418" w:right="239" w:bottom="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5"/>
        </w:trPr>
        <w:tc>
          <w:tcPr>
            <w:tcW w:w="3880" w:type="dxa"/>
            <w:vAlign w:val="bottom"/>
          </w:tcPr>
          <w:p>
            <w:pPr>
              <w:ind w:left="200"/>
              <w:spacing w:after="0"/>
              <w:rPr>
                <w:sz w:val="20"/>
                <w:szCs w:val="20"/>
                <w:color w:val="auto"/>
              </w:rPr>
            </w:pPr>
            <w:r>
              <w:rPr>
                <w:rFonts w:ascii="Arial" w:cs="Arial" w:eastAsia="Arial" w:hAnsi="Arial"/>
                <w:sz w:val="16"/>
                <w:szCs w:val="16"/>
                <w:color w:val="auto"/>
              </w:rPr>
              <w:t>AFUDC related to debt</w:t>
            </w:r>
          </w:p>
        </w:tc>
        <w:tc>
          <w:tcPr>
            <w:tcW w:w="5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5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2"/>
        </w:trPr>
        <w:tc>
          <w:tcPr>
            <w:tcW w:w="3880" w:type="dxa"/>
            <w:vAlign w:val="bottom"/>
          </w:tcPr>
          <w:p>
            <w:pPr>
              <w:ind w:left="200"/>
              <w:spacing w:after="0"/>
              <w:rPr>
                <w:sz w:val="20"/>
                <w:szCs w:val="20"/>
                <w:color w:val="auto"/>
              </w:rPr>
            </w:pPr>
            <w:r>
              <w:rPr>
                <w:rFonts w:ascii="Arial" w:cs="Arial" w:eastAsia="Arial" w:hAnsi="Arial"/>
                <w:sz w:val="16"/>
                <w:szCs w:val="16"/>
                <w:color w:val="auto"/>
              </w:rPr>
              <w:t>AFUDC related to equity</w:t>
            </w:r>
          </w:p>
        </w:tc>
        <w:tc>
          <w:tcPr>
            <w:tcW w:w="5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5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3880" w:type="dxa"/>
            <w:vAlign w:val="bottom"/>
          </w:tcPr>
          <w:p>
            <w:pPr>
              <w:ind w:left="380"/>
              <w:spacing w:after="0"/>
              <w:rPr>
                <w:sz w:val="20"/>
                <w:szCs w:val="20"/>
                <w:color w:val="auto"/>
              </w:rPr>
            </w:pPr>
            <w:r>
              <w:rPr>
                <w:rFonts w:ascii="Arial" w:cs="Arial" w:eastAsia="Arial" w:hAnsi="Arial"/>
                <w:sz w:val="16"/>
                <w:szCs w:val="16"/>
                <w:color w:val="auto"/>
              </w:rPr>
              <w:t>Total SoCalGas</w:t>
            </w:r>
          </w:p>
        </w:tc>
        <w:tc>
          <w:tcPr>
            <w:tcW w:w="5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5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420"/>
        </w:trPr>
        <w:tc>
          <w:tcPr>
            <w:tcW w:w="3880" w:type="dxa"/>
            <w:vAlign w:val="bottom"/>
          </w:tcPr>
          <w:p>
            <w:pPr>
              <w:ind w:left="20"/>
              <w:spacing w:after="0"/>
              <w:rPr>
                <w:sz w:val="20"/>
                <w:szCs w:val="20"/>
                <w:color w:val="auto"/>
              </w:rPr>
            </w:pPr>
            <w:r>
              <w:rPr>
                <w:rFonts w:ascii="Arial" w:cs="Arial" w:eastAsia="Arial" w:hAnsi="Arial"/>
                <w:sz w:val="16"/>
                <w:szCs w:val="16"/>
                <w:b w:val="1"/>
                <w:bCs w:val="1"/>
                <w:color w:val="auto"/>
              </w:rPr>
              <w:t>Sempra Global:</w:t>
            </w: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22"/>
        </w:trPr>
        <w:tc>
          <w:tcPr>
            <w:tcW w:w="3880" w:type="dxa"/>
            <w:vAlign w:val="bottom"/>
          </w:tcPr>
          <w:p>
            <w:pPr>
              <w:ind w:left="200"/>
              <w:spacing w:after="0"/>
              <w:rPr>
                <w:sz w:val="20"/>
                <w:szCs w:val="20"/>
                <w:color w:val="auto"/>
              </w:rPr>
            </w:pPr>
            <w:r>
              <w:rPr>
                <w:rFonts w:ascii="Arial" w:cs="Arial" w:eastAsia="Arial" w:hAnsi="Arial"/>
                <w:sz w:val="16"/>
                <w:szCs w:val="16"/>
                <w:color w:val="auto"/>
              </w:rPr>
              <w:t>Capitalized financing costs</w:t>
            </w:r>
          </w:p>
        </w:tc>
        <w:tc>
          <w:tcPr>
            <w:tcW w:w="5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5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07"/>
        </w:trPr>
        <w:tc>
          <w:tcPr>
            <w:tcW w:w="3880" w:type="dxa"/>
            <w:vAlign w:val="bottom"/>
          </w:tcPr>
          <w:p>
            <w:pPr>
              <w:ind w:left="20"/>
              <w:spacing w:after="0"/>
              <w:rPr>
                <w:sz w:val="20"/>
                <w:szCs w:val="20"/>
                <w:color w:val="auto"/>
              </w:rPr>
            </w:pPr>
            <w:r>
              <w:rPr>
                <w:rFonts w:ascii="Arial" w:cs="Arial" w:eastAsia="Arial" w:hAnsi="Arial"/>
                <w:sz w:val="16"/>
                <w:szCs w:val="16"/>
                <w:b w:val="1"/>
                <w:bCs w:val="1"/>
                <w:color w:val="auto"/>
              </w:rPr>
              <w:t>Total Sempra Energy Consolidated</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33</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84"/>
        </w:trPr>
        <w:tc>
          <w:tcPr>
            <w:tcW w:w="3880" w:type="dxa"/>
            <w:vAlign w:val="bottom"/>
            <w:shd w:val="clear" w:color="auto" w:fill="000000"/>
          </w:tcPr>
          <w:p>
            <w:pPr>
              <w:spacing w:after="0"/>
              <w:rPr>
                <w:sz w:val="7"/>
                <w:szCs w:val="7"/>
                <w:color w:val="auto"/>
              </w:rPr>
            </w:pPr>
          </w:p>
        </w:tc>
        <w:tc>
          <w:tcPr>
            <w:tcW w:w="560" w:type="dxa"/>
            <w:vAlign w:val="bottom"/>
            <w:shd w:val="clear" w:color="auto" w:fill="000000"/>
          </w:tcPr>
          <w:p>
            <w:pPr>
              <w:spacing w:after="0"/>
              <w:rPr>
                <w:sz w:val="7"/>
                <w:szCs w:val="7"/>
                <w:color w:val="auto"/>
              </w:rPr>
            </w:pPr>
          </w:p>
        </w:tc>
        <w:tc>
          <w:tcPr>
            <w:tcW w:w="660" w:type="dxa"/>
            <w:vAlign w:val="bottom"/>
            <w:shd w:val="clear" w:color="auto" w:fill="000000"/>
          </w:tcPr>
          <w:p>
            <w:pPr>
              <w:spacing w:after="0"/>
              <w:rPr>
                <w:sz w:val="7"/>
                <w:szCs w:val="7"/>
                <w:color w:val="auto"/>
              </w:rPr>
            </w:pPr>
          </w:p>
        </w:tc>
        <w:tc>
          <w:tcPr>
            <w:tcW w:w="560" w:type="dxa"/>
            <w:vAlign w:val="bottom"/>
            <w:shd w:val="clear" w:color="auto" w:fill="000000"/>
          </w:tcPr>
          <w:p>
            <w:pPr>
              <w:spacing w:after="0"/>
              <w:rPr>
                <w:sz w:val="7"/>
                <w:szCs w:val="7"/>
                <w:color w:val="auto"/>
              </w:rPr>
            </w:pPr>
          </w:p>
        </w:tc>
        <w:tc>
          <w:tcPr>
            <w:tcW w:w="680" w:type="dxa"/>
            <w:vAlign w:val="bottom"/>
            <w:shd w:val="clear" w:color="auto" w:fill="000000"/>
          </w:tcPr>
          <w:p>
            <w:pPr>
              <w:spacing w:after="0"/>
              <w:rPr>
                <w:sz w:val="7"/>
                <w:szCs w:val="7"/>
                <w:color w:val="auto"/>
              </w:rPr>
            </w:pPr>
          </w:p>
        </w:tc>
      </w:tr>
    </w:tbl>
    <w:p>
      <w:pPr>
        <w:sectPr>
          <w:pgSz w:w="11900" w:h="16838" w:orient="portrait"/>
          <w:cols w:equalWidth="0" w:num="1">
            <w:col w:w="10219"/>
          </w:cols>
          <w:pgMar w:left="240" w:top="155" w:right="1440" w:bottom="1440" w:gutter="0" w:footer="0" w:header="0"/>
        </w:sectPr>
      </w:pPr>
    </w:p>
    <w:bookmarkStart w:id="30" w:name="page31"/>
    <w:bookmarkEnd w:id="30"/>
    <w:p>
      <w:pPr>
        <w:spacing w:after="0"/>
        <w:rPr>
          <w:sz w:val="20"/>
          <w:szCs w:val="20"/>
          <w:color w:val="auto"/>
        </w:rPr>
      </w:pPr>
      <w:r>
        <w:rPr>
          <w:rFonts w:ascii="Arial" w:cs="Arial" w:eastAsia="Arial" w:hAnsi="Arial"/>
          <w:sz w:val="22"/>
          <w:szCs w:val="22"/>
          <w:b w:val="1"/>
          <w:bCs w:val="1"/>
          <w:color w:val="auto"/>
        </w:rPr>
        <w:t>SHAREHOLDERS’ EQUITY AND NONCONTROLLING INTERESTS</w:t>
      </w:r>
    </w:p>
    <w:p>
      <w:pPr>
        <w:spacing w:after="0" w:line="96"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Sempra Energy, SDG&amp;E and PE account for noncontrolling interests in their Condensed Consolidated Financial Statements under SFAS 160, as discussed in Note 2. The following two tables provide a reconciliation of Sempra Energy and SDG&amp;E shareholders’ equity and noncontrolling interests for the three months ended March 31, 2009 and 2008. There were no changes in the equity of PE's noncontrolling interests in the three-month periods of 2009 or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4956810" cy="274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56810" cy="274320"/>
                    </a:xfrm>
                    <a:prstGeom prst="rect">
                      <a:avLst/>
                    </a:prstGeom>
                    <a:noFill/>
                  </pic:spPr>
                </pic:pic>
              </a:graphicData>
            </a:graphic>
          </wp:anchor>
        </w:drawing>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SHAREHOLDERS' EQUITY AND NONCONTROLLING INTERESTS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Sempra</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6"/>
        </w:trPr>
        <w:tc>
          <w:tcPr>
            <w:tcW w:w="3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Energy</w:t>
            </w:r>
          </w:p>
        </w:tc>
        <w:tc>
          <w:tcPr>
            <w:tcW w:w="3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8"/>
              </w:rPr>
              <w:t>Non-</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Shareholders'</w:t>
            </w:r>
          </w:p>
        </w:tc>
        <w:tc>
          <w:tcPr>
            <w:tcW w:w="3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controlling</w:t>
            </w:r>
          </w:p>
        </w:tc>
        <w:tc>
          <w:tcPr>
            <w:tcW w:w="320" w:type="dxa"/>
            <w:vAlign w:val="bottom"/>
          </w:tcPr>
          <w:p>
            <w:pPr>
              <w:spacing w:after="0"/>
              <w:rPr>
                <w:sz w:val="18"/>
                <w:szCs w:val="18"/>
                <w:color w:val="auto"/>
              </w:rPr>
            </w:pPr>
          </w:p>
        </w:tc>
        <w:tc>
          <w:tcPr>
            <w:tcW w:w="860" w:type="dxa"/>
            <w:vAlign w:val="bottom"/>
          </w:tcPr>
          <w:p>
            <w:pPr>
              <w:jc w:val="right"/>
              <w:ind w:right="200"/>
              <w:spacing w:after="0"/>
              <w:rPr>
                <w:sz w:val="20"/>
                <w:szCs w:val="20"/>
                <w:color w:val="auto"/>
              </w:rPr>
            </w:pPr>
            <w:r>
              <w:rPr>
                <w:rFonts w:ascii="Arial" w:cs="Arial" w:eastAsia="Arial" w:hAnsi="Arial"/>
                <w:sz w:val="14"/>
                <w:szCs w:val="14"/>
                <w:color w:val="auto"/>
              </w:rPr>
              <w:t>Total</w:t>
            </w:r>
          </w:p>
        </w:tc>
      </w:tr>
      <w:tr>
        <w:trPr>
          <w:trHeight w:val="222"/>
        </w:trPr>
        <w:tc>
          <w:tcPr>
            <w:tcW w:w="38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Equity</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Interests</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Equity</w:t>
            </w:r>
          </w:p>
        </w:tc>
      </w:tr>
      <w:tr>
        <w:trPr>
          <w:trHeight w:val="216"/>
        </w:trPr>
        <w:tc>
          <w:tcPr>
            <w:tcW w:w="3840" w:type="dxa"/>
            <w:vAlign w:val="bottom"/>
          </w:tcPr>
          <w:p>
            <w:pPr>
              <w:ind w:left="20"/>
              <w:spacing w:after="0"/>
              <w:rPr>
                <w:sz w:val="20"/>
                <w:szCs w:val="20"/>
                <w:color w:val="auto"/>
              </w:rPr>
            </w:pPr>
            <w:r>
              <w:rPr>
                <w:rFonts w:ascii="Arial" w:cs="Arial" w:eastAsia="Arial" w:hAnsi="Arial"/>
                <w:sz w:val="16"/>
                <w:szCs w:val="16"/>
                <w:color w:val="auto"/>
              </w:rPr>
              <w:t>Balance at December 31, 2008</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7,969</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8,309</w:t>
            </w:r>
          </w:p>
        </w:tc>
      </w:tr>
      <w:tr>
        <w:trPr>
          <w:trHeight w:val="204"/>
        </w:trPr>
        <w:tc>
          <w:tcPr>
            <w:tcW w:w="38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318</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325</w:t>
            </w:r>
          </w:p>
        </w:tc>
      </w:tr>
      <w:tr>
        <w:trPr>
          <w:trHeight w:val="216"/>
        </w:trPr>
        <w:tc>
          <w:tcPr>
            <w:tcW w:w="3840" w:type="dxa"/>
            <w:vAlign w:val="bottom"/>
          </w:tcPr>
          <w:p>
            <w:pPr>
              <w:ind w:left="20"/>
              <w:spacing w:after="0"/>
              <w:rPr>
                <w:sz w:val="20"/>
                <w:szCs w:val="20"/>
                <w:color w:val="auto"/>
              </w:rPr>
            </w:pPr>
            <w:r>
              <w:rPr>
                <w:rFonts w:ascii="Arial" w:cs="Arial" w:eastAsia="Arial" w:hAnsi="Arial"/>
                <w:sz w:val="16"/>
                <w:szCs w:val="16"/>
                <w:color w:val="auto"/>
              </w:rPr>
              <w:t>Comprehensive income adjustments: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840" w:type="dxa"/>
            <w:vAlign w:val="bottom"/>
          </w:tcPr>
          <w:p>
            <w:pPr>
              <w:ind w:left="200"/>
              <w:spacing w:after="0"/>
              <w:rPr>
                <w:sz w:val="20"/>
                <w:szCs w:val="20"/>
                <w:color w:val="auto"/>
              </w:rPr>
            </w:pPr>
            <w:r>
              <w:rPr>
                <w:rFonts w:ascii="Arial" w:cs="Arial" w:eastAsia="Arial" w:hAnsi="Arial"/>
                <w:sz w:val="16"/>
                <w:szCs w:val="16"/>
                <w:color w:val="auto"/>
              </w:rPr>
              <w:t>Foreign currency translation adjustments</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6"/>
        </w:trPr>
        <w:tc>
          <w:tcPr>
            <w:tcW w:w="3840" w:type="dxa"/>
            <w:vAlign w:val="bottom"/>
          </w:tcPr>
          <w:p>
            <w:pPr>
              <w:ind w:left="200"/>
              <w:spacing w:after="0"/>
              <w:rPr>
                <w:sz w:val="20"/>
                <w:szCs w:val="20"/>
                <w:color w:val="auto"/>
              </w:rPr>
            </w:pPr>
            <w:r>
              <w:rPr>
                <w:rFonts w:ascii="Arial" w:cs="Arial" w:eastAsia="Arial" w:hAnsi="Arial"/>
                <w:sz w:val="16"/>
                <w:szCs w:val="16"/>
                <w:color w:val="auto"/>
              </w:rPr>
              <w:t>Available-for-sale securities</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3840" w:type="dxa"/>
            <w:vAlign w:val="bottom"/>
          </w:tcPr>
          <w:p>
            <w:pPr>
              <w:ind w:left="200"/>
              <w:spacing w:after="0"/>
              <w:rPr>
                <w:sz w:val="20"/>
                <w:szCs w:val="20"/>
                <w:color w:val="auto"/>
              </w:rPr>
            </w:pPr>
            <w:r>
              <w:rPr>
                <w:rFonts w:ascii="Arial" w:cs="Arial" w:eastAsia="Arial" w:hAnsi="Arial"/>
                <w:sz w:val="16"/>
                <w:szCs w:val="16"/>
                <w:color w:val="auto"/>
              </w:rPr>
              <w:t>Net actuarial gain</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2"/>
        </w:trPr>
        <w:tc>
          <w:tcPr>
            <w:tcW w:w="3840" w:type="dxa"/>
            <w:vAlign w:val="bottom"/>
          </w:tcPr>
          <w:p>
            <w:pPr>
              <w:ind w:left="200"/>
              <w:spacing w:after="0"/>
              <w:rPr>
                <w:sz w:val="20"/>
                <w:szCs w:val="20"/>
                <w:color w:val="auto"/>
              </w:rPr>
            </w:pPr>
            <w:r>
              <w:rPr>
                <w:rFonts w:ascii="Arial" w:cs="Arial" w:eastAsia="Arial" w:hAnsi="Arial"/>
                <w:sz w:val="16"/>
                <w:szCs w:val="16"/>
                <w:color w:val="auto"/>
              </w:rPr>
              <w:t>Financial instruments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38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357</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361</w:t>
            </w:r>
          </w:p>
        </w:tc>
      </w:tr>
      <w:tr>
        <w:trPr>
          <w:trHeight w:val="216"/>
        </w:trPr>
        <w:tc>
          <w:tcPr>
            <w:tcW w:w="3840" w:type="dxa"/>
            <w:vAlign w:val="bottom"/>
          </w:tcPr>
          <w:p>
            <w:pPr>
              <w:ind w:left="20"/>
              <w:spacing w:after="0"/>
              <w:rPr>
                <w:sz w:val="20"/>
                <w:szCs w:val="20"/>
                <w:color w:val="auto"/>
              </w:rPr>
            </w:pPr>
            <w:r>
              <w:rPr>
                <w:rFonts w:ascii="Arial" w:cs="Arial" w:eastAsia="Arial" w:hAnsi="Arial"/>
                <w:sz w:val="16"/>
                <w:szCs w:val="16"/>
                <w:color w:val="auto"/>
              </w:rPr>
              <w:t>Purchase of noncontrolling interest in subsidiary</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16"/>
        </w:trPr>
        <w:tc>
          <w:tcPr>
            <w:tcW w:w="38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3840" w:type="dxa"/>
            <w:vAlign w:val="bottom"/>
          </w:tcPr>
          <w:p>
            <w:pPr>
              <w:ind w:left="20"/>
              <w:spacing w:after="0"/>
              <w:rPr>
                <w:sz w:val="20"/>
                <w:szCs w:val="20"/>
                <w:color w:val="auto"/>
              </w:rPr>
            </w:pPr>
            <w:r>
              <w:rPr>
                <w:rFonts w:ascii="Arial" w:cs="Arial" w:eastAsia="Arial" w:hAnsi="Arial"/>
                <w:sz w:val="16"/>
                <w:szCs w:val="16"/>
                <w:color w:val="auto"/>
              </w:rPr>
              <w:t>Common stock dividends declared</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(95)</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16"/>
        </w:trPr>
        <w:tc>
          <w:tcPr>
            <w:tcW w:w="3840" w:type="dxa"/>
            <w:vAlign w:val="bottom"/>
          </w:tcPr>
          <w:p>
            <w:pPr>
              <w:ind w:left="20"/>
              <w:spacing w:after="0"/>
              <w:rPr>
                <w:sz w:val="20"/>
                <w:szCs w:val="20"/>
                <w:color w:val="auto"/>
              </w:rPr>
            </w:pPr>
            <w:r>
              <w:rPr>
                <w:rFonts w:ascii="Arial" w:cs="Arial" w:eastAsia="Arial" w:hAnsi="Arial"/>
                <w:sz w:val="16"/>
                <w:szCs w:val="16"/>
                <w:color w:val="auto"/>
              </w:rPr>
              <w:t>Preferred dividends of subsidiaries</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3840" w:type="dxa"/>
            <w:vAlign w:val="bottom"/>
          </w:tcPr>
          <w:p>
            <w:pPr>
              <w:ind w:left="20"/>
              <w:spacing w:after="0"/>
              <w:rPr>
                <w:sz w:val="20"/>
                <w:szCs w:val="20"/>
                <w:color w:val="auto"/>
              </w:rPr>
            </w:pPr>
            <w:r>
              <w:rPr>
                <w:rFonts w:ascii="Arial" w:cs="Arial" w:eastAsia="Arial" w:hAnsi="Arial"/>
                <w:sz w:val="16"/>
                <w:szCs w:val="16"/>
                <w:color w:val="auto"/>
              </w:rPr>
              <w:t>Issuance of common stock</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3840" w:type="dxa"/>
            <w:vAlign w:val="bottom"/>
          </w:tcPr>
          <w:p>
            <w:pPr>
              <w:ind w:left="20"/>
              <w:spacing w:after="0"/>
              <w:rPr>
                <w:sz w:val="20"/>
                <w:szCs w:val="20"/>
                <w:color w:val="auto"/>
              </w:rPr>
            </w:pPr>
            <w:r>
              <w:rPr>
                <w:rFonts w:ascii="Arial" w:cs="Arial" w:eastAsia="Arial" w:hAnsi="Arial"/>
                <w:sz w:val="16"/>
                <w:szCs w:val="16"/>
                <w:color w:val="auto"/>
              </w:rPr>
              <w:t>Common stock released from ESOP</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22"/>
        </w:trPr>
        <w:tc>
          <w:tcPr>
            <w:tcW w:w="3840" w:type="dxa"/>
            <w:vAlign w:val="bottom"/>
          </w:tcPr>
          <w:p>
            <w:pPr>
              <w:ind w:left="20"/>
              <w:spacing w:after="0"/>
              <w:rPr>
                <w:sz w:val="20"/>
                <w:szCs w:val="20"/>
                <w:color w:val="auto"/>
              </w:rPr>
            </w:pPr>
            <w:r>
              <w:rPr>
                <w:rFonts w:ascii="Arial" w:cs="Arial" w:eastAsia="Arial" w:hAnsi="Arial"/>
                <w:sz w:val="16"/>
                <w:szCs w:val="16"/>
                <w:color w:val="auto"/>
              </w:rPr>
              <w:t>Equity contributed by noncontrolling interests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07"/>
        </w:trPr>
        <w:tc>
          <w:tcPr>
            <w:tcW w:w="3840" w:type="dxa"/>
            <w:vAlign w:val="bottom"/>
          </w:tcPr>
          <w:p>
            <w:pPr>
              <w:ind w:left="20"/>
              <w:spacing w:after="0"/>
              <w:rPr>
                <w:sz w:val="20"/>
                <w:szCs w:val="20"/>
                <w:color w:val="auto"/>
              </w:rPr>
            </w:pPr>
            <w:r>
              <w:rPr>
                <w:rFonts w:ascii="Arial" w:cs="Arial" w:eastAsia="Arial" w:hAnsi="Arial"/>
                <w:sz w:val="16"/>
                <w:szCs w:val="16"/>
                <w:color w:val="auto"/>
              </w:rPr>
              <w:t>Balance at March 31, 2009</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8,247</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266</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8,513</w:t>
            </w:r>
          </w:p>
        </w:tc>
      </w:tr>
      <w:tr>
        <w:trPr>
          <w:trHeight w:val="84"/>
        </w:trPr>
        <w:tc>
          <w:tcPr>
            <w:tcW w:w="384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1180" w:type="dxa"/>
            <w:vAlign w:val="bottom"/>
            <w:shd w:val="clear" w:color="auto" w:fill="000000"/>
          </w:tcPr>
          <w:p>
            <w:pPr>
              <w:spacing w:after="0"/>
              <w:rPr>
                <w:sz w:val="7"/>
                <w:szCs w:val="7"/>
                <w:color w:val="auto"/>
              </w:rPr>
            </w:pPr>
          </w:p>
        </w:tc>
        <w:tc>
          <w:tcPr>
            <w:tcW w:w="300" w:type="dxa"/>
            <w:vAlign w:val="bottom"/>
            <w:shd w:val="clear" w:color="auto" w:fill="000000"/>
          </w:tcPr>
          <w:p>
            <w:pPr>
              <w:spacing w:after="0"/>
              <w:rPr>
                <w:sz w:val="7"/>
                <w:szCs w:val="7"/>
                <w:color w:val="auto"/>
              </w:rPr>
            </w:pPr>
          </w:p>
        </w:tc>
        <w:tc>
          <w:tcPr>
            <w:tcW w:w="104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r>
      <w:tr>
        <w:trPr>
          <w:trHeight w:val="216"/>
        </w:trPr>
        <w:tc>
          <w:tcPr>
            <w:tcW w:w="3840" w:type="dxa"/>
            <w:vAlign w:val="bottom"/>
          </w:tcPr>
          <w:p>
            <w:pPr>
              <w:ind w:left="20"/>
              <w:spacing w:after="0"/>
              <w:rPr>
                <w:sz w:val="20"/>
                <w:szCs w:val="20"/>
                <w:color w:val="auto"/>
              </w:rPr>
            </w:pPr>
            <w:r>
              <w:rPr>
                <w:rFonts w:ascii="Arial" w:cs="Arial" w:eastAsia="Arial" w:hAnsi="Arial"/>
                <w:sz w:val="16"/>
                <w:szCs w:val="16"/>
                <w:color w:val="auto"/>
              </w:rPr>
              <w:t>Balance at December 31, 2007</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8,339</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8,587</w:t>
            </w:r>
          </w:p>
        </w:tc>
      </w:tr>
      <w:tr>
        <w:trPr>
          <w:trHeight w:val="204"/>
        </w:trPr>
        <w:tc>
          <w:tcPr>
            <w:tcW w:w="38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244</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244</w:t>
            </w:r>
          </w:p>
        </w:tc>
      </w:tr>
      <w:tr>
        <w:trPr>
          <w:trHeight w:val="216"/>
        </w:trPr>
        <w:tc>
          <w:tcPr>
            <w:tcW w:w="3840" w:type="dxa"/>
            <w:vAlign w:val="bottom"/>
          </w:tcPr>
          <w:p>
            <w:pPr>
              <w:ind w:left="20"/>
              <w:spacing w:after="0"/>
              <w:rPr>
                <w:sz w:val="20"/>
                <w:szCs w:val="20"/>
                <w:color w:val="auto"/>
              </w:rPr>
            </w:pPr>
            <w:r>
              <w:rPr>
                <w:rFonts w:ascii="Arial" w:cs="Arial" w:eastAsia="Arial" w:hAnsi="Arial"/>
                <w:sz w:val="16"/>
                <w:szCs w:val="16"/>
                <w:color w:val="auto"/>
              </w:rPr>
              <w:t>Comprehensive income adjustments: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840" w:type="dxa"/>
            <w:vAlign w:val="bottom"/>
          </w:tcPr>
          <w:p>
            <w:pPr>
              <w:ind w:left="200"/>
              <w:spacing w:after="0"/>
              <w:rPr>
                <w:sz w:val="20"/>
                <w:szCs w:val="20"/>
                <w:color w:val="auto"/>
              </w:rPr>
            </w:pPr>
            <w:r>
              <w:rPr>
                <w:rFonts w:ascii="Arial" w:cs="Arial" w:eastAsia="Arial" w:hAnsi="Arial"/>
                <w:sz w:val="16"/>
                <w:szCs w:val="16"/>
                <w:color w:val="auto"/>
              </w:rPr>
              <w:t>Foreign currency translation adjustments</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73</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16"/>
        </w:trPr>
        <w:tc>
          <w:tcPr>
            <w:tcW w:w="3840" w:type="dxa"/>
            <w:vAlign w:val="bottom"/>
          </w:tcPr>
          <w:p>
            <w:pPr>
              <w:ind w:left="200"/>
              <w:spacing w:after="0"/>
              <w:rPr>
                <w:sz w:val="20"/>
                <w:szCs w:val="20"/>
                <w:color w:val="auto"/>
              </w:rPr>
            </w:pPr>
            <w:r>
              <w:rPr>
                <w:rFonts w:ascii="Arial" w:cs="Arial" w:eastAsia="Arial" w:hAnsi="Arial"/>
                <w:sz w:val="16"/>
                <w:szCs w:val="16"/>
                <w:color w:val="auto"/>
              </w:rPr>
              <w:t>Available-for-sale securities</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3840" w:type="dxa"/>
            <w:vAlign w:val="bottom"/>
          </w:tcPr>
          <w:p>
            <w:pPr>
              <w:ind w:left="200"/>
              <w:spacing w:after="0"/>
              <w:rPr>
                <w:sz w:val="20"/>
                <w:szCs w:val="20"/>
                <w:color w:val="auto"/>
              </w:rPr>
            </w:pPr>
            <w:r>
              <w:rPr>
                <w:rFonts w:ascii="Arial" w:cs="Arial" w:eastAsia="Arial" w:hAnsi="Arial"/>
                <w:sz w:val="16"/>
                <w:szCs w:val="16"/>
                <w:color w:val="auto"/>
              </w:rPr>
              <w:t>Net actuarial gain</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2"/>
        </w:trPr>
        <w:tc>
          <w:tcPr>
            <w:tcW w:w="3840" w:type="dxa"/>
            <w:vAlign w:val="bottom"/>
          </w:tcPr>
          <w:p>
            <w:pPr>
              <w:ind w:left="200"/>
              <w:spacing w:after="0"/>
              <w:rPr>
                <w:sz w:val="20"/>
                <w:szCs w:val="20"/>
                <w:color w:val="auto"/>
              </w:rPr>
            </w:pPr>
            <w:r>
              <w:rPr>
                <w:rFonts w:ascii="Arial" w:cs="Arial" w:eastAsia="Arial" w:hAnsi="Arial"/>
                <w:sz w:val="16"/>
                <w:szCs w:val="16"/>
                <w:color w:val="auto"/>
              </w:rPr>
              <w:t>Financial instruments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04"/>
        </w:trPr>
        <w:tc>
          <w:tcPr>
            <w:tcW w:w="38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302</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297</w:t>
            </w:r>
          </w:p>
        </w:tc>
      </w:tr>
      <w:tr>
        <w:trPr>
          <w:trHeight w:val="216"/>
        </w:trPr>
        <w:tc>
          <w:tcPr>
            <w:tcW w:w="38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3840" w:type="dxa"/>
            <w:vAlign w:val="bottom"/>
          </w:tcPr>
          <w:p>
            <w:pPr>
              <w:ind w:left="20"/>
              <w:spacing w:after="0"/>
              <w:rPr>
                <w:sz w:val="20"/>
                <w:szCs w:val="20"/>
                <w:color w:val="auto"/>
              </w:rPr>
            </w:pPr>
            <w:r>
              <w:rPr>
                <w:rFonts w:ascii="Arial" w:cs="Arial" w:eastAsia="Arial" w:hAnsi="Arial"/>
                <w:sz w:val="16"/>
                <w:szCs w:val="16"/>
                <w:color w:val="auto"/>
              </w:rPr>
              <w:t>Common stock dividends declared</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(84)</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16"/>
        </w:trPr>
        <w:tc>
          <w:tcPr>
            <w:tcW w:w="3840" w:type="dxa"/>
            <w:vAlign w:val="bottom"/>
          </w:tcPr>
          <w:p>
            <w:pPr>
              <w:ind w:left="20"/>
              <w:spacing w:after="0"/>
              <w:rPr>
                <w:sz w:val="20"/>
                <w:szCs w:val="20"/>
                <w:color w:val="auto"/>
              </w:rPr>
            </w:pPr>
            <w:r>
              <w:rPr>
                <w:rFonts w:ascii="Arial" w:cs="Arial" w:eastAsia="Arial" w:hAnsi="Arial"/>
                <w:sz w:val="16"/>
                <w:szCs w:val="16"/>
                <w:color w:val="auto"/>
              </w:rPr>
              <w:t>Preferred dividends of subsidiaries</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3840" w:type="dxa"/>
            <w:vAlign w:val="bottom"/>
          </w:tcPr>
          <w:p>
            <w:pPr>
              <w:ind w:left="20"/>
              <w:spacing w:after="0"/>
              <w:rPr>
                <w:sz w:val="20"/>
                <w:szCs w:val="20"/>
                <w:color w:val="auto"/>
              </w:rPr>
            </w:pPr>
            <w:r>
              <w:rPr>
                <w:rFonts w:ascii="Arial" w:cs="Arial" w:eastAsia="Arial" w:hAnsi="Arial"/>
                <w:sz w:val="16"/>
                <w:szCs w:val="16"/>
                <w:color w:val="auto"/>
              </w:rPr>
              <w:t>Issuance of common stock</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3840" w:type="dxa"/>
            <w:vAlign w:val="bottom"/>
          </w:tcPr>
          <w:p>
            <w:pPr>
              <w:ind w:left="20"/>
              <w:spacing w:after="0"/>
              <w:rPr>
                <w:sz w:val="20"/>
                <w:szCs w:val="20"/>
                <w:color w:val="auto"/>
              </w:rPr>
            </w:pPr>
            <w:r>
              <w:rPr>
                <w:rFonts w:ascii="Arial" w:cs="Arial" w:eastAsia="Arial" w:hAnsi="Arial"/>
                <w:sz w:val="16"/>
                <w:szCs w:val="16"/>
                <w:color w:val="auto"/>
              </w:rPr>
              <w:t>Tax benefit related to share-based compensation</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3840" w:type="dxa"/>
            <w:vAlign w:val="bottom"/>
          </w:tcPr>
          <w:p>
            <w:pPr>
              <w:ind w:left="20"/>
              <w:spacing w:after="0"/>
              <w:rPr>
                <w:sz w:val="20"/>
                <w:szCs w:val="20"/>
                <w:color w:val="auto"/>
              </w:rPr>
            </w:pPr>
            <w:r>
              <w:rPr>
                <w:rFonts w:ascii="Arial" w:cs="Arial" w:eastAsia="Arial" w:hAnsi="Arial"/>
                <w:sz w:val="16"/>
                <w:szCs w:val="16"/>
                <w:color w:val="auto"/>
              </w:rPr>
              <w:t>Repurchase of common stock</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3840" w:type="dxa"/>
            <w:vAlign w:val="bottom"/>
          </w:tcPr>
          <w:p>
            <w:pPr>
              <w:ind w:left="20"/>
              <w:spacing w:after="0"/>
              <w:rPr>
                <w:sz w:val="20"/>
                <w:szCs w:val="20"/>
                <w:color w:val="auto"/>
              </w:rPr>
            </w:pPr>
            <w:r>
              <w:rPr>
                <w:rFonts w:ascii="Arial" w:cs="Arial" w:eastAsia="Arial" w:hAnsi="Arial"/>
                <w:sz w:val="16"/>
                <w:szCs w:val="16"/>
                <w:color w:val="auto"/>
              </w:rPr>
              <w:t>Common stock released from ESOP</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2"/>
        </w:trPr>
        <w:tc>
          <w:tcPr>
            <w:tcW w:w="3840" w:type="dxa"/>
            <w:vAlign w:val="bottom"/>
          </w:tcPr>
          <w:p>
            <w:pPr>
              <w:ind w:left="20"/>
              <w:spacing w:after="0"/>
              <w:rPr>
                <w:sz w:val="20"/>
                <w:szCs w:val="20"/>
                <w:color w:val="auto"/>
              </w:rPr>
            </w:pPr>
            <w:r>
              <w:rPr>
                <w:rFonts w:ascii="Arial" w:cs="Arial" w:eastAsia="Arial" w:hAnsi="Arial"/>
                <w:sz w:val="16"/>
                <w:szCs w:val="16"/>
                <w:color w:val="auto"/>
              </w:rPr>
              <w:t>Equity contributed by noncontrolling interests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07"/>
        </w:trPr>
        <w:tc>
          <w:tcPr>
            <w:tcW w:w="3840" w:type="dxa"/>
            <w:vAlign w:val="bottom"/>
          </w:tcPr>
          <w:p>
            <w:pPr>
              <w:ind w:left="20"/>
              <w:spacing w:after="0"/>
              <w:rPr>
                <w:sz w:val="20"/>
                <w:szCs w:val="20"/>
                <w:color w:val="auto"/>
              </w:rPr>
            </w:pPr>
            <w:r>
              <w:rPr>
                <w:rFonts w:ascii="Arial" w:cs="Arial" w:eastAsia="Arial" w:hAnsi="Arial"/>
                <w:sz w:val="16"/>
                <w:szCs w:val="16"/>
                <w:color w:val="auto"/>
              </w:rPr>
              <w:t>Balance at March 31, 2008</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8,577</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251</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8,828</w:t>
            </w:r>
          </w:p>
        </w:tc>
      </w:tr>
      <w:tr>
        <w:trPr>
          <w:trHeight w:val="84"/>
        </w:trPr>
        <w:tc>
          <w:tcPr>
            <w:tcW w:w="384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1180" w:type="dxa"/>
            <w:vAlign w:val="bottom"/>
            <w:shd w:val="clear" w:color="auto" w:fill="000000"/>
          </w:tcPr>
          <w:p>
            <w:pPr>
              <w:spacing w:after="0"/>
              <w:rPr>
                <w:sz w:val="7"/>
                <w:szCs w:val="7"/>
                <w:color w:val="auto"/>
              </w:rPr>
            </w:pPr>
          </w:p>
        </w:tc>
        <w:tc>
          <w:tcPr>
            <w:tcW w:w="300" w:type="dxa"/>
            <w:vAlign w:val="bottom"/>
            <w:shd w:val="clear" w:color="auto" w:fill="000000"/>
          </w:tcPr>
          <w:p>
            <w:pPr>
              <w:spacing w:after="0"/>
              <w:rPr>
                <w:sz w:val="7"/>
                <w:szCs w:val="7"/>
                <w:color w:val="auto"/>
              </w:rPr>
            </w:pPr>
          </w:p>
        </w:tc>
        <w:tc>
          <w:tcPr>
            <w:tcW w:w="104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r>
    </w:tbl>
    <w:p>
      <w:pPr>
        <w:sectPr>
          <w:pgSz w:w="11900" w:h="16838" w:orient="portrait"/>
          <w:cols w:equalWidth="0" w:num="1">
            <w:col w:w="11280"/>
          </w:cols>
          <w:pgMar w:left="240" w:top="418" w:right="379" w:bottom="1440" w:gutter="0" w:footer="0" w:header="0"/>
        </w:sectPr>
      </w:pPr>
    </w:p>
    <w:bookmarkStart w:id="31" w:name="page32"/>
    <w:bookmarkEnd w:id="31"/>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4665345" cy="274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665345" cy="274320"/>
                    </a:xfrm>
                    <a:prstGeom prst="rect">
                      <a:avLst/>
                    </a:prstGeom>
                    <a:noFill/>
                  </pic:spPr>
                </pic:pic>
              </a:graphicData>
            </a:graphic>
          </wp:anchor>
        </w:drawing>
        <w:t>SHAREHOLDERS' EQUITY AND NONCONTROLLING INTEREST</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SDG&amp;E</w:t>
            </w:r>
          </w:p>
        </w:tc>
        <w:tc>
          <w:tcPr>
            <w:tcW w:w="2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Non-</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6"/>
        </w:trPr>
        <w:tc>
          <w:tcPr>
            <w:tcW w:w="3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Shareholders'</w:t>
            </w:r>
          </w:p>
        </w:tc>
        <w:tc>
          <w:tcPr>
            <w:tcW w:w="2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controlling</w:t>
            </w:r>
          </w:p>
        </w:tc>
        <w:tc>
          <w:tcPr>
            <w:tcW w:w="320" w:type="dxa"/>
            <w:vAlign w:val="bottom"/>
          </w:tcPr>
          <w:p>
            <w:pPr>
              <w:spacing w:after="0"/>
              <w:rPr>
                <w:sz w:val="18"/>
                <w:szCs w:val="18"/>
                <w:color w:val="auto"/>
              </w:rPr>
            </w:pPr>
          </w:p>
        </w:tc>
        <w:tc>
          <w:tcPr>
            <w:tcW w:w="860" w:type="dxa"/>
            <w:vAlign w:val="bottom"/>
          </w:tcPr>
          <w:p>
            <w:pPr>
              <w:jc w:val="right"/>
              <w:ind w:right="200"/>
              <w:spacing w:after="0"/>
              <w:rPr>
                <w:sz w:val="20"/>
                <w:szCs w:val="20"/>
                <w:color w:val="auto"/>
              </w:rPr>
            </w:pPr>
            <w:r>
              <w:rPr>
                <w:rFonts w:ascii="Arial" w:cs="Arial" w:eastAsia="Arial" w:hAnsi="Arial"/>
                <w:sz w:val="14"/>
                <w:szCs w:val="14"/>
                <w:color w:val="auto"/>
              </w:rPr>
              <w:t>Total</w:t>
            </w:r>
          </w:p>
        </w:tc>
      </w:tr>
      <w:tr>
        <w:trPr>
          <w:trHeight w:val="222"/>
        </w:trPr>
        <w:tc>
          <w:tcPr>
            <w:tcW w:w="35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Equity</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Interest</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Equity</w:t>
            </w:r>
          </w:p>
        </w:tc>
      </w:tr>
      <w:tr>
        <w:trPr>
          <w:trHeight w:val="216"/>
        </w:trPr>
        <w:tc>
          <w:tcPr>
            <w:tcW w:w="3500" w:type="dxa"/>
            <w:vAlign w:val="bottom"/>
          </w:tcPr>
          <w:p>
            <w:pPr>
              <w:ind w:left="20"/>
              <w:spacing w:after="0"/>
              <w:rPr>
                <w:sz w:val="20"/>
                <w:szCs w:val="20"/>
                <w:color w:val="auto"/>
              </w:rPr>
            </w:pPr>
            <w:r>
              <w:rPr>
                <w:rFonts w:ascii="Arial" w:cs="Arial" w:eastAsia="Arial" w:hAnsi="Arial"/>
                <w:sz w:val="16"/>
                <w:szCs w:val="16"/>
                <w:color w:val="auto"/>
              </w:rPr>
              <w:t>Balance at December 31, 2008</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2,542</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2,670</w:t>
            </w:r>
          </w:p>
        </w:tc>
      </w:tr>
      <w:tr>
        <w:trPr>
          <w:trHeight w:val="204"/>
        </w:trPr>
        <w:tc>
          <w:tcPr>
            <w:tcW w:w="35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100</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16"/>
        </w:trPr>
        <w:tc>
          <w:tcPr>
            <w:tcW w:w="3500" w:type="dxa"/>
            <w:vAlign w:val="bottom"/>
          </w:tcPr>
          <w:p>
            <w:pPr>
              <w:ind w:left="20"/>
              <w:spacing w:after="0"/>
              <w:rPr>
                <w:sz w:val="20"/>
                <w:szCs w:val="20"/>
                <w:color w:val="auto"/>
              </w:rPr>
            </w:pPr>
            <w:r>
              <w:rPr>
                <w:rFonts w:ascii="Arial" w:cs="Arial" w:eastAsia="Arial" w:hAnsi="Arial"/>
                <w:sz w:val="16"/>
                <w:szCs w:val="16"/>
                <w:color w:val="auto"/>
              </w:rPr>
              <w:t>Comprehensive income adjustments: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2"/>
        </w:trPr>
        <w:tc>
          <w:tcPr>
            <w:tcW w:w="3500" w:type="dxa"/>
            <w:vAlign w:val="bottom"/>
          </w:tcPr>
          <w:p>
            <w:pPr>
              <w:ind w:left="200"/>
              <w:spacing w:after="0"/>
              <w:rPr>
                <w:sz w:val="20"/>
                <w:szCs w:val="20"/>
                <w:color w:val="auto"/>
              </w:rPr>
            </w:pPr>
            <w:r>
              <w:rPr>
                <w:rFonts w:ascii="Arial" w:cs="Arial" w:eastAsia="Arial" w:hAnsi="Arial"/>
                <w:sz w:val="16"/>
                <w:szCs w:val="16"/>
                <w:color w:val="auto"/>
              </w:rPr>
              <w:t>Financial instruments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4"/>
        </w:trPr>
        <w:tc>
          <w:tcPr>
            <w:tcW w:w="350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102</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16"/>
        </w:trPr>
        <w:tc>
          <w:tcPr>
            <w:tcW w:w="3500" w:type="dxa"/>
            <w:vAlign w:val="bottom"/>
          </w:tcPr>
          <w:p>
            <w:pPr>
              <w:ind w:left="20"/>
              <w:spacing w:after="0"/>
              <w:rPr>
                <w:sz w:val="20"/>
                <w:szCs w:val="20"/>
                <w:color w:val="auto"/>
              </w:rPr>
            </w:pPr>
            <w:r>
              <w:rPr>
                <w:rFonts w:ascii="Arial" w:cs="Arial" w:eastAsia="Arial" w:hAnsi="Arial"/>
                <w:sz w:val="16"/>
                <w:szCs w:val="16"/>
                <w:color w:val="auto"/>
              </w:rPr>
              <w:t>Common stock dividends declared</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(150)</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16"/>
        </w:trPr>
        <w:tc>
          <w:tcPr>
            <w:tcW w:w="3500" w:type="dxa"/>
            <w:vAlign w:val="bottom"/>
          </w:tcPr>
          <w:p>
            <w:pPr>
              <w:ind w:left="20"/>
              <w:spacing w:after="0"/>
              <w:rPr>
                <w:sz w:val="20"/>
                <w:szCs w:val="20"/>
                <w:color w:val="auto"/>
              </w:rPr>
            </w:pPr>
            <w:r>
              <w:rPr>
                <w:rFonts w:ascii="Arial" w:cs="Arial" w:eastAsia="Arial" w:hAnsi="Arial"/>
                <w:sz w:val="16"/>
                <w:szCs w:val="16"/>
                <w:color w:val="auto"/>
              </w:rPr>
              <w:t>Preferred stock dividends declared</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2"/>
        </w:trPr>
        <w:tc>
          <w:tcPr>
            <w:tcW w:w="3500" w:type="dxa"/>
            <w:vAlign w:val="bottom"/>
          </w:tcPr>
          <w:p>
            <w:pPr>
              <w:ind w:left="20"/>
              <w:spacing w:after="0"/>
              <w:rPr>
                <w:sz w:val="20"/>
                <w:szCs w:val="20"/>
                <w:color w:val="auto"/>
              </w:rPr>
            </w:pPr>
            <w:r>
              <w:rPr>
                <w:rFonts w:ascii="Arial" w:cs="Arial" w:eastAsia="Arial" w:hAnsi="Arial"/>
                <w:sz w:val="16"/>
                <w:szCs w:val="16"/>
                <w:color w:val="auto"/>
              </w:rPr>
              <w:t>Equity contributed by noncontrolling interests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07"/>
        </w:trPr>
        <w:tc>
          <w:tcPr>
            <w:tcW w:w="3500" w:type="dxa"/>
            <w:vAlign w:val="bottom"/>
          </w:tcPr>
          <w:p>
            <w:pPr>
              <w:ind w:left="20"/>
              <w:spacing w:after="0"/>
              <w:rPr>
                <w:sz w:val="20"/>
                <w:szCs w:val="20"/>
                <w:color w:val="auto"/>
              </w:rPr>
            </w:pPr>
            <w:r>
              <w:rPr>
                <w:rFonts w:ascii="Arial" w:cs="Arial" w:eastAsia="Arial" w:hAnsi="Arial"/>
                <w:sz w:val="16"/>
                <w:szCs w:val="16"/>
                <w:color w:val="auto"/>
              </w:rPr>
              <w:t>Balance at March 31, 2009</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2,493</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137</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2,630</w:t>
            </w:r>
          </w:p>
        </w:tc>
      </w:tr>
      <w:tr>
        <w:trPr>
          <w:trHeight w:val="84"/>
        </w:trPr>
        <w:tc>
          <w:tcPr>
            <w:tcW w:w="350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118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6"/>
                <w:szCs w:val="16"/>
                <w:color w:val="auto"/>
              </w:rPr>
              <w:t>Balance at December 31, 2007</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2,200</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2,335</w:t>
            </w:r>
          </w:p>
        </w:tc>
      </w:tr>
      <w:tr>
        <w:trPr>
          <w:trHeight w:val="204"/>
        </w:trPr>
        <w:tc>
          <w:tcPr>
            <w:tcW w:w="35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16"/>
        </w:trPr>
        <w:tc>
          <w:tcPr>
            <w:tcW w:w="3500" w:type="dxa"/>
            <w:vAlign w:val="bottom"/>
          </w:tcPr>
          <w:p>
            <w:pPr>
              <w:ind w:left="20"/>
              <w:spacing w:after="0"/>
              <w:rPr>
                <w:sz w:val="20"/>
                <w:szCs w:val="20"/>
                <w:color w:val="auto"/>
              </w:rPr>
            </w:pPr>
            <w:r>
              <w:rPr>
                <w:rFonts w:ascii="Arial" w:cs="Arial" w:eastAsia="Arial" w:hAnsi="Arial"/>
                <w:sz w:val="16"/>
                <w:szCs w:val="16"/>
                <w:color w:val="auto"/>
              </w:rPr>
              <w:t>Comprehensive income adjustments: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2"/>
        </w:trPr>
        <w:tc>
          <w:tcPr>
            <w:tcW w:w="3500" w:type="dxa"/>
            <w:vAlign w:val="bottom"/>
          </w:tcPr>
          <w:p>
            <w:pPr>
              <w:ind w:left="200"/>
              <w:spacing w:after="0"/>
              <w:rPr>
                <w:sz w:val="20"/>
                <w:szCs w:val="20"/>
                <w:color w:val="auto"/>
              </w:rPr>
            </w:pPr>
            <w:r>
              <w:rPr>
                <w:rFonts w:ascii="Arial" w:cs="Arial" w:eastAsia="Arial" w:hAnsi="Arial"/>
                <w:sz w:val="16"/>
                <w:szCs w:val="16"/>
                <w:color w:val="auto"/>
              </w:rPr>
              <w:t>Financial instruments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04"/>
        </w:trPr>
        <w:tc>
          <w:tcPr>
            <w:tcW w:w="350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16"/>
        </w:trPr>
        <w:tc>
          <w:tcPr>
            <w:tcW w:w="3500" w:type="dxa"/>
            <w:vAlign w:val="bottom"/>
          </w:tcPr>
          <w:p>
            <w:pPr>
              <w:ind w:left="20"/>
              <w:spacing w:after="0"/>
              <w:rPr>
                <w:sz w:val="20"/>
                <w:szCs w:val="20"/>
                <w:color w:val="auto"/>
              </w:rPr>
            </w:pPr>
            <w:r>
              <w:rPr>
                <w:rFonts w:ascii="Arial" w:cs="Arial" w:eastAsia="Arial" w:hAnsi="Arial"/>
                <w:sz w:val="16"/>
                <w:szCs w:val="16"/>
                <w:color w:val="auto"/>
              </w:rPr>
              <w:t>Preferred stock dividends declared</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2"/>
        </w:trPr>
        <w:tc>
          <w:tcPr>
            <w:tcW w:w="3500" w:type="dxa"/>
            <w:vAlign w:val="bottom"/>
          </w:tcPr>
          <w:p>
            <w:pPr>
              <w:ind w:left="20"/>
              <w:spacing w:after="0"/>
              <w:rPr>
                <w:sz w:val="20"/>
                <w:szCs w:val="20"/>
                <w:color w:val="auto"/>
              </w:rPr>
            </w:pPr>
            <w:r>
              <w:rPr>
                <w:rFonts w:ascii="Arial" w:cs="Arial" w:eastAsia="Arial" w:hAnsi="Arial"/>
                <w:sz w:val="16"/>
                <w:szCs w:val="16"/>
                <w:color w:val="auto"/>
              </w:rPr>
              <w:t>Equity contributed by noncontrolling interests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07"/>
        </w:trPr>
        <w:tc>
          <w:tcPr>
            <w:tcW w:w="3500" w:type="dxa"/>
            <w:vAlign w:val="bottom"/>
          </w:tcPr>
          <w:p>
            <w:pPr>
              <w:ind w:left="20"/>
              <w:spacing w:after="0"/>
              <w:rPr>
                <w:sz w:val="20"/>
                <w:szCs w:val="20"/>
                <w:color w:val="auto"/>
              </w:rPr>
            </w:pPr>
            <w:r>
              <w:rPr>
                <w:rFonts w:ascii="Arial" w:cs="Arial" w:eastAsia="Arial" w:hAnsi="Arial"/>
                <w:sz w:val="16"/>
                <w:szCs w:val="16"/>
                <w:color w:val="auto"/>
              </w:rPr>
              <w:t>Balance at March 31, 2008</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2,274</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137</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2,411</w:t>
            </w:r>
          </w:p>
        </w:tc>
      </w:tr>
      <w:tr>
        <w:trPr>
          <w:trHeight w:val="84"/>
        </w:trPr>
        <w:tc>
          <w:tcPr>
            <w:tcW w:w="350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118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The amounts for comprehensive income in the tables above are net of income tax expense (benefit)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6123305" cy="274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23305" cy="274320"/>
                    </a:xfrm>
                    <a:prstGeom prst="rect">
                      <a:avLst/>
                    </a:prstGeom>
                    <a:noFill/>
                  </pic:spPr>
                </pic:pic>
              </a:graphicData>
            </a:graphic>
          </wp:anchor>
        </w:drawing>
      </w:r>
    </w:p>
    <w:p>
      <w:pPr>
        <w:spacing w:after="0" w:line="400" w:lineRule="exact"/>
        <w:rPr>
          <w:sz w:val="20"/>
          <w:szCs w:val="20"/>
          <w:color w:val="auto"/>
        </w:rPr>
      </w:pPr>
    </w:p>
    <w:p>
      <w:pPr>
        <w:ind w:left="20" w:right="3199"/>
        <w:spacing w:after="0" w:line="287" w:lineRule="auto"/>
        <w:rPr>
          <w:sz w:val="20"/>
          <w:szCs w:val="20"/>
          <w:color w:val="auto"/>
        </w:rPr>
      </w:pPr>
      <w:r>
        <w:rPr>
          <w:rFonts w:ascii="Arial" w:cs="Arial" w:eastAsia="Arial" w:hAnsi="Arial"/>
          <w:sz w:val="16"/>
          <w:szCs w:val="16"/>
          <w:b w:val="1"/>
          <w:bCs w:val="1"/>
          <w:color w:val="auto"/>
        </w:rPr>
        <w:t xml:space="preserve">INCOME TAX EXPENSE (BENEFIT) ASSOCIATED WITH OTHER COMPREHENSIVE INCOME </w:t>
      </w:r>
      <w:r>
        <w:rPr>
          <w:rFonts w:ascii="Arial" w:cs="Arial" w:eastAsia="Arial" w:hAnsi="Arial"/>
          <w:sz w:val="14"/>
          <w:szCs w:val="14"/>
          <w:i w:val="1"/>
          <w:iCs w:val="1"/>
          <w:color w:val="auto"/>
        </w:rPr>
        <w:t>(Dollars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76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 ended March 31,</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196"/>
        </w:trPr>
        <w:tc>
          <w:tcPr>
            <w:tcW w:w="27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color w:val="auto"/>
              </w:rPr>
              <w:t>2009</w:t>
            </w: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color w:val="auto"/>
              </w:rPr>
              <w:t>2008</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190"/>
        </w:trPr>
        <w:tc>
          <w:tcPr>
            <w:tcW w:w="2760" w:type="dxa"/>
            <w:vAlign w:val="bottom"/>
          </w:tcPr>
          <w:p>
            <w:pPr>
              <w:spacing w:after="0"/>
              <w:rPr>
                <w:sz w:val="16"/>
                <w:szCs w:val="16"/>
                <w:color w:val="auto"/>
              </w:rPr>
            </w:pPr>
          </w:p>
        </w:tc>
        <w:tc>
          <w:tcPr>
            <w:tcW w:w="960" w:type="dxa"/>
            <w:vAlign w:val="bottom"/>
          </w:tcPr>
          <w:p>
            <w:pPr>
              <w:jc w:val="center"/>
              <w:ind w:left="344"/>
              <w:spacing w:after="0"/>
              <w:rPr>
                <w:sz w:val="20"/>
                <w:szCs w:val="20"/>
                <w:color w:val="auto"/>
              </w:rPr>
            </w:pPr>
            <w:r>
              <w:rPr>
                <w:rFonts w:ascii="Arial" w:cs="Arial" w:eastAsia="Arial" w:hAnsi="Arial"/>
                <w:sz w:val="14"/>
                <w:szCs w:val="14"/>
                <w:color w:val="auto"/>
                <w:w w:val="99"/>
              </w:rPr>
              <w:t>Share-</w:t>
            </w:r>
          </w:p>
        </w:tc>
        <w:tc>
          <w:tcPr>
            <w:tcW w:w="180" w:type="dxa"/>
            <w:vAlign w:val="bottom"/>
          </w:tcPr>
          <w:p>
            <w:pPr>
              <w:spacing w:after="0"/>
              <w:rPr>
                <w:sz w:val="16"/>
                <w:szCs w:val="16"/>
                <w:color w:val="auto"/>
              </w:rPr>
            </w:pPr>
          </w:p>
        </w:tc>
        <w:tc>
          <w:tcPr>
            <w:tcW w:w="1080" w:type="dxa"/>
            <w:vAlign w:val="bottom"/>
          </w:tcPr>
          <w:p>
            <w:pPr>
              <w:jc w:val="center"/>
              <w:ind w:left="265"/>
              <w:spacing w:after="0"/>
              <w:rPr>
                <w:sz w:val="20"/>
                <w:szCs w:val="20"/>
                <w:color w:val="auto"/>
              </w:rPr>
            </w:pPr>
            <w:r>
              <w:rPr>
                <w:rFonts w:ascii="Arial" w:cs="Arial" w:eastAsia="Arial" w:hAnsi="Arial"/>
                <w:sz w:val="14"/>
                <w:szCs w:val="14"/>
                <w:color w:val="auto"/>
                <w:w w:val="98"/>
              </w:rPr>
              <w:t>Non-</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center"/>
              <w:ind w:right="23"/>
              <w:spacing w:after="0"/>
              <w:rPr>
                <w:sz w:val="20"/>
                <w:szCs w:val="20"/>
                <w:color w:val="auto"/>
              </w:rPr>
            </w:pPr>
            <w:r>
              <w:rPr>
                <w:rFonts w:ascii="Arial" w:cs="Arial" w:eastAsia="Arial" w:hAnsi="Arial"/>
                <w:sz w:val="14"/>
                <w:szCs w:val="14"/>
                <w:color w:val="auto"/>
              </w:rPr>
              <w:t>Share-</w:t>
            </w:r>
          </w:p>
        </w:tc>
        <w:tc>
          <w:tcPr>
            <w:tcW w:w="240" w:type="dxa"/>
            <w:vAlign w:val="bottom"/>
          </w:tcPr>
          <w:p>
            <w:pPr>
              <w:spacing w:after="0"/>
              <w:rPr>
                <w:sz w:val="16"/>
                <w:szCs w:val="16"/>
                <w:color w:val="auto"/>
              </w:rPr>
            </w:pPr>
          </w:p>
        </w:tc>
        <w:tc>
          <w:tcPr>
            <w:tcW w:w="980" w:type="dxa"/>
            <w:vAlign w:val="bottom"/>
          </w:tcPr>
          <w:p>
            <w:pPr>
              <w:jc w:val="center"/>
              <w:ind w:right="23"/>
              <w:spacing w:after="0"/>
              <w:rPr>
                <w:sz w:val="20"/>
                <w:szCs w:val="20"/>
                <w:color w:val="auto"/>
              </w:rPr>
            </w:pPr>
            <w:r>
              <w:rPr>
                <w:rFonts w:ascii="Arial" w:cs="Arial" w:eastAsia="Arial" w:hAnsi="Arial"/>
                <w:sz w:val="14"/>
                <w:szCs w:val="14"/>
                <w:color w:val="auto"/>
              </w:rPr>
              <w:t>Non-</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3"/>
        </w:trPr>
        <w:tc>
          <w:tcPr>
            <w:tcW w:w="2760" w:type="dxa"/>
            <w:vAlign w:val="bottom"/>
          </w:tcPr>
          <w:p>
            <w:pPr>
              <w:spacing w:after="0"/>
              <w:rPr>
                <w:sz w:val="17"/>
                <w:szCs w:val="17"/>
                <w:color w:val="auto"/>
              </w:rPr>
            </w:pPr>
          </w:p>
        </w:tc>
        <w:tc>
          <w:tcPr>
            <w:tcW w:w="960" w:type="dxa"/>
            <w:vAlign w:val="bottom"/>
          </w:tcPr>
          <w:p>
            <w:pPr>
              <w:jc w:val="center"/>
              <w:ind w:left="344"/>
              <w:spacing w:after="0"/>
              <w:rPr>
                <w:sz w:val="20"/>
                <w:szCs w:val="20"/>
                <w:color w:val="auto"/>
              </w:rPr>
            </w:pPr>
            <w:r>
              <w:rPr>
                <w:rFonts w:ascii="Arial" w:cs="Arial" w:eastAsia="Arial" w:hAnsi="Arial"/>
                <w:sz w:val="14"/>
                <w:szCs w:val="14"/>
                <w:color w:val="auto"/>
              </w:rPr>
              <w:t>holders'</w:t>
            </w:r>
          </w:p>
        </w:tc>
        <w:tc>
          <w:tcPr>
            <w:tcW w:w="180" w:type="dxa"/>
            <w:vAlign w:val="bottom"/>
          </w:tcPr>
          <w:p>
            <w:pPr>
              <w:spacing w:after="0"/>
              <w:rPr>
                <w:sz w:val="17"/>
                <w:szCs w:val="17"/>
                <w:color w:val="auto"/>
              </w:rPr>
            </w:pPr>
          </w:p>
        </w:tc>
        <w:tc>
          <w:tcPr>
            <w:tcW w:w="1080" w:type="dxa"/>
            <w:vAlign w:val="bottom"/>
          </w:tcPr>
          <w:p>
            <w:pPr>
              <w:jc w:val="center"/>
              <w:ind w:left="265"/>
              <w:spacing w:after="0"/>
              <w:rPr>
                <w:sz w:val="20"/>
                <w:szCs w:val="20"/>
                <w:color w:val="auto"/>
              </w:rPr>
            </w:pPr>
            <w:r>
              <w:rPr>
                <w:rFonts w:ascii="Arial" w:cs="Arial" w:eastAsia="Arial" w:hAnsi="Arial"/>
                <w:sz w:val="14"/>
                <w:szCs w:val="14"/>
                <w:color w:val="auto"/>
              </w:rPr>
              <w:t>controlling</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83"/>
              <w:spacing w:after="0"/>
              <w:rPr>
                <w:sz w:val="20"/>
                <w:szCs w:val="20"/>
                <w:color w:val="auto"/>
              </w:rPr>
            </w:pPr>
            <w:r>
              <w:rPr>
                <w:rFonts w:ascii="Arial" w:cs="Arial" w:eastAsia="Arial" w:hAnsi="Arial"/>
                <w:sz w:val="14"/>
                <w:szCs w:val="14"/>
                <w:color w:val="auto"/>
              </w:rPr>
              <w:t>Total</w:t>
            </w:r>
          </w:p>
        </w:tc>
        <w:tc>
          <w:tcPr>
            <w:tcW w:w="300" w:type="dxa"/>
            <w:vAlign w:val="bottom"/>
          </w:tcPr>
          <w:p>
            <w:pPr>
              <w:spacing w:after="0"/>
              <w:rPr>
                <w:sz w:val="17"/>
                <w:szCs w:val="17"/>
                <w:color w:val="auto"/>
              </w:rPr>
            </w:pPr>
          </w:p>
        </w:tc>
        <w:tc>
          <w:tcPr>
            <w:tcW w:w="940" w:type="dxa"/>
            <w:vAlign w:val="bottom"/>
          </w:tcPr>
          <w:p>
            <w:pPr>
              <w:jc w:val="center"/>
              <w:ind w:right="43"/>
              <w:spacing w:after="0"/>
              <w:rPr>
                <w:sz w:val="20"/>
                <w:szCs w:val="20"/>
                <w:color w:val="auto"/>
              </w:rPr>
            </w:pPr>
            <w:r>
              <w:rPr>
                <w:rFonts w:ascii="Arial" w:cs="Arial" w:eastAsia="Arial" w:hAnsi="Arial"/>
                <w:sz w:val="14"/>
                <w:szCs w:val="14"/>
                <w:color w:val="auto"/>
              </w:rPr>
              <w:t>holders'</w:t>
            </w:r>
          </w:p>
        </w:tc>
        <w:tc>
          <w:tcPr>
            <w:tcW w:w="240" w:type="dxa"/>
            <w:vAlign w:val="bottom"/>
          </w:tcPr>
          <w:p>
            <w:pPr>
              <w:spacing w:after="0"/>
              <w:rPr>
                <w:sz w:val="17"/>
                <w:szCs w:val="17"/>
                <w:color w:val="auto"/>
              </w:rPr>
            </w:pPr>
          </w:p>
        </w:tc>
        <w:tc>
          <w:tcPr>
            <w:tcW w:w="980" w:type="dxa"/>
            <w:vAlign w:val="bottom"/>
          </w:tcPr>
          <w:p>
            <w:pPr>
              <w:jc w:val="center"/>
              <w:ind w:right="43"/>
              <w:spacing w:after="0"/>
              <w:rPr>
                <w:sz w:val="20"/>
                <w:szCs w:val="20"/>
                <w:color w:val="auto"/>
              </w:rPr>
            </w:pPr>
            <w:r>
              <w:rPr>
                <w:rFonts w:ascii="Arial" w:cs="Arial" w:eastAsia="Arial" w:hAnsi="Arial"/>
                <w:sz w:val="14"/>
                <w:szCs w:val="14"/>
                <w:color w:val="auto"/>
              </w:rPr>
              <w:t>controlling</w:t>
            </w:r>
          </w:p>
        </w:tc>
        <w:tc>
          <w:tcPr>
            <w:tcW w:w="280" w:type="dxa"/>
            <w:vAlign w:val="bottom"/>
          </w:tcPr>
          <w:p>
            <w:pPr>
              <w:spacing w:after="0"/>
              <w:rPr>
                <w:sz w:val="17"/>
                <w:szCs w:val="17"/>
                <w:color w:val="auto"/>
              </w:rPr>
            </w:pPr>
          </w:p>
        </w:tc>
        <w:tc>
          <w:tcPr>
            <w:tcW w:w="780" w:type="dxa"/>
            <w:vAlign w:val="bottom"/>
          </w:tcPr>
          <w:p>
            <w:pPr>
              <w:jc w:val="right"/>
              <w:ind w:right="222"/>
              <w:spacing w:after="0"/>
              <w:rPr>
                <w:sz w:val="20"/>
                <w:szCs w:val="20"/>
                <w:color w:val="auto"/>
              </w:rPr>
            </w:pPr>
            <w:r>
              <w:rPr>
                <w:rFonts w:ascii="Arial" w:cs="Arial" w:eastAsia="Arial" w:hAnsi="Arial"/>
                <w:sz w:val="14"/>
                <w:szCs w:val="14"/>
                <w:color w:val="auto"/>
              </w:rPr>
              <w:t>Total</w:t>
            </w:r>
          </w:p>
        </w:tc>
      </w:tr>
      <w:tr>
        <w:trPr>
          <w:trHeight w:val="209"/>
        </w:trPr>
        <w:tc>
          <w:tcPr>
            <w:tcW w:w="27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left="404"/>
              <w:spacing w:after="0"/>
              <w:rPr>
                <w:sz w:val="20"/>
                <w:szCs w:val="20"/>
                <w:color w:val="auto"/>
              </w:rPr>
            </w:pPr>
            <w:r>
              <w:rPr>
                <w:rFonts w:ascii="Arial" w:cs="Arial" w:eastAsia="Arial" w:hAnsi="Arial"/>
                <w:sz w:val="14"/>
                <w:szCs w:val="14"/>
                <w:color w:val="auto"/>
              </w:rPr>
              <w:t>Equity</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left="265"/>
              <w:spacing w:after="0"/>
              <w:rPr>
                <w:sz w:val="20"/>
                <w:szCs w:val="20"/>
                <w:color w:val="auto"/>
              </w:rPr>
            </w:pPr>
            <w:r>
              <w:rPr>
                <w:rFonts w:ascii="Arial" w:cs="Arial" w:eastAsia="Arial" w:hAnsi="Arial"/>
                <w:sz w:val="14"/>
                <w:szCs w:val="14"/>
                <w:color w:val="auto"/>
              </w:rPr>
              <w:t>Interests</w:t>
            </w: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color w:val="auto"/>
              </w:rPr>
              <w:t>Equity</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color w:val="auto"/>
              </w:rPr>
              <w:t>Equity</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Interests</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rPr>
              <w:t>Equity</w:t>
            </w:r>
          </w:p>
        </w:tc>
      </w:tr>
      <w:tr>
        <w:trPr>
          <w:trHeight w:val="214"/>
        </w:trPr>
        <w:tc>
          <w:tcPr>
            <w:tcW w:w="2760" w:type="dxa"/>
            <w:vAlign w:val="bottom"/>
          </w:tcPr>
          <w:p>
            <w:pPr>
              <w:ind w:left="20"/>
              <w:spacing w:after="0"/>
              <w:rPr>
                <w:sz w:val="20"/>
                <w:szCs w:val="20"/>
                <w:color w:val="auto"/>
              </w:rPr>
            </w:pPr>
            <w:r>
              <w:rPr>
                <w:rFonts w:ascii="Arial" w:cs="Arial" w:eastAsia="Arial" w:hAnsi="Arial"/>
                <w:sz w:val="16"/>
                <w:szCs w:val="16"/>
                <w:b w:val="1"/>
                <w:bCs w:val="1"/>
                <w:color w:val="auto"/>
              </w:rPr>
              <w:t>Sempra Energy Consolidated:</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1"/>
        </w:trPr>
        <w:tc>
          <w:tcPr>
            <w:tcW w:w="2760" w:type="dxa"/>
            <w:vAlign w:val="bottom"/>
          </w:tcPr>
          <w:p>
            <w:pPr>
              <w:ind w:left="20"/>
              <w:spacing w:after="0"/>
              <w:rPr>
                <w:sz w:val="20"/>
                <w:szCs w:val="20"/>
                <w:color w:val="auto"/>
              </w:rPr>
            </w:pPr>
            <w:r>
              <w:rPr>
                <w:rFonts w:ascii="Arial" w:cs="Arial" w:eastAsia="Arial" w:hAnsi="Arial"/>
                <w:sz w:val="16"/>
                <w:szCs w:val="16"/>
                <w:color w:val="auto"/>
              </w:rPr>
              <w:t>Financial instruments</w:t>
            </w:r>
          </w:p>
        </w:tc>
        <w:tc>
          <w:tcPr>
            <w:tcW w:w="960" w:type="dxa"/>
            <w:vAlign w:val="bottom"/>
          </w:tcPr>
          <w:p>
            <w:pPr>
              <w:jc w:val="right"/>
              <w:ind w:right="644"/>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2</w:t>
            </w:r>
          </w:p>
        </w:tc>
        <w:tc>
          <w:tcPr>
            <w:tcW w:w="1080" w:type="dxa"/>
            <w:vAlign w:val="bottom"/>
          </w:tcPr>
          <w:p>
            <w:pPr>
              <w:jc w:val="right"/>
              <w:ind w:right="845"/>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2</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2760" w:type="dxa"/>
            <w:vAlign w:val="bottom"/>
          </w:tcPr>
          <w:p>
            <w:pPr>
              <w:ind w:left="20"/>
              <w:spacing w:after="0"/>
              <w:rPr>
                <w:sz w:val="20"/>
                <w:szCs w:val="20"/>
                <w:color w:val="auto"/>
              </w:rPr>
            </w:pPr>
            <w:r>
              <w:rPr>
                <w:rFonts w:ascii="Arial" w:cs="Arial" w:eastAsia="Arial" w:hAnsi="Arial"/>
                <w:sz w:val="16"/>
                <w:szCs w:val="16"/>
                <w:color w:val="auto"/>
              </w:rPr>
              <w:t>Available-for-sale securities</w:t>
            </w: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3</w:t>
            </w:r>
          </w:p>
        </w:tc>
        <w:tc>
          <w:tcPr>
            <w:tcW w:w="10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760" w:type="dxa"/>
            <w:vAlign w:val="bottom"/>
          </w:tcPr>
          <w:p>
            <w:pPr>
              <w:ind w:left="20"/>
              <w:spacing w:after="0"/>
              <w:rPr>
                <w:sz w:val="20"/>
                <w:szCs w:val="20"/>
                <w:color w:val="auto"/>
              </w:rPr>
            </w:pPr>
            <w:r>
              <w:rPr>
                <w:rFonts w:ascii="Arial" w:cs="Arial" w:eastAsia="Arial" w:hAnsi="Arial"/>
                <w:sz w:val="16"/>
                <w:szCs w:val="16"/>
                <w:color w:val="auto"/>
              </w:rPr>
              <w:t>Net actuarial gain</w:t>
            </w:r>
          </w:p>
        </w:tc>
        <w:tc>
          <w:tcPr>
            <w:tcW w:w="9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1</w:t>
            </w:r>
          </w:p>
        </w:tc>
        <w:tc>
          <w:tcPr>
            <w:tcW w:w="10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9"/>
                <w:szCs w:val="19"/>
                <w:color w:val="auto"/>
              </w:rPr>
            </w:pP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9"/>
                <w:szCs w:val="19"/>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84"/>
        </w:trPr>
        <w:tc>
          <w:tcPr>
            <w:tcW w:w="2760" w:type="dxa"/>
            <w:vAlign w:val="bottom"/>
            <w:shd w:val="clear" w:color="auto" w:fill="DFDFDF"/>
          </w:tcPr>
          <w:p>
            <w:pPr>
              <w:spacing w:after="0"/>
              <w:rPr>
                <w:sz w:val="7"/>
                <w:szCs w:val="7"/>
                <w:color w:val="auto"/>
              </w:rPr>
            </w:pPr>
          </w:p>
        </w:tc>
        <w:tc>
          <w:tcPr>
            <w:tcW w:w="960" w:type="dxa"/>
            <w:vAlign w:val="bottom"/>
            <w:shd w:val="clear" w:color="auto" w:fill="DFDFDF"/>
          </w:tcPr>
          <w:p>
            <w:pPr>
              <w:spacing w:after="0"/>
              <w:rPr>
                <w:sz w:val="7"/>
                <w:szCs w:val="7"/>
                <w:color w:val="auto"/>
              </w:rPr>
            </w:pPr>
          </w:p>
        </w:tc>
        <w:tc>
          <w:tcPr>
            <w:tcW w:w="180" w:type="dxa"/>
            <w:vAlign w:val="bottom"/>
            <w:shd w:val="clear" w:color="auto" w:fill="DFDFDF"/>
          </w:tcPr>
          <w:p>
            <w:pPr>
              <w:spacing w:after="0"/>
              <w:rPr>
                <w:sz w:val="7"/>
                <w:szCs w:val="7"/>
                <w:color w:val="auto"/>
              </w:rPr>
            </w:pPr>
          </w:p>
        </w:tc>
        <w:tc>
          <w:tcPr>
            <w:tcW w:w="108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180" w:type="dxa"/>
            <w:vAlign w:val="bottom"/>
            <w:shd w:val="clear" w:color="auto" w:fill="DFDFDF"/>
          </w:tcPr>
          <w:p>
            <w:pPr>
              <w:spacing w:after="0"/>
              <w:rPr>
                <w:sz w:val="7"/>
                <w:szCs w:val="7"/>
                <w:color w:val="auto"/>
              </w:rPr>
            </w:pPr>
          </w:p>
        </w:tc>
        <w:tc>
          <w:tcPr>
            <w:tcW w:w="840" w:type="dxa"/>
            <w:vAlign w:val="bottom"/>
            <w:shd w:val="clear" w:color="auto" w:fill="DFDFDF"/>
          </w:tcPr>
          <w:p>
            <w:pPr>
              <w:spacing w:after="0"/>
              <w:rPr>
                <w:sz w:val="7"/>
                <w:szCs w:val="7"/>
                <w:color w:val="auto"/>
              </w:rPr>
            </w:pPr>
          </w:p>
        </w:tc>
        <w:tc>
          <w:tcPr>
            <w:tcW w:w="300" w:type="dxa"/>
            <w:vAlign w:val="bottom"/>
            <w:shd w:val="clear" w:color="auto" w:fill="DFDFDF"/>
          </w:tcPr>
          <w:p>
            <w:pPr>
              <w:spacing w:after="0"/>
              <w:rPr>
                <w:sz w:val="7"/>
                <w:szCs w:val="7"/>
                <w:color w:val="auto"/>
              </w:rPr>
            </w:pPr>
          </w:p>
        </w:tc>
        <w:tc>
          <w:tcPr>
            <w:tcW w:w="940" w:type="dxa"/>
            <w:vAlign w:val="bottom"/>
            <w:shd w:val="clear" w:color="auto" w:fill="DFDFDF"/>
          </w:tcPr>
          <w:p>
            <w:pPr>
              <w:spacing w:after="0"/>
              <w:rPr>
                <w:sz w:val="7"/>
                <w:szCs w:val="7"/>
                <w:color w:val="auto"/>
              </w:rPr>
            </w:pPr>
          </w:p>
        </w:tc>
        <w:tc>
          <w:tcPr>
            <w:tcW w:w="240" w:type="dxa"/>
            <w:vAlign w:val="bottom"/>
            <w:shd w:val="clear" w:color="auto" w:fill="DFDFDF"/>
          </w:tcPr>
          <w:p>
            <w:pPr>
              <w:spacing w:after="0"/>
              <w:rPr>
                <w:sz w:val="7"/>
                <w:szCs w:val="7"/>
                <w:color w:val="auto"/>
              </w:rPr>
            </w:pPr>
          </w:p>
        </w:tc>
        <w:tc>
          <w:tcPr>
            <w:tcW w:w="980" w:type="dxa"/>
            <w:vAlign w:val="bottom"/>
            <w:shd w:val="clear" w:color="auto" w:fill="DFDFDF"/>
          </w:tcPr>
          <w:p>
            <w:pPr>
              <w:spacing w:after="0"/>
              <w:rPr>
                <w:sz w:val="7"/>
                <w:szCs w:val="7"/>
                <w:color w:val="auto"/>
              </w:rPr>
            </w:pPr>
          </w:p>
        </w:tc>
        <w:tc>
          <w:tcPr>
            <w:tcW w:w="280" w:type="dxa"/>
            <w:vAlign w:val="bottom"/>
            <w:shd w:val="clear" w:color="auto" w:fill="DFDFDF"/>
          </w:tcPr>
          <w:p>
            <w:pPr>
              <w:spacing w:after="0"/>
              <w:rPr>
                <w:sz w:val="7"/>
                <w:szCs w:val="7"/>
                <w:color w:val="auto"/>
              </w:rPr>
            </w:pPr>
          </w:p>
        </w:tc>
        <w:tc>
          <w:tcPr>
            <w:tcW w:w="780" w:type="dxa"/>
            <w:vAlign w:val="bottom"/>
            <w:shd w:val="clear" w:color="auto" w:fill="DFDFDF"/>
          </w:tcPr>
          <w:p>
            <w:pPr>
              <w:spacing w:after="0"/>
              <w:rPr>
                <w:sz w:val="7"/>
                <w:szCs w:val="7"/>
                <w:color w:val="auto"/>
              </w:rPr>
            </w:pPr>
          </w:p>
        </w:tc>
      </w:tr>
      <w:tr>
        <w:trPr>
          <w:trHeight w:val="426"/>
        </w:trPr>
        <w:tc>
          <w:tcPr>
            <w:tcW w:w="276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9"/>
        </w:trPr>
        <w:tc>
          <w:tcPr>
            <w:tcW w:w="2760" w:type="dxa"/>
            <w:vAlign w:val="bottom"/>
          </w:tcPr>
          <w:p>
            <w:pPr>
              <w:ind w:left="20"/>
              <w:spacing w:after="0"/>
              <w:rPr>
                <w:sz w:val="20"/>
                <w:szCs w:val="20"/>
                <w:color w:val="auto"/>
              </w:rPr>
            </w:pPr>
            <w:r>
              <w:rPr>
                <w:rFonts w:ascii="Arial" w:cs="Arial" w:eastAsia="Arial" w:hAnsi="Arial"/>
                <w:sz w:val="16"/>
                <w:szCs w:val="16"/>
                <w:color w:val="auto"/>
              </w:rPr>
              <w:t>Financial instruments</w:t>
            </w:r>
          </w:p>
        </w:tc>
        <w:tc>
          <w:tcPr>
            <w:tcW w:w="960" w:type="dxa"/>
            <w:vAlign w:val="bottom"/>
          </w:tcPr>
          <w:p>
            <w:pPr>
              <w:jc w:val="right"/>
              <w:ind w:right="644"/>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1</w:t>
            </w:r>
          </w:p>
        </w:tc>
        <w:tc>
          <w:tcPr>
            <w:tcW w:w="1080" w:type="dxa"/>
            <w:vAlign w:val="bottom"/>
          </w:tcPr>
          <w:p>
            <w:pPr>
              <w:jc w:val="right"/>
              <w:ind w:right="845"/>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1</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(12)</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84"/>
        </w:trPr>
        <w:tc>
          <w:tcPr>
            <w:tcW w:w="2760" w:type="dxa"/>
            <w:vAlign w:val="bottom"/>
            <w:shd w:val="clear" w:color="auto" w:fill="DFDFDF"/>
          </w:tcPr>
          <w:p>
            <w:pPr>
              <w:spacing w:after="0"/>
              <w:rPr>
                <w:sz w:val="7"/>
                <w:szCs w:val="7"/>
                <w:color w:val="auto"/>
              </w:rPr>
            </w:pPr>
          </w:p>
        </w:tc>
        <w:tc>
          <w:tcPr>
            <w:tcW w:w="960" w:type="dxa"/>
            <w:vAlign w:val="bottom"/>
            <w:shd w:val="clear" w:color="auto" w:fill="DFDFDF"/>
          </w:tcPr>
          <w:p>
            <w:pPr>
              <w:spacing w:after="0"/>
              <w:rPr>
                <w:sz w:val="7"/>
                <w:szCs w:val="7"/>
                <w:color w:val="auto"/>
              </w:rPr>
            </w:pPr>
          </w:p>
        </w:tc>
        <w:tc>
          <w:tcPr>
            <w:tcW w:w="180" w:type="dxa"/>
            <w:vAlign w:val="bottom"/>
            <w:shd w:val="clear" w:color="auto" w:fill="DFDFDF"/>
          </w:tcPr>
          <w:p>
            <w:pPr>
              <w:spacing w:after="0"/>
              <w:rPr>
                <w:sz w:val="7"/>
                <w:szCs w:val="7"/>
                <w:color w:val="auto"/>
              </w:rPr>
            </w:pPr>
          </w:p>
        </w:tc>
        <w:tc>
          <w:tcPr>
            <w:tcW w:w="108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180" w:type="dxa"/>
            <w:vAlign w:val="bottom"/>
            <w:shd w:val="clear" w:color="auto" w:fill="DFDFDF"/>
          </w:tcPr>
          <w:p>
            <w:pPr>
              <w:spacing w:after="0"/>
              <w:rPr>
                <w:sz w:val="7"/>
                <w:szCs w:val="7"/>
                <w:color w:val="auto"/>
              </w:rPr>
            </w:pPr>
          </w:p>
        </w:tc>
        <w:tc>
          <w:tcPr>
            <w:tcW w:w="840" w:type="dxa"/>
            <w:vAlign w:val="bottom"/>
            <w:shd w:val="clear" w:color="auto" w:fill="DFDFDF"/>
          </w:tcPr>
          <w:p>
            <w:pPr>
              <w:spacing w:after="0"/>
              <w:rPr>
                <w:sz w:val="7"/>
                <w:szCs w:val="7"/>
                <w:color w:val="auto"/>
              </w:rPr>
            </w:pPr>
          </w:p>
        </w:tc>
        <w:tc>
          <w:tcPr>
            <w:tcW w:w="300" w:type="dxa"/>
            <w:vAlign w:val="bottom"/>
            <w:shd w:val="clear" w:color="auto" w:fill="DFDFDF"/>
          </w:tcPr>
          <w:p>
            <w:pPr>
              <w:spacing w:after="0"/>
              <w:rPr>
                <w:sz w:val="7"/>
                <w:szCs w:val="7"/>
                <w:color w:val="auto"/>
              </w:rPr>
            </w:pPr>
          </w:p>
        </w:tc>
        <w:tc>
          <w:tcPr>
            <w:tcW w:w="940" w:type="dxa"/>
            <w:vAlign w:val="bottom"/>
            <w:shd w:val="clear" w:color="auto" w:fill="DFDFDF"/>
          </w:tcPr>
          <w:p>
            <w:pPr>
              <w:spacing w:after="0"/>
              <w:rPr>
                <w:sz w:val="7"/>
                <w:szCs w:val="7"/>
                <w:color w:val="auto"/>
              </w:rPr>
            </w:pPr>
          </w:p>
        </w:tc>
        <w:tc>
          <w:tcPr>
            <w:tcW w:w="240" w:type="dxa"/>
            <w:vAlign w:val="bottom"/>
            <w:shd w:val="clear" w:color="auto" w:fill="DFDFDF"/>
          </w:tcPr>
          <w:p>
            <w:pPr>
              <w:spacing w:after="0"/>
              <w:rPr>
                <w:sz w:val="7"/>
                <w:szCs w:val="7"/>
                <w:color w:val="auto"/>
              </w:rPr>
            </w:pPr>
          </w:p>
        </w:tc>
        <w:tc>
          <w:tcPr>
            <w:tcW w:w="980" w:type="dxa"/>
            <w:vAlign w:val="bottom"/>
            <w:shd w:val="clear" w:color="auto" w:fill="DFDFDF"/>
          </w:tcPr>
          <w:p>
            <w:pPr>
              <w:spacing w:after="0"/>
              <w:rPr>
                <w:sz w:val="7"/>
                <w:szCs w:val="7"/>
                <w:color w:val="auto"/>
              </w:rPr>
            </w:pPr>
          </w:p>
        </w:tc>
        <w:tc>
          <w:tcPr>
            <w:tcW w:w="280" w:type="dxa"/>
            <w:vAlign w:val="bottom"/>
            <w:shd w:val="clear" w:color="auto" w:fill="DFDFDF"/>
          </w:tcPr>
          <w:p>
            <w:pPr>
              <w:spacing w:after="0"/>
              <w:rPr>
                <w:sz w:val="7"/>
                <w:szCs w:val="7"/>
                <w:color w:val="auto"/>
              </w:rPr>
            </w:pPr>
          </w:p>
        </w:tc>
        <w:tc>
          <w:tcPr>
            <w:tcW w:w="780" w:type="dxa"/>
            <w:vAlign w:val="bottom"/>
            <w:shd w:val="clear" w:color="auto" w:fill="DFDFDF"/>
          </w:tcPr>
          <w:p>
            <w:pPr>
              <w:spacing w:after="0"/>
              <w:rPr>
                <w:sz w:val="7"/>
                <w:szCs w:val="7"/>
                <w:color w:val="auto"/>
              </w:rPr>
            </w:pPr>
          </w:p>
        </w:tc>
      </w:tr>
    </w:tbl>
    <w:p>
      <w:pPr>
        <w:sectPr>
          <w:pgSz w:w="11900" w:h="16838" w:orient="portrait"/>
          <w:cols w:equalWidth="0" w:num="1">
            <w:col w:w="10219"/>
          </w:cols>
          <w:pgMar w:left="240" w:top="418" w:right="1440" w:bottom="1440" w:gutter="0" w:footer="0" w:header="0"/>
        </w:sectPr>
      </w:pPr>
    </w:p>
    <w:bookmarkStart w:id="32" w:name="page33"/>
    <w:bookmarkEnd w:id="32"/>
    <w:p>
      <w:pPr>
        <w:spacing w:after="0"/>
        <w:rPr>
          <w:sz w:val="20"/>
          <w:szCs w:val="20"/>
          <w:color w:val="auto"/>
        </w:rPr>
      </w:pPr>
      <w:r>
        <w:rPr>
          <w:rFonts w:ascii="Arial" w:cs="Arial" w:eastAsia="Arial" w:hAnsi="Arial"/>
          <w:sz w:val="22"/>
          <w:szCs w:val="22"/>
          <w:b w:val="1"/>
          <w:bCs w:val="1"/>
          <w:color w:val="auto"/>
        </w:rPr>
        <w:t>COMPREHENSIVE INCOME</w:t>
      </w:r>
    </w:p>
    <w:p>
      <w:pPr>
        <w:spacing w:after="0" w:line="9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The following table provides a reconciliation of net income to comprehensive income and the associated income tax expense (benefit) for 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4845050" cy="274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845050" cy="274320"/>
                    </a:xfrm>
                    <a:prstGeom prst="rect">
                      <a:avLst/>
                    </a:prstGeom>
                    <a:noFill/>
                  </pic:spPr>
                </pic:pic>
              </a:graphicData>
            </a:graphic>
          </wp:anchor>
        </w:drawing>
      </w:r>
    </w:p>
    <w:p>
      <w:pPr>
        <w:spacing w:after="0" w:line="3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COMPREHENSIVE INCOME AND ASSOCIATED INCOME TAX EXPENSE (BENEFIT)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4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9"/>
        </w:trPr>
        <w:tc>
          <w:tcPr>
            <w:tcW w:w="2940" w:type="dxa"/>
            <w:vAlign w:val="bottom"/>
          </w:tcPr>
          <w:p>
            <w:pPr>
              <w:spacing w:after="0"/>
              <w:rPr>
                <w:sz w:val="18"/>
                <w:szCs w:val="18"/>
                <w:color w:val="auto"/>
              </w:rPr>
            </w:pPr>
          </w:p>
        </w:tc>
        <w:tc>
          <w:tcPr>
            <w:tcW w:w="2020" w:type="dxa"/>
            <w:vAlign w:val="bottom"/>
            <w:tcBorders>
              <w:bottom w:val="single" w:sz="8" w:color="auto"/>
            </w:tcBorders>
            <w:gridSpan w:val="3"/>
          </w:tcPr>
          <w:p>
            <w:pPr>
              <w:jc w:val="center"/>
              <w:ind w:left="263"/>
              <w:spacing w:after="0"/>
              <w:rPr>
                <w:sz w:val="20"/>
                <w:szCs w:val="20"/>
                <w:color w:val="auto"/>
              </w:rPr>
            </w:pPr>
            <w:r>
              <w:rPr>
                <w:rFonts w:ascii="Arial" w:cs="Arial" w:eastAsia="Arial" w:hAnsi="Arial"/>
                <w:sz w:val="14"/>
                <w:szCs w:val="14"/>
                <w:color w:val="auto"/>
              </w:rPr>
              <w:t>Comprehensive Income</w:t>
            </w: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color w:val="auto"/>
              </w:rPr>
              <w:t>Income Tax Expense (Benefit)</w:t>
            </w:r>
          </w:p>
        </w:tc>
      </w:tr>
      <w:tr>
        <w:trPr>
          <w:trHeight w:val="204"/>
        </w:trPr>
        <w:tc>
          <w:tcPr>
            <w:tcW w:w="2940" w:type="dxa"/>
            <w:vAlign w:val="bottom"/>
          </w:tcPr>
          <w:p>
            <w:pPr>
              <w:spacing w:after="0"/>
              <w:rPr>
                <w:sz w:val="17"/>
                <w:szCs w:val="17"/>
                <w:color w:val="auto"/>
              </w:rPr>
            </w:pPr>
          </w:p>
        </w:tc>
        <w:tc>
          <w:tcPr>
            <w:tcW w:w="2020" w:type="dxa"/>
            <w:vAlign w:val="bottom"/>
            <w:gridSpan w:val="3"/>
          </w:tcPr>
          <w:p>
            <w:pPr>
              <w:jc w:val="center"/>
              <w:ind w:left="243"/>
              <w:spacing w:after="0"/>
              <w:rPr>
                <w:sz w:val="20"/>
                <w:szCs w:val="20"/>
                <w:color w:val="auto"/>
              </w:rPr>
            </w:pPr>
            <w:r>
              <w:rPr>
                <w:rFonts w:ascii="Arial" w:cs="Arial" w:eastAsia="Arial" w:hAnsi="Arial"/>
                <w:sz w:val="14"/>
                <w:szCs w:val="14"/>
                <w:color w:val="auto"/>
              </w:rPr>
              <w:t>Three months ended</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2"/>
          </w:tcPr>
          <w:p>
            <w:pPr>
              <w:jc w:val="center"/>
              <w:ind w:right="80"/>
              <w:spacing w:after="0"/>
              <w:rPr>
                <w:sz w:val="20"/>
                <w:szCs w:val="20"/>
                <w:color w:val="auto"/>
              </w:rPr>
            </w:pPr>
            <w:r>
              <w:rPr>
                <w:rFonts w:ascii="Arial" w:cs="Arial" w:eastAsia="Arial" w:hAnsi="Arial"/>
                <w:sz w:val="14"/>
                <w:szCs w:val="14"/>
                <w:color w:val="auto"/>
              </w:rPr>
              <w:t>Three months ended</w:t>
            </w:r>
          </w:p>
        </w:tc>
      </w:tr>
      <w:tr>
        <w:trPr>
          <w:trHeight w:val="209"/>
        </w:trPr>
        <w:tc>
          <w:tcPr>
            <w:tcW w:w="29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381"/>
              <w:spacing w:after="0"/>
              <w:rPr>
                <w:sz w:val="20"/>
                <w:szCs w:val="20"/>
                <w:color w:val="auto"/>
              </w:rPr>
            </w:pPr>
            <w:r>
              <w:rPr>
                <w:rFonts w:ascii="Arial" w:cs="Arial" w:eastAsia="Arial" w:hAnsi="Arial"/>
                <w:sz w:val="14"/>
                <w:szCs w:val="14"/>
                <w:color w:val="auto"/>
              </w:rPr>
              <w:t>March 31,</w:t>
            </w: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left="563"/>
              <w:spacing w:after="0"/>
              <w:rPr>
                <w:sz w:val="20"/>
                <w:szCs w:val="20"/>
                <w:color w:val="auto"/>
              </w:rPr>
            </w:pPr>
            <w:r>
              <w:rPr>
                <w:rFonts w:ascii="Arial" w:cs="Arial" w:eastAsia="Arial" w:hAnsi="Arial"/>
                <w:sz w:val="14"/>
                <w:szCs w:val="14"/>
                <w:color w:val="auto"/>
              </w:rPr>
              <w:t>March 31,</w:t>
            </w:r>
          </w:p>
        </w:tc>
        <w:tc>
          <w:tcPr>
            <w:tcW w:w="800" w:type="dxa"/>
            <w:vAlign w:val="bottom"/>
            <w:tcBorders>
              <w:bottom w:val="single" w:sz="8" w:color="auto"/>
            </w:tcBorders>
          </w:tcPr>
          <w:p>
            <w:pPr>
              <w:spacing w:after="0"/>
              <w:rPr>
                <w:sz w:val="18"/>
                <w:szCs w:val="18"/>
                <w:color w:val="auto"/>
              </w:rPr>
            </w:pPr>
          </w:p>
        </w:tc>
      </w:tr>
      <w:tr>
        <w:trPr>
          <w:trHeight w:val="210"/>
        </w:trPr>
        <w:tc>
          <w:tcPr>
            <w:tcW w:w="29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auto"/>
              </w:rPr>
              <w:t>2008</w:t>
            </w: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23"/>
              <w:spacing w:after="0"/>
              <w:rPr>
                <w:sz w:val="20"/>
                <w:szCs w:val="20"/>
                <w:color w:val="auto"/>
              </w:rPr>
            </w:pPr>
            <w:r>
              <w:rPr>
                <w:rFonts w:ascii="Arial" w:cs="Arial" w:eastAsia="Arial" w:hAnsi="Arial"/>
                <w:sz w:val="14"/>
                <w:szCs w:val="14"/>
                <w:color w:val="auto"/>
              </w:rPr>
              <w:t>2009</w:t>
            </w:r>
          </w:p>
        </w:tc>
        <w:tc>
          <w:tcPr>
            <w:tcW w:w="8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2008</w:t>
            </w:r>
          </w:p>
        </w:tc>
      </w:tr>
      <w:tr>
        <w:trPr>
          <w:trHeight w:val="214"/>
        </w:trPr>
        <w:tc>
          <w:tcPr>
            <w:tcW w:w="2940" w:type="dxa"/>
            <w:vAlign w:val="bottom"/>
          </w:tcPr>
          <w:p>
            <w:pPr>
              <w:ind w:left="20"/>
              <w:spacing w:after="0"/>
              <w:rPr>
                <w:sz w:val="20"/>
                <w:szCs w:val="20"/>
                <w:color w:val="auto"/>
              </w:rPr>
            </w:pPr>
            <w:r>
              <w:rPr>
                <w:rFonts w:ascii="Arial" w:cs="Arial" w:eastAsia="Arial" w:hAnsi="Arial"/>
                <w:sz w:val="16"/>
                <w:szCs w:val="16"/>
                <w:b w:val="1"/>
                <w:bCs w:val="1"/>
                <w:color w:val="auto"/>
              </w:rPr>
              <w:t>PE:</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1"/>
        </w:trPr>
        <w:tc>
          <w:tcPr>
            <w:tcW w:w="29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800" w:type="dxa"/>
            <w:vAlign w:val="bottom"/>
          </w:tcPr>
          <w:p>
            <w:pPr>
              <w:jc w:val="right"/>
              <w:ind w:right="623"/>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59</w:t>
            </w:r>
          </w:p>
        </w:tc>
        <w:tc>
          <w:tcPr>
            <w:tcW w:w="860" w:type="dxa"/>
            <w:vAlign w:val="bottom"/>
          </w:tcPr>
          <w:p>
            <w:pPr>
              <w:jc w:val="right"/>
              <w:ind w:right="661"/>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58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03"/>
              <w:spacing w:after="0"/>
              <w:rPr>
                <w:sz w:val="20"/>
                <w:szCs w:val="20"/>
                <w:color w:val="auto"/>
              </w:rPr>
            </w:pPr>
            <w:r>
              <w:rPr>
                <w:rFonts w:ascii="Arial" w:cs="Arial" w:eastAsia="Arial" w:hAnsi="Arial"/>
                <w:sz w:val="16"/>
                <w:szCs w:val="16"/>
                <w:color w:val="auto"/>
              </w:rPr>
              <w:t>- $</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2"/>
        </w:trPr>
        <w:tc>
          <w:tcPr>
            <w:tcW w:w="2940" w:type="dxa"/>
            <w:vAlign w:val="bottom"/>
          </w:tcPr>
          <w:p>
            <w:pPr>
              <w:ind w:left="20"/>
              <w:spacing w:after="0"/>
              <w:rPr>
                <w:sz w:val="20"/>
                <w:szCs w:val="20"/>
                <w:color w:val="auto"/>
              </w:rPr>
            </w:pPr>
            <w:r>
              <w:rPr>
                <w:rFonts w:ascii="Arial" w:cs="Arial" w:eastAsia="Arial" w:hAnsi="Arial"/>
                <w:sz w:val="16"/>
                <w:szCs w:val="16"/>
                <w:color w:val="auto"/>
              </w:rPr>
              <w:t>Financial instruments</w:t>
            </w: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63"/>
              <w:spacing w:after="0"/>
              <w:rPr>
                <w:sz w:val="20"/>
                <w:szCs w:val="20"/>
                <w:color w:val="auto"/>
              </w:rPr>
            </w:pPr>
            <w:r>
              <w:rPr>
                <w:rFonts w:ascii="Arial" w:cs="Arial" w:eastAsia="Arial" w:hAnsi="Arial"/>
                <w:sz w:val="16"/>
                <w:szCs w:val="16"/>
                <w:color w:val="auto"/>
              </w:rPr>
              <w:t>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07"/>
        </w:trPr>
        <w:tc>
          <w:tcPr>
            <w:tcW w:w="29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800" w:type="dxa"/>
            <w:vAlign w:val="bottom"/>
          </w:tcPr>
          <w:p>
            <w:pPr>
              <w:jc w:val="right"/>
              <w:ind w:right="623"/>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60</w:t>
            </w:r>
          </w:p>
        </w:tc>
        <w:tc>
          <w:tcPr>
            <w:tcW w:w="860" w:type="dxa"/>
            <w:vAlign w:val="bottom"/>
          </w:tcPr>
          <w:p>
            <w:pPr>
              <w:jc w:val="right"/>
              <w:ind w:right="661"/>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53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03"/>
              <w:spacing w:after="0"/>
              <w:rPr>
                <w:sz w:val="20"/>
                <w:szCs w:val="20"/>
                <w:color w:val="auto"/>
              </w:rPr>
            </w:pPr>
            <w:r>
              <w:rPr>
                <w:rFonts w:ascii="Arial" w:cs="Arial" w:eastAsia="Arial" w:hAnsi="Arial"/>
                <w:sz w:val="16"/>
                <w:szCs w:val="16"/>
                <w:color w:val="auto"/>
              </w:rPr>
              <w:t>1 $</w:t>
            </w:r>
          </w:p>
        </w:tc>
        <w:tc>
          <w:tcPr>
            <w:tcW w:w="8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84"/>
        </w:trPr>
        <w:tc>
          <w:tcPr>
            <w:tcW w:w="2940" w:type="dxa"/>
            <w:vAlign w:val="bottom"/>
            <w:shd w:val="clear" w:color="auto" w:fill="000000"/>
          </w:tcPr>
          <w:p>
            <w:pPr>
              <w:spacing w:after="0"/>
              <w:rPr>
                <w:sz w:val="7"/>
                <w:szCs w:val="7"/>
                <w:color w:val="auto"/>
              </w:rPr>
            </w:pPr>
          </w:p>
        </w:tc>
        <w:tc>
          <w:tcPr>
            <w:tcW w:w="80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160" w:type="dxa"/>
            <w:vAlign w:val="bottom"/>
            <w:shd w:val="clear" w:color="auto" w:fill="000000"/>
          </w:tcPr>
          <w:p>
            <w:pPr>
              <w:spacing w:after="0"/>
              <w:rPr>
                <w:sz w:val="7"/>
                <w:szCs w:val="7"/>
                <w:color w:val="auto"/>
              </w:rPr>
            </w:pPr>
          </w:p>
        </w:tc>
        <w:tc>
          <w:tcPr>
            <w:tcW w:w="1400" w:type="dxa"/>
            <w:vAlign w:val="bottom"/>
            <w:shd w:val="clear" w:color="auto" w:fill="000000"/>
          </w:tcPr>
          <w:p>
            <w:pPr>
              <w:spacing w:after="0"/>
              <w:rPr>
                <w:sz w:val="7"/>
                <w:szCs w:val="7"/>
                <w:color w:val="auto"/>
              </w:rPr>
            </w:pPr>
          </w:p>
        </w:tc>
        <w:tc>
          <w:tcPr>
            <w:tcW w:w="800" w:type="dxa"/>
            <w:vAlign w:val="bottom"/>
            <w:shd w:val="clear" w:color="auto" w:fill="000000"/>
          </w:tcPr>
          <w:p>
            <w:pPr>
              <w:spacing w:after="0"/>
              <w:rPr>
                <w:sz w:val="7"/>
                <w:szCs w:val="7"/>
                <w:color w:val="auto"/>
              </w:rPr>
            </w:pPr>
          </w:p>
        </w:tc>
      </w:tr>
      <w:tr>
        <w:trPr>
          <w:trHeight w:val="215"/>
        </w:trPr>
        <w:tc>
          <w:tcPr>
            <w:tcW w:w="2940" w:type="dxa"/>
            <w:vAlign w:val="bottom"/>
          </w:tcPr>
          <w:p>
            <w:pPr>
              <w:ind w:left="20"/>
              <w:spacing w:after="0"/>
              <w:rPr>
                <w:sz w:val="20"/>
                <w:szCs w:val="20"/>
                <w:color w:val="auto"/>
              </w:rPr>
            </w:pPr>
            <w:r>
              <w:rPr>
                <w:rFonts w:ascii="Arial" w:cs="Arial" w:eastAsia="Arial" w:hAnsi="Arial"/>
                <w:sz w:val="16"/>
                <w:szCs w:val="16"/>
                <w:b w:val="1"/>
                <w:bCs w:val="1"/>
                <w:color w:val="auto"/>
              </w:rPr>
              <w:t>SoCalGas:</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1"/>
        </w:trPr>
        <w:tc>
          <w:tcPr>
            <w:tcW w:w="29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800" w:type="dxa"/>
            <w:vAlign w:val="bottom"/>
          </w:tcPr>
          <w:p>
            <w:pPr>
              <w:jc w:val="right"/>
              <w:ind w:right="623"/>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59</w:t>
            </w:r>
          </w:p>
        </w:tc>
        <w:tc>
          <w:tcPr>
            <w:tcW w:w="860" w:type="dxa"/>
            <w:vAlign w:val="bottom"/>
          </w:tcPr>
          <w:p>
            <w:pPr>
              <w:jc w:val="right"/>
              <w:ind w:right="661"/>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57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03"/>
              <w:spacing w:after="0"/>
              <w:rPr>
                <w:sz w:val="20"/>
                <w:szCs w:val="20"/>
                <w:color w:val="auto"/>
              </w:rPr>
            </w:pPr>
            <w:r>
              <w:rPr>
                <w:rFonts w:ascii="Arial" w:cs="Arial" w:eastAsia="Arial" w:hAnsi="Arial"/>
                <w:sz w:val="16"/>
                <w:szCs w:val="16"/>
                <w:color w:val="auto"/>
              </w:rPr>
              <w:t>- $</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2"/>
        </w:trPr>
        <w:tc>
          <w:tcPr>
            <w:tcW w:w="2940" w:type="dxa"/>
            <w:vAlign w:val="bottom"/>
          </w:tcPr>
          <w:p>
            <w:pPr>
              <w:ind w:left="20"/>
              <w:spacing w:after="0"/>
              <w:rPr>
                <w:sz w:val="20"/>
                <w:szCs w:val="20"/>
                <w:color w:val="auto"/>
              </w:rPr>
            </w:pPr>
            <w:r>
              <w:rPr>
                <w:rFonts w:ascii="Arial" w:cs="Arial" w:eastAsia="Arial" w:hAnsi="Arial"/>
                <w:sz w:val="16"/>
                <w:szCs w:val="16"/>
                <w:color w:val="auto"/>
              </w:rPr>
              <w:t>Financial instruments</w:t>
            </w: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63"/>
              <w:spacing w:after="0"/>
              <w:rPr>
                <w:sz w:val="20"/>
                <w:szCs w:val="20"/>
                <w:color w:val="auto"/>
              </w:rPr>
            </w:pPr>
            <w:r>
              <w:rPr>
                <w:rFonts w:ascii="Arial" w:cs="Arial" w:eastAsia="Arial" w:hAnsi="Arial"/>
                <w:sz w:val="16"/>
                <w:szCs w:val="16"/>
                <w:color w:val="auto"/>
              </w:rPr>
              <w:t>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07"/>
        </w:trPr>
        <w:tc>
          <w:tcPr>
            <w:tcW w:w="29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800" w:type="dxa"/>
            <w:vAlign w:val="bottom"/>
          </w:tcPr>
          <w:p>
            <w:pPr>
              <w:jc w:val="right"/>
              <w:ind w:right="623"/>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60</w:t>
            </w:r>
          </w:p>
        </w:tc>
        <w:tc>
          <w:tcPr>
            <w:tcW w:w="860" w:type="dxa"/>
            <w:vAlign w:val="bottom"/>
          </w:tcPr>
          <w:p>
            <w:pPr>
              <w:jc w:val="right"/>
              <w:ind w:right="661"/>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52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03"/>
              <w:spacing w:after="0"/>
              <w:rPr>
                <w:sz w:val="20"/>
                <w:szCs w:val="20"/>
                <w:color w:val="auto"/>
              </w:rPr>
            </w:pPr>
            <w:r>
              <w:rPr>
                <w:rFonts w:ascii="Arial" w:cs="Arial" w:eastAsia="Arial" w:hAnsi="Arial"/>
                <w:sz w:val="16"/>
                <w:szCs w:val="16"/>
                <w:color w:val="auto"/>
              </w:rPr>
              <w:t>1 $</w:t>
            </w:r>
          </w:p>
        </w:tc>
        <w:tc>
          <w:tcPr>
            <w:tcW w:w="8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84"/>
        </w:trPr>
        <w:tc>
          <w:tcPr>
            <w:tcW w:w="2940" w:type="dxa"/>
            <w:vAlign w:val="bottom"/>
            <w:shd w:val="clear" w:color="auto" w:fill="000000"/>
          </w:tcPr>
          <w:p>
            <w:pPr>
              <w:spacing w:after="0"/>
              <w:rPr>
                <w:sz w:val="7"/>
                <w:szCs w:val="7"/>
                <w:color w:val="auto"/>
              </w:rPr>
            </w:pPr>
          </w:p>
        </w:tc>
        <w:tc>
          <w:tcPr>
            <w:tcW w:w="80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160" w:type="dxa"/>
            <w:vAlign w:val="bottom"/>
            <w:shd w:val="clear" w:color="auto" w:fill="000000"/>
          </w:tcPr>
          <w:p>
            <w:pPr>
              <w:spacing w:after="0"/>
              <w:rPr>
                <w:sz w:val="7"/>
                <w:szCs w:val="7"/>
                <w:color w:val="auto"/>
              </w:rPr>
            </w:pPr>
          </w:p>
        </w:tc>
        <w:tc>
          <w:tcPr>
            <w:tcW w:w="1400" w:type="dxa"/>
            <w:vAlign w:val="bottom"/>
            <w:shd w:val="clear" w:color="auto" w:fill="000000"/>
          </w:tcPr>
          <w:p>
            <w:pPr>
              <w:spacing w:after="0"/>
              <w:rPr>
                <w:sz w:val="7"/>
                <w:szCs w:val="7"/>
                <w:color w:val="auto"/>
              </w:rPr>
            </w:pPr>
          </w:p>
        </w:tc>
        <w:tc>
          <w:tcPr>
            <w:tcW w:w="800" w:type="dxa"/>
            <w:vAlign w:val="bottom"/>
            <w:shd w:val="clear" w:color="auto" w:fill="000000"/>
          </w:tcPr>
          <w:p>
            <w:pPr>
              <w:spacing w:after="0"/>
              <w:rPr>
                <w:sz w:val="7"/>
                <w:szCs w:val="7"/>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TRANSACTIONS WITH AFFILIATES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Loans to Unconsolidated Affiliates</w:t>
      </w:r>
    </w:p>
    <w:p>
      <w:pPr>
        <w:spacing w:after="0" w:line="36" w:lineRule="exact"/>
        <w:rPr>
          <w:sz w:val="20"/>
          <w:szCs w:val="20"/>
          <w:color w:val="auto"/>
        </w:rPr>
      </w:pPr>
    </w:p>
    <w:p>
      <w:pPr>
        <w:ind w:right="260"/>
        <w:spacing w:after="0" w:line="287" w:lineRule="auto"/>
        <w:rPr>
          <w:sz w:val="20"/>
          <w:szCs w:val="20"/>
          <w:color w:val="auto"/>
        </w:rPr>
      </w:pPr>
      <w:r>
        <w:rPr>
          <w:rFonts w:ascii="Arial" w:cs="Arial" w:eastAsia="Arial" w:hAnsi="Arial"/>
          <w:sz w:val="19"/>
          <w:szCs w:val="19"/>
          <w:color w:val="auto"/>
        </w:rPr>
        <w:t>Sempra Pipelines &amp; Storage has a U.S. dollar-denominated loan to Camuzzi Gas del Sur S.A., an affiliate of Sempra Pipelines &amp; Storage’s Argentine investments, which we discuss in Note 4 of the Notes to Consolidated Financial Statements in the Annual Report. The balance outstanding was $25 million at both March 31, 2009 and December 31, 2008. The loan bears interest at a variable rate of 8.435% at March 31, 2009. The loan is due in June 2009 and is fully reserved at March 31, 2009.</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Loans from Unconsolidated Affiliates</w:t>
      </w:r>
    </w:p>
    <w:p>
      <w:pPr>
        <w:spacing w:after="0" w:line="49"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Sempra Pipelines &amp; Storage has a note payable, bearing interest at 6.73%, due to Chilquinta Energía Finance Co. LLC, an unconsolidated affiliate. The balance outstanding was $100 million at both March 31, 2009 and December 31, 2008. The note is secured by Sempra Pipelines &amp; Storage’s investments in Chilquinta Energía S.A. and Luz del Sur S.A.A., which we discuss in Note 4 of the Notes to Consolidated Financial Statements in the Annual Report.</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Affiliate Transactions</w:t>
      </w:r>
    </w:p>
    <w:p>
      <w:pPr>
        <w:spacing w:after="0" w:line="36"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Sempra Energy, SDG&amp;E and SoCalGas provide certain services to each other, which are charged an allocable share of the cost of such services. Amounts due to/from affiliates are as follows:</w:t>
      </w:r>
    </w:p>
    <w:p>
      <w:pPr>
        <w:sectPr>
          <w:pgSz w:w="11900" w:h="16838" w:orient="portrait"/>
          <w:cols w:equalWidth="0" w:num="1">
            <w:col w:w="11400"/>
          </w:cols>
          <w:pgMar w:left="240" w:top="418" w:right="25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5120005" cy="274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20005" cy="274320"/>
                    </a:xfrm>
                    <a:prstGeom prst="rect">
                      <a:avLst/>
                    </a:prstGeom>
                    <a:noFill/>
                  </pic:spPr>
                </pic:pic>
              </a:graphicData>
            </a:graphic>
          </wp:anchor>
        </w:drawing>
        <w:t>AMOUNTS DUE TO AND FROM AFFILIATES AT SDG&amp;E, PE AND SOCALGAS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69" w:lineRule="exact"/>
        <w:rPr>
          <w:sz w:val="20"/>
          <w:szCs w:val="20"/>
          <w:color w:val="auto"/>
        </w:rPr>
      </w:pPr>
    </w:p>
    <w:p>
      <w:pPr>
        <w:jc w:val="right"/>
        <w:ind w:right="2319"/>
        <w:spacing w:after="0"/>
        <w:tabs>
          <w:tab w:leader="none" w:pos="880" w:val="left"/>
        </w:tabs>
        <w:rPr>
          <w:sz w:val="20"/>
          <w:szCs w:val="20"/>
          <w:color w:val="auto"/>
        </w:rPr>
      </w:pPr>
      <w:r>
        <w:rPr>
          <w:rFonts w:ascii="Arial" w:cs="Arial" w:eastAsia="Arial" w:hAnsi="Arial"/>
          <w:sz w:val="14"/>
          <w:szCs w:val="14"/>
          <w:color w:val="auto"/>
        </w:rPr>
        <w:t>March 31,</w:t>
      </w:r>
      <w:r>
        <w:rPr>
          <w:sz w:val="20"/>
          <w:szCs w:val="20"/>
          <w:color w:val="auto"/>
        </w:rPr>
        <w:tab/>
      </w:r>
      <w:r>
        <w:rPr>
          <w:rFonts w:ascii="Arial" w:cs="Arial" w:eastAsia="Arial" w:hAnsi="Arial"/>
          <w:sz w:val="14"/>
          <w:szCs w:val="14"/>
          <w:color w:val="auto"/>
        </w:rPr>
        <w:t>December 31,</w:t>
      </w:r>
    </w:p>
    <w:p>
      <w:pPr>
        <w:spacing w:after="0" w:line="55" w:lineRule="exact"/>
        <w:rPr>
          <w:sz w:val="20"/>
          <w:szCs w:val="20"/>
          <w:color w:val="auto"/>
        </w:rPr>
      </w:pPr>
    </w:p>
    <w:p>
      <w:pPr>
        <w:ind w:left="6040"/>
        <w:spacing w:after="0"/>
        <w:tabs>
          <w:tab w:leader="none" w:pos="7260" w:val="left"/>
        </w:tabs>
        <w:rPr>
          <w:sz w:val="20"/>
          <w:szCs w:val="20"/>
          <w:color w:val="auto"/>
        </w:rPr>
      </w:pPr>
      <w:r>
        <w:rPr>
          <w:rFonts w:ascii="Arial" w:cs="Arial" w:eastAsia="Arial" w:hAnsi="Arial"/>
          <w:sz w:val="14"/>
          <w:szCs w:val="14"/>
          <w:color w:val="auto"/>
        </w:rPr>
        <w:t>2009</w:t>
      </w:r>
      <w:r>
        <w:rPr>
          <w:sz w:val="20"/>
          <w:szCs w:val="20"/>
          <w:color w:val="auto"/>
        </w:rPr>
        <w:tab/>
      </w:r>
      <w:r>
        <w:rPr>
          <w:rFonts w:ascii="Arial" w:cs="Arial" w:eastAsia="Arial" w:hAnsi="Arial"/>
          <w:sz w:val="14"/>
          <w:szCs w:val="14"/>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51200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20005" cy="8890"/>
                    </a:xfrm>
                    <a:prstGeom prst="rect">
                      <a:avLst/>
                    </a:prstGeom>
                    <a:noFill/>
                  </pic:spPr>
                </pic:pic>
              </a:graphicData>
            </a:graphic>
          </wp:anchor>
        </w:drawing>
      </w:r>
    </w:p>
    <w:p>
      <w:pPr>
        <w:sectPr>
          <w:pgSz w:w="11900" w:h="16838" w:orient="portrait"/>
          <w:cols w:equalWidth="0" w:num="1">
            <w:col w:w="10199"/>
          </w:cols>
          <w:pgMar w:left="260" w:top="513" w:right="1440" w:bottom="1440" w:gutter="0" w:footer="0" w:header="0"/>
        </w:sectPr>
      </w:pP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SDG&amp;E</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Current: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from Sempra Energy</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from SoCalGas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from various affiliates</w:t>
      </w: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to various affiliates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to SoCalGas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to Sempra Energy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Income taxes due to Sempra Energy*</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Noncurrent: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Promissory note due from Sempra Energy, variable rate based on</w:t>
      </w:r>
    </w:p>
    <w:p>
      <w:pPr>
        <w:spacing w:after="0" w:line="11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short-term commercial paper rates (0.28% at March 31, 2009)</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Pacific Enterprises</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Current: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from Sempra Energy</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from various affiliates</w:t>
      </w: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to affiliate</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to Sempra Energy</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to SDG&amp;E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Income taxes due to (from) Sempra Energy*</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Noncurrent: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Promissory note due from Sempra Energy, variable rate based on</w:t>
      </w:r>
    </w:p>
    <w:p>
      <w:pPr>
        <w:spacing w:after="0" w:line="11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short-term commercial paper rates (0.28% at March 31, 2009)</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SoCalGas</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Current:</w:t>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from SDG&amp;E</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to Sempra Energy</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to SDG&amp;E</w:t>
      </w:r>
    </w:p>
    <w:p>
      <w:pPr>
        <w:spacing w:after="0" w:line="200" w:lineRule="exact"/>
        <w:rPr>
          <w:sz w:val="20"/>
          <w:szCs w:val="20"/>
          <w:color w:val="auto"/>
        </w:rPr>
      </w:pPr>
    </w:p>
    <w:p>
      <w:pPr>
        <w:spacing w:after="0" w:line="3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Income taxes due to 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5120005"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20005" cy="514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359"/>
              <w:spacing w:after="0"/>
              <w:rPr>
                <w:sz w:val="20"/>
                <w:szCs w:val="20"/>
                <w:color w:val="auto"/>
              </w:rPr>
            </w:pPr>
            <w:r>
              <w:rPr>
                <w:rFonts w:ascii="Arial" w:cs="Arial" w:eastAsia="Arial" w:hAnsi="Arial"/>
                <w:sz w:val="16"/>
                <w:szCs w:val="16"/>
                <w:color w:val="auto"/>
              </w:rPr>
              <w:t>- $</w:t>
            </w:r>
          </w:p>
        </w:tc>
        <w:tc>
          <w:tcPr>
            <w:tcW w:w="7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9"/>
        </w:trPr>
        <w:tc>
          <w:tcPr>
            <w:tcW w:w="5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5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84"/>
        </w:trPr>
        <w:tc>
          <w:tcPr>
            <w:tcW w:w="540" w:type="dxa"/>
            <w:vAlign w:val="bottom"/>
            <w:shd w:val="clear" w:color="auto" w:fill="000000"/>
          </w:tcPr>
          <w:p>
            <w:pPr>
              <w:spacing w:after="0"/>
              <w:rPr>
                <w:sz w:val="7"/>
                <w:szCs w:val="7"/>
                <w:color w:val="auto"/>
              </w:rPr>
            </w:pPr>
          </w:p>
        </w:tc>
        <w:tc>
          <w:tcPr>
            <w:tcW w:w="1220" w:type="dxa"/>
            <w:vAlign w:val="bottom"/>
            <w:gridSpan w:val="2"/>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r>
      <w:tr>
        <w:trPr>
          <w:trHeight w:val="426"/>
        </w:trPr>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359"/>
              <w:spacing w:after="0"/>
              <w:rPr>
                <w:sz w:val="20"/>
                <w:szCs w:val="20"/>
                <w:color w:val="auto"/>
              </w:rPr>
            </w:pPr>
            <w:r>
              <w:rPr>
                <w:rFonts w:ascii="Arial" w:cs="Arial" w:eastAsia="Arial" w:hAnsi="Arial"/>
                <w:sz w:val="16"/>
                <w:szCs w:val="16"/>
                <w:color w:val="auto"/>
              </w:rPr>
              <w:t>- $</w:t>
            </w: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5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29</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84"/>
        </w:trPr>
        <w:tc>
          <w:tcPr>
            <w:tcW w:w="540" w:type="dxa"/>
            <w:vAlign w:val="bottom"/>
            <w:shd w:val="clear" w:color="auto" w:fill="000000"/>
          </w:tcPr>
          <w:p>
            <w:pPr>
              <w:spacing w:after="0"/>
              <w:rPr>
                <w:sz w:val="7"/>
                <w:szCs w:val="7"/>
                <w:color w:val="auto"/>
              </w:rPr>
            </w:pPr>
          </w:p>
        </w:tc>
        <w:tc>
          <w:tcPr>
            <w:tcW w:w="680" w:type="dxa"/>
            <w:vAlign w:val="bottom"/>
            <w:shd w:val="clear" w:color="auto" w:fill="000000"/>
          </w:tcPr>
          <w:p>
            <w:pPr>
              <w:spacing w:after="0"/>
              <w:rPr>
                <w:sz w:val="7"/>
                <w:szCs w:val="7"/>
                <w:color w:val="auto"/>
              </w:rPr>
            </w:pPr>
          </w:p>
        </w:tc>
        <w:tc>
          <w:tcPr>
            <w:tcW w:w="54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r>
      <w:tr>
        <w:trPr>
          <w:trHeight w:val="443"/>
        </w:trPr>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62</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84"/>
        </w:trPr>
        <w:tc>
          <w:tcPr>
            <w:tcW w:w="540" w:type="dxa"/>
            <w:vAlign w:val="bottom"/>
            <w:shd w:val="clear" w:color="auto" w:fill="000000"/>
          </w:tcPr>
          <w:p>
            <w:pPr>
              <w:spacing w:after="0"/>
              <w:rPr>
                <w:sz w:val="7"/>
                <w:szCs w:val="7"/>
                <w:color w:val="auto"/>
              </w:rPr>
            </w:pPr>
          </w:p>
        </w:tc>
        <w:tc>
          <w:tcPr>
            <w:tcW w:w="680" w:type="dxa"/>
            <w:vAlign w:val="bottom"/>
            <w:shd w:val="clear" w:color="auto" w:fill="000000"/>
          </w:tcPr>
          <w:p>
            <w:pPr>
              <w:spacing w:after="0"/>
              <w:rPr>
                <w:sz w:val="7"/>
                <w:szCs w:val="7"/>
                <w:color w:val="auto"/>
              </w:rPr>
            </w:pPr>
          </w:p>
        </w:tc>
        <w:tc>
          <w:tcPr>
            <w:tcW w:w="54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1060" w:val="left"/>
          <w:tab w:leader="none" w:pos="22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4 $</w:t>
      </w:r>
      <w:r>
        <w:rPr>
          <w:sz w:val="20"/>
          <w:szCs w:val="20"/>
          <w:color w:val="auto"/>
        </w:rPr>
        <w:tab/>
      </w: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1560830"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60830" cy="51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31</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40</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84"/>
        </w:trPr>
        <w:tc>
          <w:tcPr>
            <w:tcW w:w="540" w:type="dxa"/>
            <w:vAlign w:val="bottom"/>
            <w:shd w:val="clear" w:color="auto" w:fill="000000"/>
          </w:tcPr>
          <w:p>
            <w:pPr>
              <w:spacing w:after="0"/>
              <w:rPr>
                <w:sz w:val="7"/>
                <w:szCs w:val="7"/>
                <w:color w:val="auto"/>
              </w:rPr>
            </w:pPr>
          </w:p>
        </w:tc>
        <w:tc>
          <w:tcPr>
            <w:tcW w:w="68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r>
      <w:tr>
        <w:trPr>
          <w:trHeight w:val="426"/>
        </w:trPr>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84</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16"/>
        </w:trPr>
        <w:tc>
          <w:tcPr>
            <w:tcW w:w="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5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84</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84"/>
        </w:trPr>
        <w:tc>
          <w:tcPr>
            <w:tcW w:w="540" w:type="dxa"/>
            <w:vAlign w:val="bottom"/>
            <w:shd w:val="clear" w:color="auto" w:fill="000000"/>
          </w:tcPr>
          <w:p>
            <w:pPr>
              <w:spacing w:after="0"/>
              <w:rPr>
                <w:sz w:val="7"/>
                <w:szCs w:val="7"/>
                <w:color w:val="auto"/>
              </w:rPr>
            </w:pPr>
          </w:p>
        </w:tc>
        <w:tc>
          <w:tcPr>
            <w:tcW w:w="68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r>
      <w:tr>
        <w:trPr>
          <w:trHeight w:val="443"/>
        </w:trPr>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52</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84"/>
        </w:trPr>
        <w:tc>
          <w:tcPr>
            <w:tcW w:w="540" w:type="dxa"/>
            <w:vAlign w:val="bottom"/>
            <w:shd w:val="clear" w:color="auto" w:fill="000000"/>
          </w:tcPr>
          <w:p>
            <w:pPr>
              <w:spacing w:after="0"/>
              <w:rPr>
                <w:sz w:val="7"/>
                <w:szCs w:val="7"/>
                <w:color w:val="auto"/>
              </w:rPr>
            </w:pPr>
          </w:p>
        </w:tc>
        <w:tc>
          <w:tcPr>
            <w:tcW w:w="68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880" w:val="left"/>
          <w:tab w:leader="none" w:pos="21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454 $</w:t>
      </w:r>
      <w:r>
        <w:rPr>
          <w:sz w:val="20"/>
          <w:szCs w:val="20"/>
          <w:color w:val="auto"/>
        </w:rPr>
        <w:tab/>
      </w:r>
      <w:r>
        <w:rPr>
          <w:rFonts w:ascii="Arial" w:cs="Arial" w:eastAsia="Arial" w:hAnsi="Arial"/>
          <w:sz w:val="16"/>
          <w:szCs w:val="16"/>
          <w:color w:val="auto"/>
        </w:rPr>
        <w:t>457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1560830"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60830" cy="51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84"/>
        </w:trPr>
        <w:tc>
          <w:tcPr>
            <w:tcW w:w="540" w:type="dxa"/>
            <w:vAlign w:val="bottom"/>
            <w:shd w:val="clear" w:color="auto" w:fill="000000"/>
          </w:tcPr>
          <w:p>
            <w:pPr>
              <w:spacing w:after="0"/>
              <w:rPr>
                <w:sz w:val="7"/>
                <w:szCs w:val="7"/>
                <w:color w:val="auto"/>
              </w:rPr>
            </w:pPr>
          </w:p>
        </w:tc>
        <w:tc>
          <w:tcPr>
            <w:tcW w:w="680" w:type="dxa"/>
            <w:vAlign w:val="bottom"/>
            <w:shd w:val="clear" w:color="auto" w:fill="000000"/>
          </w:tcPr>
          <w:p>
            <w:pPr>
              <w:spacing w:after="0"/>
              <w:rPr>
                <w:sz w:val="7"/>
                <w:szCs w:val="7"/>
                <w:color w:val="auto"/>
              </w:rPr>
            </w:pPr>
          </w:p>
        </w:tc>
        <w:tc>
          <w:tcPr>
            <w:tcW w:w="54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r>
      <w:tr>
        <w:trPr>
          <w:trHeight w:val="426"/>
        </w:trPr>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34</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5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34</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84"/>
        </w:trPr>
        <w:tc>
          <w:tcPr>
            <w:tcW w:w="540" w:type="dxa"/>
            <w:vAlign w:val="bottom"/>
            <w:shd w:val="clear" w:color="auto" w:fill="000000"/>
          </w:tcPr>
          <w:p>
            <w:pPr>
              <w:spacing w:after="0"/>
              <w:rPr>
                <w:sz w:val="7"/>
                <w:szCs w:val="7"/>
                <w:color w:val="auto"/>
              </w:rPr>
            </w:pPr>
          </w:p>
        </w:tc>
        <w:tc>
          <w:tcPr>
            <w:tcW w:w="680" w:type="dxa"/>
            <w:vAlign w:val="bottom"/>
            <w:shd w:val="clear" w:color="auto" w:fill="000000"/>
          </w:tcPr>
          <w:p>
            <w:pPr>
              <w:spacing w:after="0"/>
              <w:rPr>
                <w:sz w:val="7"/>
                <w:szCs w:val="7"/>
                <w:color w:val="auto"/>
              </w:rPr>
            </w:pPr>
          </w:p>
        </w:tc>
        <w:tc>
          <w:tcPr>
            <w:tcW w:w="54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r>
      <w:tr>
        <w:trPr>
          <w:trHeight w:val="440"/>
        </w:trPr>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54</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r>
    </w:tbl>
    <w:p>
      <w:pPr>
        <w:spacing w:after="0" w:line="91" w:lineRule="exact"/>
        <w:rPr>
          <w:sz w:val="20"/>
          <w:szCs w:val="20"/>
          <w:color w:val="auto"/>
        </w:rPr>
      </w:pPr>
    </w:p>
    <w:p>
      <w:pPr>
        <w:sectPr>
          <w:pgSz w:w="11900" w:h="16838" w:orient="portrait"/>
          <w:cols w:equalWidth="0" w:num="2">
            <w:col w:w="4880" w:space="720"/>
            <w:col w:w="4599"/>
          </w:cols>
          <w:pgMar w:left="260" w:top="513" w:right="1440" w:bottom="1440" w:gutter="0" w:footer="0" w:header="0"/>
          <w:type w:val="continuous"/>
        </w:sectPr>
      </w:pPr>
    </w:p>
    <w:p>
      <w:pPr>
        <w:ind w:left="320" w:right="2519" w:hanging="208"/>
        <w:spacing w:after="0" w:line="261" w:lineRule="auto"/>
        <w:tabs>
          <w:tab w:leader="none" w:pos="320" w:val="left"/>
        </w:tabs>
        <w:numPr>
          <w:ilvl w:val="0"/>
          <w:numId w:val="39"/>
        </w:numPr>
        <w:rPr>
          <w:rFonts w:ascii="Arial" w:cs="Arial" w:eastAsia="Arial" w:hAnsi="Arial"/>
          <w:sz w:val="16"/>
          <w:szCs w:val="16"/>
          <w:color w:val="auto"/>
        </w:rPr>
      </w:pPr>
      <w:r>
        <w:rPr>
          <w:rFonts w:ascii="Arial" w:cs="Arial" w:eastAsia="Arial" w:hAnsi="Arial"/>
          <w:sz w:val="14"/>
          <w:szCs w:val="14"/>
          <w:i w:val="1"/>
          <w:iCs w:val="1"/>
          <w:color w:val="auto"/>
        </w:rPr>
        <w:t>SDG&amp;E, PE and SoCalGas are included in the consolidated income tax return of Sempra Energy and are allocated income tax expense from Sempra Energy in an amount equal to that which would result from the companies' having always filed a separate return.</w:t>
      </w:r>
    </w:p>
    <w:p>
      <w:pPr>
        <w:sectPr>
          <w:pgSz w:w="11900" w:h="16838" w:orient="portrait"/>
          <w:cols w:equalWidth="0" w:num="1">
            <w:col w:w="10199"/>
          </w:cols>
          <w:pgMar w:left="260" w:top="513" w:right="1440"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9"/>
          <w:szCs w:val="19"/>
          <w:color w:val="auto"/>
        </w:rPr>
        <w:t>Revenues from unconsolidated affiliates at the Sempra Utilities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3858895" cy="411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58895" cy="411480"/>
                    </a:xfrm>
                    <a:prstGeom prst="rect">
                      <a:avLst/>
                    </a:prstGeom>
                    <a:noFill/>
                  </pic:spPr>
                </pic:pic>
              </a:graphicData>
            </a:graphic>
          </wp:anchor>
        </w:drawing>
      </w:r>
    </w:p>
    <w:p>
      <w:pPr>
        <w:spacing w:after="0" w:line="4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REVENUES FROM UNCONSOLIDATED AFFILIATES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AT THE SEMPRA UTILITIES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20" w:type="dxa"/>
            <w:vAlign w:val="bottom"/>
          </w:tcPr>
          <w:p>
            <w:pPr>
              <w:spacing w:after="0"/>
              <w:rPr>
                <w:sz w:val="14"/>
                <w:szCs w:val="14"/>
                <w:color w:val="auto"/>
              </w:rPr>
            </w:pPr>
          </w:p>
        </w:tc>
        <w:tc>
          <w:tcPr>
            <w:tcW w:w="2160" w:type="dxa"/>
            <w:vAlign w:val="bottom"/>
            <w:gridSpan w:val="2"/>
          </w:tcPr>
          <w:p>
            <w:pPr>
              <w:jc w:val="center"/>
              <w:ind w:left="245"/>
              <w:spacing w:after="0"/>
              <w:rPr>
                <w:sz w:val="20"/>
                <w:szCs w:val="20"/>
                <w:color w:val="auto"/>
              </w:rPr>
            </w:pPr>
            <w:r>
              <w:rPr>
                <w:rFonts w:ascii="Arial" w:cs="Arial" w:eastAsia="Arial" w:hAnsi="Arial"/>
                <w:sz w:val="14"/>
                <w:szCs w:val="14"/>
                <w:color w:val="auto"/>
              </w:rPr>
              <w:t>Three months ended</w:t>
            </w:r>
          </w:p>
        </w:tc>
        <w:tc>
          <w:tcPr>
            <w:tcW w:w="300" w:type="dxa"/>
            <w:vAlign w:val="bottom"/>
          </w:tcPr>
          <w:p>
            <w:pPr>
              <w:spacing w:after="0"/>
              <w:rPr>
                <w:sz w:val="14"/>
                <w:szCs w:val="14"/>
                <w:color w:val="auto"/>
              </w:rPr>
            </w:pPr>
          </w:p>
        </w:tc>
      </w:tr>
      <w:tr>
        <w:trPr>
          <w:trHeight w:val="209"/>
        </w:trPr>
        <w:tc>
          <w:tcPr>
            <w:tcW w:w="36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443"/>
              <w:spacing w:after="0"/>
              <w:rPr>
                <w:sz w:val="20"/>
                <w:szCs w:val="20"/>
                <w:color w:val="auto"/>
              </w:rPr>
            </w:pPr>
            <w:r>
              <w:rPr>
                <w:rFonts w:ascii="Arial" w:cs="Arial" w:eastAsia="Arial" w:hAnsi="Arial"/>
                <w:sz w:val="14"/>
                <w:szCs w:val="14"/>
                <w:color w:val="auto"/>
              </w:rPr>
              <w:t>March 31,</w:t>
            </w:r>
          </w:p>
        </w:tc>
        <w:tc>
          <w:tcPr>
            <w:tcW w:w="300" w:type="dxa"/>
            <w:vAlign w:val="bottom"/>
            <w:tcBorders>
              <w:bottom w:val="single" w:sz="8" w:color="auto"/>
            </w:tcBorders>
          </w:tcPr>
          <w:p>
            <w:pPr>
              <w:spacing w:after="0"/>
              <w:rPr>
                <w:sz w:val="18"/>
                <w:szCs w:val="18"/>
                <w:color w:val="auto"/>
              </w:rPr>
            </w:pPr>
          </w:p>
        </w:tc>
      </w:tr>
      <w:tr>
        <w:trPr>
          <w:trHeight w:val="210"/>
        </w:trPr>
        <w:tc>
          <w:tcPr>
            <w:tcW w:w="36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132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color w:val="auto"/>
              </w:rPr>
              <w:t>2008</w:t>
            </w:r>
          </w:p>
        </w:tc>
        <w:tc>
          <w:tcPr>
            <w:tcW w:w="300" w:type="dxa"/>
            <w:vAlign w:val="bottom"/>
            <w:tcBorders>
              <w:bottom w:val="single" w:sz="8" w:color="auto"/>
            </w:tcBorders>
          </w:tcPr>
          <w:p>
            <w:pPr>
              <w:spacing w:after="0"/>
              <w:rPr>
                <w:sz w:val="18"/>
                <w:szCs w:val="18"/>
                <w:color w:val="auto"/>
              </w:rPr>
            </w:pPr>
          </w:p>
        </w:tc>
      </w:tr>
      <w:tr>
        <w:trPr>
          <w:trHeight w:val="210"/>
        </w:trPr>
        <w:tc>
          <w:tcPr>
            <w:tcW w:w="3620" w:type="dxa"/>
            <w:vAlign w:val="bottom"/>
          </w:tcPr>
          <w:p>
            <w:pPr>
              <w:ind w:left="20"/>
              <w:spacing w:after="0"/>
              <w:rPr>
                <w:sz w:val="20"/>
                <w:szCs w:val="20"/>
                <w:color w:val="auto"/>
              </w:rPr>
            </w:pPr>
            <w:r>
              <w:rPr>
                <w:rFonts w:ascii="Arial" w:cs="Arial" w:eastAsia="Arial" w:hAnsi="Arial"/>
                <w:sz w:val="16"/>
                <w:szCs w:val="16"/>
                <w:color w:val="auto"/>
              </w:rPr>
              <w:t>SDG&amp;E</w:t>
            </w:r>
          </w:p>
        </w:tc>
        <w:tc>
          <w:tcPr>
            <w:tcW w:w="840" w:type="dxa"/>
            <w:vAlign w:val="bottom"/>
          </w:tcPr>
          <w:p>
            <w:pPr>
              <w:jc w:val="right"/>
              <w:ind w:right="645"/>
              <w:spacing w:after="0"/>
              <w:rPr>
                <w:sz w:val="20"/>
                <w:szCs w:val="20"/>
                <w:color w:val="auto"/>
              </w:rPr>
            </w:pPr>
            <w:r>
              <w:rPr>
                <w:rFonts w:ascii="Arial" w:cs="Arial" w:eastAsia="Arial" w:hAnsi="Arial"/>
                <w:sz w:val="16"/>
                <w:szCs w:val="16"/>
                <w:color w:val="auto"/>
              </w:rPr>
              <w:t>$</w:t>
            </w:r>
          </w:p>
        </w:tc>
        <w:tc>
          <w:tcPr>
            <w:tcW w:w="1320" w:type="dxa"/>
            <w:vAlign w:val="bottom"/>
          </w:tcPr>
          <w:p>
            <w:pPr>
              <w:ind w:left="240"/>
              <w:spacing w:after="0"/>
              <w:rPr>
                <w:sz w:val="20"/>
                <w:szCs w:val="20"/>
                <w:color w:val="auto"/>
              </w:rPr>
            </w:pPr>
            <w:r>
              <w:rPr>
                <w:rFonts w:ascii="Arial" w:cs="Arial" w:eastAsia="Arial" w:hAnsi="Arial"/>
                <w:sz w:val="16"/>
                <w:szCs w:val="16"/>
                <w:color w:val="auto"/>
              </w:rPr>
              <w:t>2 $</w:t>
            </w:r>
          </w:p>
        </w:tc>
        <w:tc>
          <w:tcPr>
            <w:tcW w:w="3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9"/>
        </w:trPr>
        <w:tc>
          <w:tcPr>
            <w:tcW w:w="3620" w:type="dxa"/>
            <w:vAlign w:val="bottom"/>
          </w:tcPr>
          <w:p>
            <w:pPr>
              <w:ind w:left="20"/>
              <w:spacing w:after="0"/>
              <w:rPr>
                <w:sz w:val="20"/>
                <w:szCs w:val="20"/>
                <w:color w:val="auto"/>
              </w:rPr>
            </w:pPr>
            <w:r>
              <w:rPr>
                <w:rFonts w:ascii="Arial" w:cs="Arial" w:eastAsia="Arial" w:hAnsi="Arial"/>
                <w:sz w:val="16"/>
                <w:szCs w:val="16"/>
                <w:color w:val="auto"/>
              </w:rPr>
              <w:t>SoCalGas</w:t>
            </w:r>
          </w:p>
        </w:tc>
        <w:tc>
          <w:tcPr>
            <w:tcW w:w="840" w:type="dxa"/>
            <w:vAlign w:val="bottom"/>
          </w:tcPr>
          <w:p>
            <w:pPr>
              <w:spacing w:after="0"/>
              <w:rPr>
                <w:sz w:val="19"/>
                <w:szCs w:val="19"/>
                <w:color w:val="auto"/>
              </w:rPr>
            </w:pPr>
          </w:p>
        </w:tc>
        <w:tc>
          <w:tcPr>
            <w:tcW w:w="1320" w:type="dxa"/>
            <w:vAlign w:val="bottom"/>
          </w:tcPr>
          <w:p>
            <w:pPr>
              <w:ind w:left="240"/>
              <w:spacing w:after="0"/>
              <w:rPr>
                <w:sz w:val="20"/>
                <w:szCs w:val="20"/>
                <w:color w:val="auto"/>
              </w:rPr>
            </w:pPr>
            <w:r>
              <w:rPr>
                <w:rFonts w:ascii="Arial" w:cs="Arial" w:eastAsia="Arial" w:hAnsi="Arial"/>
                <w:sz w:val="16"/>
                <w:szCs w:val="16"/>
                <w:color w:val="auto"/>
              </w:rPr>
              <w:t>8</w:t>
            </w:r>
          </w:p>
        </w:tc>
        <w:tc>
          <w:tcPr>
            <w:tcW w:w="3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84"/>
        </w:trPr>
        <w:tc>
          <w:tcPr>
            <w:tcW w:w="3620" w:type="dxa"/>
            <w:vAlign w:val="bottom"/>
            <w:shd w:val="clear" w:color="auto" w:fill="DFDFDF"/>
          </w:tcPr>
          <w:p>
            <w:pPr>
              <w:spacing w:after="0"/>
              <w:rPr>
                <w:sz w:val="7"/>
                <w:szCs w:val="7"/>
                <w:color w:val="auto"/>
              </w:rPr>
            </w:pPr>
          </w:p>
        </w:tc>
        <w:tc>
          <w:tcPr>
            <w:tcW w:w="840" w:type="dxa"/>
            <w:vAlign w:val="bottom"/>
            <w:shd w:val="clear" w:color="auto" w:fill="DFDFDF"/>
          </w:tcPr>
          <w:p>
            <w:pPr>
              <w:spacing w:after="0"/>
              <w:rPr>
                <w:sz w:val="7"/>
                <w:szCs w:val="7"/>
                <w:color w:val="auto"/>
              </w:rPr>
            </w:pPr>
          </w:p>
        </w:tc>
        <w:tc>
          <w:tcPr>
            <w:tcW w:w="1320" w:type="dxa"/>
            <w:vAlign w:val="bottom"/>
            <w:shd w:val="clear" w:color="auto" w:fill="DFDFDF"/>
          </w:tcPr>
          <w:p>
            <w:pPr>
              <w:spacing w:after="0"/>
              <w:rPr>
                <w:sz w:val="7"/>
                <w:szCs w:val="7"/>
                <w:color w:val="auto"/>
              </w:rPr>
            </w:pPr>
          </w:p>
        </w:tc>
        <w:tc>
          <w:tcPr>
            <w:tcW w:w="300" w:type="dxa"/>
            <w:vAlign w:val="bottom"/>
            <w:shd w:val="clear" w:color="auto" w:fill="DFDFDF"/>
          </w:tcPr>
          <w:p>
            <w:pPr>
              <w:spacing w:after="0"/>
              <w:rPr>
                <w:sz w:val="7"/>
                <w:szCs w:val="7"/>
                <w:color w:val="auto"/>
              </w:rPr>
            </w:pPr>
          </w:p>
        </w:tc>
      </w:tr>
    </w:tbl>
    <w:p>
      <w:pPr>
        <w:sectPr>
          <w:pgSz w:w="11900" w:h="16838" w:orient="portrait"/>
          <w:cols w:equalWidth="0" w:num="1">
            <w:col w:w="10219"/>
          </w:cols>
          <w:pgMar w:left="240" w:top="982" w:right="1440" w:bottom="1440" w:gutter="0" w:footer="0" w:header="0"/>
        </w:sectPr>
      </w:pPr>
    </w:p>
    <w:bookmarkStart w:id="35" w:name="page36"/>
    <w:bookmarkEnd w:id="35"/>
    <w:p>
      <w:pPr>
        <w:spacing w:after="0"/>
        <w:rPr>
          <w:sz w:val="20"/>
          <w:szCs w:val="20"/>
          <w:color w:val="auto"/>
        </w:rPr>
      </w:pPr>
      <w:r>
        <w:rPr>
          <w:rFonts w:ascii="Arial" w:cs="Arial" w:eastAsia="Arial" w:hAnsi="Arial"/>
          <w:sz w:val="20"/>
          <w:szCs w:val="20"/>
          <w:b w:val="1"/>
          <w:bCs w:val="1"/>
          <w:i w:val="1"/>
          <w:iCs w:val="1"/>
          <w:color w:val="auto"/>
        </w:rPr>
        <w:t>Transactions with RBS Sempra Commodities</w:t>
      </w:r>
    </w:p>
    <w:p>
      <w:pPr>
        <w:spacing w:after="0" w:line="3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Several of our business units engage in transactions with RBS Sempra Commodities. Amounts in our Condensed Consolidated Financial Statements related to these transactions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5240020" cy="274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40020" cy="274320"/>
                    </a:xfrm>
                    <a:prstGeom prst="rect">
                      <a:avLst/>
                    </a:prstGeom>
                    <a:noFill/>
                  </pic:spPr>
                </pic:pic>
              </a:graphicData>
            </a:graphic>
          </wp:anchor>
        </w:drawing>
      </w:r>
    </w:p>
    <w:p>
      <w:pPr>
        <w:spacing w:after="0" w:line="332" w:lineRule="exact"/>
        <w:rPr>
          <w:sz w:val="20"/>
          <w:szCs w:val="20"/>
          <w:color w:val="auto"/>
        </w:rPr>
      </w:pPr>
    </w:p>
    <w:p>
      <w:pPr>
        <w:ind w:left="20" w:right="4660"/>
        <w:spacing w:after="0" w:line="296" w:lineRule="auto"/>
        <w:rPr>
          <w:sz w:val="20"/>
          <w:szCs w:val="20"/>
          <w:color w:val="auto"/>
        </w:rPr>
      </w:pPr>
      <w:r>
        <w:rPr>
          <w:rFonts w:ascii="Arial" w:cs="Arial" w:eastAsia="Arial" w:hAnsi="Arial"/>
          <w:sz w:val="16"/>
          <w:szCs w:val="16"/>
          <w:b w:val="1"/>
          <w:bCs w:val="1"/>
          <w:color w:val="auto"/>
        </w:rPr>
        <w:t xml:space="preserve">AMOUNTS RECORDED FOR TRANSACTIONS WITH RBS SEMPRA COMMODITIES </w:t>
      </w:r>
      <w:r>
        <w:rPr>
          <w:rFonts w:ascii="Arial" w:cs="Arial" w:eastAsia="Arial" w:hAnsi="Arial"/>
          <w:sz w:val="14"/>
          <w:szCs w:val="14"/>
          <w:i w:val="1"/>
          <w:iCs w:val="1"/>
          <w:color w:val="auto"/>
        </w:rPr>
        <w:t>(Dollars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94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rPr>
              <w:t>Three months</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center"/>
              <w:ind w:right="321"/>
              <w:spacing w:after="0"/>
              <w:rPr>
                <w:sz w:val="20"/>
                <w:szCs w:val="20"/>
                <w:color w:val="auto"/>
              </w:rPr>
            </w:pPr>
            <w:r>
              <w:rPr>
                <w:rFonts w:ascii="Arial" w:cs="Arial" w:eastAsia="Arial" w:hAnsi="Arial"/>
                <w:sz w:val="14"/>
                <w:szCs w:val="14"/>
                <w:color w:val="auto"/>
              </w:rPr>
              <w:t>ended</w:t>
            </w:r>
          </w:p>
        </w:tc>
        <w:tc>
          <w:tcPr>
            <w:tcW w:w="0" w:type="dxa"/>
            <w:vAlign w:val="bottom"/>
          </w:tcPr>
          <w:p>
            <w:pPr>
              <w:spacing w:after="0"/>
              <w:rPr>
                <w:sz w:val="1"/>
                <w:szCs w:val="1"/>
                <w:color w:val="auto"/>
              </w:rPr>
            </w:pPr>
          </w:p>
        </w:tc>
      </w:tr>
      <w:tr>
        <w:trPr>
          <w:trHeight w:val="222"/>
        </w:trPr>
        <w:tc>
          <w:tcPr>
            <w:tcW w:w="69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March 31, 2009</w:t>
            </w:r>
          </w:p>
        </w:tc>
        <w:tc>
          <w:tcPr>
            <w:tcW w:w="0" w:type="dxa"/>
            <w:vAlign w:val="bottom"/>
          </w:tcPr>
          <w:p>
            <w:pPr>
              <w:spacing w:after="0"/>
              <w:rPr>
                <w:sz w:val="1"/>
                <w:szCs w:val="1"/>
                <w:color w:val="auto"/>
              </w:rPr>
            </w:pPr>
          </w:p>
        </w:tc>
      </w:tr>
      <w:tr>
        <w:trPr>
          <w:trHeight w:val="210"/>
        </w:trPr>
        <w:tc>
          <w:tcPr>
            <w:tcW w:w="6940" w:type="dxa"/>
            <w:vAlign w:val="bottom"/>
          </w:tcPr>
          <w:p>
            <w:pPr>
              <w:ind w:left="20"/>
              <w:spacing w:after="0"/>
              <w:rPr>
                <w:sz w:val="20"/>
                <w:szCs w:val="20"/>
                <w:color w:val="auto"/>
              </w:rPr>
            </w:pPr>
            <w:r>
              <w:rPr>
                <w:rFonts w:ascii="Arial" w:cs="Arial" w:eastAsia="Arial" w:hAnsi="Arial"/>
                <w:sz w:val="16"/>
                <w:szCs w:val="16"/>
                <w:color w:val="auto"/>
              </w:rPr>
              <w:t>Revenues:</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00"/>
              <w:spacing w:after="0"/>
              <w:rPr>
                <w:sz w:val="20"/>
                <w:szCs w:val="20"/>
                <w:color w:val="auto"/>
              </w:rPr>
            </w:pPr>
            <w:r>
              <w:rPr>
                <w:rFonts w:ascii="Arial" w:cs="Arial" w:eastAsia="Arial" w:hAnsi="Arial"/>
                <w:sz w:val="16"/>
                <w:szCs w:val="16"/>
                <w:color w:val="auto"/>
              </w:rPr>
              <w:t>SoCalGas</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6940" w:type="dxa"/>
            <w:vAlign w:val="bottom"/>
          </w:tcPr>
          <w:p>
            <w:pPr>
              <w:ind w:left="200"/>
              <w:spacing w:after="0"/>
              <w:rPr>
                <w:sz w:val="20"/>
                <w:szCs w:val="20"/>
                <w:color w:val="auto"/>
              </w:rPr>
            </w:pPr>
            <w:r>
              <w:rPr>
                <w:rFonts w:ascii="Arial" w:cs="Arial" w:eastAsia="Arial" w:hAnsi="Arial"/>
                <w:sz w:val="16"/>
                <w:szCs w:val="16"/>
                <w:color w:val="auto"/>
              </w:rPr>
              <w:t>Sempra Commodities</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6940" w:type="dxa"/>
            <w:vAlign w:val="bottom"/>
          </w:tcPr>
          <w:p>
            <w:pPr>
              <w:ind w:left="200"/>
              <w:spacing w:after="0"/>
              <w:rPr>
                <w:sz w:val="20"/>
                <w:szCs w:val="20"/>
                <w:color w:val="auto"/>
              </w:rPr>
            </w:pPr>
            <w:r>
              <w:rPr>
                <w:rFonts w:ascii="Arial" w:cs="Arial" w:eastAsia="Arial" w:hAnsi="Arial"/>
                <w:sz w:val="16"/>
                <w:szCs w:val="16"/>
                <w:color w:val="auto"/>
              </w:rPr>
              <w:t>Sempra Generation</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2"/>
        </w:trPr>
        <w:tc>
          <w:tcPr>
            <w:tcW w:w="6940" w:type="dxa"/>
            <w:vAlign w:val="bottom"/>
          </w:tcPr>
          <w:p>
            <w:pPr>
              <w:ind w:left="200"/>
              <w:spacing w:after="0"/>
              <w:rPr>
                <w:sz w:val="20"/>
                <w:szCs w:val="20"/>
                <w:color w:val="auto"/>
              </w:rPr>
            </w:pPr>
            <w:r>
              <w:rPr>
                <w:rFonts w:ascii="Arial" w:cs="Arial" w:eastAsia="Arial" w:hAnsi="Arial"/>
                <w:sz w:val="16"/>
                <w:szCs w:val="16"/>
                <w:color w:val="auto"/>
              </w:rPr>
              <w:t>Sempra LNG*</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7"/>
        </w:trPr>
        <w:tc>
          <w:tcPr>
            <w:tcW w:w="6940" w:type="dxa"/>
            <w:vAlign w:val="bottom"/>
            <w:vMerge w:val="restart"/>
          </w:tcPr>
          <w:p>
            <w:pPr>
              <w:ind w:left="380"/>
              <w:spacing w:after="0"/>
              <w:rPr>
                <w:sz w:val="20"/>
                <w:szCs w:val="20"/>
                <w:color w:val="auto"/>
              </w:rPr>
            </w:pPr>
            <w:r>
              <w:rPr>
                <w:rFonts w:ascii="Arial" w:cs="Arial" w:eastAsia="Arial" w:hAnsi="Arial"/>
                <w:sz w:val="16"/>
                <w:szCs w:val="16"/>
                <w:color w:val="auto"/>
              </w:rPr>
              <w:t>Total revenues</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84"/>
        </w:trPr>
        <w:tc>
          <w:tcPr>
            <w:tcW w:w="6940" w:type="dxa"/>
            <w:vAlign w:val="bottom"/>
            <w:vMerge w:val="continue"/>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6"/>
        </w:trPr>
        <w:tc>
          <w:tcPr>
            <w:tcW w:w="6940" w:type="dxa"/>
            <w:vAlign w:val="bottom"/>
          </w:tcPr>
          <w:p>
            <w:pPr>
              <w:ind w:left="20"/>
              <w:spacing w:after="0"/>
              <w:rPr>
                <w:sz w:val="20"/>
                <w:szCs w:val="20"/>
                <w:color w:val="auto"/>
              </w:rPr>
            </w:pPr>
            <w:r>
              <w:rPr>
                <w:rFonts w:ascii="Arial" w:cs="Arial" w:eastAsia="Arial" w:hAnsi="Arial"/>
                <w:sz w:val="16"/>
                <w:szCs w:val="16"/>
                <w:color w:val="auto"/>
              </w:rPr>
              <w:t>Cost of natural gas:</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00"/>
              <w:spacing w:after="0"/>
              <w:rPr>
                <w:sz w:val="20"/>
                <w:szCs w:val="20"/>
                <w:color w:val="auto"/>
              </w:rPr>
            </w:pPr>
            <w:r>
              <w:rPr>
                <w:rFonts w:ascii="Arial" w:cs="Arial" w:eastAsia="Arial" w:hAnsi="Arial"/>
                <w:sz w:val="16"/>
                <w:szCs w:val="16"/>
                <w:color w:val="auto"/>
              </w:rPr>
              <w:t>SoCalGas</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2"/>
        </w:trPr>
        <w:tc>
          <w:tcPr>
            <w:tcW w:w="6940" w:type="dxa"/>
            <w:vAlign w:val="bottom"/>
          </w:tcPr>
          <w:p>
            <w:pPr>
              <w:ind w:left="200"/>
              <w:spacing w:after="0"/>
              <w:rPr>
                <w:sz w:val="20"/>
                <w:szCs w:val="20"/>
                <w:color w:val="auto"/>
              </w:rPr>
            </w:pPr>
            <w:r>
              <w:rPr>
                <w:rFonts w:ascii="Arial" w:cs="Arial" w:eastAsia="Arial" w:hAnsi="Arial"/>
                <w:sz w:val="16"/>
                <w:szCs w:val="16"/>
                <w:color w:val="auto"/>
              </w:rPr>
              <w:t>Sempra Pipelines &amp; Storage</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7"/>
        </w:trPr>
        <w:tc>
          <w:tcPr>
            <w:tcW w:w="6940" w:type="dxa"/>
            <w:vAlign w:val="bottom"/>
          </w:tcPr>
          <w:p>
            <w:pPr>
              <w:ind w:left="380"/>
              <w:spacing w:after="0"/>
              <w:rPr>
                <w:sz w:val="20"/>
                <w:szCs w:val="20"/>
                <w:color w:val="auto"/>
              </w:rPr>
            </w:pPr>
            <w:r>
              <w:rPr>
                <w:rFonts w:ascii="Arial" w:cs="Arial" w:eastAsia="Arial" w:hAnsi="Arial"/>
                <w:sz w:val="16"/>
                <w:szCs w:val="16"/>
                <w:color w:val="auto"/>
              </w:rPr>
              <w:t>Total cost of natural gas</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84"/>
        </w:trPr>
        <w:tc>
          <w:tcPr>
            <w:tcW w:w="6940" w:type="dxa"/>
            <w:vAlign w:val="bottom"/>
            <w:shd w:val="clear" w:color="auto" w:fill="000000"/>
          </w:tcPr>
          <w:p>
            <w:pPr>
              <w:spacing w:after="0"/>
              <w:rPr>
                <w:sz w:val="7"/>
                <w:szCs w:val="7"/>
                <w:color w:val="auto"/>
              </w:rPr>
            </w:pPr>
          </w:p>
        </w:tc>
        <w:tc>
          <w:tcPr>
            <w:tcW w:w="1320" w:type="dxa"/>
            <w:vAlign w:val="bottom"/>
            <w:gridSpan w:val="2"/>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0"/>
        </w:trPr>
        <w:tc>
          <w:tcPr>
            <w:tcW w:w="6940" w:type="dxa"/>
            <w:vAlign w:val="bottom"/>
          </w:tcPr>
          <w:p>
            <w:pPr>
              <w:ind w:left="5960"/>
              <w:spacing w:after="0"/>
              <w:rPr>
                <w:sz w:val="20"/>
                <w:szCs w:val="20"/>
                <w:color w:val="auto"/>
              </w:rPr>
            </w:pPr>
            <w:r>
              <w:rPr>
                <w:rFonts w:ascii="Arial" w:cs="Arial" w:eastAsia="Arial" w:hAnsi="Arial"/>
                <w:sz w:val="14"/>
                <w:szCs w:val="14"/>
                <w:color w:val="auto"/>
              </w:rPr>
              <w:t>March 31,</w:t>
            </w: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16"/>
        </w:trPr>
        <w:tc>
          <w:tcPr>
            <w:tcW w:w="6940" w:type="dxa"/>
            <w:vAlign w:val="bottom"/>
          </w:tcPr>
          <w:p>
            <w:pPr>
              <w:ind w:left="6120"/>
              <w:spacing w:after="0"/>
              <w:rPr>
                <w:sz w:val="20"/>
                <w:szCs w:val="20"/>
                <w:color w:val="auto"/>
              </w:rPr>
            </w:pPr>
            <w:r>
              <w:rPr>
                <w:rFonts w:ascii="Arial" w:cs="Arial" w:eastAsia="Arial" w:hAnsi="Arial"/>
                <w:sz w:val="14"/>
                <w:szCs w:val="14"/>
                <w:color w:val="auto"/>
              </w:rPr>
              <w:t>2009</w:t>
            </w:r>
          </w:p>
        </w:tc>
        <w:tc>
          <w:tcPr>
            <w:tcW w:w="400" w:type="dxa"/>
            <w:vAlign w:val="bottom"/>
          </w:tcPr>
          <w:p>
            <w:pPr>
              <w:spacing w:after="0"/>
              <w:rPr>
                <w:sz w:val="18"/>
                <w:szCs w:val="18"/>
                <w:color w:val="auto"/>
              </w:rPr>
            </w:pPr>
          </w:p>
        </w:tc>
        <w:tc>
          <w:tcPr>
            <w:tcW w:w="920" w:type="dxa"/>
            <w:vAlign w:val="bottom"/>
          </w:tcPr>
          <w:p>
            <w:pPr>
              <w:jc w:val="center"/>
              <w:ind w:right="321"/>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2400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40020" cy="8890"/>
                    </a:xfrm>
                    <a:prstGeom prst="rect">
                      <a:avLst/>
                    </a:prstGeom>
                    <a:noFill/>
                  </pic:spPr>
                </pic:pic>
              </a:graphicData>
            </a:graphic>
          </wp:anchor>
        </w:drawing>
      </w:r>
    </w:p>
    <w:p>
      <w:pPr>
        <w:sectPr>
          <w:pgSz w:w="11900" w:h="16838" w:orient="portrait"/>
          <w:cols w:equalWidth="0" w:num="1">
            <w:col w:w="10980"/>
          </w:cols>
          <w:pgMar w:left="240" w:top="325" w:right="679" w:bottom="0" w:gutter="0" w:footer="0" w:header="0"/>
        </w:sectPr>
      </w:pPr>
    </w:p>
    <w:p>
      <w:pPr>
        <w:spacing w:after="0" w:line="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Fixed price contracts and other derivatives - Current Asset (Liability):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Sempra Generation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Sempra Pipelines &amp; Storage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Sempra LNG</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Due to unconsolidated affiliates: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Sempra Commodities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Sempra Generation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Sempra Pipelines &amp; Storage</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6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16</w:t>
            </w:r>
          </w:p>
        </w:tc>
        <w:tc>
          <w:tcPr>
            <w:tcW w:w="5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680" w:type="dxa"/>
            <w:vAlign w:val="bottom"/>
          </w:tcPr>
          <w:p>
            <w:pPr>
              <w:spacing w:after="0"/>
              <w:rPr>
                <w:sz w:val="18"/>
                <w:szCs w:val="18"/>
                <w:color w:val="auto"/>
              </w:rPr>
            </w:pP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5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(40)</w:t>
            </w:r>
          </w:p>
        </w:tc>
        <w:tc>
          <w:tcPr>
            <w:tcW w:w="5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r>
      <w:tr>
        <w:trPr>
          <w:trHeight w:val="210"/>
        </w:trPr>
        <w:tc>
          <w:tcPr>
            <w:tcW w:w="6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(22)</w:t>
            </w:r>
          </w:p>
        </w:tc>
        <w:tc>
          <w:tcPr>
            <w:tcW w:w="5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84"/>
        </w:trPr>
        <w:tc>
          <w:tcPr>
            <w:tcW w:w="68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560" w:type="dxa"/>
            <w:vAlign w:val="bottom"/>
            <w:shd w:val="clear" w:color="auto" w:fill="000000"/>
          </w:tcPr>
          <w:p>
            <w:pPr>
              <w:spacing w:after="0"/>
              <w:rPr>
                <w:sz w:val="7"/>
                <w:szCs w:val="7"/>
                <w:color w:val="auto"/>
              </w:rPr>
            </w:pPr>
          </w:p>
        </w:tc>
        <w:tc>
          <w:tcPr>
            <w:tcW w:w="640" w:type="dxa"/>
            <w:vAlign w:val="bottom"/>
            <w:shd w:val="clear" w:color="auto" w:fill="000000"/>
          </w:tcPr>
          <w:p>
            <w:pPr>
              <w:spacing w:after="0"/>
              <w:rPr>
                <w:sz w:val="7"/>
                <w:szCs w:val="7"/>
                <w:color w:val="auto"/>
              </w:rPr>
            </w:pPr>
          </w:p>
        </w:tc>
      </w:tr>
      <w:tr>
        <w:trPr>
          <w:trHeight w:val="642"/>
        </w:trPr>
        <w:tc>
          <w:tcPr>
            <w:tcW w:w="6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29</w:t>
            </w:r>
          </w:p>
        </w:tc>
        <w:tc>
          <w:tcPr>
            <w:tcW w:w="5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30"/>
        </w:trPr>
        <w:tc>
          <w:tcPr>
            <w:tcW w:w="68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9"/>
        </w:trPr>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w:t>
            </w:r>
          </w:p>
        </w:tc>
        <w:tc>
          <w:tcPr>
            <w:tcW w:w="5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6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31</w:t>
            </w:r>
          </w:p>
        </w:tc>
        <w:tc>
          <w:tcPr>
            <w:tcW w:w="5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84"/>
        </w:trPr>
        <w:tc>
          <w:tcPr>
            <w:tcW w:w="68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560" w:type="dxa"/>
            <w:vAlign w:val="bottom"/>
            <w:shd w:val="clear" w:color="auto" w:fill="000000"/>
          </w:tcPr>
          <w:p>
            <w:pPr>
              <w:spacing w:after="0"/>
              <w:rPr>
                <w:sz w:val="7"/>
                <w:szCs w:val="7"/>
                <w:color w:val="auto"/>
              </w:rPr>
            </w:pPr>
          </w:p>
        </w:tc>
        <w:tc>
          <w:tcPr>
            <w:tcW w:w="640" w:type="dxa"/>
            <w:vAlign w:val="bottom"/>
            <w:shd w:val="clear" w:color="auto" w:fill="000000"/>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2">
            <w:col w:w="4940" w:space="680"/>
            <w:col w:w="5360"/>
          </w:cols>
          <w:pgMar w:left="240" w:top="325" w:right="679" w:bottom="0" w:gutter="0" w:footer="0" w:header="0"/>
          <w:type w:val="continuous"/>
        </w:sectPr>
      </w:pP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ind w:left="20"/>
              <w:spacing w:after="0"/>
              <w:rPr>
                <w:sz w:val="20"/>
                <w:szCs w:val="20"/>
                <w:color w:val="auto"/>
              </w:rPr>
            </w:pPr>
            <w:r>
              <w:rPr>
                <w:rFonts w:ascii="Arial" w:cs="Arial" w:eastAsia="Arial" w:hAnsi="Arial"/>
                <w:sz w:val="16"/>
                <w:szCs w:val="16"/>
                <w:color w:val="auto"/>
              </w:rPr>
              <w:t>Due from unconsolidated affiliates:</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6"/>
        </w:trPr>
        <w:tc>
          <w:tcPr>
            <w:tcW w:w="5620" w:type="dxa"/>
            <w:vAlign w:val="bottom"/>
          </w:tcPr>
          <w:p>
            <w:pPr>
              <w:ind w:left="200"/>
              <w:spacing w:after="0"/>
              <w:rPr>
                <w:sz w:val="20"/>
                <w:szCs w:val="20"/>
                <w:color w:val="auto"/>
              </w:rPr>
            </w:pPr>
            <w:r>
              <w:rPr>
                <w:rFonts w:ascii="Arial" w:cs="Arial" w:eastAsia="Arial" w:hAnsi="Arial"/>
                <w:sz w:val="16"/>
                <w:szCs w:val="16"/>
                <w:color w:val="auto"/>
              </w:rPr>
              <w:t>Sempra Commodities</w:t>
            </w:r>
          </w:p>
        </w:tc>
        <w:tc>
          <w:tcPr>
            <w:tcW w:w="7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6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0"/>
        </w:trPr>
        <w:tc>
          <w:tcPr>
            <w:tcW w:w="5620" w:type="dxa"/>
            <w:vAlign w:val="bottom"/>
          </w:tcPr>
          <w:p>
            <w:pPr>
              <w:ind w:left="200"/>
              <w:spacing w:after="0"/>
              <w:rPr>
                <w:sz w:val="20"/>
                <w:szCs w:val="20"/>
                <w:color w:val="auto"/>
              </w:rPr>
            </w:pPr>
            <w:r>
              <w:rPr>
                <w:rFonts w:ascii="Arial" w:cs="Arial" w:eastAsia="Arial" w:hAnsi="Arial"/>
                <w:sz w:val="16"/>
                <w:szCs w:val="16"/>
                <w:color w:val="auto"/>
              </w:rPr>
              <w:t>Sempra Generation</w:t>
            </w:r>
          </w:p>
        </w:tc>
        <w:tc>
          <w:tcPr>
            <w:tcW w:w="72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6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620" w:type="dxa"/>
            <w:vAlign w:val="bottom"/>
          </w:tcPr>
          <w:p>
            <w:pPr>
              <w:ind w:left="200"/>
              <w:spacing w:after="0"/>
              <w:rPr>
                <w:sz w:val="20"/>
                <w:szCs w:val="20"/>
                <w:color w:val="auto"/>
              </w:rPr>
            </w:pPr>
            <w:r>
              <w:rPr>
                <w:rFonts w:ascii="Arial" w:cs="Arial" w:eastAsia="Arial" w:hAnsi="Arial"/>
                <w:sz w:val="16"/>
                <w:szCs w:val="16"/>
                <w:color w:val="auto"/>
              </w:rPr>
              <w:t>Sempra LNG</w:t>
            </w:r>
          </w:p>
        </w:tc>
        <w:tc>
          <w:tcPr>
            <w:tcW w:w="720" w:type="dxa"/>
            <w:vAlign w:val="bottom"/>
          </w:tcPr>
          <w:p>
            <w:pPr>
              <w:spacing w:after="0"/>
              <w:rPr>
                <w:sz w:val="18"/>
                <w:szCs w:val="18"/>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6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2"/>
        </w:trPr>
        <w:tc>
          <w:tcPr>
            <w:tcW w:w="5620" w:type="dxa"/>
            <w:vAlign w:val="bottom"/>
          </w:tcPr>
          <w:p>
            <w:pPr>
              <w:ind w:left="200"/>
              <w:spacing w:after="0"/>
              <w:rPr>
                <w:sz w:val="20"/>
                <w:szCs w:val="20"/>
                <w:color w:val="auto"/>
              </w:rPr>
            </w:pPr>
            <w:r>
              <w:rPr>
                <w:rFonts w:ascii="Arial" w:cs="Arial" w:eastAsia="Arial" w:hAnsi="Arial"/>
                <w:sz w:val="16"/>
                <w:szCs w:val="16"/>
                <w:color w:val="auto"/>
              </w:rPr>
              <w:t>Parent and other</w:t>
            </w:r>
          </w:p>
        </w:tc>
        <w:tc>
          <w:tcPr>
            <w:tcW w:w="7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w:t>
            </w:r>
          </w:p>
        </w:tc>
        <w:tc>
          <w:tcPr>
            <w:tcW w:w="6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7"/>
        </w:trPr>
        <w:tc>
          <w:tcPr>
            <w:tcW w:w="5620" w:type="dxa"/>
            <w:vAlign w:val="bottom"/>
          </w:tcPr>
          <w:p>
            <w:pPr>
              <w:ind w:left="380"/>
              <w:spacing w:after="0"/>
              <w:rPr>
                <w:sz w:val="20"/>
                <w:szCs w:val="20"/>
                <w:color w:val="auto"/>
              </w:rPr>
            </w:pPr>
            <w:r>
              <w:rPr>
                <w:rFonts w:ascii="Arial" w:cs="Arial" w:eastAsia="Arial" w:hAnsi="Arial"/>
                <w:sz w:val="16"/>
                <w:szCs w:val="16"/>
                <w:color w:val="auto"/>
              </w:rPr>
              <w:t>Total</w:t>
            </w:r>
          </w:p>
        </w:tc>
        <w:tc>
          <w:tcPr>
            <w:tcW w:w="7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15</w:t>
            </w:r>
          </w:p>
        </w:tc>
        <w:tc>
          <w:tcPr>
            <w:tcW w:w="6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84"/>
        </w:trPr>
        <w:tc>
          <w:tcPr>
            <w:tcW w:w="562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660" w:type="dxa"/>
            <w:vAlign w:val="bottom"/>
            <w:shd w:val="clear" w:color="auto" w:fill="000000"/>
          </w:tcPr>
          <w:p>
            <w:pPr>
              <w:spacing w:after="0"/>
              <w:rPr>
                <w:sz w:val="7"/>
                <w:szCs w:val="7"/>
                <w:color w:val="auto"/>
              </w:rPr>
            </w:pPr>
          </w:p>
        </w:tc>
        <w:tc>
          <w:tcPr>
            <w:tcW w:w="56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340" w:right="2900" w:hanging="208"/>
        <w:spacing w:after="0" w:line="261"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4"/>
          <w:szCs w:val="14"/>
          <w:i w:val="1"/>
          <w:iCs w:val="1"/>
          <w:color w:val="auto"/>
        </w:rPr>
        <w:t>Includes $5 million related to a marketing agreement with RBS Sempra Commodities which is subject to mark-to-market accounting. Under this agreement, which extends for five years beginning September 1, 2009, RBS Sempra Commodities will market natural gas that Sempra LNG purchases and does not sell under other contracts.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Revenues and Expenses with Unconsolidated Affiliates</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For the quarter ended March 31, 2008, Sempra Commodities recorded $55 million of sales to unconsolidated affiliates.</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INCOME (EXPENSE), NET</w:t>
      </w:r>
    </w:p>
    <w:p>
      <w:pPr>
        <w:spacing w:after="0" w:line="82" w:lineRule="exact"/>
        <w:rPr>
          <w:sz w:val="20"/>
          <w:szCs w:val="20"/>
          <w:color w:val="auto"/>
        </w:rPr>
      </w:pPr>
    </w:p>
    <w:p>
      <w:pPr>
        <w:spacing w:after="0"/>
        <w:rPr>
          <w:sz w:val="20"/>
          <w:szCs w:val="20"/>
          <w:color w:val="auto"/>
        </w:rPr>
      </w:pPr>
      <w:r>
        <w:rPr>
          <w:rFonts w:ascii="Arial" w:cs="Arial" w:eastAsia="Arial" w:hAnsi="Arial"/>
          <w:sz w:val="19"/>
          <w:szCs w:val="19"/>
          <w:color w:val="auto"/>
        </w:rPr>
        <w:t>Other Income (Expense), Net on the Condensed Consolidated Statements of Operations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4476750" cy="274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476750" cy="274320"/>
                    </a:xfrm>
                    <a:prstGeom prst="rect">
                      <a:avLst/>
                    </a:prstGeom>
                    <a:noFill/>
                  </pic:spPr>
                </pic:pic>
              </a:graphicData>
            </a:graphic>
          </wp:anchor>
        </w:drawing>
      </w:r>
    </w:p>
    <w:p>
      <w:pPr>
        <w:spacing w:after="0" w:line="4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INCOME (EXPENSE), NET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9"/>
        </w:trPr>
        <w:tc>
          <w:tcPr>
            <w:tcW w:w="4700" w:type="dxa"/>
            <w:vAlign w:val="bottom"/>
          </w:tcPr>
          <w:p>
            <w:pPr>
              <w:spacing w:after="0"/>
              <w:rPr>
                <w:sz w:val="18"/>
                <w:szCs w:val="18"/>
                <w:color w:val="auto"/>
              </w:rPr>
            </w:pPr>
          </w:p>
        </w:tc>
        <w:tc>
          <w:tcPr>
            <w:tcW w:w="23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Three months ended March 31,</w:t>
            </w:r>
          </w:p>
        </w:tc>
      </w:tr>
      <w:tr>
        <w:trPr>
          <w:trHeight w:val="210"/>
        </w:trPr>
        <w:tc>
          <w:tcPr>
            <w:tcW w:w="47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2008</w:t>
            </w:r>
          </w:p>
        </w:tc>
      </w:tr>
      <w:tr>
        <w:trPr>
          <w:trHeight w:val="214"/>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Sempra Energy Consolidated:</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1"/>
        </w:trPr>
        <w:tc>
          <w:tcPr>
            <w:tcW w:w="4700" w:type="dxa"/>
            <w:vAlign w:val="bottom"/>
          </w:tcPr>
          <w:p>
            <w:pPr>
              <w:ind w:left="20"/>
              <w:spacing w:after="0"/>
              <w:rPr>
                <w:sz w:val="20"/>
                <w:szCs w:val="20"/>
                <w:color w:val="auto"/>
              </w:rPr>
            </w:pPr>
            <w:r>
              <w:rPr>
                <w:rFonts w:ascii="Arial" w:cs="Arial" w:eastAsia="Arial" w:hAnsi="Arial"/>
                <w:sz w:val="16"/>
                <w:szCs w:val="16"/>
                <w:color w:val="auto"/>
              </w:rPr>
              <w:t>Allowance for equity funds used during construction</w:t>
            </w:r>
          </w:p>
        </w:tc>
        <w:tc>
          <w:tcPr>
            <w:tcW w:w="820" w:type="dxa"/>
            <w:vAlign w:val="bottom"/>
          </w:tcPr>
          <w:p>
            <w:pPr>
              <w:jc w:val="right"/>
              <w:ind w:right="622"/>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8</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4700" w:type="dxa"/>
            <w:vAlign w:val="bottom"/>
          </w:tcPr>
          <w:p>
            <w:pPr>
              <w:ind w:left="20"/>
              <w:spacing w:after="0"/>
              <w:rPr>
                <w:sz w:val="20"/>
                <w:szCs w:val="20"/>
                <w:color w:val="auto"/>
              </w:rPr>
            </w:pPr>
            <w:r>
              <w:rPr>
                <w:rFonts w:ascii="Arial" w:cs="Arial" w:eastAsia="Arial" w:hAnsi="Arial"/>
                <w:sz w:val="16"/>
                <w:szCs w:val="16"/>
                <w:color w:val="auto"/>
              </w:rPr>
              <w:t>Regulatory interest, net</w:t>
            </w:r>
          </w:p>
        </w:tc>
        <w:tc>
          <w:tcPr>
            <w:tcW w:w="8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4700" w:type="dxa"/>
            <w:vAlign w:val="bottom"/>
          </w:tcPr>
          <w:p>
            <w:pPr>
              <w:ind w:left="20"/>
              <w:spacing w:after="0"/>
              <w:rPr>
                <w:sz w:val="20"/>
                <w:szCs w:val="20"/>
                <w:color w:val="auto"/>
              </w:rPr>
            </w:pPr>
            <w:r>
              <w:rPr>
                <w:rFonts w:ascii="Arial" w:cs="Arial" w:eastAsia="Arial" w:hAnsi="Arial"/>
                <w:sz w:val="16"/>
                <w:szCs w:val="16"/>
                <w:color w:val="auto"/>
              </w:rPr>
              <w:t>Investment losses*</w:t>
            </w:r>
          </w:p>
        </w:tc>
        <w:tc>
          <w:tcPr>
            <w:tcW w:w="8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(17)</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4700" w:type="dxa"/>
            <w:vAlign w:val="bottom"/>
          </w:tcPr>
          <w:p>
            <w:pPr>
              <w:ind w:left="20"/>
              <w:spacing w:after="0"/>
              <w:rPr>
                <w:sz w:val="20"/>
                <w:szCs w:val="20"/>
                <w:color w:val="auto"/>
              </w:rPr>
            </w:pPr>
            <w:r>
              <w:rPr>
                <w:rFonts w:ascii="Arial" w:cs="Arial" w:eastAsia="Arial" w:hAnsi="Arial"/>
                <w:sz w:val="16"/>
                <w:szCs w:val="16"/>
                <w:color w:val="auto"/>
              </w:rPr>
              <w:t>Gain on interest-rate swaps (Otay Mesa VIE)</w:t>
            </w:r>
          </w:p>
        </w:tc>
        <w:tc>
          <w:tcPr>
            <w:tcW w:w="8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2"/>
        </w:trPr>
        <w:tc>
          <w:tcPr>
            <w:tcW w:w="4700" w:type="dxa"/>
            <w:vAlign w:val="bottom"/>
          </w:tcPr>
          <w:p>
            <w:pPr>
              <w:ind w:left="20"/>
              <w:spacing w:after="0"/>
              <w:rPr>
                <w:sz w:val="20"/>
                <w:szCs w:val="20"/>
                <w:color w:val="auto"/>
              </w:rPr>
            </w:pPr>
            <w:r>
              <w:rPr>
                <w:rFonts w:ascii="Arial" w:cs="Arial" w:eastAsia="Arial" w:hAnsi="Arial"/>
                <w:sz w:val="16"/>
                <w:szCs w:val="16"/>
                <w:color w:val="auto"/>
              </w:rPr>
              <w:t>Sundry, net**</w:t>
            </w:r>
          </w:p>
        </w:tc>
        <w:tc>
          <w:tcPr>
            <w:tcW w:w="8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07"/>
        </w:trPr>
        <w:tc>
          <w:tcPr>
            <w:tcW w:w="4700" w:type="dxa"/>
            <w:vAlign w:val="bottom"/>
          </w:tcPr>
          <w:p>
            <w:pPr>
              <w:ind w:left="380"/>
              <w:spacing w:after="0"/>
              <w:rPr>
                <w:sz w:val="20"/>
                <w:szCs w:val="20"/>
                <w:color w:val="auto"/>
              </w:rPr>
            </w:pPr>
            <w:r>
              <w:rPr>
                <w:rFonts w:ascii="Arial" w:cs="Arial" w:eastAsia="Arial" w:hAnsi="Arial"/>
                <w:sz w:val="16"/>
                <w:szCs w:val="16"/>
                <w:color w:val="auto"/>
              </w:rPr>
              <w:t>Total</w:t>
            </w:r>
          </w:p>
        </w:tc>
        <w:tc>
          <w:tcPr>
            <w:tcW w:w="820" w:type="dxa"/>
            <w:vAlign w:val="bottom"/>
          </w:tcPr>
          <w:p>
            <w:pPr>
              <w:jc w:val="right"/>
              <w:ind w:right="622"/>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3</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84"/>
        </w:trPr>
        <w:tc>
          <w:tcPr>
            <w:tcW w:w="470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r>
      <w:tr>
        <w:trPr>
          <w:trHeight w:val="215"/>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1"/>
        </w:trPr>
        <w:tc>
          <w:tcPr>
            <w:tcW w:w="4700" w:type="dxa"/>
            <w:vAlign w:val="bottom"/>
          </w:tcPr>
          <w:p>
            <w:pPr>
              <w:ind w:left="20"/>
              <w:spacing w:after="0"/>
              <w:rPr>
                <w:sz w:val="20"/>
                <w:szCs w:val="20"/>
                <w:color w:val="auto"/>
              </w:rPr>
            </w:pPr>
            <w:r>
              <w:rPr>
                <w:rFonts w:ascii="Arial" w:cs="Arial" w:eastAsia="Arial" w:hAnsi="Arial"/>
                <w:sz w:val="16"/>
                <w:szCs w:val="16"/>
                <w:color w:val="auto"/>
              </w:rPr>
              <w:t>Allowance for equity funds used during construction</w:t>
            </w:r>
          </w:p>
        </w:tc>
        <w:tc>
          <w:tcPr>
            <w:tcW w:w="820" w:type="dxa"/>
            <w:vAlign w:val="bottom"/>
          </w:tcPr>
          <w:p>
            <w:pPr>
              <w:jc w:val="right"/>
              <w:ind w:right="622"/>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6</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4700" w:type="dxa"/>
            <w:vAlign w:val="bottom"/>
          </w:tcPr>
          <w:p>
            <w:pPr>
              <w:ind w:left="20"/>
              <w:spacing w:after="0"/>
              <w:rPr>
                <w:sz w:val="20"/>
                <w:szCs w:val="20"/>
                <w:color w:val="auto"/>
              </w:rPr>
            </w:pPr>
            <w:r>
              <w:rPr>
                <w:rFonts w:ascii="Arial" w:cs="Arial" w:eastAsia="Arial" w:hAnsi="Arial"/>
                <w:sz w:val="16"/>
                <w:szCs w:val="16"/>
                <w:color w:val="auto"/>
              </w:rPr>
              <w:t>Regulatory interest, net</w:t>
            </w:r>
          </w:p>
        </w:tc>
        <w:tc>
          <w:tcPr>
            <w:tcW w:w="8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4700" w:type="dxa"/>
            <w:vAlign w:val="bottom"/>
          </w:tcPr>
          <w:p>
            <w:pPr>
              <w:ind w:left="20"/>
              <w:spacing w:after="0"/>
              <w:rPr>
                <w:sz w:val="20"/>
                <w:szCs w:val="20"/>
                <w:color w:val="auto"/>
              </w:rPr>
            </w:pPr>
            <w:r>
              <w:rPr>
                <w:rFonts w:ascii="Arial" w:cs="Arial" w:eastAsia="Arial" w:hAnsi="Arial"/>
                <w:sz w:val="16"/>
                <w:szCs w:val="16"/>
                <w:color w:val="auto"/>
              </w:rPr>
              <w:t>Gain on interest-rate swaps (Otay Mesa VIE)</w:t>
            </w:r>
          </w:p>
        </w:tc>
        <w:tc>
          <w:tcPr>
            <w:tcW w:w="8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2"/>
        </w:trPr>
        <w:tc>
          <w:tcPr>
            <w:tcW w:w="4700" w:type="dxa"/>
            <w:vAlign w:val="bottom"/>
          </w:tcPr>
          <w:p>
            <w:pPr>
              <w:ind w:left="20"/>
              <w:spacing w:after="0"/>
              <w:rPr>
                <w:sz w:val="20"/>
                <w:szCs w:val="20"/>
                <w:color w:val="auto"/>
              </w:rPr>
            </w:pPr>
            <w:r>
              <w:rPr>
                <w:rFonts w:ascii="Arial" w:cs="Arial" w:eastAsia="Arial" w:hAnsi="Arial"/>
                <w:sz w:val="16"/>
                <w:szCs w:val="16"/>
                <w:color w:val="auto"/>
              </w:rPr>
              <w:t>Sundry, net</w:t>
            </w:r>
          </w:p>
        </w:tc>
        <w:tc>
          <w:tcPr>
            <w:tcW w:w="8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4700" w:type="dxa"/>
            <w:vAlign w:val="bottom"/>
          </w:tcPr>
          <w:p>
            <w:pPr>
              <w:ind w:left="380"/>
              <w:spacing w:after="0"/>
              <w:rPr>
                <w:sz w:val="20"/>
                <w:szCs w:val="20"/>
                <w:color w:val="auto"/>
              </w:rPr>
            </w:pPr>
            <w:r>
              <w:rPr>
                <w:rFonts w:ascii="Arial" w:cs="Arial" w:eastAsia="Arial" w:hAnsi="Arial"/>
                <w:sz w:val="16"/>
                <w:szCs w:val="16"/>
                <w:color w:val="auto"/>
              </w:rPr>
              <w:t>Total</w:t>
            </w:r>
          </w:p>
        </w:tc>
        <w:tc>
          <w:tcPr>
            <w:tcW w:w="820" w:type="dxa"/>
            <w:vAlign w:val="bottom"/>
          </w:tcPr>
          <w:p>
            <w:pPr>
              <w:jc w:val="right"/>
              <w:ind w:right="622"/>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17</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84"/>
        </w:trPr>
        <w:tc>
          <w:tcPr>
            <w:tcW w:w="470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r>
    </w:tbl>
    <w:p>
      <w:pPr>
        <w:ind w:left="20"/>
        <w:spacing w:after="0"/>
        <w:rPr>
          <w:sz w:val="20"/>
          <w:szCs w:val="20"/>
          <w:color w:val="auto"/>
        </w:rPr>
      </w:pPr>
      <w:r>
        <w:rPr>
          <w:rFonts w:ascii="Arial" w:cs="Arial" w:eastAsia="Arial" w:hAnsi="Arial"/>
          <w:sz w:val="16"/>
          <w:szCs w:val="16"/>
          <w:b w:val="1"/>
          <w:bCs w:val="1"/>
          <w:color w:val="auto"/>
        </w:rPr>
        <w:t>SoCalGas and PE:</w:t>
      </w:r>
    </w:p>
    <w:p>
      <w:pPr>
        <w:sectPr>
          <w:pgSz w:w="11900" w:h="16838" w:orient="portrait"/>
          <w:cols w:equalWidth="0" w:num="1">
            <w:col w:w="10980"/>
          </w:cols>
          <w:pgMar w:left="240" w:top="325" w:right="679" w:bottom="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195"/>
        </w:trPr>
        <w:tc>
          <w:tcPr>
            <w:tcW w:w="4700" w:type="dxa"/>
            <w:vAlign w:val="bottom"/>
          </w:tcPr>
          <w:p>
            <w:pPr>
              <w:ind w:left="20"/>
              <w:spacing w:after="0"/>
              <w:rPr>
                <w:sz w:val="20"/>
                <w:szCs w:val="20"/>
                <w:color w:val="auto"/>
              </w:rPr>
            </w:pPr>
            <w:r>
              <w:rPr>
                <w:rFonts w:ascii="Arial" w:cs="Arial" w:eastAsia="Arial" w:hAnsi="Arial"/>
                <w:sz w:val="16"/>
                <w:szCs w:val="16"/>
                <w:color w:val="auto"/>
              </w:rPr>
              <w:t>Allowance for equity funds used during construction</w:t>
            </w: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4700" w:type="dxa"/>
            <w:vAlign w:val="bottom"/>
          </w:tcPr>
          <w:p>
            <w:pPr>
              <w:ind w:left="20"/>
              <w:spacing w:after="0"/>
              <w:rPr>
                <w:sz w:val="20"/>
                <w:szCs w:val="20"/>
                <w:color w:val="auto"/>
              </w:rPr>
            </w:pPr>
            <w:r>
              <w:rPr>
                <w:rFonts w:ascii="Arial" w:cs="Arial" w:eastAsia="Arial" w:hAnsi="Arial"/>
                <w:sz w:val="16"/>
                <w:szCs w:val="16"/>
                <w:color w:val="auto"/>
              </w:rPr>
              <w:t>Regulatory interest, net</w:t>
            </w: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2"/>
        </w:trPr>
        <w:tc>
          <w:tcPr>
            <w:tcW w:w="4700" w:type="dxa"/>
            <w:vAlign w:val="bottom"/>
          </w:tcPr>
          <w:p>
            <w:pPr>
              <w:ind w:left="20"/>
              <w:spacing w:after="0"/>
              <w:rPr>
                <w:sz w:val="20"/>
                <w:szCs w:val="20"/>
                <w:color w:val="auto"/>
              </w:rPr>
            </w:pPr>
            <w:r>
              <w:rPr>
                <w:rFonts w:ascii="Arial" w:cs="Arial" w:eastAsia="Arial" w:hAnsi="Arial"/>
                <w:sz w:val="16"/>
                <w:szCs w:val="16"/>
                <w:color w:val="auto"/>
              </w:rPr>
              <w:t>Sundry, net</w:t>
            </w:r>
          </w:p>
        </w:tc>
        <w:tc>
          <w:tcPr>
            <w:tcW w:w="5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5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4700" w:type="dxa"/>
            <w:vAlign w:val="bottom"/>
          </w:tcPr>
          <w:p>
            <w:pPr>
              <w:ind w:left="380"/>
              <w:spacing w:after="0"/>
              <w:rPr>
                <w:sz w:val="20"/>
                <w:szCs w:val="20"/>
                <w:color w:val="auto"/>
              </w:rPr>
            </w:pPr>
            <w:r>
              <w:rPr>
                <w:rFonts w:ascii="Arial" w:cs="Arial" w:eastAsia="Arial" w:hAnsi="Arial"/>
                <w:sz w:val="16"/>
                <w:szCs w:val="16"/>
                <w:color w:val="auto"/>
              </w:rPr>
              <w:t>Total at SoCalGas and PE</w:t>
            </w: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84"/>
        </w:trPr>
        <w:tc>
          <w:tcPr>
            <w:tcW w:w="4700" w:type="dxa"/>
            <w:vAlign w:val="bottom"/>
            <w:shd w:val="clear" w:color="auto" w:fill="000000"/>
          </w:tcPr>
          <w:p>
            <w:pPr>
              <w:spacing w:after="0"/>
              <w:rPr>
                <w:sz w:val="7"/>
                <w:szCs w:val="7"/>
                <w:color w:val="auto"/>
              </w:rPr>
            </w:pPr>
          </w:p>
        </w:tc>
        <w:tc>
          <w:tcPr>
            <w:tcW w:w="540" w:type="dxa"/>
            <w:vAlign w:val="bottom"/>
            <w:shd w:val="clear" w:color="auto" w:fill="000000"/>
          </w:tcPr>
          <w:p>
            <w:pPr>
              <w:spacing w:after="0"/>
              <w:rPr>
                <w:sz w:val="7"/>
                <w:szCs w:val="7"/>
                <w:color w:val="auto"/>
              </w:rPr>
            </w:pPr>
          </w:p>
        </w:tc>
        <w:tc>
          <w:tcPr>
            <w:tcW w:w="640" w:type="dxa"/>
            <w:vAlign w:val="bottom"/>
            <w:shd w:val="clear" w:color="auto" w:fill="000000"/>
          </w:tcPr>
          <w:p>
            <w:pPr>
              <w:spacing w:after="0"/>
              <w:rPr>
                <w:sz w:val="7"/>
                <w:szCs w:val="7"/>
                <w:color w:val="auto"/>
              </w:rPr>
            </w:pPr>
          </w:p>
        </w:tc>
        <w:tc>
          <w:tcPr>
            <w:tcW w:w="540" w:type="dxa"/>
            <w:vAlign w:val="bottom"/>
            <w:shd w:val="clear" w:color="auto" w:fill="000000"/>
          </w:tcPr>
          <w:p>
            <w:pPr>
              <w:spacing w:after="0"/>
              <w:rPr>
                <w:sz w:val="7"/>
                <w:szCs w:val="7"/>
                <w:color w:val="auto"/>
              </w:rPr>
            </w:pPr>
          </w:p>
        </w:tc>
        <w:tc>
          <w:tcPr>
            <w:tcW w:w="64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380" w:right="4200" w:hanging="358"/>
        <w:spacing w:after="0" w:line="275" w:lineRule="auto"/>
        <w:tabs>
          <w:tab w:leader="none" w:pos="380"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investment losses on dedicated assets in support of our executive retirement and deferred compensation plans. These amounts are partially offset by corresponding changes in compensation expense related to the plans.</w:t>
      </w:r>
    </w:p>
    <w:p>
      <w:pPr>
        <w:ind w:left="380" w:right="4120" w:hanging="358"/>
        <w:spacing w:after="0" w:line="299" w:lineRule="auto"/>
        <w:tabs>
          <w:tab w:leader="none" w:pos="380" w:val="left"/>
        </w:tabs>
        <w:numPr>
          <w:ilvl w:val="0"/>
          <w:numId w:val="42"/>
        </w:numPr>
        <w:rPr>
          <w:rFonts w:ascii="Arial" w:cs="Arial" w:eastAsia="Arial" w:hAnsi="Arial"/>
          <w:sz w:val="14"/>
          <w:szCs w:val="14"/>
          <w:i w:val="1"/>
          <w:iCs w:val="1"/>
          <w:color w:val="auto"/>
        </w:rPr>
      </w:pPr>
      <w:r>
        <w:rPr>
          <w:rFonts w:ascii="Arial" w:cs="Arial" w:eastAsia="Arial" w:hAnsi="Arial"/>
          <w:sz w:val="14"/>
          <w:szCs w:val="14"/>
          <w:i w:val="1"/>
          <w:iCs w:val="1"/>
          <w:color w:val="auto"/>
        </w:rPr>
        <w:t>2008 includes a $16 million cash payment received for the early termination of a capacity agreement for the Cameron LNG receipt terminal.</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w:t>
      </w:r>
    </w:p>
    <w:p>
      <w:pPr>
        <w:spacing w:after="0" w:line="90"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For the three months ended March 31, 2009, Sempra Energy's effective tax rate was 26% compared to 36% for the three months ended March 31, 2008. This decrease in effective tax rate was due to:</w:t>
      </w:r>
    </w:p>
    <w:p>
      <w:pPr>
        <w:spacing w:after="0" w:line="2" w:lineRule="exact"/>
        <w:rPr>
          <w:sz w:val="20"/>
          <w:szCs w:val="20"/>
          <w:color w:val="auto"/>
        </w:rPr>
      </w:pPr>
    </w:p>
    <w:p>
      <w:pPr>
        <w:ind w:left="180" w:right="1400" w:hanging="172"/>
        <w:spacing w:after="0" w:line="249" w:lineRule="auto"/>
        <w:tabs>
          <w:tab w:leader="none" w:pos="180" w:val="left"/>
        </w:tabs>
        <w:numPr>
          <w:ilvl w:val="0"/>
          <w:numId w:val="43"/>
        </w:numPr>
        <w:rPr>
          <w:rFonts w:ascii="Arial" w:cs="Arial" w:eastAsia="Arial" w:hAnsi="Arial"/>
          <w:sz w:val="22"/>
          <w:szCs w:val="22"/>
          <w:color w:val="auto"/>
        </w:rPr>
      </w:pPr>
      <w:r>
        <w:rPr>
          <w:rFonts w:ascii="Arial" w:cs="Arial" w:eastAsia="Arial" w:hAnsi="Arial"/>
          <w:sz w:val="22"/>
          <w:szCs w:val="22"/>
          <w:color w:val="auto"/>
        </w:rPr>
        <w:t>a $9 million tax benefit in 2009 and a $7 million tax expense in 2008 due to Mexican currency translation and inflation adjustments;</w:t>
      </w:r>
    </w:p>
    <w:p>
      <w:pPr>
        <w:spacing w:after="0" w:line="1" w:lineRule="exact"/>
        <w:rPr>
          <w:rFonts w:ascii="Arial" w:cs="Arial" w:eastAsia="Arial" w:hAnsi="Arial"/>
          <w:sz w:val="22"/>
          <w:szCs w:val="22"/>
          <w:color w:val="auto"/>
        </w:rPr>
      </w:pPr>
    </w:p>
    <w:p>
      <w:pPr>
        <w:ind w:left="180" w:hanging="172"/>
        <w:spacing w:after="0"/>
        <w:tabs>
          <w:tab w:leader="none" w:pos="180" w:val="left"/>
        </w:tabs>
        <w:numPr>
          <w:ilvl w:val="0"/>
          <w:numId w:val="43"/>
        </w:numPr>
        <w:rPr>
          <w:rFonts w:ascii="Arial" w:cs="Arial" w:eastAsia="Arial" w:hAnsi="Arial"/>
          <w:sz w:val="22"/>
          <w:szCs w:val="22"/>
          <w:color w:val="auto"/>
        </w:rPr>
      </w:pPr>
      <w:r>
        <w:rPr>
          <w:rFonts w:ascii="Arial" w:cs="Arial" w:eastAsia="Arial" w:hAnsi="Arial"/>
          <w:sz w:val="22"/>
          <w:szCs w:val="22"/>
          <w:color w:val="auto"/>
        </w:rPr>
        <w:t>higher tax deductions at the Sempra Utilities, as discussed below;</w:t>
      </w:r>
    </w:p>
    <w:p>
      <w:pPr>
        <w:spacing w:after="0" w:line="21" w:lineRule="exact"/>
        <w:rPr>
          <w:rFonts w:ascii="Arial" w:cs="Arial" w:eastAsia="Arial" w:hAnsi="Arial"/>
          <w:sz w:val="22"/>
          <w:szCs w:val="22"/>
          <w:color w:val="auto"/>
        </w:rPr>
      </w:pPr>
    </w:p>
    <w:p>
      <w:pPr>
        <w:ind w:left="180" w:hanging="172"/>
        <w:spacing w:after="0"/>
        <w:tabs>
          <w:tab w:leader="none" w:pos="180" w:val="left"/>
        </w:tabs>
        <w:numPr>
          <w:ilvl w:val="0"/>
          <w:numId w:val="43"/>
        </w:numPr>
        <w:rPr>
          <w:rFonts w:ascii="Arial" w:cs="Arial" w:eastAsia="Arial" w:hAnsi="Arial"/>
          <w:sz w:val="22"/>
          <w:szCs w:val="22"/>
          <w:color w:val="auto"/>
        </w:rPr>
      </w:pPr>
      <w:r>
        <w:rPr>
          <w:rFonts w:ascii="Arial" w:cs="Arial" w:eastAsia="Arial" w:hAnsi="Arial"/>
          <w:sz w:val="22"/>
          <w:szCs w:val="22"/>
          <w:color w:val="auto"/>
        </w:rPr>
        <w:t>higher pretax income in countries with lower statutory rates; and</w:t>
      </w:r>
    </w:p>
    <w:p>
      <w:pPr>
        <w:spacing w:after="0" w:line="30" w:lineRule="exact"/>
        <w:rPr>
          <w:rFonts w:ascii="Arial" w:cs="Arial" w:eastAsia="Arial" w:hAnsi="Arial"/>
          <w:sz w:val="22"/>
          <w:szCs w:val="22"/>
          <w:color w:val="auto"/>
        </w:rPr>
      </w:pPr>
    </w:p>
    <w:p>
      <w:pPr>
        <w:ind w:left="180" w:hanging="172"/>
        <w:spacing w:after="0"/>
        <w:tabs>
          <w:tab w:leader="none" w:pos="180" w:val="left"/>
        </w:tabs>
        <w:numPr>
          <w:ilvl w:val="0"/>
          <w:numId w:val="43"/>
        </w:numPr>
        <w:rPr>
          <w:rFonts w:ascii="Arial" w:cs="Arial" w:eastAsia="Arial" w:hAnsi="Arial"/>
          <w:sz w:val="22"/>
          <w:szCs w:val="22"/>
          <w:color w:val="auto"/>
        </w:rPr>
      </w:pPr>
      <w:r>
        <w:rPr>
          <w:rFonts w:ascii="Arial" w:cs="Arial" w:eastAsia="Arial" w:hAnsi="Arial"/>
          <w:sz w:val="22"/>
          <w:szCs w:val="22"/>
          <w:color w:val="auto"/>
        </w:rPr>
        <w:t>planned solar investments at Sempra Generation.</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90" w:lineRule="exact"/>
        <w:rPr>
          <w:sz w:val="20"/>
          <w:szCs w:val="20"/>
          <w:color w:val="auto"/>
        </w:rPr>
      </w:pPr>
    </w:p>
    <w:p>
      <w:pPr>
        <w:spacing w:after="0"/>
        <w:rPr>
          <w:sz w:val="20"/>
          <w:szCs w:val="20"/>
          <w:color w:val="auto"/>
        </w:rPr>
      </w:pPr>
      <w:r>
        <w:rPr>
          <w:rFonts w:ascii="Arial" w:cs="Arial" w:eastAsia="Arial" w:hAnsi="Arial"/>
          <w:sz w:val="19"/>
          <w:szCs w:val="19"/>
          <w:color w:val="auto"/>
        </w:rPr>
        <w:t>For the three months ended March 31, 2009, SDG&amp;E’s effective tax rate was 36% compared to 30% for the three months ended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March 31, 2008. This increase in effective tax rate was due to:</w:t>
      </w:r>
    </w:p>
    <w:p>
      <w:pPr>
        <w:spacing w:after="0" w:line="7" w:lineRule="exact"/>
        <w:rPr>
          <w:sz w:val="20"/>
          <w:szCs w:val="20"/>
          <w:color w:val="auto"/>
        </w:rPr>
      </w:pPr>
    </w:p>
    <w:p>
      <w:pPr>
        <w:ind w:left="180" w:hanging="172"/>
        <w:spacing w:after="0"/>
        <w:tabs>
          <w:tab w:leader="none" w:pos="180" w:val="left"/>
        </w:tabs>
        <w:numPr>
          <w:ilvl w:val="0"/>
          <w:numId w:val="44"/>
        </w:numPr>
        <w:rPr>
          <w:rFonts w:ascii="Arial" w:cs="Arial" w:eastAsia="Arial" w:hAnsi="Arial"/>
          <w:sz w:val="22"/>
          <w:szCs w:val="22"/>
          <w:color w:val="auto"/>
        </w:rPr>
      </w:pPr>
      <w:r>
        <w:rPr>
          <w:rFonts w:ascii="Arial" w:cs="Arial" w:eastAsia="Arial" w:hAnsi="Arial"/>
          <w:sz w:val="22"/>
          <w:szCs w:val="22"/>
          <w:color w:val="auto"/>
        </w:rPr>
        <w:t xml:space="preserve">$9 million favorable resolution in 2008 of prior years' income tax issues; </w:t>
      </w:r>
      <w:r>
        <w:rPr>
          <w:rFonts w:ascii="Arial" w:cs="Arial" w:eastAsia="Arial" w:hAnsi="Arial"/>
          <w:sz w:val="22"/>
          <w:szCs w:val="22"/>
          <w:b w:val="1"/>
          <w:bCs w:val="1"/>
          <w:color w:val="auto"/>
        </w:rPr>
        <w:t>offset by</w:t>
      </w:r>
    </w:p>
    <w:p>
      <w:pPr>
        <w:spacing w:after="0" w:line="41" w:lineRule="exact"/>
        <w:rPr>
          <w:rFonts w:ascii="Arial" w:cs="Arial" w:eastAsia="Arial" w:hAnsi="Arial"/>
          <w:sz w:val="22"/>
          <w:szCs w:val="22"/>
          <w:color w:val="auto"/>
        </w:rPr>
      </w:pPr>
    </w:p>
    <w:p>
      <w:pPr>
        <w:ind w:left="180" w:hanging="172"/>
        <w:spacing w:after="0"/>
        <w:tabs>
          <w:tab w:leader="none" w:pos="180" w:val="left"/>
        </w:tabs>
        <w:numPr>
          <w:ilvl w:val="0"/>
          <w:numId w:val="44"/>
        </w:numPr>
        <w:rPr>
          <w:rFonts w:ascii="Arial" w:cs="Arial" w:eastAsia="Arial" w:hAnsi="Arial"/>
          <w:sz w:val="22"/>
          <w:szCs w:val="22"/>
          <w:color w:val="auto"/>
        </w:rPr>
      </w:pPr>
      <w:r>
        <w:rPr>
          <w:rFonts w:ascii="Arial" w:cs="Arial" w:eastAsia="Arial" w:hAnsi="Arial"/>
          <w:sz w:val="22"/>
          <w:szCs w:val="22"/>
          <w:color w:val="auto"/>
        </w:rPr>
        <w:t>larger exclusions from taxable income in 2009 related to the equity portion of AFUDC.</w:t>
      </w:r>
    </w:p>
    <w:p>
      <w:pPr>
        <w:sectPr>
          <w:pgSz w:w="11900" w:h="16838" w:orient="portrait"/>
          <w:cols w:equalWidth="0" w:num="1">
            <w:col w:w="11080"/>
          </w:cols>
          <w:pgMar w:left="240" w:top="141" w:right="579" w:bottom="1440" w:gutter="0" w:footer="0" w:header="0"/>
        </w:sectPr>
      </w:pPr>
    </w:p>
    <w:bookmarkStart w:id="37" w:name="page38"/>
    <w:bookmarkEnd w:id="37"/>
    <w:p>
      <w:pPr>
        <w:spacing w:after="0"/>
        <w:rPr>
          <w:sz w:val="20"/>
          <w:szCs w:val="20"/>
          <w:color w:val="auto"/>
        </w:rPr>
      </w:pPr>
      <w:r>
        <w:rPr>
          <w:rFonts w:ascii="Arial" w:cs="Arial" w:eastAsia="Arial" w:hAnsi="Arial"/>
          <w:sz w:val="20"/>
          <w:szCs w:val="20"/>
          <w:i w:val="1"/>
          <w:iCs w:val="1"/>
          <w:color w:val="auto"/>
        </w:rPr>
        <w:t>PE and SoCalGas</w:t>
      </w:r>
    </w:p>
    <w:p>
      <w:pPr>
        <w:spacing w:after="0" w:line="91" w:lineRule="exact"/>
        <w:rPr>
          <w:sz w:val="20"/>
          <w:szCs w:val="20"/>
          <w:color w:val="auto"/>
        </w:rPr>
      </w:pPr>
    </w:p>
    <w:p>
      <w:pPr>
        <w:ind w:right="40"/>
        <w:spacing w:after="0" w:line="328" w:lineRule="auto"/>
        <w:rPr>
          <w:sz w:val="20"/>
          <w:szCs w:val="20"/>
          <w:color w:val="auto"/>
        </w:rPr>
      </w:pPr>
      <w:r>
        <w:rPr>
          <w:rFonts w:ascii="Arial" w:cs="Arial" w:eastAsia="Arial" w:hAnsi="Arial"/>
          <w:sz w:val="19"/>
          <w:szCs w:val="19"/>
          <w:color w:val="auto"/>
        </w:rPr>
        <w:t>For the three months ended March 31, 2009, PE's and SoCalGas’ effective tax rate was 38% compared to 41% for the three months ended March 31, 2008. This decrease in effective tax rate was due to larger tax deductions for self-developed software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color w:val="auto"/>
        </w:rPr>
        <w:t>NOTE 6. DEBT AND CREDIT FACILITIES</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COMMITTED LINES OF CREDIT</w:t>
      </w:r>
    </w:p>
    <w:p>
      <w:pPr>
        <w:spacing w:after="0" w:line="96"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At March 31, 2009, Sempra Energy had $4.3 billion in committed lines of credit to provide liquidity and to support commercial paper and variable-rate demand notes, the major components of which are detailed below. Available unused credit on these lines at March 31, 2009 was $2.9 billion. We discuss the terms of our credit agreements in Note 6 of the Notes to Consolidated Financial Statements in the Annual Report.</w:t>
      </w:r>
    </w:p>
    <w:p>
      <w:pPr>
        <w:spacing w:after="0" w:line="50" w:lineRule="exact"/>
        <w:rPr>
          <w:sz w:val="20"/>
          <w:szCs w:val="20"/>
          <w:color w:val="auto"/>
        </w:rPr>
      </w:pPr>
    </w:p>
    <w:p>
      <w:pPr>
        <w:ind w:right="240"/>
        <w:spacing w:after="0" w:line="236" w:lineRule="auto"/>
        <w:rPr>
          <w:sz w:val="20"/>
          <w:szCs w:val="20"/>
          <w:color w:val="auto"/>
        </w:rPr>
      </w:pPr>
      <w:r>
        <w:rPr>
          <w:rFonts w:ascii="Arial" w:cs="Arial" w:eastAsia="Arial" w:hAnsi="Arial"/>
          <w:sz w:val="22"/>
          <w:szCs w:val="22"/>
          <w:color w:val="auto"/>
        </w:rPr>
        <w:t>These amounts exclude lines of credit associated with Sempra Commodities, some of which we continue to guarantee, as we discuss below in "RBS Sempra Commodities." RBS has replaced Sempra Energy as guarantor on all uncommitted lines of credit associated with Sempra Commodities. To the extent that Sempra Energy's credit support arrangements, including Sempra Commodities' committed facilities, have not been terminated or replaced, RBS has indemnified Sempra Energy for any claims or losses arising in connection with those arrangements.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Global</w:t>
      </w:r>
    </w:p>
    <w:p>
      <w:pPr>
        <w:spacing w:after="0" w:line="49" w:lineRule="exact"/>
        <w:rPr>
          <w:sz w:val="20"/>
          <w:szCs w:val="20"/>
          <w:color w:val="auto"/>
        </w:rPr>
      </w:pPr>
    </w:p>
    <w:p>
      <w:pPr>
        <w:ind w:right="140"/>
        <w:spacing w:after="0" w:line="282" w:lineRule="auto"/>
        <w:rPr>
          <w:sz w:val="20"/>
          <w:szCs w:val="20"/>
          <w:color w:val="auto"/>
        </w:rPr>
      </w:pPr>
      <w:r>
        <w:rPr>
          <w:rFonts w:ascii="Arial" w:cs="Arial" w:eastAsia="Arial" w:hAnsi="Arial"/>
          <w:sz w:val="19"/>
          <w:szCs w:val="19"/>
          <w:color w:val="auto"/>
        </w:rPr>
        <w:t>Sempra Global has a $2.5 billion, three-year syndicated revolving credit agreement expiring in 2011. At March 31, 2009, Sempra Global had letters of credit of $17 million outstanding and no outstanding borrowings under the facility. The facility provides support for $878 million of commercial paper outstanding at March 31, 2009. At March 31, 2009, $600 million of the commercial paper outstanding has been classified as long-term debt based on management’s intent and ability to maintain this level of borrowing on a long-term basis either supported by this credit facility or by issuing long-term debt.</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Generation</w:t>
      </w:r>
    </w:p>
    <w:p>
      <w:pPr>
        <w:spacing w:after="0" w:line="4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Sempra Generation has a $1 billion, three-year syndicated revolving credit agreement expiring in 2011. At March 31, 2009, Sempra Generation had no outstanding borrowings under the facility.</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Utilities</w:t>
      </w:r>
    </w:p>
    <w:p>
      <w:pPr>
        <w:spacing w:after="0" w:line="36"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SDG&amp;E and SoCalGas have a combined $800 million, three-year syndicated revolving credit agreement expiring in 2011. The agreement permits each utility to individually borrow up to $600 million, subject to a combined limit of $800 million for both utilities. At March 31, 2009, SDG&amp;E and SoCalGas had no outstanding borrowings under this facility. SDG&amp;E had $98 million of commercial paper, $110 million of outstanding letters of credit and $237 million of variable-rate demand notes outstanding supported by this facility at March 31, 2009.</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RBS Sempra Commodities</w:t>
      </w:r>
    </w:p>
    <w:p>
      <w:pPr>
        <w:spacing w:after="0" w:line="49"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RBS is obligated to provide RBS Sempra Commodities with all growth capital, working-capital requirements and credit support. However, as a transitional measure, we continue to provide back-up guarantees for a portion of RBS Sempra Commodities’ trading obligations and for certain credit facilities with third party lenders pending novation (legal transfer) of the remaining trading obligations to RBS. Some of these back-up guarantees may continue for a prolonged period of time. RBS has fully indemnified us for any claims or losses in connection with these arrangements. RBS has been greatly affected by the world-wide turmoil in banking and became indirectly controlled by the government of the United Kingdom in December 2008.</w:t>
      </w:r>
    </w:p>
    <w:p>
      <w:pPr>
        <w:spacing w:after="0" w:line="16"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RBS Sempra Commodities’ net trading liabilities and credit facilities supported by Sempra Energy’s guarantees at March 31, 2009 were</w:t>
      </w:r>
    </w:p>
    <w:p>
      <w:pPr>
        <w:sectPr>
          <w:pgSz w:w="11900" w:h="16838" w:orient="portrait"/>
          <w:cols w:equalWidth="0" w:num="1">
            <w:col w:w="11400"/>
          </w:cols>
          <w:pgMar w:left="240" w:top="122" w:right="259" w:bottom="1440" w:gutter="0" w:footer="0" w:header="0"/>
        </w:sectPr>
      </w:pPr>
    </w:p>
    <w:bookmarkStart w:id="38" w:name="page39"/>
    <w:bookmarkEnd w:id="38"/>
    <w:p>
      <w:pPr>
        <w:ind w:left="180" w:right="1400" w:hanging="172"/>
        <w:spacing w:after="0" w:line="241" w:lineRule="auto"/>
        <w:tabs>
          <w:tab w:leader="none" w:pos="180" w:val="left"/>
        </w:tabs>
        <w:numPr>
          <w:ilvl w:val="0"/>
          <w:numId w:val="45"/>
        </w:numPr>
        <w:rPr>
          <w:rFonts w:ascii="Arial" w:cs="Arial" w:eastAsia="Arial" w:hAnsi="Arial"/>
          <w:sz w:val="22"/>
          <w:szCs w:val="22"/>
          <w:color w:val="auto"/>
        </w:rPr>
      </w:pPr>
      <w:r>
        <w:rPr>
          <w:rFonts w:ascii="Arial" w:cs="Arial" w:eastAsia="Arial" w:hAnsi="Arial"/>
          <w:sz w:val="22"/>
          <w:szCs w:val="22"/>
          <w:color w:val="auto"/>
        </w:rPr>
        <w:t>$905 million of net trading liabilities consisting of guaranteed trading obligations net of collateral. The amount of guaranteed net trading liabilities varies from day to day with the value of the trading obligations and related collateral.</w:t>
      </w:r>
    </w:p>
    <w:p>
      <w:pPr>
        <w:spacing w:after="0" w:line="8" w:lineRule="exact"/>
        <w:rPr>
          <w:rFonts w:ascii="Arial" w:cs="Arial" w:eastAsia="Arial" w:hAnsi="Arial"/>
          <w:sz w:val="22"/>
          <w:szCs w:val="22"/>
          <w:color w:val="auto"/>
        </w:rPr>
      </w:pPr>
    </w:p>
    <w:p>
      <w:pPr>
        <w:ind w:left="180" w:hanging="172"/>
        <w:spacing w:after="0"/>
        <w:tabs>
          <w:tab w:leader="none" w:pos="180" w:val="left"/>
        </w:tabs>
        <w:numPr>
          <w:ilvl w:val="0"/>
          <w:numId w:val="45"/>
        </w:numPr>
        <w:rPr>
          <w:rFonts w:ascii="Arial" w:cs="Arial" w:eastAsia="Arial" w:hAnsi="Arial"/>
          <w:sz w:val="22"/>
          <w:szCs w:val="22"/>
          <w:color w:val="auto"/>
        </w:rPr>
      </w:pPr>
      <w:r>
        <w:rPr>
          <w:rFonts w:ascii="Arial" w:cs="Arial" w:eastAsia="Arial" w:hAnsi="Arial"/>
          <w:sz w:val="22"/>
          <w:szCs w:val="22"/>
          <w:color w:val="auto"/>
        </w:rPr>
        <w:t>$500 million under a three-year revolving credit facility expiring on May 4, 2009.</w:t>
      </w:r>
    </w:p>
    <w:p>
      <w:pPr>
        <w:spacing w:after="0" w:line="125"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Sempra Energy also has guaranteed $344 million of $1.72 billion of RBS Sempra Commodities' commitments under an additional credit facility expiring September 29, 2010. Extensions of credit under the committed facility, which total $798 million at March 31, 2009, are limited to and secured by a borrowing base consisting of receivables, inventories and other joint venture assets that are valued at varying percentages of current market value. At March 31, 2009, the gross market value of the borrowing base assets was $2.4 billion. The facility will be reduced and end as the borrowing base assets are transferred to RBS as established by the joint venture agreement.</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GUARANTEES</w:t>
      </w:r>
    </w:p>
    <w:p>
      <w:pPr>
        <w:spacing w:after="0" w:line="96" w:lineRule="exact"/>
        <w:rPr>
          <w:sz w:val="20"/>
          <w:szCs w:val="20"/>
          <w:color w:val="auto"/>
        </w:rPr>
      </w:pPr>
    </w:p>
    <w:p>
      <w:pPr>
        <w:jc w:val="both"/>
        <w:ind w:right="20"/>
        <w:spacing w:after="0" w:line="249" w:lineRule="auto"/>
        <w:rPr>
          <w:sz w:val="20"/>
          <w:szCs w:val="20"/>
          <w:color w:val="auto"/>
        </w:rPr>
      </w:pPr>
      <w:r>
        <w:rPr>
          <w:rFonts w:ascii="Arial" w:cs="Arial" w:eastAsia="Arial" w:hAnsi="Arial"/>
          <w:sz w:val="21"/>
          <w:szCs w:val="21"/>
          <w:color w:val="auto"/>
        </w:rPr>
        <w:t>Sempra Energy, Conoco Phillips (Conoco) and Kinder Morgan Energy Partners, L.P. (KMP) currently hold 25 percent, 24 percent and 51 percent ownership interests, respectively, in Rockies Express. Rockies Express is constructing a natural gas pipeline to link natural gas producing areas in the Rocky Mountain region to the upper Midwest and the eastern United States. Rockies Express has a $2 billion, five-year credit facility expiring in 2011 that provides for revolving extensions of credit that are guaranteed by Sempra Energy, Conoco and KMP in proportion to their respective ownership percentages.</w:t>
      </w:r>
    </w:p>
    <w:p>
      <w:pPr>
        <w:spacing w:after="0" w:line="44"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Borrowings under the facility bear interest at rates varying with market rates plus a margin that varies with the credit ratings of the lowest-rated guarantor. The facility requires each guarantor to comply with various financial and other covenants comparable to those contained in its senior unsecured credit facilities. In the case of Sempra Energy, the primary requirement is that we maintain a ratio of total indebtedness to total capitalization (as defined in the facility) of no more than 65 percent at the end of each quarter. Rockies Express had $1.9 billion of outstanding borrowings under this facility at March 31, 2009. In addition, Rockies Express had $600 million of floating rate notes outstanding at March 31, 2009 and maturing in September 2009 that are guaranteed by Sempra Energy, Conoco and KMP in proportion to their respective ownership percentages. The fair value to us of these guarantees is negligible.</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WEIGHTED AVERAGE INTEREST RATES</w:t>
      </w:r>
    </w:p>
    <w:p>
      <w:pPr>
        <w:spacing w:after="0" w:line="82"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At March 31, 2009, the weighted average interest rates on the total short-term debt outstanding at Sempra Energy and SDG&amp;E, including commercial paper borrowings classified as long-term at Sempra Energy, were 2.83 percent and 0.25 percent,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INTEREST-RATE SWAPS</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We discuss our fair value interest-rate swaps and interest-rate swaps to hedge cash flows in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9" w:name="page40"/>
    <w:bookmarkEnd w:id="39"/>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t>NOTE 7. DERIVATIVE FINANCIAL INSTRUMENTS</w:t>
      </w:r>
    </w:p>
    <w:p>
      <w:pPr>
        <w:spacing w:after="0" w:line="76" w:lineRule="exact"/>
        <w:rPr>
          <w:sz w:val="20"/>
          <w:szCs w:val="20"/>
          <w:color w:val="auto"/>
        </w:rPr>
      </w:pPr>
    </w:p>
    <w:p>
      <w:pPr>
        <w:jc w:val="both"/>
        <w:ind w:right="140"/>
        <w:spacing w:after="0"/>
        <w:rPr>
          <w:sz w:val="20"/>
          <w:szCs w:val="20"/>
          <w:color w:val="auto"/>
        </w:rPr>
      </w:pPr>
      <w:r>
        <w:rPr>
          <w:rFonts w:ascii="Arial" w:cs="Arial" w:eastAsia="Arial" w:hAnsi="Arial"/>
          <w:sz w:val="22"/>
          <w:szCs w:val="22"/>
          <w:color w:val="auto"/>
        </w:rPr>
        <w:t>On January 1, 2009, we adopted SFAS 161 as discussed in Note 2. The adoption of SFAS 161 had no impact on our consolidated financial statements, but requires additional disclosures, which we provide below. Comparative disclosures for periods prior to the date of adoption are not required and we have not provided them.</w:t>
      </w:r>
    </w:p>
    <w:p>
      <w:pPr>
        <w:spacing w:after="0" w:line="51" w:lineRule="exact"/>
        <w:rPr>
          <w:sz w:val="20"/>
          <w:szCs w:val="20"/>
          <w:color w:val="auto"/>
        </w:rPr>
      </w:pPr>
    </w:p>
    <w:p>
      <w:pPr>
        <w:ind w:right="300"/>
        <w:spacing w:after="0"/>
        <w:rPr>
          <w:sz w:val="20"/>
          <w:szCs w:val="20"/>
          <w:color w:val="auto"/>
        </w:rPr>
      </w:pPr>
      <w:r>
        <w:rPr>
          <w:rFonts w:ascii="Arial" w:cs="Arial" w:eastAsia="Arial" w:hAnsi="Arial"/>
          <w:sz w:val="22"/>
          <w:szCs w:val="22"/>
          <w:color w:val="auto"/>
        </w:rPr>
        <w:t>We use derivative instruments primarily to manage exposures arising in the normal course of business and not for the purpose of creating speculative positions or trading. Generally, we use derivative instruments to manage commodity market risk and benchmark interest rate risk.</w:t>
      </w:r>
    </w:p>
    <w:p>
      <w:pPr>
        <w:spacing w:after="0" w:line="65"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Our use of derivatives for these risks is integrated into the economic management of our anticipated revenues, anticipated expenses, assets and liabilities. Derivatives may be effective in mitigating these risks that could lead to declines in anticipated revenues or increases in anticipated expenses, or that our asset values may fall or our liabilities increase. Accordingly, our derivative activity summarized below generally represents an impact that is intended to offset associated revenues, expenses, assets or liabilities that are not presented below.</w:t>
      </w:r>
    </w:p>
    <w:p>
      <w:pPr>
        <w:spacing w:after="0" w:line="66"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All derivatives are recorded at fair value on the Condensed Consolidated Balance Sheets. Each derivative is designated as 1) a cash flow hedge, 2) a fair value hedge, or 3) is undesignated. Depending on the applicability of hedge accounting and, for the Sempra Utilities, the requirement to pass impacts through to customers, the impact of derivative instruments may be offset in other comprehensive income (cash flow hedge), on the balance sheet (fair value hedges and regulatory offsets), or recognized in earnings.</w:t>
      </w:r>
    </w:p>
    <w:p>
      <w:pPr>
        <w:spacing w:after="0" w:line="53" w:lineRule="exact"/>
        <w:rPr>
          <w:sz w:val="20"/>
          <w:szCs w:val="20"/>
          <w:color w:val="auto"/>
        </w:rPr>
      </w:pPr>
    </w:p>
    <w:p>
      <w:pPr>
        <w:ind w:right="140"/>
        <w:spacing w:after="0" w:line="328" w:lineRule="auto"/>
        <w:rPr>
          <w:sz w:val="20"/>
          <w:szCs w:val="20"/>
          <w:color w:val="auto"/>
        </w:rPr>
      </w:pPr>
      <w:r>
        <w:rPr>
          <w:rFonts w:ascii="Arial" w:cs="Arial" w:eastAsia="Arial" w:hAnsi="Arial"/>
          <w:sz w:val="19"/>
          <w:szCs w:val="19"/>
          <w:color w:val="auto"/>
        </w:rPr>
        <w:t>In certain cases, we apply the normal purchase or sale exception to derivative accounting and have other commodity contracts that are not derivatives. These contracts are not recorded at fair value and are therefore excluded from the disclosures below.</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HEDGE ACCOUNTING</w:t>
      </w:r>
    </w:p>
    <w:p>
      <w:pPr>
        <w:spacing w:after="0" w:line="82" w:lineRule="exact"/>
        <w:rPr>
          <w:sz w:val="20"/>
          <w:szCs w:val="20"/>
          <w:color w:val="auto"/>
        </w:rPr>
      </w:pPr>
    </w:p>
    <w:p>
      <w:pPr>
        <w:ind w:right="380"/>
        <w:spacing w:after="0" w:line="287" w:lineRule="auto"/>
        <w:rPr>
          <w:sz w:val="20"/>
          <w:szCs w:val="20"/>
          <w:color w:val="auto"/>
        </w:rPr>
      </w:pPr>
      <w:r>
        <w:rPr>
          <w:rFonts w:ascii="Arial" w:cs="Arial" w:eastAsia="Arial" w:hAnsi="Arial"/>
          <w:sz w:val="19"/>
          <w:szCs w:val="19"/>
          <w:color w:val="auto"/>
        </w:rPr>
        <w:t>We may designate a derivative as a cash flow hedging instrument if it effectively converts anticipated revenues or expenses to a fixed dollar amount. We may utilize cash flow hedge accounting for derivative commodity instruments and interest-rate instruments. Designating cash flow hedges is dependent on the business context in which the instrument is being used, the effectiveness of the instrument in offsetting the risk that a given future revenue or expense item may vary, and other criteria.</w:t>
      </w:r>
    </w:p>
    <w:p>
      <w:pPr>
        <w:spacing w:after="0" w:line="22" w:lineRule="exact"/>
        <w:rPr>
          <w:sz w:val="20"/>
          <w:szCs w:val="20"/>
          <w:color w:val="auto"/>
        </w:rPr>
      </w:pPr>
    </w:p>
    <w:p>
      <w:pPr>
        <w:ind w:right="60"/>
        <w:spacing w:after="0" w:line="252" w:lineRule="auto"/>
        <w:rPr>
          <w:sz w:val="20"/>
          <w:szCs w:val="20"/>
          <w:color w:val="auto"/>
        </w:rPr>
      </w:pPr>
      <w:r>
        <w:rPr>
          <w:rFonts w:ascii="Arial" w:cs="Arial" w:eastAsia="Arial" w:hAnsi="Arial"/>
          <w:sz w:val="21"/>
          <w:szCs w:val="21"/>
          <w:color w:val="auto"/>
        </w:rPr>
        <w:t>We may designate a derivative as a fair value hedging instrument if it effectively converts our own debt from a fixed interest rate to a variable rate, which results in fixing the fair value of the debt. We may utilize fair value hedge accounting for derivative interest-rate instruments. Designating fair value hedges is dependent on the instrument being used, the effectiveness of the instrument in offsetting changes in the fair value of our debt instruments, and other criteria.</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ENERGY DERIVATIVES</w:t>
      </w:r>
    </w:p>
    <w:p>
      <w:pPr>
        <w:spacing w:after="0" w:line="96" w:lineRule="exact"/>
        <w:rPr>
          <w:sz w:val="20"/>
          <w:szCs w:val="20"/>
          <w:color w:val="auto"/>
        </w:rPr>
      </w:pPr>
    </w:p>
    <w:p>
      <w:pPr>
        <w:ind w:right="220"/>
        <w:spacing w:after="0" w:line="258" w:lineRule="auto"/>
        <w:rPr>
          <w:sz w:val="20"/>
          <w:szCs w:val="20"/>
          <w:color w:val="auto"/>
        </w:rPr>
      </w:pPr>
      <w:r>
        <w:rPr>
          <w:rFonts w:ascii="Arial" w:cs="Arial" w:eastAsia="Arial" w:hAnsi="Arial"/>
          <w:sz w:val="21"/>
          <w:szCs w:val="21"/>
          <w:color w:val="auto"/>
        </w:rPr>
        <w:t>Our market risk is primarily related to natural gas and electricity price volatility and the specific physical locations where we transact. We use energy derivatives to manage these risks. The use of energy derivatives in our various businesses depends on the particular energy market, and the operating and regulatory environments applicable to the business.</w:t>
      </w:r>
    </w:p>
    <w:p>
      <w:pPr>
        <w:spacing w:after="0" w:line="32" w:lineRule="exact"/>
        <w:rPr>
          <w:sz w:val="20"/>
          <w:szCs w:val="20"/>
          <w:color w:val="auto"/>
        </w:rPr>
      </w:pPr>
    </w:p>
    <w:p>
      <w:pPr>
        <w:ind w:left="180" w:right="1340" w:hanging="172"/>
        <w:spacing w:after="0" w:line="279" w:lineRule="auto"/>
        <w:tabs>
          <w:tab w:leader="none" w:pos="18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Sempra Utilities use natural gas energy derivatives, on their customers' behalf, with the objective of managing price risk and lowering natural gas costs. These derivatives include fixed price natural gas positions, options and basis risk instruments. The majority of these transaction programs are governed by risk management and transacting activity plans that have been filed with and approved by the California Public Utilities Commission (CPUC). Natural gas derivative activities are recorded as commodity costs. Commodity costs are offset by regulatory account balances and are recovered in rates. Net commodity cost impacts on the Condensed</w:t>
      </w:r>
    </w:p>
    <w:p>
      <w:pPr>
        <w:sectPr>
          <w:pgSz w:w="11900" w:h="16838" w:orient="portrait"/>
          <w:cols w:equalWidth="0" w:num="1">
            <w:col w:w="11420"/>
          </w:cols>
          <w:pgMar w:left="240" w:top="595" w:right="239" w:bottom="1440" w:gutter="0" w:footer="0" w:header="0"/>
        </w:sectPr>
      </w:pPr>
    </w:p>
    <w:bookmarkStart w:id="40" w:name="page41"/>
    <w:bookmarkEnd w:id="40"/>
    <w:p>
      <w:pPr>
        <w:ind w:left="180" w:right="1540"/>
        <w:spacing w:after="0" w:line="250" w:lineRule="auto"/>
        <w:rPr>
          <w:sz w:val="20"/>
          <w:szCs w:val="20"/>
          <w:color w:val="auto"/>
        </w:rPr>
      </w:pPr>
      <w:r>
        <w:rPr>
          <w:rFonts w:ascii="Arial" w:cs="Arial" w:eastAsia="Arial" w:hAnsi="Arial"/>
          <w:sz w:val="22"/>
          <w:szCs w:val="22"/>
          <w:color w:val="auto"/>
        </w:rPr>
        <w:t>Consolidated Statements of Operations are reflected in Cost of Electric Fuel and Purchased Power or in Cost of Natural Gas.</w:t>
      </w:r>
    </w:p>
    <w:p>
      <w:pPr>
        <w:ind w:left="180" w:right="1300" w:hanging="172"/>
        <w:spacing w:after="0" w:line="236" w:lineRule="auto"/>
        <w:tabs>
          <w:tab w:leader="none" w:pos="180" w:val="left"/>
        </w:tabs>
        <w:numPr>
          <w:ilvl w:val="0"/>
          <w:numId w:val="47"/>
        </w:numPr>
        <w:rPr>
          <w:rFonts w:ascii="Arial" w:cs="Arial" w:eastAsia="Arial" w:hAnsi="Arial"/>
          <w:sz w:val="22"/>
          <w:szCs w:val="22"/>
          <w:color w:val="auto"/>
        </w:rPr>
      </w:pPr>
      <w:r>
        <w:rPr>
          <w:rFonts w:ascii="Arial" w:cs="Arial" w:eastAsia="Arial" w:hAnsi="Arial"/>
          <w:sz w:val="22"/>
          <w:szCs w:val="22"/>
          <w:color w:val="auto"/>
        </w:rPr>
        <w:t>SDG&amp;E is allocated and may purchase congestion revenue rights (CRRs), which serve to reduce electricity transmission risk on behalf of customers. Unrealized gains and losses do not impact earnings, as they are offset by regulatory account balances. Realized gains and losses associated with CRRs are recorded in Cost of Electric Fuel and Purchased Power on the Condensed Consolidated Statements of Operations. We provide further discussion in Note 8.</w:t>
      </w:r>
    </w:p>
    <w:p>
      <w:pPr>
        <w:spacing w:after="0" w:line="3" w:lineRule="exact"/>
        <w:rPr>
          <w:rFonts w:ascii="Arial" w:cs="Arial" w:eastAsia="Arial" w:hAnsi="Arial"/>
          <w:sz w:val="22"/>
          <w:szCs w:val="22"/>
          <w:color w:val="auto"/>
        </w:rPr>
      </w:pPr>
    </w:p>
    <w:p>
      <w:pPr>
        <w:ind w:left="180" w:right="1280" w:hanging="172"/>
        <w:spacing w:after="0" w:line="237" w:lineRule="auto"/>
        <w:tabs>
          <w:tab w:leader="none" w:pos="180" w:val="left"/>
        </w:tabs>
        <w:numPr>
          <w:ilvl w:val="0"/>
          <w:numId w:val="47"/>
        </w:numPr>
        <w:rPr>
          <w:rFonts w:ascii="Arial" w:cs="Arial" w:eastAsia="Arial" w:hAnsi="Arial"/>
          <w:sz w:val="22"/>
          <w:szCs w:val="22"/>
          <w:color w:val="auto"/>
        </w:rPr>
      </w:pPr>
      <w:r>
        <w:rPr>
          <w:rFonts w:ascii="Arial" w:cs="Arial" w:eastAsia="Arial" w:hAnsi="Arial"/>
          <w:sz w:val="22"/>
          <w:szCs w:val="22"/>
          <w:color w:val="auto"/>
        </w:rPr>
        <w:t>Sempra Generation uses natural gas and electricity instruments to market and optimize the earnings of their power generation fleet. Gains and losses associated with these derivatives are recognized in Sempra Global and Parent Revenues or in Cost of Natural Gas, Electric Fuel and Purchased Power on the Condensed Consolidated Statements of Operations.</w:t>
      </w:r>
    </w:p>
    <w:p>
      <w:pPr>
        <w:spacing w:after="0" w:line="9" w:lineRule="exact"/>
        <w:rPr>
          <w:rFonts w:ascii="Arial" w:cs="Arial" w:eastAsia="Arial" w:hAnsi="Arial"/>
          <w:sz w:val="22"/>
          <w:szCs w:val="22"/>
          <w:color w:val="auto"/>
        </w:rPr>
      </w:pPr>
    </w:p>
    <w:p>
      <w:pPr>
        <w:ind w:left="180" w:right="1220" w:hanging="172"/>
        <w:spacing w:after="0" w:line="247" w:lineRule="auto"/>
        <w:tabs>
          <w:tab w:leader="none" w:pos="180" w:val="left"/>
        </w:tabs>
        <w:numPr>
          <w:ilvl w:val="0"/>
          <w:numId w:val="47"/>
        </w:numPr>
        <w:rPr>
          <w:rFonts w:ascii="Arial" w:cs="Arial" w:eastAsia="Arial" w:hAnsi="Arial"/>
          <w:sz w:val="21"/>
          <w:szCs w:val="21"/>
          <w:color w:val="auto"/>
        </w:rPr>
      </w:pPr>
      <w:r>
        <w:rPr>
          <w:rFonts w:ascii="Arial" w:cs="Arial" w:eastAsia="Arial" w:hAnsi="Arial"/>
          <w:sz w:val="21"/>
          <w:szCs w:val="21"/>
          <w:color w:val="auto"/>
        </w:rPr>
        <w:t>Sempra LNG and Sempra Pipelines &amp; Storage use natural gas derivatives to market and optimize the earnings of the LNG business and Sempra Pipelines &amp; Storage's natural gas storage and transportation assets. Sempra LNG derivatives are undesignated and their impact on earnings is recorded in Sempra Global and Parent Revenues on the Condensed Consolidated Statements of Operations. Sempra Pipelines &amp; Storage derivatives are either designated as cash flow hedges or are undesignated. The impacts on earnings are recognized in Sempra Global and Parent Revenues or in Cost of Natural Gas, Electric Fuel and Purchased Power on the Condensed Consolidated Statements of Operations.</w:t>
      </w:r>
    </w:p>
    <w:p>
      <w:pPr>
        <w:spacing w:after="0" w:line="97" w:lineRule="exact"/>
        <w:rPr>
          <w:sz w:val="20"/>
          <w:szCs w:val="20"/>
          <w:color w:val="auto"/>
        </w:rPr>
      </w:pPr>
    </w:p>
    <w:p>
      <w:pPr>
        <w:ind w:right="340"/>
        <w:spacing w:after="0" w:line="274" w:lineRule="auto"/>
        <w:rPr>
          <w:sz w:val="20"/>
          <w:szCs w:val="20"/>
          <w:color w:val="auto"/>
        </w:rPr>
      </w:pPr>
      <w:r>
        <w:rPr>
          <w:rFonts w:ascii="Arial" w:cs="Arial" w:eastAsia="Arial" w:hAnsi="Arial"/>
          <w:sz w:val="21"/>
          <w:szCs w:val="21"/>
          <w:color w:val="auto"/>
        </w:rPr>
        <w:t>From time to time, our various businesses, including the Sempra Utilities, may use other energy derivatives to hedge exposures such as the price of vehicle fuel. These derivatives are typically accounted for as cash flow hedges.</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We summarize net commodity derivative volumes as of March 31, 2009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Business Unit and Commodity</w:t>
            </w:r>
          </w:p>
        </w:tc>
        <w:tc>
          <w:tcPr>
            <w:tcW w:w="2260" w:type="dxa"/>
            <w:vAlign w:val="bottom"/>
            <w:tcBorders>
              <w:bottom w:val="single" w:sz="8" w:color="auto"/>
            </w:tcBorders>
          </w:tcPr>
          <w:p>
            <w:pPr>
              <w:jc w:val="right"/>
              <w:ind w:right="1060"/>
              <w:spacing w:after="0"/>
              <w:rPr>
                <w:sz w:val="20"/>
                <w:szCs w:val="20"/>
                <w:color w:val="auto"/>
              </w:rPr>
            </w:pPr>
            <w:r>
              <w:rPr>
                <w:rFonts w:ascii="Arial" w:cs="Arial" w:eastAsia="Arial" w:hAnsi="Arial"/>
                <w:sz w:val="14"/>
                <w:szCs w:val="14"/>
                <w:color w:val="auto"/>
              </w:rPr>
              <w:t>Volume</w:t>
            </w:r>
          </w:p>
        </w:tc>
      </w:tr>
      <w:tr>
        <w:trPr>
          <w:trHeight w:val="223"/>
        </w:trPr>
        <w:tc>
          <w:tcPr>
            <w:tcW w:w="3860" w:type="dxa"/>
            <w:vAlign w:val="bottom"/>
          </w:tcPr>
          <w:p>
            <w:pPr>
              <w:ind w:left="20"/>
              <w:spacing w:after="0"/>
              <w:rPr>
                <w:sz w:val="20"/>
                <w:szCs w:val="20"/>
                <w:color w:val="auto"/>
              </w:rPr>
            </w:pPr>
            <w:r>
              <w:rPr>
                <w:rFonts w:ascii="Arial" w:cs="Arial" w:eastAsia="Arial" w:hAnsi="Arial"/>
                <w:sz w:val="16"/>
                <w:szCs w:val="16"/>
                <w:color w:val="auto"/>
              </w:rPr>
              <w:t>Sempra Utilities:</w:t>
            </w:r>
          </w:p>
        </w:tc>
        <w:tc>
          <w:tcPr>
            <w:tcW w:w="2260" w:type="dxa"/>
            <w:vAlign w:val="bottom"/>
          </w:tcPr>
          <w:p>
            <w:pPr>
              <w:spacing w:after="0"/>
              <w:rPr>
                <w:sz w:val="19"/>
                <w:szCs w:val="19"/>
                <w:color w:val="auto"/>
              </w:rPr>
            </w:pPr>
          </w:p>
        </w:tc>
      </w:tr>
      <w:tr>
        <w:trPr>
          <w:trHeight w:val="230"/>
        </w:trPr>
        <w:tc>
          <w:tcPr>
            <w:tcW w:w="3860" w:type="dxa"/>
            <w:vAlign w:val="bottom"/>
          </w:tcPr>
          <w:p>
            <w:pPr>
              <w:ind w:left="400"/>
              <w:spacing w:after="0"/>
              <w:rPr>
                <w:sz w:val="20"/>
                <w:szCs w:val="20"/>
                <w:color w:val="auto"/>
              </w:rPr>
            </w:pPr>
            <w:r>
              <w:rPr>
                <w:rFonts w:ascii="Arial" w:cs="Arial" w:eastAsia="Arial" w:hAnsi="Arial"/>
                <w:sz w:val="16"/>
                <w:szCs w:val="16"/>
                <w:color w:val="auto"/>
              </w:rPr>
              <w:t>SDG&amp;E:</w:t>
            </w:r>
          </w:p>
        </w:tc>
        <w:tc>
          <w:tcPr>
            <w:tcW w:w="2260" w:type="dxa"/>
            <w:vAlign w:val="bottom"/>
          </w:tcPr>
          <w:p>
            <w:pPr>
              <w:spacing w:after="0"/>
              <w:rPr>
                <w:sz w:val="19"/>
                <w:szCs w:val="19"/>
                <w:color w:val="auto"/>
              </w:rPr>
            </w:pPr>
          </w:p>
        </w:tc>
      </w:tr>
      <w:tr>
        <w:trPr>
          <w:trHeight w:val="216"/>
        </w:trPr>
        <w:tc>
          <w:tcPr>
            <w:tcW w:w="3860" w:type="dxa"/>
            <w:vAlign w:val="bottom"/>
          </w:tcPr>
          <w:p>
            <w:pPr>
              <w:ind w:left="680"/>
              <w:spacing w:after="0"/>
              <w:rPr>
                <w:sz w:val="20"/>
                <w:szCs w:val="20"/>
                <w:color w:val="auto"/>
              </w:rPr>
            </w:pPr>
            <w:r>
              <w:rPr>
                <w:rFonts w:ascii="Arial" w:cs="Arial" w:eastAsia="Arial" w:hAnsi="Arial"/>
                <w:sz w:val="16"/>
                <w:szCs w:val="16"/>
                <w:color w:val="auto"/>
              </w:rPr>
              <w:t>Natural gas</w:t>
            </w:r>
          </w:p>
        </w:tc>
        <w:tc>
          <w:tcPr>
            <w:tcW w:w="2260" w:type="dxa"/>
            <w:vAlign w:val="bottom"/>
          </w:tcPr>
          <w:p>
            <w:pPr>
              <w:jc w:val="right"/>
              <w:ind w:right="380"/>
              <w:spacing w:after="0"/>
              <w:rPr>
                <w:sz w:val="20"/>
                <w:szCs w:val="20"/>
                <w:color w:val="auto"/>
              </w:rPr>
            </w:pPr>
            <w:r>
              <w:rPr>
                <w:rFonts w:ascii="Arial" w:cs="Arial" w:eastAsia="Arial" w:hAnsi="Arial"/>
                <w:sz w:val="16"/>
                <w:szCs w:val="16"/>
                <w:color w:val="auto"/>
              </w:rPr>
              <w:t>21 million MMBtu *</w:t>
            </w:r>
          </w:p>
        </w:tc>
      </w:tr>
      <w:tr>
        <w:trPr>
          <w:trHeight w:val="216"/>
        </w:trPr>
        <w:tc>
          <w:tcPr>
            <w:tcW w:w="3860" w:type="dxa"/>
            <w:vAlign w:val="bottom"/>
          </w:tcPr>
          <w:p>
            <w:pPr>
              <w:ind w:left="680"/>
              <w:spacing w:after="0"/>
              <w:rPr>
                <w:sz w:val="20"/>
                <w:szCs w:val="20"/>
                <w:color w:val="auto"/>
              </w:rPr>
            </w:pPr>
            <w:r>
              <w:rPr>
                <w:rFonts w:ascii="Arial" w:cs="Arial" w:eastAsia="Arial" w:hAnsi="Arial"/>
                <w:sz w:val="16"/>
                <w:szCs w:val="16"/>
                <w:color w:val="auto"/>
              </w:rPr>
              <w:t>Congestion revenue rights</w:t>
            </w:r>
          </w:p>
        </w:tc>
        <w:tc>
          <w:tcPr>
            <w:tcW w:w="2260" w:type="dxa"/>
            <w:vAlign w:val="bottom"/>
          </w:tcPr>
          <w:p>
            <w:pPr>
              <w:jc w:val="right"/>
              <w:ind w:right="320"/>
              <w:spacing w:after="0"/>
              <w:rPr>
                <w:sz w:val="20"/>
                <w:szCs w:val="20"/>
                <w:color w:val="auto"/>
              </w:rPr>
            </w:pPr>
            <w:r>
              <w:rPr>
                <w:rFonts w:ascii="Arial" w:cs="Arial" w:eastAsia="Arial" w:hAnsi="Arial"/>
                <w:sz w:val="16"/>
                <w:szCs w:val="16"/>
                <w:color w:val="auto"/>
              </w:rPr>
              <w:t>22 million MWH **</w:t>
            </w:r>
          </w:p>
        </w:tc>
      </w:tr>
      <w:tr>
        <w:trPr>
          <w:trHeight w:val="230"/>
        </w:trPr>
        <w:tc>
          <w:tcPr>
            <w:tcW w:w="3860" w:type="dxa"/>
            <w:vAlign w:val="bottom"/>
          </w:tcPr>
          <w:p>
            <w:pPr>
              <w:ind w:left="400"/>
              <w:spacing w:after="0"/>
              <w:rPr>
                <w:sz w:val="20"/>
                <w:szCs w:val="20"/>
                <w:color w:val="auto"/>
              </w:rPr>
            </w:pPr>
            <w:r>
              <w:rPr>
                <w:rFonts w:ascii="Arial" w:cs="Arial" w:eastAsia="Arial" w:hAnsi="Arial"/>
                <w:sz w:val="16"/>
                <w:szCs w:val="16"/>
                <w:color w:val="auto"/>
              </w:rPr>
              <w:t>SoCalGas - natural gas</w:t>
            </w:r>
          </w:p>
        </w:tc>
        <w:tc>
          <w:tcPr>
            <w:tcW w:w="2260" w:type="dxa"/>
            <w:vAlign w:val="bottom"/>
          </w:tcPr>
          <w:p>
            <w:pPr>
              <w:jc w:val="right"/>
              <w:ind w:right="460"/>
              <w:spacing w:after="0"/>
              <w:rPr>
                <w:sz w:val="20"/>
                <w:szCs w:val="20"/>
                <w:color w:val="auto"/>
              </w:rPr>
            </w:pPr>
            <w:r>
              <w:rPr>
                <w:rFonts w:ascii="Arial" w:cs="Arial" w:eastAsia="Arial" w:hAnsi="Arial"/>
                <w:sz w:val="16"/>
                <w:szCs w:val="16"/>
                <w:color w:val="auto"/>
              </w:rPr>
              <w:t>1 million MMBtu</w:t>
            </w:r>
          </w:p>
        </w:tc>
      </w:tr>
      <w:tr>
        <w:trPr>
          <w:trHeight w:val="459"/>
        </w:trPr>
        <w:tc>
          <w:tcPr>
            <w:tcW w:w="3860" w:type="dxa"/>
            <w:vAlign w:val="bottom"/>
          </w:tcPr>
          <w:p>
            <w:pPr>
              <w:ind w:left="20"/>
              <w:spacing w:after="0"/>
              <w:rPr>
                <w:sz w:val="20"/>
                <w:szCs w:val="20"/>
                <w:color w:val="auto"/>
              </w:rPr>
            </w:pPr>
            <w:r>
              <w:rPr>
                <w:rFonts w:ascii="Arial" w:cs="Arial" w:eastAsia="Arial" w:hAnsi="Arial"/>
                <w:sz w:val="16"/>
                <w:szCs w:val="16"/>
                <w:color w:val="auto"/>
              </w:rPr>
              <w:t>Sempra Global:</w:t>
            </w:r>
          </w:p>
        </w:tc>
        <w:tc>
          <w:tcPr>
            <w:tcW w:w="2260" w:type="dxa"/>
            <w:vAlign w:val="bottom"/>
          </w:tcPr>
          <w:p>
            <w:pPr>
              <w:spacing w:after="0"/>
              <w:rPr>
                <w:sz w:val="24"/>
                <w:szCs w:val="24"/>
                <w:color w:val="auto"/>
              </w:rPr>
            </w:pPr>
          </w:p>
        </w:tc>
      </w:tr>
      <w:tr>
        <w:trPr>
          <w:trHeight w:val="230"/>
        </w:trPr>
        <w:tc>
          <w:tcPr>
            <w:tcW w:w="3860" w:type="dxa"/>
            <w:vAlign w:val="bottom"/>
          </w:tcPr>
          <w:p>
            <w:pPr>
              <w:ind w:left="400"/>
              <w:spacing w:after="0"/>
              <w:rPr>
                <w:sz w:val="20"/>
                <w:szCs w:val="20"/>
                <w:color w:val="auto"/>
              </w:rPr>
            </w:pPr>
            <w:r>
              <w:rPr>
                <w:rFonts w:ascii="Arial" w:cs="Arial" w:eastAsia="Arial" w:hAnsi="Arial"/>
                <w:sz w:val="16"/>
                <w:szCs w:val="16"/>
                <w:color w:val="auto"/>
              </w:rPr>
              <w:t>Sempra LNG - natural gas</w:t>
            </w:r>
          </w:p>
        </w:tc>
        <w:tc>
          <w:tcPr>
            <w:tcW w:w="2260" w:type="dxa"/>
            <w:vAlign w:val="bottom"/>
          </w:tcPr>
          <w:p>
            <w:pPr>
              <w:jc w:val="right"/>
              <w:ind w:right="460"/>
              <w:spacing w:after="0"/>
              <w:rPr>
                <w:sz w:val="20"/>
                <w:szCs w:val="20"/>
                <w:color w:val="auto"/>
              </w:rPr>
            </w:pPr>
            <w:r>
              <w:rPr>
                <w:rFonts w:ascii="Arial" w:cs="Arial" w:eastAsia="Arial" w:hAnsi="Arial"/>
                <w:sz w:val="16"/>
                <w:szCs w:val="16"/>
                <w:color w:val="auto"/>
              </w:rPr>
              <w:t>9 million MMBtu</w:t>
            </w:r>
          </w:p>
        </w:tc>
      </w:tr>
      <w:tr>
        <w:trPr>
          <w:trHeight w:val="230"/>
        </w:trPr>
        <w:tc>
          <w:tcPr>
            <w:tcW w:w="3860" w:type="dxa"/>
            <w:vAlign w:val="bottom"/>
          </w:tcPr>
          <w:p>
            <w:pPr>
              <w:ind w:left="400"/>
              <w:spacing w:after="0"/>
              <w:rPr>
                <w:sz w:val="20"/>
                <w:szCs w:val="20"/>
                <w:color w:val="auto"/>
              </w:rPr>
            </w:pPr>
            <w:r>
              <w:rPr>
                <w:rFonts w:ascii="Arial" w:cs="Arial" w:eastAsia="Arial" w:hAnsi="Arial"/>
                <w:sz w:val="16"/>
                <w:szCs w:val="16"/>
                <w:color w:val="auto"/>
              </w:rPr>
              <w:t>Sempra Pipelines &amp; Storage - natural gas</w:t>
            </w:r>
          </w:p>
        </w:tc>
        <w:tc>
          <w:tcPr>
            <w:tcW w:w="2260" w:type="dxa"/>
            <w:vAlign w:val="bottom"/>
          </w:tcPr>
          <w:p>
            <w:pPr>
              <w:jc w:val="right"/>
              <w:ind w:right="460"/>
              <w:spacing w:after="0"/>
              <w:rPr>
                <w:sz w:val="20"/>
                <w:szCs w:val="20"/>
                <w:color w:val="auto"/>
              </w:rPr>
            </w:pPr>
            <w:r>
              <w:rPr>
                <w:rFonts w:ascii="Arial" w:cs="Arial" w:eastAsia="Arial" w:hAnsi="Arial"/>
                <w:sz w:val="16"/>
                <w:szCs w:val="16"/>
                <w:color w:val="auto"/>
              </w:rPr>
              <w:t>4 million MMBtu</w:t>
            </w:r>
          </w:p>
        </w:tc>
      </w:tr>
      <w:tr>
        <w:trPr>
          <w:trHeight w:val="233"/>
        </w:trPr>
        <w:tc>
          <w:tcPr>
            <w:tcW w:w="3860" w:type="dxa"/>
            <w:vAlign w:val="bottom"/>
          </w:tcPr>
          <w:p>
            <w:pPr>
              <w:ind w:left="400"/>
              <w:spacing w:after="0"/>
              <w:rPr>
                <w:sz w:val="20"/>
                <w:szCs w:val="20"/>
                <w:color w:val="auto"/>
              </w:rPr>
            </w:pPr>
            <w:r>
              <w:rPr>
                <w:rFonts w:ascii="Arial" w:cs="Arial" w:eastAsia="Arial" w:hAnsi="Arial"/>
                <w:sz w:val="16"/>
                <w:szCs w:val="16"/>
                <w:color w:val="auto"/>
              </w:rPr>
              <w:t>Sempra Generation - electric power</w:t>
            </w:r>
          </w:p>
        </w:tc>
        <w:tc>
          <w:tcPr>
            <w:tcW w:w="2260" w:type="dxa"/>
            <w:vAlign w:val="bottom"/>
          </w:tcPr>
          <w:p>
            <w:pPr>
              <w:jc w:val="right"/>
              <w:ind w:right="460"/>
              <w:spacing w:after="0"/>
              <w:rPr>
                <w:sz w:val="20"/>
                <w:szCs w:val="20"/>
                <w:color w:val="auto"/>
              </w:rPr>
            </w:pPr>
            <w:r>
              <w:rPr>
                <w:rFonts w:ascii="Arial" w:cs="Arial" w:eastAsia="Arial" w:hAnsi="Arial"/>
                <w:sz w:val="16"/>
                <w:szCs w:val="16"/>
                <w:color w:val="auto"/>
              </w:rPr>
              <w:t>1 million MWH</w:t>
            </w:r>
          </w:p>
        </w:tc>
      </w:tr>
      <w:tr>
        <w:trPr>
          <w:trHeight w:val="84"/>
        </w:trPr>
        <w:tc>
          <w:tcPr>
            <w:tcW w:w="3860" w:type="dxa"/>
            <w:vAlign w:val="bottom"/>
            <w:shd w:val="clear" w:color="auto" w:fill="DFDFDF"/>
          </w:tcPr>
          <w:p>
            <w:pPr>
              <w:spacing w:after="0"/>
              <w:rPr>
                <w:sz w:val="7"/>
                <w:szCs w:val="7"/>
                <w:color w:val="auto"/>
              </w:rPr>
            </w:pPr>
          </w:p>
        </w:tc>
        <w:tc>
          <w:tcPr>
            <w:tcW w:w="2260" w:type="dxa"/>
            <w:vAlign w:val="bottom"/>
            <w:shd w:val="clear" w:color="auto" w:fill="DFDFDF"/>
          </w:tcPr>
          <w:p>
            <w:pPr>
              <w:spacing w:after="0"/>
              <w:rPr>
                <w:sz w:val="7"/>
                <w:szCs w:val="7"/>
                <w:color w:val="auto"/>
              </w:rPr>
            </w:pPr>
          </w:p>
        </w:tc>
      </w:tr>
      <w:tr>
        <w:trPr>
          <w:trHeight w:val="191"/>
        </w:trPr>
        <w:tc>
          <w:tcPr>
            <w:tcW w:w="3860" w:type="dxa"/>
            <w:vAlign w:val="bottom"/>
          </w:tcPr>
          <w:p>
            <w:pPr>
              <w:ind w:left="3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Million British Thermal units (of natural gas)</w:t>
            </w:r>
          </w:p>
        </w:tc>
        <w:tc>
          <w:tcPr>
            <w:tcW w:w="2260" w:type="dxa"/>
            <w:vAlign w:val="bottom"/>
          </w:tcPr>
          <w:p>
            <w:pPr>
              <w:spacing w:after="0"/>
              <w:rPr>
                <w:sz w:val="16"/>
                <w:szCs w:val="16"/>
                <w:color w:val="auto"/>
              </w:rPr>
            </w:pPr>
          </w:p>
        </w:tc>
      </w:tr>
      <w:tr>
        <w:trPr>
          <w:trHeight w:val="203"/>
        </w:trPr>
        <w:tc>
          <w:tcPr>
            <w:tcW w:w="3860" w:type="dxa"/>
            <w:vAlign w:val="bottom"/>
          </w:tcPr>
          <w:p>
            <w:pPr>
              <w:ind w:left="2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Megawatt hours</w:t>
            </w:r>
          </w:p>
        </w:tc>
        <w:tc>
          <w:tcPr>
            <w:tcW w:w="2260" w:type="dxa"/>
            <w:vAlign w:val="bottom"/>
          </w:tcPr>
          <w:p>
            <w:pPr>
              <w:spacing w:after="0"/>
              <w:rPr>
                <w:sz w:val="17"/>
                <w:szCs w:val="17"/>
                <w:color w:val="auto"/>
              </w:rPr>
            </w:pPr>
          </w:p>
        </w:tc>
      </w:tr>
    </w:tbl>
    <w:p>
      <w:pPr>
        <w:spacing w:after="0" w:line="234" w:lineRule="exact"/>
        <w:rPr>
          <w:sz w:val="20"/>
          <w:szCs w:val="20"/>
          <w:color w:val="auto"/>
        </w:rPr>
      </w:pPr>
    </w:p>
    <w:p>
      <w:pPr>
        <w:ind w:right="400"/>
        <w:spacing w:after="0" w:line="251" w:lineRule="auto"/>
        <w:rPr>
          <w:sz w:val="20"/>
          <w:szCs w:val="20"/>
          <w:color w:val="auto"/>
        </w:rPr>
      </w:pPr>
      <w:r>
        <w:rPr>
          <w:rFonts w:ascii="Arial" w:cs="Arial" w:eastAsia="Arial" w:hAnsi="Arial"/>
          <w:sz w:val="22"/>
          <w:szCs w:val="22"/>
          <w:color w:val="auto"/>
        </w:rPr>
        <w:t>In addition to the amounts noted above, we frequently use commodity derivatives to manage risks associated with the physical locations of our customers, assets and other contractual obligations, such as gas purchases.</w:t>
      </w: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INTEREST-RATE DERIVATIVES</w:t>
      </w:r>
    </w:p>
    <w:p>
      <w:pPr>
        <w:spacing w:after="0" w:line="82"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We are exposed to interest-rate changes primarily as a result of our current and expected use of financing. We periodically enter into interest-rate derivative agreements intended to moderate our exposure to interest-rate changes and to lower our overall costs of borrowing. We utilize fixed-to-floating interest-rate swaps, which are typically designated as fair-value hedges, as a means to achieve our targeted level of variable-rate debt as a percent of total debt. In addition, we utilize floating-to-fixed interest-rate derivatives, which are typically designated as cash flow hedges, to lock in interest-rates in anticipation of future financings.</w:t>
      </w:r>
    </w:p>
    <w:p>
      <w:pPr>
        <w:sectPr>
          <w:pgSz w:w="11900" w:h="16838" w:orient="portrait"/>
          <w:cols w:equalWidth="0" w:num="1">
            <w:col w:w="11340"/>
          </w:cols>
          <w:pgMar w:left="240" w:top="118" w:right="319" w:bottom="1440" w:gutter="0" w:footer="0" w:header="0"/>
        </w:sectPr>
      </w:pPr>
    </w:p>
    <w:bookmarkStart w:id="41" w:name="page42"/>
    <w:bookmarkEnd w:id="41"/>
    <w:p>
      <w:pPr>
        <w:spacing w:after="0" w:line="236" w:lineRule="auto"/>
        <w:rPr>
          <w:sz w:val="20"/>
          <w:szCs w:val="20"/>
          <w:color w:val="auto"/>
        </w:rPr>
      </w:pPr>
      <w:r>
        <w:rPr>
          <w:rFonts w:ascii="Arial" w:cs="Arial" w:eastAsia="Arial" w:hAnsi="Arial"/>
          <w:sz w:val="22"/>
          <w:szCs w:val="22"/>
          <w:color w:val="auto"/>
        </w:rPr>
        <w:t>Interest-rate derivatives are utilized by the Sempra Utilities as well as by other Sempra Energy subsidiaries. Although the Sempra Utilities generally recover borrowing costs in rates over time, and the use of interest-rate derivatives is subject to certain regulatory constraints, the impact of interest-rate derivatives may not be recovered from customers as timely as described above with regard to natural gas derivatives. Accordingly, interest-rate derivatives are generally accounted for as hedges at the Sempra Utilities, as at the rest of Sempra Energy's subsidiaries.</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auto"/>
        </w:rPr>
        <w:t>The net notional amount of our interest-rate derivatives as of March 31, 2009 was: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7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2"/>
          </w:tcPr>
          <w:p>
            <w:pPr>
              <w:jc w:val="right"/>
              <w:ind w:right="721"/>
              <w:spacing w:after="0"/>
              <w:rPr>
                <w:sz w:val="20"/>
                <w:szCs w:val="20"/>
                <w:color w:val="auto"/>
              </w:rPr>
            </w:pPr>
            <w:r>
              <w:rPr>
                <w:rFonts w:ascii="Arial" w:cs="Arial" w:eastAsia="Arial" w:hAnsi="Arial"/>
                <w:sz w:val="14"/>
                <w:szCs w:val="14"/>
                <w:color w:val="auto"/>
              </w:rPr>
              <w:t>March 31, 2009</w:t>
            </w:r>
          </w:p>
        </w:tc>
      </w:tr>
      <w:tr>
        <w:trPr>
          <w:trHeight w:val="197"/>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520" w:type="dxa"/>
            <w:vAlign w:val="bottom"/>
            <w:tcBorders>
              <w:bottom w:val="single" w:sz="8" w:color="auto"/>
            </w:tcBorders>
            <w:gridSpan w:val="2"/>
          </w:tcPr>
          <w:p>
            <w:pPr>
              <w:jc w:val="right"/>
              <w:ind w:right="321"/>
              <w:spacing w:after="0"/>
              <w:rPr>
                <w:sz w:val="20"/>
                <w:szCs w:val="20"/>
                <w:color w:val="auto"/>
              </w:rPr>
            </w:pPr>
            <w:r>
              <w:rPr>
                <w:rFonts w:ascii="Arial" w:cs="Arial" w:eastAsia="Arial" w:hAnsi="Arial"/>
                <w:sz w:val="14"/>
                <w:szCs w:val="14"/>
                <w:color w:val="auto"/>
              </w:rPr>
              <w:t>Notional Debt</w:t>
            </w:r>
          </w:p>
        </w:tc>
        <w:tc>
          <w:tcPr>
            <w:tcW w:w="10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Maturities</w:t>
            </w:r>
          </w:p>
        </w:tc>
      </w:tr>
      <w:tr>
        <w:trPr>
          <w:trHeight w:val="210"/>
        </w:trPr>
        <w:tc>
          <w:tcPr>
            <w:tcW w:w="3780" w:type="dxa"/>
            <w:vAlign w:val="bottom"/>
          </w:tcPr>
          <w:p>
            <w:pPr>
              <w:ind w:left="20"/>
              <w:spacing w:after="0"/>
              <w:rPr>
                <w:sz w:val="20"/>
                <w:szCs w:val="20"/>
                <w:color w:val="auto"/>
              </w:rPr>
            </w:pPr>
            <w:r>
              <w:rPr>
                <w:rFonts w:ascii="Arial" w:cs="Arial" w:eastAsia="Arial" w:hAnsi="Arial"/>
                <w:sz w:val="16"/>
                <w:szCs w:val="16"/>
                <w:color w:val="auto"/>
              </w:rPr>
              <w:t>Sempra Energy Consolidated*</w:t>
            </w:r>
          </w:p>
        </w:tc>
        <w:tc>
          <w:tcPr>
            <w:tcW w:w="540" w:type="dxa"/>
            <w:vAlign w:val="bottom"/>
          </w:tcPr>
          <w:p>
            <w:pPr>
              <w:jc w:val="right"/>
              <w:ind w:right="143"/>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215-355</w:t>
            </w:r>
          </w:p>
        </w:tc>
        <w:tc>
          <w:tcPr>
            <w:tcW w:w="1080" w:type="dxa"/>
            <w:vAlign w:val="bottom"/>
          </w:tcPr>
          <w:p>
            <w:pPr>
              <w:jc w:val="right"/>
              <w:spacing w:after="0"/>
              <w:rPr>
                <w:sz w:val="20"/>
                <w:szCs w:val="20"/>
                <w:color w:val="auto"/>
              </w:rPr>
            </w:pPr>
            <w:r>
              <w:rPr>
                <w:rFonts w:ascii="Arial" w:cs="Arial" w:eastAsia="Arial" w:hAnsi="Arial"/>
                <w:sz w:val="16"/>
                <w:szCs w:val="16"/>
                <w:color w:val="auto"/>
              </w:rPr>
              <w:t>2009-2019</w:t>
            </w:r>
          </w:p>
        </w:tc>
      </w:tr>
      <w:tr>
        <w:trPr>
          <w:trHeight w:val="216"/>
        </w:trPr>
        <w:tc>
          <w:tcPr>
            <w:tcW w:w="3780" w:type="dxa"/>
            <w:vAlign w:val="bottom"/>
          </w:tcPr>
          <w:p>
            <w:pPr>
              <w:ind w:left="20"/>
              <w:spacing w:after="0"/>
              <w:rPr>
                <w:sz w:val="20"/>
                <w:szCs w:val="20"/>
                <w:color w:val="auto"/>
              </w:rPr>
            </w:pPr>
            <w:r>
              <w:rPr>
                <w:rFonts w:ascii="Arial" w:cs="Arial" w:eastAsia="Arial" w:hAnsi="Arial"/>
                <w:sz w:val="16"/>
                <w:szCs w:val="16"/>
                <w:color w:val="auto"/>
              </w:rPr>
              <w:t>SDG&amp;E*</w:t>
            </w:r>
          </w:p>
        </w:tc>
        <w:tc>
          <w:tcPr>
            <w:tcW w:w="540" w:type="dxa"/>
            <w:vAlign w:val="bottom"/>
          </w:tcPr>
          <w:p>
            <w:pPr>
              <w:spacing w:after="0"/>
              <w:rPr>
                <w:sz w:val="18"/>
                <w:szCs w:val="18"/>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285-375</w:t>
            </w:r>
          </w:p>
        </w:tc>
        <w:tc>
          <w:tcPr>
            <w:tcW w:w="1080" w:type="dxa"/>
            <w:vAlign w:val="bottom"/>
          </w:tcPr>
          <w:p>
            <w:pPr>
              <w:jc w:val="right"/>
              <w:spacing w:after="0"/>
              <w:rPr>
                <w:sz w:val="20"/>
                <w:szCs w:val="20"/>
                <w:color w:val="auto"/>
              </w:rPr>
            </w:pPr>
            <w:r>
              <w:rPr>
                <w:rFonts w:ascii="Arial" w:cs="Arial" w:eastAsia="Arial" w:hAnsi="Arial"/>
                <w:sz w:val="16"/>
                <w:szCs w:val="16"/>
                <w:color w:val="auto"/>
              </w:rPr>
              <w:t>2019</w:t>
            </w:r>
          </w:p>
        </w:tc>
      </w:tr>
      <w:tr>
        <w:trPr>
          <w:trHeight w:val="219"/>
        </w:trPr>
        <w:tc>
          <w:tcPr>
            <w:tcW w:w="3780" w:type="dxa"/>
            <w:vAlign w:val="bottom"/>
          </w:tcPr>
          <w:p>
            <w:pPr>
              <w:ind w:left="20"/>
              <w:spacing w:after="0"/>
              <w:rPr>
                <w:sz w:val="20"/>
                <w:szCs w:val="20"/>
                <w:color w:val="auto"/>
              </w:rPr>
            </w:pPr>
            <w:r>
              <w:rPr>
                <w:rFonts w:ascii="Arial" w:cs="Arial" w:eastAsia="Arial" w:hAnsi="Arial"/>
                <w:sz w:val="16"/>
                <w:szCs w:val="16"/>
                <w:color w:val="auto"/>
              </w:rPr>
              <w:t>SoCalGas</w:t>
            </w:r>
          </w:p>
        </w:tc>
        <w:tc>
          <w:tcPr>
            <w:tcW w:w="540" w:type="dxa"/>
            <w:vAlign w:val="bottom"/>
          </w:tcPr>
          <w:p>
            <w:pPr>
              <w:spacing w:after="0"/>
              <w:rPr>
                <w:sz w:val="19"/>
                <w:szCs w:val="19"/>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150</w:t>
            </w:r>
          </w:p>
        </w:tc>
        <w:tc>
          <w:tcPr>
            <w:tcW w:w="1080" w:type="dxa"/>
            <w:vAlign w:val="bottom"/>
          </w:tcPr>
          <w:p>
            <w:pPr>
              <w:jc w:val="right"/>
              <w:spacing w:after="0"/>
              <w:rPr>
                <w:sz w:val="20"/>
                <w:szCs w:val="20"/>
                <w:color w:val="auto"/>
              </w:rPr>
            </w:pPr>
            <w:r>
              <w:rPr>
                <w:rFonts w:ascii="Arial" w:cs="Arial" w:eastAsia="Arial" w:hAnsi="Arial"/>
                <w:sz w:val="16"/>
                <w:szCs w:val="16"/>
                <w:color w:val="auto"/>
              </w:rPr>
              <w:t>2011</w:t>
            </w:r>
          </w:p>
        </w:tc>
      </w:tr>
      <w:tr>
        <w:trPr>
          <w:trHeight w:val="84"/>
        </w:trPr>
        <w:tc>
          <w:tcPr>
            <w:tcW w:w="3780" w:type="dxa"/>
            <w:vAlign w:val="bottom"/>
            <w:shd w:val="clear" w:color="auto" w:fill="DFDFDF"/>
          </w:tcPr>
          <w:p>
            <w:pPr>
              <w:spacing w:after="0"/>
              <w:rPr>
                <w:sz w:val="7"/>
                <w:szCs w:val="7"/>
                <w:color w:val="auto"/>
              </w:rPr>
            </w:pPr>
          </w:p>
        </w:tc>
        <w:tc>
          <w:tcPr>
            <w:tcW w:w="540" w:type="dxa"/>
            <w:vAlign w:val="bottom"/>
            <w:shd w:val="clear" w:color="auto" w:fill="DFDFDF"/>
          </w:tcPr>
          <w:p>
            <w:pPr>
              <w:spacing w:after="0"/>
              <w:rPr>
                <w:sz w:val="7"/>
                <w:szCs w:val="7"/>
                <w:color w:val="auto"/>
              </w:rPr>
            </w:pPr>
          </w:p>
        </w:tc>
        <w:tc>
          <w:tcPr>
            <w:tcW w:w="980" w:type="dxa"/>
            <w:vAlign w:val="bottom"/>
            <w:shd w:val="clear" w:color="auto" w:fill="DFDFDF"/>
          </w:tcPr>
          <w:p>
            <w:pPr>
              <w:spacing w:after="0"/>
              <w:rPr>
                <w:sz w:val="7"/>
                <w:szCs w:val="7"/>
                <w:color w:val="auto"/>
              </w:rPr>
            </w:pPr>
          </w:p>
        </w:tc>
        <w:tc>
          <w:tcPr>
            <w:tcW w:w="1080" w:type="dxa"/>
            <w:vAlign w:val="bottom"/>
            <w:shd w:val="clear" w:color="auto" w:fill="DFDFDF"/>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Includes Otay Mesa VIE. All of SDG&amp;E's interest-rate derivatives relate to Otay Mesa VIE.</w:t>
      </w:r>
    </w:p>
    <w:p>
      <w:pPr>
        <w:sectPr>
          <w:pgSz w:w="11900" w:h="16838" w:orient="portrait"/>
          <w:cols w:equalWidth="0" w:num="1">
            <w:col w:w="11400"/>
          </w:cols>
          <w:pgMar w:left="240" w:top="118" w:right="259" w:bottom="1440" w:gutter="0" w:footer="0" w:header="0"/>
        </w:sectPr>
      </w:pPr>
    </w:p>
    <w:bookmarkStart w:id="42" w:name="page43"/>
    <w:bookmarkEnd w:id="42"/>
    <w:p>
      <w:pPr>
        <w:spacing w:after="0"/>
        <w:rPr>
          <w:sz w:val="20"/>
          <w:szCs w:val="20"/>
          <w:color w:val="auto"/>
        </w:rPr>
      </w:pPr>
      <w:r>
        <w:rPr>
          <w:rFonts w:ascii="Arial" w:cs="Arial" w:eastAsia="Arial" w:hAnsi="Arial"/>
          <w:sz w:val="22"/>
          <w:szCs w:val="22"/>
          <w:b w:val="1"/>
          <w:bCs w:val="1"/>
          <w:color w:val="auto"/>
        </w:rPr>
        <w:t>FINANCIAL STATEMENT PRESENTATION</w:t>
      </w:r>
    </w:p>
    <w:p>
      <w:pPr>
        <w:spacing w:after="0" w:line="9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following table provides the fair values of derivative instruments, without consideration of margin deposits held or posted, on the Condensed Consolidated Balance Sheets as of March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5960110" cy="274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0110" cy="274320"/>
                    </a:xfrm>
                    <a:prstGeom prst="rect">
                      <a:avLst/>
                    </a:prstGeom>
                    <a:noFill/>
                  </pic:spPr>
                </pic:pic>
              </a:graphicData>
            </a:graphic>
          </wp:anchor>
        </w:drawing>
      </w:r>
    </w:p>
    <w:p>
      <w:pPr>
        <w:spacing w:after="0" w:line="3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DERIVATIVE INSTRUMENTS ON THE CONDENSED CONSOLIDATED BALANCE SHEETS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4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9"/>
        </w:trPr>
        <w:tc>
          <w:tcPr>
            <w:tcW w:w="4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841"/>
              <w:spacing w:after="0"/>
              <w:rPr>
                <w:sz w:val="20"/>
                <w:szCs w:val="20"/>
                <w:color w:val="auto"/>
              </w:rPr>
            </w:pPr>
            <w:r>
              <w:rPr>
                <w:rFonts w:ascii="Arial" w:cs="Arial" w:eastAsia="Arial" w:hAnsi="Arial"/>
                <w:sz w:val="14"/>
                <w:szCs w:val="14"/>
                <w:color w:val="auto"/>
              </w:rPr>
              <w:t>March 31, 2009</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190"/>
        </w:trPr>
        <w:tc>
          <w:tcPr>
            <w:tcW w:w="4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center"/>
              <w:ind w:right="2"/>
              <w:spacing w:after="0"/>
              <w:rPr>
                <w:sz w:val="20"/>
                <w:szCs w:val="20"/>
                <w:color w:val="auto"/>
              </w:rPr>
            </w:pPr>
            <w:r>
              <w:rPr>
                <w:rFonts w:ascii="Arial" w:cs="Arial" w:eastAsia="Arial" w:hAnsi="Arial"/>
                <w:sz w:val="14"/>
                <w:szCs w:val="14"/>
                <w:color w:val="auto"/>
              </w:rPr>
              <w:t>Deferred</w:t>
            </w:r>
          </w:p>
        </w:tc>
      </w:tr>
      <w:tr>
        <w:trPr>
          <w:trHeight w:val="203"/>
        </w:trPr>
        <w:tc>
          <w:tcPr>
            <w:tcW w:w="4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credits</w:t>
            </w:r>
          </w:p>
        </w:tc>
      </w:tr>
      <w:tr>
        <w:trPr>
          <w:trHeight w:val="203"/>
        </w:trPr>
        <w:tc>
          <w:tcPr>
            <w:tcW w:w="4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center"/>
              <w:ind w:right="61"/>
              <w:spacing w:after="0"/>
              <w:rPr>
                <w:sz w:val="20"/>
                <w:szCs w:val="20"/>
                <w:color w:val="auto"/>
              </w:rPr>
            </w:pPr>
            <w:r>
              <w:rPr>
                <w:rFonts w:ascii="Arial" w:cs="Arial" w:eastAsia="Arial" w:hAnsi="Arial"/>
                <w:sz w:val="14"/>
                <w:szCs w:val="14"/>
                <w:color w:val="auto"/>
              </w:rPr>
              <w:t>Current</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center"/>
              <w:ind w:right="61"/>
              <w:spacing w:after="0"/>
              <w:rPr>
                <w:sz w:val="20"/>
                <w:szCs w:val="20"/>
                <w:color w:val="auto"/>
              </w:rPr>
            </w:pPr>
            <w:r>
              <w:rPr>
                <w:rFonts w:ascii="Arial" w:cs="Arial" w:eastAsia="Arial" w:hAnsi="Arial"/>
                <w:sz w:val="14"/>
                <w:szCs w:val="14"/>
                <w:color w:val="auto"/>
              </w:rPr>
              <w:t>Current</w:t>
            </w:r>
          </w:p>
        </w:tc>
        <w:tc>
          <w:tcPr>
            <w:tcW w:w="26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and other</w:t>
            </w:r>
          </w:p>
        </w:tc>
      </w:tr>
      <w:tr>
        <w:trPr>
          <w:trHeight w:val="203"/>
        </w:trPr>
        <w:tc>
          <w:tcPr>
            <w:tcW w:w="4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center"/>
              <w:ind w:right="41"/>
              <w:spacing w:after="0"/>
              <w:rPr>
                <w:sz w:val="20"/>
                <w:szCs w:val="20"/>
                <w:color w:val="auto"/>
              </w:rPr>
            </w:pPr>
            <w:r>
              <w:rPr>
                <w:rFonts w:ascii="Arial" w:cs="Arial" w:eastAsia="Arial" w:hAnsi="Arial"/>
                <w:sz w:val="14"/>
                <w:szCs w:val="14"/>
                <w:color w:val="auto"/>
              </w:rPr>
              <w:t>assets:</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center"/>
              <w:ind w:right="61"/>
              <w:spacing w:after="0"/>
              <w:rPr>
                <w:sz w:val="20"/>
                <w:szCs w:val="20"/>
                <w:color w:val="auto"/>
              </w:rPr>
            </w:pPr>
            <w:r>
              <w:rPr>
                <w:rFonts w:ascii="Arial" w:cs="Arial" w:eastAsia="Arial" w:hAnsi="Arial"/>
                <w:sz w:val="14"/>
                <w:szCs w:val="14"/>
                <w:color w:val="auto"/>
              </w:rPr>
              <w:t>liabilities:</w:t>
            </w:r>
          </w:p>
        </w:tc>
        <w:tc>
          <w:tcPr>
            <w:tcW w:w="26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liabilities:</w:t>
            </w:r>
          </w:p>
        </w:tc>
      </w:tr>
      <w:tr>
        <w:trPr>
          <w:trHeight w:val="203"/>
        </w:trPr>
        <w:tc>
          <w:tcPr>
            <w:tcW w:w="4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center"/>
              <w:ind w:right="61"/>
              <w:spacing w:after="0"/>
              <w:rPr>
                <w:sz w:val="20"/>
                <w:szCs w:val="20"/>
                <w:color w:val="auto"/>
              </w:rPr>
            </w:pPr>
            <w:r>
              <w:rPr>
                <w:rFonts w:ascii="Arial" w:cs="Arial" w:eastAsia="Arial" w:hAnsi="Arial"/>
                <w:sz w:val="14"/>
                <w:szCs w:val="14"/>
                <w:color w:val="auto"/>
              </w:rPr>
              <w:t>Fixed-price</w:t>
            </w:r>
          </w:p>
        </w:tc>
        <w:tc>
          <w:tcPr>
            <w:tcW w:w="280" w:type="dxa"/>
            <w:vAlign w:val="bottom"/>
          </w:tcPr>
          <w:p>
            <w:pPr>
              <w:spacing w:after="0"/>
              <w:rPr>
                <w:sz w:val="17"/>
                <w:szCs w:val="17"/>
                <w:color w:val="auto"/>
              </w:rPr>
            </w:pPr>
          </w:p>
        </w:tc>
        <w:tc>
          <w:tcPr>
            <w:tcW w:w="1120" w:type="dxa"/>
            <w:vAlign w:val="bottom"/>
          </w:tcPr>
          <w:p>
            <w:pPr>
              <w:jc w:val="center"/>
              <w:ind w:right="81"/>
              <w:spacing w:after="0"/>
              <w:rPr>
                <w:sz w:val="20"/>
                <w:szCs w:val="20"/>
                <w:color w:val="auto"/>
              </w:rPr>
            </w:pPr>
            <w:r>
              <w:rPr>
                <w:rFonts w:ascii="Arial" w:cs="Arial" w:eastAsia="Arial" w:hAnsi="Arial"/>
                <w:sz w:val="14"/>
                <w:szCs w:val="14"/>
                <w:color w:val="auto"/>
              </w:rPr>
              <w:t>Investments</w:t>
            </w:r>
          </w:p>
        </w:tc>
        <w:tc>
          <w:tcPr>
            <w:tcW w:w="260" w:type="dxa"/>
            <w:vAlign w:val="bottom"/>
          </w:tcPr>
          <w:p>
            <w:pPr>
              <w:spacing w:after="0"/>
              <w:rPr>
                <w:sz w:val="17"/>
                <w:szCs w:val="17"/>
                <w:color w:val="auto"/>
              </w:rPr>
            </w:pPr>
          </w:p>
        </w:tc>
        <w:tc>
          <w:tcPr>
            <w:tcW w:w="1020" w:type="dxa"/>
            <w:vAlign w:val="bottom"/>
          </w:tcPr>
          <w:p>
            <w:pPr>
              <w:jc w:val="center"/>
              <w:ind w:right="61"/>
              <w:spacing w:after="0"/>
              <w:rPr>
                <w:sz w:val="20"/>
                <w:szCs w:val="20"/>
                <w:color w:val="auto"/>
              </w:rPr>
            </w:pPr>
            <w:r>
              <w:rPr>
                <w:rFonts w:ascii="Arial" w:cs="Arial" w:eastAsia="Arial" w:hAnsi="Arial"/>
                <w:sz w:val="14"/>
                <w:szCs w:val="14"/>
                <w:color w:val="auto"/>
              </w:rPr>
              <w:t>Fixed-price</w:t>
            </w:r>
          </w:p>
        </w:tc>
        <w:tc>
          <w:tcPr>
            <w:tcW w:w="26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Fixed-price</w:t>
            </w:r>
          </w:p>
        </w:tc>
      </w:tr>
      <w:tr>
        <w:trPr>
          <w:trHeight w:val="203"/>
        </w:trPr>
        <w:tc>
          <w:tcPr>
            <w:tcW w:w="4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center"/>
              <w:ind w:right="41"/>
              <w:spacing w:after="0"/>
              <w:rPr>
                <w:sz w:val="20"/>
                <w:szCs w:val="20"/>
                <w:color w:val="auto"/>
              </w:rPr>
            </w:pPr>
            <w:r>
              <w:rPr>
                <w:rFonts w:ascii="Arial" w:cs="Arial" w:eastAsia="Arial" w:hAnsi="Arial"/>
                <w:sz w:val="14"/>
                <w:szCs w:val="14"/>
                <w:color w:val="auto"/>
              </w:rPr>
              <w:t>contracts</w:t>
            </w:r>
          </w:p>
        </w:tc>
        <w:tc>
          <w:tcPr>
            <w:tcW w:w="280" w:type="dxa"/>
            <w:vAlign w:val="bottom"/>
          </w:tcPr>
          <w:p>
            <w:pPr>
              <w:spacing w:after="0"/>
              <w:rPr>
                <w:sz w:val="17"/>
                <w:szCs w:val="17"/>
                <w:color w:val="auto"/>
              </w:rPr>
            </w:pPr>
          </w:p>
        </w:tc>
        <w:tc>
          <w:tcPr>
            <w:tcW w:w="1120" w:type="dxa"/>
            <w:vAlign w:val="bottom"/>
          </w:tcPr>
          <w:p>
            <w:pPr>
              <w:jc w:val="center"/>
              <w:ind w:right="81"/>
              <w:spacing w:after="0"/>
              <w:rPr>
                <w:sz w:val="20"/>
                <w:szCs w:val="20"/>
                <w:color w:val="auto"/>
              </w:rPr>
            </w:pPr>
            <w:r>
              <w:rPr>
                <w:rFonts w:ascii="Arial" w:cs="Arial" w:eastAsia="Arial" w:hAnsi="Arial"/>
                <w:sz w:val="14"/>
                <w:szCs w:val="14"/>
                <w:color w:val="auto"/>
              </w:rPr>
              <w:t>and other</w:t>
            </w:r>
          </w:p>
        </w:tc>
        <w:tc>
          <w:tcPr>
            <w:tcW w:w="260" w:type="dxa"/>
            <w:vAlign w:val="bottom"/>
          </w:tcPr>
          <w:p>
            <w:pPr>
              <w:spacing w:after="0"/>
              <w:rPr>
                <w:sz w:val="17"/>
                <w:szCs w:val="17"/>
                <w:color w:val="auto"/>
              </w:rPr>
            </w:pPr>
          </w:p>
        </w:tc>
        <w:tc>
          <w:tcPr>
            <w:tcW w:w="1020" w:type="dxa"/>
            <w:vAlign w:val="bottom"/>
          </w:tcPr>
          <w:p>
            <w:pPr>
              <w:jc w:val="center"/>
              <w:ind w:right="61"/>
              <w:spacing w:after="0"/>
              <w:rPr>
                <w:sz w:val="20"/>
                <w:szCs w:val="20"/>
                <w:color w:val="auto"/>
              </w:rPr>
            </w:pPr>
            <w:r>
              <w:rPr>
                <w:rFonts w:ascii="Arial" w:cs="Arial" w:eastAsia="Arial" w:hAnsi="Arial"/>
                <w:sz w:val="14"/>
                <w:szCs w:val="14"/>
                <w:color w:val="auto"/>
              </w:rPr>
              <w:t>contracts</w:t>
            </w:r>
          </w:p>
        </w:tc>
        <w:tc>
          <w:tcPr>
            <w:tcW w:w="26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contracts</w:t>
            </w:r>
          </w:p>
        </w:tc>
      </w:tr>
      <w:tr>
        <w:trPr>
          <w:trHeight w:val="203"/>
        </w:trPr>
        <w:tc>
          <w:tcPr>
            <w:tcW w:w="4140" w:type="dxa"/>
            <w:vAlign w:val="bottom"/>
          </w:tcPr>
          <w:p>
            <w:pPr>
              <w:ind w:left="20"/>
              <w:spacing w:after="0"/>
              <w:rPr>
                <w:sz w:val="20"/>
                <w:szCs w:val="20"/>
                <w:color w:val="auto"/>
              </w:rPr>
            </w:pPr>
            <w:r>
              <w:rPr>
                <w:rFonts w:ascii="Arial" w:cs="Arial" w:eastAsia="Arial" w:hAnsi="Arial"/>
                <w:sz w:val="14"/>
                <w:szCs w:val="14"/>
                <w:color w:val="auto"/>
              </w:rPr>
              <w:t>Derivatives designated as hedging instruments</w:t>
            </w:r>
          </w:p>
        </w:tc>
        <w:tc>
          <w:tcPr>
            <w:tcW w:w="340" w:type="dxa"/>
            <w:vAlign w:val="bottom"/>
          </w:tcPr>
          <w:p>
            <w:pPr>
              <w:spacing w:after="0"/>
              <w:rPr>
                <w:sz w:val="17"/>
                <w:szCs w:val="17"/>
                <w:color w:val="auto"/>
              </w:rPr>
            </w:pPr>
          </w:p>
        </w:tc>
        <w:tc>
          <w:tcPr>
            <w:tcW w:w="1020" w:type="dxa"/>
            <w:vAlign w:val="bottom"/>
          </w:tcPr>
          <w:p>
            <w:pPr>
              <w:jc w:val="center"/>
              <w:ind w:right="61"/>
              <w:spacing w:after="0"/>
              <w:rPr>
                <w:sz w:val="20"/>
                <w:szCs w:val="20"/>
                <w:color w:val="auto"/>
              </w:rPr>
            </w:pPr>
            <w:r>
              <w:rPr>
                <w:rFonts w:ascii="Arial" w:cs="Arial" w:eastAsia="Arial" w:hAnsi="Arial"/>
                <w:sz w:val="14"/>
                <w:szCs w:val="14"/>
                <w:color w:val="auto"/>
              </w:rPr>
              <w:t>and other</w:t>
            </w:r>
          </w:p>
        </w:tc>
        <w:tc>
          <w:tcPr>
            <w:tcW w:w="280" w:type="dxa"/>
            <w:vAlign w:val="bottom"/>
          </w:tcPr>
          <w:p>
            <w:pPr>
              <w:spacing w:after="0"/>
              <w:rPr>
                <w:sz w:val="17"/>
                <w:szCs w:val="17"/>
                <w:color w:val="auto"/>
              </w:rPr>
            </w:pPr>
          </w:p>
        </w:tc>
        <w:tc>
          <w:tcPr>
            <w:tcW w:w="1120" w:type="dxa"/>
            <w:vAlign w:val="bottom"/>
          </w:tcPr>
          <w:p>
            <w:pPr>
              <w:jc w:val="center"/>
              <w:ind w:right="81"/>
              <w:spacing w:after="0"/>
              <w:rPr>
                <w:sz w:val="20"/>
                <w:szCs w:val="20"/>
                <w:color w:val="auto"/>
              </w:rPr>
            </w:pPr>
            <w:r>
              <w:rPr>
                <w:rFonts w:ascii="Arial" w:cs="Arial" w:eastAsia="Arial" w:hAnsi="Arial"/>
                <w:sz w:val="14"/>
                <w:szCs w:val="14"/>
                <w:color w:val="auto"/>
                <w:w w:val="99"/>
              </w:rPr>
              <w:t>assets:</w:t>
            </w:r>
          </w:p>
        </w:tc>
        <w:tc>
          <w:tcPr>
            <w:tcW w:w="260" w:type="dxa"/>
            <w:vAlign w:val="bottom"/>
          </w:tcPr>
          <w:p>
            <w:pPr>
              <w:spacing w:after="0"/>
              <w:rPr>
                <w:sz w:val="17"/>
                <w:szCs w:val="17"/>
                <w:color w:val="auto"/>
              </w:rPr>
            </w:pPr>
          </w:p>
        </w:tc>
        <w:tc>
          <w:tcPr>
            <w:tcW w:w="1020" w:type="dxa"/>
            <w:vAlign w:val="bottom"/>
          </w:tcPr>
          <w:p>
            <w:pPr>
              <w:jc w:val="center"/>
              <w:ind w:right="61"/>
              <w:spacing w:after="0"/>
              <w:rPr>
                <w:sz w:val="20"/>
                <w:szCs w:val="20"/>
                <w:color w:val="auto"/>
              </w:rPr>
            </w:pPr>
            <w:r>
              <w:rPr>
                <w:rFonts w:ascii="Arial" w:cs="Arial" w:eastAsia="Arial" w:hAnsi="Arial"/>
                <w:sz w:val="14"/>
                <w:szCs w:val="14"/>
                <w:color w:val="auto"/>
              </w:rPr>
              <w:t>and other</w:t>
            </w:r>
          </w:p>
        </w:tc>
        <w:tc>
          <w:tcPr>
            <w:tcW w:w="26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and other</w:t>
            </w:r>
          </w:p>
        </w:tc>
      </w:tr>
      <w:tr>
        <w:trPr>
          <w:trHeight w:val="209"/>
        </w:trPr>
        <w:tc>
          <w:tcPr>
            <w:tcW w:w="41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under SFAS 133</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rPr>
              <w:t>derivatives</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w w:val="99"/>
              </w:rPr>
              <w:t>Sundry</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rPr>
              <w:t>derivatives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derivatives</w:t>
            </w:r>
          </w:p>
        </w:tc>
      </w:tr>
      <w:tr>
        <w:trPr>
          <w:trHeight w:val="214"/>
        </w:trPr>
        <w:tc>
          <w:tcPr>
            <w:tcW w:w="4140" w:type="dxa"/>
            <w:vAlign w:val="bottom"/>
          </w:tcPr>
          <w:p>
            <w:pPr>
              <w:ind w:left="20"/>
              <w:spacing w:after="0"/>
              <w:rPr>
                <w:sz w:val="20"/>
                <w:szCs w:val="20"/>
                <w:color w:val="auto"/>
              </w:rPr>
            </w:pPr>
            <w:r>
              <w:rPr>
                <w:rFonts w:ascii="Arial" w:cs="Arial" w:eastAsia="Arial" w:hAnsi="Arial"/>
                <w:sz w:val="16"/>
                <w:szCs w:val="16"/>
                <w:b w:val="1"/>
                <w:bCs w:val="1"/>
                <w:color w:val="auto"/>
              </w:rPr>
              <w:t>Sempra Energy Consolidated:</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1"/>
        </w:trPr>
        <w:tc>
          <w:tcPr>
            <w:tcW w:w="4140" w:type="dxa"/>
            <w:vAlign w:val="bottom"/>
          </w:tcPr>
          <w:p>
            <w:pPr>
              <w:ind w:left="260"/>
              <w:spacing w:after="0"/>
              <w:rPr>
                <w:sz w:val="20"/>
                <w:szCs w:val="20"/>
                <w:color w:val="auto"/>
              </w:rPr>
            </w:pPr>
            <w:r>
              <w:rPr>
                <w:rFonts w:ascii="Arial" w:cs="Arial" w:eastAsia="Arial" w:hAnsi="Arial"/>
                <w:sz w:val="16"/>
                <w:szCs w:val="16"/>
                <w:color w:val="auto"/>
              </w:rPr>
              <w:t>Interest-rate instruments</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10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4140" w:type="dxa"/>
            <w:vAlign w:val="bottom"/>
          </w:tcPr>
          <w:p>
            <w:pPr>
              <w:ind w:left="260"/>
              <w:spacing w:after="0"/>
              <w:rPr>
                <w:sz w:val="20"/>
                <w:szCs w:val="20"/>
                <w:color w:val="auto"/>
              </w:rPr>
            </w:pPr>
            <w:r>
              <w:rPr>
                <w:rFonts w:ascii="Arial" w:cs="Arial" w:eastAsia="Arial" w:hAnsi="Arial"/>
                <w:sz w:val="16"/>
                <w:szCs w:val="16"/>
                <w:color w:val="auto"/>
              </w:rPr>
              <w:t>Commodity contracts not subject to rate recovery</w:t>
            </w:r>
          </w:p>
        </w:tc>
        <w:tc>
          <w:tcPr>
            <w:tcW w:w="340" w:type="dxa"/>
            <w:vAlign w:val="bottom"/>
          </w:tcPr>
          <w:p>
            <w:pPr>
              <w:spacing w:after="0"/>
              <w:rPr>
                <w:sz w:val="18"/>
                <w:szCs w:val="18"/>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8"/>
                <w:szCs w:val="18"/>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19</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2"/>
        </w:trPr>
        <w:tc>
          <w:tcPr>
            <w:tcW w:w="4140" w:type="dxa"/>
            <w:vAlign w:val="bottom"/>
          </w:tcPr>
          <w:p>
            <w:pPr>
              <w:ind w:left="440"/>
              <w:spacing w:after="0"/>
              <w:rPr>
                <w:sz w:val="20"/>
                <w:szCs w:val="20"/>
                <w:color w:val="auto"/>
              </w:rPr>
            </w:pPr>
            <w:r>
              <w:rPr>
                <w:rFonts w:ascii="Arial" w:cs="Arial" w:eastAsia="Arial" w:hAnsi="Arial"/>
                <w:sz w:val="16"/>
                <w:szCs w:val="16"/>
                <w:color w:val="auto"/>
              </w:rPr>
              <w:t>Offsetting commodity contracts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140" w:type="dxa"/>
            <w:vAlign w:val="bottom"/>
          </w:tcPr>
          <w:p>
            <w:pPr>
              <w:ind w:left="260"/>
              <w:spacing w:after="0"/>
              <w:rPr>
                <w:sz w:val="20"/>
                <w:szCs w:val="20"/>
                <w:color w:val="auto"/>
              </w:rPr>
            </w:pPr>
            <w:r>
              <w:rPr>
                <w:rFonts w:ascii="Arial" w:cs="Arial" w:eastAsia="Arial" w:hAnsi="Arial"/>
                <w:sz w:val="16"/>
                <w:szCs w:val="16"/>
                <w:color w:val="auto"/>
              </w:rPr>
              <w:t>Total</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18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84"/>
        </w:trPr>
        <w:tc>
          <w:tcPr>
            <w:tcW w:w="414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11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r>
      <w:tr>
        <w:trPr>
          <w:trHeight w:val="215"/>
        </w:trPr>
        <w:tc>
          <w:tcPr>
            <w:tcW w:w="4140" w:type="dxa"/>
            <w:vAlign w:val="bottom"/>
          </w:tcPr>
          <w:p>
            <w:pPr>
              <w:ind w:left="20"/>
              <w:spacing w:after="0"/>
              <w:rPr>
                <w:sz w:val="20"/>
                <w:szCs w:val="20"/>
                <w:color w:val="auto"/>
              </w:rPr>
            </w:pPr>
            <w:r>
              <w:rPr>
                <w:rFonts w:ascii="Arial" w:cs="Arial" w:eastAsia="Arial" w:hAnsi="Arial"/>
                <w:sz w:val="16"/>
                <w:szCs w:val="16"/>
                <w:b w:val="1"/>
                <w:bCs w:val="1"/>
                <w:color w:val="auto"/>
              </w:rPr>
              <w:t>SoCalGas:</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4"/>
        </w:trPr>
        <w:tc>
          <w:tcPr>
            <w:tcW w:w="4140" w:type="dxa"/>
            <w:vAlign w:val="bottom"/>
          </w:tcPr>
          <w:p>
            <w:pPr>
              <w:ind w:left="260"/>
              <w:spacing w:after="0"/>
              <w:rPr>
                <w:sz w:val="20"/>
                <w:szCs w:val="20"/>
                <w:color w:val="auto"/>
              </w:rPr>
            </w:pPr>
            <w:r>
              <w:rPr>
                <w:rFonts w:ascii="Arial" w:cs="Arial" w:eastAsia="Arial" w:hAnsi="Arial"/>
                <w:sz w:val="16"/>
                <w:szCs w:val="16"/>
                <w:color w:val="auto"/>
              </w:rPr>
              <w:t>Interest-rate instruments</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84"/>
        </w:trPr>
        <w:tc>
          <w:tcPr>
            <w:tcW w:w="414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11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r>
      <w:tr>
        <w:trPr>
          <w:trHeight w:val="420"/>
        </w:trPr>
        <w:tc>
          <w:tcPr>
            <w:tcW w:w="4140" w:type="dxa"/>
            <w:vAlign w:val="bottom"/>
          </w:tcPr>
          <w:p>
            <w:pPr>
              <w:ind w:left="20"/>
              <w:spacing w:after="0"/>
              <w:rPr>
                <w:sz w:val="20"/>
                <w:szCs w:val="20"/>
                <w:color w:val="auto"/>
              </w:rPr>
            </w:pPr>
            <w:r>
              <w:rPr>
                <w:rFonts w:ascii="Arial" w:cs="Arial" w:eastAsia="Arial" w:hAnsi="Arial"/>
                <w:sz w:val="14"/>
                <w:szCs w:val="14"/>
                <w:color w:val="auto"/>
              </w:rPr>
              <w:t>Derivatives not designated as hedging instruments</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6"/>
        </w:trPr>
        <w:tc>
          <w:tcPr>
            <w:tcW w:w="41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under SFAS 133</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14"/>
        </w:trPr>
        <w:tc>
          <w:tcPr>
            <w:tcW w:w="4140" w:type="dxa"/>
            <w:vAlign w:val="bottom"/>
          </w:tcPr>
          <w:p>
            <w:pPr>
              <w:ind w:left="20"/>
              <w:spacing w:after="0"/>
              <w:rPr>
                <w:sz w:val="20"/>
                <w:szCs w:val="20"/>
                <w:color w:val="auto"/>
              </w:rPr>
            </w:pPr>
            <w:r>
              <w:rPr>
                <w:rFonts w:ascii="Arial" w:cs="Arial" w:eastAsia="Arial" w:hAnsi="Arial"/>
                <w:sz w:val="16"/>
                <w:szCs w:val="16"/>
                <w:b w:val="1"/>
                <w:bCs w:val="1"/>
                <w:color w:val="auto"/>
              </w:rPr>
              <w:t>Sempra Energy Consolidated:</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5"/>
        </w:trPr>
        <w:tc>
          <w:tcPr>
            <w:tcW w:w="4140" w:type="dxa"/>
            <w:vAlign w:val="bottom"/>
          </w:tcPr>
          <w:p>
            <w:pPr>
              <w:ind w:left="260"/>
              <w:spacing w:after="0"/>
              <w:rPr>
                <w:sz w:val="20"/>
                <w:szCs w:val="20"/>
                <w:color w:val="auto"/>
              </w:rPr>
            </w:pPr>
            <w:r>
              <w:rPr>
                <w:rFonts w:ascii="Arial" w:cs="Arial" w:eastAsia="Arial" w:hAnsi="Arial"/>
                <w:sz w:val="16"/>
                <w:szCs w:val="16"/>
                <w:color w:val="auto"/>
              </w:rPr>
              <w:t>Interest-rate instruments*</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45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13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30"/>
        </w:trPr>
        <w:tc>
          <w:tcPr>
            <w:tcW w:w="4140" w:type="dxa"/>
            <w:vAlign w:val="bottom"/>
          </w:tcPr>
          <w:p>
            <w:pPr>
              <w:ind w:left="260"/>
              <w:spacing w:after="0"/>
              <w:rPr>
                <w:sz w:val="20"/>
                <w:szCs w:val="20"/>
                <w:color w:val="auto"/>
              </w:rPr>
            </w:pPr>
            <w:r>
              <w:rPr>
                <w:rFonts w:ascii="Arial" w:cs="Arial" w:eastAsia="Arial" w:hAnsi="Arial"/>
                <w:sz w:val="16"/>
                <w:szCs w:val="16"/>
                <w:color w:val="auto"/>
              </w:rPr>
              <w:t>Commodity contracts not subject to rate recovery</w:t>
            </w:r>
          </w:p>
        </w:tc>
        <w:tc>
          <w:tcPr>
            <w:tcW w:w="340" w:type="dxa"/>
            <w:vAlign w:val="bottom"/>
          </w:tcPr>
          <w:p>
            <w:pPr>
              <w:spacing w:after="0"/>
              <w:rPr>
                <w:sz w:val="19"/>
                <w:szCs w:val="19"/>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229</w:t>
            </w:r>
          </w:p>
        </w:tc>
        <w:tc>
          <w:tcPr>
            <w:tcW w:w="280" w:type="dxa"/>
            <w:vAlign w:val="bottom"/>
          </w:tcPr>
          <w:p>
            <w:pPr>
              <w:spacing w:after="0"/>
              <w:rPr>
                <w:sz w:val="19"/>
                <w:szCs w:val="19"/>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9"/>
                <w:szCs w:val="19"/>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235</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0"/>
        </w:trPr>
        <w:tc>
          <w:tcPr>
            <w:tcW w:w="4140" w:type="dxa"/>
            <w:vAlign w:val="bottom"/>
          </w:tcPr>
          <w:p>
            <w:pPr>
              <w:ind w:left="440"/>
              <w:spacing w:after="0"/>
              <w:rPr>
                <w:sz w:val="20"/>
                <w:szCs w:val="20"/>
                <w:color w:val="auto"/>
              </w:rPr>
            </w:pPr>
            <w:r>
              <w:rPr>
                <w:rFonts w:ascii="Arial" w:cs="Arial" w:eastAsia="Arial" w:hAnsi="Arial"/>
                <w:sz w:val="16"/>
                <w:szCs w:val="16"/>
                <w:color w:val="auto"/>
              </w:rPr>
              <w:t>Offsetting commodity contracts</w:t>
            </w: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(129)</w:t>
            </w:r>
          </w:p>
        </w:tc>
        <w:tc>
          <w:tcPr>
            <w:tcW w:w="28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(129)</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0"/>
        </w:trPr>
        <w:tc>
          <w:tcPr>
            <w:tcW w:w="4140" w:type="dxa"/>
            <w:vAlign w:val="bottom"/>
          </w:tcPr>
          <w:p>
            <w:pPr>
              <w:ind w:left="260"/>
              <w:spacing w:after="0"/>
              <w:rPr>
                <w:sz w:val="20"/>
                <w:szCs w:val="20"/>
                <w:color w:val="auto"/>
              </w:rPr>
            </w:pPr>
            <w:r>
              <w:rPr>
                <w:rFonts w:ascii="Arial" w:cs="Arial" w:eastAsia="Arial" w:hAnsi="Arial"/>
                <w:sz w:val="16"/>
                <w:szCs w:val="16"/>
                <w:color w:val="auto"/>
              </w:rPr>
              <w:t>Commodity contracts subject to rate recovery</w:t>
            </w:r>
          </w:p>
        </w:tc>
        <w:tc>
          <w:tcPr>
            <w:tcW w:w="340" w:type="dxa"/>
            <w:vAlign w:val="bottom"/>
          </w:tcPr>
          <w:p>
            <w:pPr>
              <w:spacing w:after="0"/>
              <w:rPr>
                <w:sz w:val="19"/>
                <w:szCs w:val="19"/>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31</w:t>
            </w:r>
          </w:p>
        </w:tc>
        <w:tc>
          <w:tcPr>
            <w:tcW w:w="280" w:type="dxa"/>
            <w:vAlign w:val="bottom"/>
          </w:tcPr>
          <w:p>
            <w:pPr>
              <w:spacing w:after="0"/>
              <w:rPr>
                <w:sz w:val="19"/>
                <w:szCs w:val="19"/>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19"/>
                <w:szCs w:val="19"/>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92</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22"/>
        </w:trPr>
        <w:tc>
          <w:tcPr>
            <w:tcW w:w="4140" w:type="dxa"/>
            <w:vAlign w:val="bottom"/>
          </w:tcPr>
          <w:p>
            <w:pPr>
              <w:ind w:left="440"/>
              <w:spacing w:after="0"/>
              <w:rPr>
                <w:sz w:val="20"/>
                <w:szCs w:val="20"/>
                <w:color w:val="auto"/>
              </w:rPr>
            </w:pPr>
            <w:r>
              <w:rPr>
                <w:rFonts w:ascii="Arial" w:cs="Arial" w:eastAsia="Arial" w:hAnsi="Arial"/>
                <w:sz w:val="16"/>
                <w:szCs w:val="16"/>
                <w:color w:val="auto"/>
              </w:rPr>
              <w:t>Offsetting commodity contracts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(67)</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(67)</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07"/>
        </w:trPr>
        <w:tc>
          <w:tcPr>
            <w:tcW w:w="4140" w:type="dxa"/>
            <w:vAlign w:val="bottom"/>
          </w:tcPr>
          <w:p>
            <w:pPr>
              <w:ind w:left="260"/>
              <w:spacing w:after="0"/>
              <w:rPr>
                <w:sz w:val="20"/>
                <w:szCs w:val="20"/>
                <w:color w:val="auto"/>
              </w:rPr>
            </w:pPr>
            <w:r>
              <w:rPr>
                <w:rFonts w:ascii="Arial" w:cs="Arial" w:eastAsia="Arial" w:hAnsi="Arial"/>
                <w:sz w:val="16"/>
                <w:szCs w:val="16"/>
                <w:color w:val="auto"/>
              </w:rPr>
              <w:t>Total</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64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48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144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84"/>
        </w:trPr>
        <w:tc>
          <w:tcPr>
            <w:tcW w:w="414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11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r>
      <w:tr>
        <w:trPr>
          <w:trHeight w:val="215"/>
        </w:trPr>
        <w:tc>
          <w:tcPr>
            <w:tcW w:w="414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5"/>
        </w:trPr>
        <w:tc>
          <w:tcPr>
            <w:tcW w:w="4140" w:type="dxa"/>
            <w:vAlign w:val="bottom"/>
          </w:tcPr>
          <w:p>
            <w:pPr>
              <w:ind w:left="260"/>
              <w:spacing w:after="0"/>
              <w:rPr>
                <w:sz w:val="20"/>
                <w:szCs w:val="20"/>
                <w:color w:val="auto"/>
              </w:rPr>
            </w:pPr>
            <w:r>
              <w:rPr>
                <w:rFonts w:ascii="Arial" w:cs="Arial" w:eastAsia="Arial" w:hAnsi="Arial"/>
                <w:sz w:val="16"/>
                <w:szCs w:val="16"/>
                <w:color w:val="auto"/>
              </w:rPr>
              <w:t>Interest-rate instruments*</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13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30"/>
        </w:trPr>
        <w:tc>
          <w:tcPr>
            <w:tcW w:w="4140" w:type="dxa"/>
            <w:vAlign w:val="bottom"/>
          </w:tcPr>
          <w:p>
            <w:pPr>
              <w:ind w:left="260"/>
              <w:spacing w:after="0"/>
              <w:rPr>
                <w:sz w:val="20"/>
                <w:szCs w:val="20"/>
                <w:color w:val="auto"/>
              </w:rPr>
            </w:pPr>
            <w:r>
              <w:rPr>
                <w:rFonts w:ascii="Arial" w:cs="Arial" w:eastAsia="Arial" w:hAnsi="Arial"/>
                <w:sz w:val="16"/>
                <w:szCs w:val="16"/>
                <w:color w:val="auto"/>
              </w:rPr>
              <w:t>Commodity contracts subject to rate recovery</w:t>
            </w:r>
          </w:p>
        </w:tc>
        <w:tc>
          <w:tcPr>
            <w:tcW w:w="340" w:type="dxa"/>
            <w:vAlign w:val="bottom"/>
          </w:tcPr>
          <w:p>
            <w:pPr>
              <w:spacing w:after="0"/>
              <w:rPr>
                <w:sz w:val="19"/>
                <w:szCs w:val="19"/>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18</w:t>
            </w:r>
          </w:p>
        </w:tc>
        <w:tc>
          <w:tcPr>
            <w:tcW w:w="280" w:type="dxa"/>
            <w:vAlign w:val="bottom"/>
          </w:tcPr>
          <w:p>
            <w:pPr>
              <w:spacing w:after="0"/>
              <w:rPr>
                <w:sz w:val="19"/>
                <w:szCs w:val="19"/>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19"/>
                <w:szCs w:val="19"/>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79</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22"/>
        </w:trPr>
        <w:tc>
          <w:tcPr>
            <w:tcW w:w="4140" w:type="dxa"/>
            <w:vAlign w:val="bottom"/>
          </w:tcPr>
          <w:p>
            <w:pPr>
              <w:ind w:left="440"/>
              <w:spacing w:after="0"/>
              <w:rPr>
                <w:sz w:val="20"/>
                <w:szCs w:val="20"/>
                <w:color w:val="auto"/>
              </w:rPr>
            </w:pPr>
            <w:r>
              <w:rPr>
                <w:rFonts w:ascii="Arial" w:cs="Arial" w:eastAsia="Arial" w:hAnsi="Arial"/>
                <w:sz w:val="16"/>
                <w:szCs w:val="16"/>
                <w:color w:val="auto"/>
              </w:rPr>
              <w:t>Offsetting commodity contracts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(54)</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(54)</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07"/>
        </w:trPr>
        <w:tc>
          <w:tcPr>
            <w:tcW w:w="4140" w:type="dxa"/>
            <w:vAlign w:val="bottom"/>
          </w:tcPr>
          <w:p>
            <w:pPr>
              <w:ind w:left="260"/>
              <w:spacing w:after="0"/>
              <w:rPr>
                <w:sz w:val="20"/>
                <w:szCs w:val="20"/>
                <w:color w:val="auto"/>
              </w:rPr>
            </w:pPr>
            <w:r>
              <w:rPr>
                <w:rFonts w:ascii="Arial" w:cs="Arial" w:eastAsia="Arial" w:hAnsi="Arial"/>
                <w:sz w:val="16"/>
                <w:szCs w:val="16"/>
                <w:color w:val="auto"/>
              </w:rPr>
              <w:t>Total</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38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84"/>
        </w:trPr>
        <w:tc>
          <w:tcPr>
            <w:tcW w:w="414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11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r>
      <w:tr>
        <w:trPr>
          <w:trHeight w:val="215"/>
        </w:trPr>
        <w:tc>
          <w:tcPr>
            <w:tcW w:w="4140" w:type="dxa"/>
            <w:vAlign w:val="bottom"/>
          </w:tcPr>
          <w:p>
            <w:pPr>
              <w:ind w:left="20"/>
              <w:spacing w:after="0"/>
              <w:rPr>
                <w:sz w:val="20"/>
                <w:szCs w:val="20"/>
                <w:color w:val="auto"/>
              </w:rPr>
            </w:pPr>
            <w:r>
              <w:rPr>
                <w:rFonts w:ascii="Arial" w:cs="Arial" w:eastAsia="Arial" w:hAnsi="Arial"/>
                <w:sz w:val="16"/>
                <w:szCs w:val="16"/>
                <w:b w:val="1"/>
                <w:bCs w:val="1"/>
                <w:color w:val="auto"/>
              </w:rPr>
              <w:t>SoCalGas:</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5"/>
        </w:trPr>
        <w:tc>
          <w:tcPr>
            <w:tcW w:w="4140" w:type="dxa"/>
            <w:vAlign w:val="bottom"/>
          </w:tcPr>
          <w:p>
            <w:pPr>
              <w:ind w:left="260"/>
              <w:spacing w:after="0"/>
              <w:rPr>
                <w:sz w:val="20"/>
                <w:szCs w:val="20"/>
                <w:color w:val="auto"/>
              </w:rPr>
            </w:pPr>
            <w:r>
              <w:rPr>
                <w:rFonts w:ascii="Arial" w:cs="Arial" w:eastAsia="Arial" w:hAnsi="Arial"/>
                <w:sz w:val="16"/>
                <w:szCs w:val="16"/>
                <w:color w:val="auto"/>
              </w:rPr>
              <w:t>Commodity contracts subject to rate recovery</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13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13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2"/>
        </w:trPr>
        <w:tc>
          <w:tcPr>
            <w:tcW w:w="4140" w:type="dxa"/>
            <w:vAlign w:val="bottom"/>
          </w:tcPr>
          <w:p>
            <w:pPr>
              <w:ind w:left="440"/>
              <w:spacing w:after="0"/>
              <w:rPr>
                <w:sz w:val="20"/>
                <w:szCs w:val="20"/>
                <w:color w:val="auto"/>
              </w:rPr>
            </w:pPr>
            <w:r>
              <w:rPr>
                <w:rFonts w:ascii="Arial" w:cs="Arial" w:eastAsia="Arial" w:hAnsi="Arial"/>
                <w:sz w:val="16"/>
                <w:szCs w:val="16"/>
                <w:color w:val="auto"/>
              </w:rPr>
              <w:t>Offsetting commodity contracts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140" w:type="dxa"/>
            <w:vAlign w:val="bottom"/>
          </w:tcPr>
          <w:p>
            <w:pPr>
              <w:ind w:left="260"/>
              <w:spacing w:after="0"/>
              <w:rPr>
                <w:sz w:val="20"/>
                <w:szCs w:val="20"/>
                <w:color w:val="auto"/>
              </w:rPr>
            </w:pPr>
            <w:r>
              <w:rPr>
                <w:rFonts w:ascii="Arial" w:cs="Arial" w:eastAsia="Arial" w:hAnsi="Arial"/>
                <w:sz w:val="16"/>
                <w:szCs w:val="16"/>
                <w:color w:val="auto"/>
              </w:rPr>
              <w:t>Total</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84"/>
        </w:trPr>
        <w:tc>
          <w:tcPr>
            <w:tcW w:w="414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11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60" w:hanging="238"/>
        <w:spacing w:after="0"/>
        <w:tabs>
          <w:tab w:leader="none" w:pos="260"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Includes Otay Mesa VIE. All of SDG&amp;E's amounts relate to Otay Mesa VIE.</w:t>
      </w:r>
    </w:p>
    <w:p>
      <w:pPr>
        <w:sectPr>
          <w:pgSz w:w="11900" w:h="16838" w:orient="portrait"/>
          <w:cols w:equalWidth="0" w:num="1">
            <w:col w:w="11260"/>
          </w:cols>
          <w:pgMar w:left="240" w:top="418" w:right="399" w:bottom="1440" w:gutter="0" w:footer="0" w:header="0"/>
        </w:sectPr>
      </w:pPr>
    </w:p>
    <w:bookmarkStart w:id="43" w:name="page44"/>
    <w:bookmarkEnd w:id="43"/>
    <w:p>
      <w:pPr>
        <w:spacing w:after="0"/>
        <w:rPr>
          <w:sz w:val="20"/>
          <w:szCs w:val="20"/>
          <w:color w:val="auto"/>
        </w:rPr>
      </w:pPr>
      <w:r>
        <w:rPr>
          <w:rFonts w:ascii="Arial" w:cs="Arial" w:eastAsia="Arial" w:hAnsi="Arial"/>
          <w:sz w:val="19"/>
          <w:szCs w:val="19"/>
          <w:color w:val="auto"/>
        </w:rPr>
        <w:t>The effects of derivative instruments designated as hedges under SFAS 133 on the Condensed Consolidated Statements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Operations for the three months ended March 31, 2009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5342890" cy="274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342890" cy="274320"/>
                    </a:xfrm>
                    <a:prstGeom prst="rect">
                      <a:avLst/>
                    </a:prstGeom>
                    <a:noFill/>
                  </pic:spPr>
                </pic:pic>
              </a:graphicData>
            </a:graphic>
          </wp:anchor>
        </w:drawing>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FAIR VALUE HEDGE IMPACT ON THE CONDENSED CONSOLIDATED STATEMENTS OF OPERATIONS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9"/>
        </w:trPr>
        <w:tc>
          <w:tcPr>
            <w:tcW w:w="5320" w:type="dxa"/>
            <w:vAlign w:val="bottom"/>
          </w:tcPr>
          <w:p>
            <w:pPr>
              <w:spacing w:after="0"/>
              <w:rPr>
                <w:sz w:val="18"/>
                <w:szCs w:val="18"/>
                <w:color w:val="auto"/>
              </w:rPr>
            </w:pPr>
          </w:p>
        </w:tc>
        <w:tc>
          <w:tcPr>
            <w:tcW w:w="3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Three months ended March 31, 2009</w:t>
            </w:r>
          </w:p>
        </w:tc>
      </w:tr>
      <w:tr>
        <w:trPr>
          <w:trHeight w:val="190"/>
        </w:trPr>
        <w:tc>
          <w:tcPr>
            <w:tcW w:w="5320" w:type="dxa"/>
            <w:vAlign w:val="bottom"/>
          </w:tcPr>
          <w:p>
            <w:pPr>
              <w:spacing w:after="0"/>
              <w:rPr>
                <w:sz w:val="16"/>
                <w:szCs w:val="16"/>
                <w:color w:val="auto"/>
              </w:rPr>
            </w:pPr>
          </w:p>
        </w:tc>
        <w:tc>
          <w:tcPr>
            <w:tcW w:w="3100" w:type="dxa"/>
            <w:vAlign w:val="bottom"/>
            <w:gridSpan w:val="3"/>
          </w:tcPr>
          <w:p>
            <w:pPr>
              <w:jc w:val="center"/>
              <w:spacing w:after="0"/>
              <w:rPr>
                <w:sz w:val="20"/>
                <w:szCs w:val="20"/>
                <w:color w:val="auto"/>
              </w:rPr>
            </w:pPr>
            <w:r>
              <w:rPr>
                <w:rFonts w:ascii="Arial" w:cs="Arial" w:eastAsia="Arial" w:hAnsi="Arial"/>
                <w:sz w:val="14"/>
                <w:szCs w:val="14"/>
                <w:color w:val="auto"/>
              </w:rPr>
              <w:t>Gain (loss) on derivative</w:t>
            </w:r>
          </w:p>
        </w:tc>
      </w:tr>
      <w:tr>
        <w:trPr>
          <w:trHeight w:val="209"/>
        </w:trPr>
        <w:tc>
          <w:tcPr>
            <w:tcW w:w="5320" w:type="dxa"/>
            <w:vAlign w:val="bottom"/>
          </w:tcPr>
          <w:p>
            <w:pPr>
              <w:spacing w:after="0"/>
              <w:rPr>
                <w:sz w:val="18"/>
                <w:szCs w:val="18"/>
                <w:color w:val="auto"/>
              </w:rPr>
            </w:pPr>
          </w:p>
        </w:tc>
        <w:tc>
          <w:tcPr>
            <w:tcW w:w="2280" w:type="dxa"/>
            <w:vAlign w:val="bottom"/>
            <w:tcBorders>
              <w:bottom w:val="single" w:sz="8" w:color="auto"/>
            </w:tcBorders>
            <w:gridSpan w:val="2"/>
          </w:tcPr>
          <w:p>
            <w:pPr>
              <w:jc w:val="center"/>
              <w:ind w:left="765"/>
              <w:spacing w:after="0"/>
              <w:rPr>
                <w:sz w:val="20"/>
                <w:szCs w:val="20"/>
                <w:color w:val="auto"/>
              </w:rPr>
            </w:pPr>
            <w:r>
              <w:rPr>
                <w:rFonts w:ascii="Arial" w:cs="Arial" w:eastAsia="Arial" w:hAnsi="Arial"/>
                <w:sz w:val="14"/>
                <w:szCs w:val="14"/>
                <w:color w:val="auto"/>
              </w:rPr>
              <w:t>recognized in earnings</w:t>
            </w:r>
          </w:p>
        </w:tc>
        <w:tc>
          <w:tcPr>
            <w:tcW w:w="820" w:type="dxa"/>
            <w:vAlign w:val="bottom"/>
            <w:tcBorders>
              <w:bottom w:val="single" w:sz="8" w:color="auto"/>
            </w:tcBorders>
          </w:tcPr>
          <w:p>
            <w:pPr>
              <w:spacing w:after="0"/>
              <w:rPr>
                <w:sz w:val="18"/>
                <w:szCs w:val="18"/>
                <w:color w:val="auto"/>
              </w:rPr>
            </w:pPr>
          </w:p>
        </w:tc>
      </w:tr>
      <w:tr>
        <w:trPr>
          <w:trHeight w:val="196"/>
        </w:trPr>
        <w:tc>
          <w:tcPr>
            <w:tcW w:w="5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Location</w:t>
            </w:r>
          </w:p>
        </w:tc>
        <w:tc>
          <w:tcPr>
            <w:tcW w:w="6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w w:val="99"/>
              </w:rPr>
              <w:t>Amount</w:t>
            </w:r>
          </w:p>
        </w:tc>
      </w:tr>
      <w:tr>
        <w:trPr>
          <w:trHeight w:val="214"/>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Sempra Energy Consolidated:</w:t>
            </w:r>
          </w:p>
        </w:tc>
        <w:tc>
          <w:tcPr>
            <w:tcW w:w="1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4"/>
        </w:trPr>
        <w:tc>
          <w:tcPr>
            <w:tcW w:w="5320" w:type="dxa"/>
            <w:vAlign w:val="bottom"/>
          </w:tcPr>
          <w:p>
            <w:pPr>
              <w:ind w:left="300"/>
              <w:spacing w:after="0"/>
              <w:rPr>
                <w:sz w:val="20"/>
                <w:szCs w:val="20"/>
                <w:color w:val="auto"/>
              </w:rPr>
            </w:pPr>
            <w:r>
              <w:rPr>
                <w:rFonts w:ascii="Arial" w:cs="Arial" w:eastAsia="Arial" w:hAnsi="Arial"/>
                <w:sz w:val="16"/>
                <w:szCs w:val="16"/>
                <w:color w:val="auto"/>
              </w:rPr>
              <w:t>Interest-rate instruments*</w:t>
            </w:r>
          </w:p>
        </w:tc>
        <w:tc>
          <w:tcPr>
            <w:tcW w:w="160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6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84"/>
        </w:trPr>
        <w:tc>
          <w:tcPr>
            <w:tcW w:w="5320" w:type="dxa"/>
            <w:vAlign w:val="bottom"/>
            <w:shd w:val="clear" w:color="auto" w:fill="DFDFDF"/>
          </w:tcPr>
          <w:p>
            <w:pPr>
              <w:spacing w:after="0"/>
              <w:rPr>
                <w:sz w:val="7"/>
                <w:szCs w:val="7"/>
                <w:color w:val="auto"/>
              </w:rPr>
            </w:pPr>
          </w:p>
        </w:tc>
        <w:tc>
          <w:tcPr>
            <w:tcW w:w="1600" w:type="dxa"/>
            <w:vAlign w:val="bottom"/>
            <w:shd w:val="clear" w:color="auto" w:fill="DFDFDF"/>
          </w:tcPr>
          <w:p>
            <w:pPr>
              <w:spacing w:after="0"/>
              <w:rPr>
                <w:sz w:val="7"/>
                <w:szCs w:val="7"/>
                <w:color w:val="auto"/>
              </w:rPr>
            </w:pPr>
          </w:p>
        </w:tc>
        <w:tc>
          <w:tcPr>
            <w:tcW w:w="680" w:type="dxa"/>
            <w:vAlign w:val="bottom"/>
            <w:shd w:val="clear" w:color="auto" w:fill="DFDFDF"/>
          </w:tcPr>
          <w:p>
            <w:pPr>
              <w:spacing w:after="0"/>
              <w:rPr>
                <w:sz w:val="7"/>
                <w:szCs w:val="7"/>
                <w:color w:val="auto"/>
              </w:rPr>
            </w:pPr>
          </w:p>
        </w:tc>
        <w:tc>
          <w:tcPr>
            <w:tcW w:w="820" w:type="dxa"/>
            <w:vAlign w:val="bottom"/>
            <w:shd w:val="clear" w:color="auto" w:fill="DFDFDF"/>
          </w:tcPr>
          <w:p>
            <w:pPr>
              <w:spacing w:after="0"/>
              <w:rPr>
                <w:sz w:val="7"/>
                <w:szCs w:val="7"/>
                <w:color w:val="auto"/>
              </w:rPr>
            </w:pP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SoCalGas:</w:t>
            </w:r>
          </w:p>
        </w:tc>
        <w:tc>
          <w:tcPr>
            <w:tcW w:w="1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4"/>
        </w:trPr>
        <w:tc>
          <w:tcPr>
            <w:tcW w:w="5320" w:type="dxa"/>
            <w:vAlign w:val="bottom"/>
          </w:tcPr>
          <w:p>
            <w:pPr>
              <w:ind w:left="300"/>
              <w:spacing w:after="0"/>
              <w:rPr>
                <w:sz w:val="20"/>
                <w:szCs w:val="20"/>
                <w:color w:val="auto"/>
              </w:rPr>
            </w:pPr>
            <w:r>
              <w:rPr>
                <w:rFonts w:ascii="Arial" w:cs="Arial" w:eastAsia="Arial" w:hAnsi="Arial"/>
                <w:sz w:val="16"/>
                <w:szCs w:val="16"/>
                <w:color w:val="auto"/>
              </w:rPr>
              <w:t>Interest-rate instrument*</w:t>
            </w:r>
          </w:p>
        </w:tc>
        <w:tc>
          <w:tcPr>
            <w:tcW w:w="160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6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84"/>
        </w:trPr>
        <w:tc>
          <w:tcPr>
            <w:tcW w:w="5320" w:type="dxa"/>
            <w:vAlign w:val="bottom"/>
            <w:shd w:val="clear" w:color="auto" w:fill="DFDFDF"/>
          </w:tcPr>
          <w:p>
            <w:pPr>
              <w:spacing w:after="0"/>
              <w:rPr>
                <w:sz w:val="7"/>
                <w:szCs w:val="7"/>
                <w:color w:val="auto"/>
              </w:rPr>
            </w:pPr>
          </w:p>
        </w:tc>
        <w:tc>
          <w:tcPr>
            <w:tcW w:w="1600" w:type="dxa"/>
            <w:vAlign w:val="bottom"/>
            <w:shd w:val="clear" w:color="auto" w:fill="DFDFDF"/>
          </w:tcPr>
          <w:p>
            <w:pPr>
              <w:spacing w:after="0"/>
              <w:rPr>
                <w:sz w:val="7"/>
                <w:szCs w:val="7"/>
                <w:color w:val="auto"/>
              </w:rPr>
            </w:pPr>
          </w:p>
        </w:tc>
        <w:tc>
          <w:tcPr>
            <w:tcW w:w="680" w:type="dxa"/>
            <w:vAlign w:val="bottom"/>
            <w:shd w:val="clear" w:color="auto" w:fill="DFDFDF"/>
          </w:tcPr>
          <w:p>
            <w:pPr>
              <w:spacing w:after="0"/>
              <w:rPr>
                <w:sz w:val="7"/>
                <w:szCs w:val="7"/>
                <w:color w:val="auto"/>
              </w:rPr>
            </w:pPr>
          </w:p>
        </w:tc>
        <w:tc>
          <w:tcPr>
            <w:tcW w:w="820" w:type="dxa"/>
            <w:vAlign w:val="bottom"/>
            <w:shd w:val="clear" w:color="auto" w:fill="DFDFDF"/>
          </w:tcPr>
          <w:p>
            <w:pPr>
              <w:spacing w:after="0"/>
              <w:rPr>
                <w:sz w:val="7"/>
                <w:szCs w:val="7"/>
                <w:color w:val="auto"/>
              </w:rPr>
            </w:pPr>
          </w:p>
        </w:tc>
      </w:tr>
    </w:tbl>
    <w:p>
      <w:pPr>
        <w:spacing w:after="0" w:line="4" w:lineRule="exact"/>
        <w:rPr>
          <w:sz w:val="20"/>
          <w:szCs w:val="20"/>
          <w:color w:val="auto"/>
        </w:rPr>
      </w:pPr>
    </w:p>
    <w:p>
      <w:pPr>
        <w:ind w:left="300" w:right="3060" w:hanging="78"/>
        <w:spacing w:after="0" w:line="299" w:lineRule="auto"/>
        <w:tabs>
          <w:tab w:leader="none" w:pos="300" w:val="left"/>
        </w:tabs>
        <w:numPr>
          <w:ilvl w:val="0"/>
          <w:numId w:val="49"/>
        </w:numPr>
        <w:rPr>
          <w:rFonts w:ascii="Arial" w:cs="Arial" w:eastAsia="Arial" w:hAnsi="Arial"/>
          <w:sz w:val="14"/>
          <w:szCs w:val="14"/>
          <w:i w:val="1"/>
          <w:iCs w:val="1"/>
          <w:color w:val="auto"/>
        </w:rPr>
      </w:pPr>
      <w:r>
        <w:rPr>
          <w:rFonts w:ascii="Arial" w:cs="Arial" w:eastAsia="Arial" w:hAnsi="Arial"/>
          <w:sz w:val="14"/>
          <w:szCs w:val="14"/>
          <w:i w:val="1"/>
          <w:iCs w:val="1"/>
          <w:color w:val="auto"/>
        </w:rPr>
        <w:t>There has been no hedge ineffectiveness on these swaps. Changes in the fair values of the interest-rate swap agreements are exactly offset by changes in the fair value of the underlying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5634355" cy="274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34355" cy="274320"/>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FLOW HEDGE IMPACT ON THE CONDENSED CONSOLIDATED STATEMENTS OF OPERATIONS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9"/>
        </w:trPr>
        <w:tc>
          <w:tcPr>
            <w:tcW w:w="3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Three months ended March 31, 2009</w:t>
            </w:r>
          </w:p>
        </w:tc>
        <w:tc>
          <w:tcPr>
            <w:tcW w:w="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190"/>
        </w:trPr>
        <w:tc>
          <w:tcPr>
            <w:tcW w:w="3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Amount of pretax</w:t>
            </w:r>
          </w:p>
        </w:tc>
        <w:tc>
          <w:tcPr>
            <w:tcW w:w="2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3"/>
        </w:trPr>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gain (loss)</w:t>
            </w:r>
          </w:p>
        </w:tc>
        <w:tc>
          <w:tcPr>
            <w:tcW w:w="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on derivative</w:t>
            </w:r>
          </w:p>
        </w:tc>
        <w:tc>
          <w:tcPr>
            <w:tcW w:w="280" w:type="dxa"/>
            <w:vAlign w:val="bottom"/>
          </w:tcPr>
          <w:p>
            <w:pPr>
              <w:spacing w:after="0"/>
              <w:rPr>
                <w:sz w:val="17"/>
                <w:szCs w:val="17"/>
                <w:color w:val="auto"/>
              </w:rPr>
            </w:pPr>
          </w:p>
        </w:tc>
        <w:tc>
          <w:tcPr>
            <w:tcW w:w="3060" w:type="dxa"/>
            <w:vAlign w:val="bottom"/>
            <w:gridSpan w:val="2"/>
          </w:tcPr>
          <w:p>
            <w:pPr>
              <w:ind w:left="860"/>
              <w:spacing w:after="0"/>
              <w:rPr>
                <w:sz w:val="20"/>
                <w:szCs w:val="20"/>
                <w:color w:val="auto"/>
              </w:rPr>
            </w:pPr>
            <w:r>
              <w:rPr>
                <w:rFonts w:ascii="Arial" w:cs="Arial" w:eastAsia="Arial" w:hAnsi="Arial"/>
                <w:sz w:val="14"/>
                <w:szCs w:val="14"/>
                <w:color w:val="auto"/>
              </w:rPr>
              <w:t>Gain (loss) reclassified from AOCI</w:t>
            </w:r>
          </w:p>
        </w:tc>
        <w:tc>
          <w:tcPr>
            <w:tcW w:w="820" w:type="dxa"/>
            <w:vAlign w:val="bottom"/>
          </w:tcPr>
          <w:p>
            <w:pPr>
              <w:spacing w:after="0"/>
              <w:rPr>
                <w:sz w:val="17"/>
                <w:szCs w:val="17"/>
                <w:color w:val="auto"/>
              </w:rPr>
            </w:pPr>
          </w:p>
        </w:tc>
      </w:tr>
      <w:tr>
        <w:trPr>
          <w:trHeight w:val="215"/>
        </w:trPr>
        <w:tc>
          <w:tcPr>
            <w:tcW w:w="3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recognized in OCI</w:t>
            </w:r>
          </w:p>
        </w:tc>
        <w:tc>
          <w:tcPr>
            <w:tcW w:w="280" w:type="dxa"/>
            <w:vAlign w:val="bottom"/>
          </w:tcPr>
          <w:p>
            <w:pPr>
              <w:spacing w:after="0"/>
              <w:rPr>
                <w:sz w:val="18"/>
                <w:szCs w:val="18"/>
                <w:color w:val="auto"/>
              </w:rPr>
            </w:pPr>
          </w:p>
        </w:tc>
        <w:tc>
          <w:tcPr>
            <w:tcW w:w="3060" w:type="dxa"/>
            <w:vAlign w:val="bottom"/>
            <w:tcBorders>
              <w:bottom w:val="single" w:sz="8" w:color="auto"/>
            </w:tcBorders>
            <w:gridSpan w:val="2"/>
          </w:tcPr>
          <w:p>
            <w:pPr>
              <w:ind w:left="960"/>
              <w:spacing w:after="0"/>
              <w:rPr>
                <w:sz w:val="20"/>
                <w:szCs w:val="20"/>
                <w:color w:val="auto"/>
              </w:rPr>
            </w:pPr>
            <w:r>
              <w:rPr>
                <w:rFonts w:ascii="Arial" w:cs="Arial" w:eastAsia="Arial" w:hAnsi="Arial"/>
                <w:sz w:val="14"/>
                <w:szCs w:val="14"/>
                <w:color w:val="auto"/>
              </w:rPr>
              <w:t>into earnings (effective portion)</w:t>
            </w:r>
          </w:p>
        </w:tc>
        <w:tc>
          <w:tcPr>
            <w:tcW w:w="820" w:type="dxa"/>
            <w:vAlign w:val="bottom"/>
            <w:tcBorders>
              <w:bottom w:val="single" w:sz="8" w:color="auto"/>
            </w:tcBorders>
          </w:tcPr>
          <w:p>
            <w:pPr>
              <w:spacing w:after="0"/>
              <w:rPr>
                <w:sz w:val="18"/>
                <w:szCs w:val="18"/>
                <w:color w:val="auto"/>
              </w:rPr>
            </w:pPr>
          </w:p>
        </w:tc>
      </w:tr>
      <w:tr>
        <w:trPr>
          <w:trHeight w:val="190"/>
        </w:trPr>
        <w:tc>
          <w:tcPr>
            <w:tcW w:w="30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(effective portion)</w:t>
            </w:r>
          </w:p>
        </w:tc>
        <w:tc>
          <w:tcPr>
            <w:tcW w:w="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Location</w:t>
            </w:r>
          </w:p>
        </w:tc>
        <w:tc>
          <w:tcPr>
            <w:tcW w:w="6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Amount</w:t>
            </w:r>
          </w:p>
        </w:tc>
      </w:tr>
      <w:tr>
        <w:trPr>
          <w:trHeight w:val="214"/>
        </w:trPr>
        <w:tc>
          <w:tcPr>
            <w:tcW w:w="3000" w:type="dxa"/>
            <w:vAlign w:val="bottom"/>
          </w:tcPr>
          <w:p>
            <w:pPr>
              <w:ind w:left="20"/>
              <w:spacing w:after="0"/>
              <w:rPr>
                <w:sz w:val="20"/>
                <w:szCs w:val="20"/>
                <w:color w:val="auto"/>
              </w:rPr>
            </w:pPr>
            <w:r>
              <w:rPr>
                <w:rFonts w:ascii="Arial" w:cs="Arial" w:eastAsia="Arial" w:hAnsi="Arial"/>
                <w:sz w:val="16"/>
                <w:szCs w:val="16"/>
                <w:b w:val="1"/>
                <w:bCs w:val="1"/>
                <w:color w:val="auto"/>
              </w:rPr>
              <w:t>Sempra Energy Consolidated:</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1"/>
        </w:trPr>
        <w:tc>
          <w:tcPr>
            <w:tcW w:w="3000" w:type="dxa"/>
            <w:vAlign w:val="bottom"/>
          </w:tcPr>
          <w:p>
            <w:pPr>
              <w:ind w:left="260"/>
              <w:spacing w:after="0"/>
              <w:rPr>
                <w:sz w:val="20"/>
                <w:szCs w:val="20"/>
                <w:color w:val="auto"/>
              </w:rPr>
            </w:pPr>
            <w:r>
              <w:rPr>
                <w:rFonts w:ascii="Arial" w:cs="Arial" w:eastAsia="Arial" w:hAnsi="Arial"/>
                <w:sz w:val="16"/>
                <w:szCs w:val="16"/>
                <w:color w:val="auto"/>
              </w:rPr>
              <w:t>Interest-rate instruments</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8"/>
                <w:szCs w:val="18"/>
                <w:color w:val="auto"/>
              </w:rPr>
            </w:pPr>
          </w:p>
        </w:tc>
        <w:tc>
          <w:tcPr>
            <w:tcW w:w="24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6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3000" w:type="dxa"/>
            <w:vAlign w:val="bottom"/>
          </w:tcPr>
          <w:p>
            <w:pPr>
              <w:ind w:left="260"/>
              <w:spacing w:after="0"/>
              <w:rPr>
                <w:sz w:val="20"/>
                <w:szCs w:val="20"/>
                <w:color w:val="auto"/>
              </w:rPr>
            </w:pPr>
            <w:r>
              <w:rPr>
                <w:rFonts w:ascii="Arial" w:cs="Arial" w:eastAsia="Arial" w:hAnsi="Arial"/>
                <w:sz w:val="16"/>
                <w:szCs w:val="16"/>
                <w:color w:val="auto"/>
              </w:rPr>
              <w:t>Commodity contracts not subject</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tcPr>
          <w:p>
            <w:pPr>
              <w:ind w:left="20"/>
              <w:spacing w:after="0"/>
              <w:rPr>
                <w:sz w:val="20"/>
                <w:szCs w:val="20"/>
                <w:color w:val="auto"/>
              </w:rPr>
            </w:pPr>
            <w:r>
              <w:rPr>
                <w:rFonts w:ascii="Arial" w:cs="Arial" w:eastAsia="Arial" w:hAnsi="Arial"/>
                <w:sz w:val="16"/>
                <w:szCs w:val="16"/>
                <w:color w:val="auto"/>
              </w:rPr>
              <w:t>Revenues: Sempra Global</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000" w:type="dxa"/>
            <w:vAlign w:val="bottom"/>
          </w:tcPr>
          <w:p>
            <w:pPr>
              <w:ind w:left="440"/>
              <w:spacing w:after="0"/>
              <w:rPr>
                <w:sz w:val="20"/>
                <w:szCs w:val="20"/>
                <w:color w:val="auto"/>
              </w:rPr>
            </w:pPr>
            <w:r>
              <w:rPr>
                <w:rFonts w:ascii="Arial" w:cs="Arial" w:eastAsia="Arial" w:hAnsi="Arial"/>
                <w:sz w:val="16"/>
                <w:szCs w:val="16"/>
                <w:color w:val="auto"/>
              </w:rPr>
              <w:t>to rate recovery</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w:t>
            </w:r>
          </w:p>
        </w:tc>
        <w:tc>
          <w:tcPr>
            <w:tcW w:w="280" w:type="dxa"/>
            <w:vAlign w:val="bottom"/>
          </w:tcPr>
          <w:p>
            <w:pPr>
              <w:spacing w:after="0"/>
              <w:rPr>
                <w:sz w:val="18"/>
                <w:szCs w:val="18"/>
                <w:color w:val="auto"/>
              </w:rPr>
            </w:pPr>
          </w:p>
        </w:tc>
        <w:tc>
          <w:tcPr>
            <w:tcW w:w="2460" w:type="dxa"/>
            <w:vAlign w:val="bottom"/>
          </w:tcPr>
          <w:p>
            <w:pPr>
              <w:ind w:left="200"/>
              <w:spacing w:after="0"/>
              <w:rPr>
                <w:sz w:val="20"/>
                <w:szCs w:val="20"/>
                <w:color w:val="auto"/>
              </w:rPr>
            </w:pPr>
            <w:r>
              <w:rPr>
                <w:rFonts w:ascii="Arial" w:cs="Arial" w:eastAsia="Arial" w:hAnsi="Arial"/>
                <w:sz w:val="16"/>
                <w:szCs w:val="16"/>
                <w:color w:val="auto"/>
              </w:rPr>
              <w:t>and Parent</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6"/>
        </w:trPr>
        <w:tc>
          <w:tcPr>
            <w:tcW w:w="3000" w:type="dxa"/>
            <w:vAlign w:val="bottom"/>
          </w:tcPr>
          <w:p>
            <w:pPr>
              <w:ind w:left="260"/>
              <w:spacing w:after="0"/>
              <w:rPr>
                <w:sz w:val="20"/>
                <w:szCs w:val="20"/>
                <w:color w:val="auto"/>
              </w:rPr>
            </w:pPr>
            <w:r>
              <w:rPr>
                <w:rFonts w:ascii="Arial" w:cs="Arial" w:eastAsia="Arial" w:hAnsi="Arial"/>
                <w:sz w:val="16"/>
                <w:szCs w:val="16"/>
                <w:color w:val="auto"/>
              </w:rPr>
              <w:t>Commodity contracts not subject</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tcPr>
          <w:p>
            <w:pPr>
              <w:ind w:left="20"/>
              <w:spacing w:after="0"/>
              <w:rPr>
                <w:sz w:val="20"/>
                <w:szCs w:val="20"/>
                <w:color w:val="auto"/>
              </w:rPr>
            </w:pPr>
            <w:r>
              <w:rPr>
                <w:rFonts w:ascii="Arial" w:cs="Arial" w:eastAsia="Arial" w:hAnsi="Arial"/>
                <w:sz w:val="16"/>
                <w:szCs w:val="16"/>
                <w:color w:val="auto"/>
              </w:rPr>
              <w:t>Cost of Natural Gas, Electric</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000" w:type="dxa"/>
            <w:vAlign w:val="bottom"/>
          </w:tcPr>
          <w:p>
            <w:pPr>
              <w:ind w:left="440"/>
              <w:spacing w:after="0"/>
              <w:rPr>
                <w:sz w:val="20"/>
                <w:szCs w:val="20"/>
                <w:color w:val="auto"/>
              </w:rPr>
            </w:pPr>
            <w:r>
              <w:rPr>
                <w:rFonts w:ascii="Arial" w:cs="Arial" w:eastAsia="Arial" w:hAnsi="Arial"/>
                <w:sz w:val="16"/>
                <w:szCs w:val="16"/>
                <w:color w:val="auto"/>
              </w:rPr>
              <w:t>to rate recovery</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18"/>
                <w:szCs w:val="18"/>
                <w:color w:val="auto"/>
              </w:rPr>
            </w:pPr>
          </w:p>
        </w:tc>
        <w:tc>
          <w:tcPr>
            <w:tcW w:w="2460" w:type="dxa"/>
            <w:vAlign w:val="bottom"/>
          </w:tcPr>
          <w:p>
            <w:pPr>
              <w:ind w:left="200"/>
              <w:spacing w:after="0"/>
              <w:rPr>
                <w:sz w:val="20"/>
                <w:szCs w:val="20"/>
                <w:color w:val="auto"/>
              </w:rPr>
            </w:pPr>
            <w:r>
              <w:rPr>
                <w:rFonts w:ascii="Arial" w:cs="Arial" w:eastAsia="Arial" w:hAnsi="Arial"/>
                <w:sz w:val="16"/>
                <w:szCs w:val="16"/>
                <w:color w:val="auto"/>
              </w:rPr>
              <w:t>Fuel and Purchased Power</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3000" w:type="dxa"/>
            <w:vAlign w:val="bottom"/>
          </w:tcPr>
          <w:p>
            <w:pPr>
              <w:ind w:left="260"/>
              <w:spacing w:after="0"/>
              <w:rPr>
                <w:sz w:val="20"/>
                <w:szCs w:val="20"/>
                <w:color w:val="auto"/>
              </w:rPr>
            </w:pPr>
            <w:r>
              <w:rPr>
                <w:rFonts w:ascii="Arial" w:cs="Arial" w:eastAsia="Arial" w:hAnsi="Arial"/>
                <w:sz w:val="16"/>
                <w:szCs w:val="16"/>
                <w:color w:val="auto"/>
              </w:rPr>
              <w:t>Commodity contracts not subject</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tcPr>
          <w:p>
            <w:pPr>
              <w:ind w:left="20"/>
              <w:spacing w:after="0"/>
              <w:rPr>
                <w:sz w:val="20"/>
                <w:szCs w:val="20"/>
                <w:color w:val="auto"/>
              </w:rPr>
            </w:pPr>
            <w:r>
              <w:rPr>
                <w:rFonts w:ascii="Arial" w:cs="Arial" w:eastAsia="Arial" w:hAnsi="Arial"/>
                <w:sz w:val="16"/>
                <w:szCs w:val="16"/>
                <w:color w:val="auto"/>
              </w:rPr>
              <w:t>Equity Earnings: RBS</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2"/>
        </w:trPr>
        <w:tc>
          <w:tcPr>
            <w:tcW w:w="3000" w:type="dxa"/>
            <w:vAlign w:val="bottom"/>
          </w:tcPr>
          <w:p>
            <w:pPr>
              <w:ind w:left="440"/>
              <w:spacing w:after="0"/>
              <w:rPr>
                <w:sz w:val="20"/>
                <w:szCs w:val="20"/>
                <w:color w:val="auto"/>
              </w:rPr>
            </w:pPr>
            <w:r>
              <w:rPr>
                <w:rFonts w:ascii="Arial" w:cs="Arial" w:eastAsia="Arial" w:hAnsi="Arial"/>
                <w:sz w:val="16"/>
                <w:szCs w:val="16"/>
                <w:color w:val="auto"/>
              </w:rPr>
              <w:t>to rate recovery</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2460" w:type="dxa"/>
            <w:vAlign w:val="bottom"/>
          </w:tcPr>
          <w:p>
            <w:pPr>
              <w:ind w:left="200"/>
              <w:spacing w:after="0"/>
              <w:rPr>
                <w:sz w:val="20"/>
                <w:szCs w:val="20"/>
                <w:color w:val="auto"/>
              </w:rPr>
            </w:pPr>
            <w:r>
              <w:rPr>
                <w:rFonts w:ascii="Arial" w:cs="Arial" w:eastAsia="Arial" w:hAnsi="Arial"/>
                <w:sz w:val="16"/>
                <w:szCs w:val="16"/>
                <w:color w:val="auto"/>
              </w:rPr>
              <w:t>Sempra Commodities LLP</w:t>
            </w: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07"/>
        </w:trPr>
        <w:tc>
          <w:tcPr>
            <w:tcW w:w="3000" w:type="dxa"/>
            <w:vAlign w:val="bottom"/>
          </w:tcPr>
          <w:p>
            <w:pPr>
              <w:ind w:left="260"/>
              <w:spacing w:after="0"/>
              <w:rPr>
                <w:sz w:val="20"/>
                <w:szCs w:val="20"/>
                <w:color w:val="auto"/>
              </w:rPr>
            </w:pPr>
            <w:r>
              <w:rPr>
                <w:rFonts w:ascii="Arial" w:cs="Arial" w:eastAsia="Arial" w:hAnsi="Arial"/>
                <w:sz w:val="16"/>
                <w:szCs w:val="16"/>
                <w:color w:val="auto"/>
              </w:rPr>
              <w:t>Total</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6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84"/>
        </w:trPr>
        <w:tc>
          <w:tcPr>
            <w:tcW w:w="3000" w:type="dxa"/>
            <w:vAlign w:val="bottom"/>
            <w:shd w:val="clear" w:color="auto" w:fill="000000"/>
          </w:tcPr>
          <w:p>
            <w:pPr>
              <w:spacing w:after="0"/>
              <w:rPr>
                <w:sz w:val="7"/>
                <w:szCs w:val="7"/>
                <w:color w:val="auto"/>
              </w:rPr>
            </w:pPr>
          </w:p>
        </w:tc>
        <w:tc>
          <w:tcPr>
            <w:tcW w:w="300" w:type="dxa"/>
            <w:vAlign w:val="bottom"/>
            <w:shd w:val="clear" w:color="auto" w:fill="000000"/>
          </w:tcPr>
          <w:p>
            <w:pPr>
              <w:spacing w:after="0"/>
              <w:rPr>
                <w:sz w:val="7"/>
                <w:szCs w:val="7"/>
                <w:color w:val="auto"/>
              </w:rPr>
            </w:pPr>
          </w:p>
        </w:tc>
        <w:tc>
          <w:tcPr>
            <w:tcW w:w="142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2460" w:type="dxa"/>
            <w:vAlign w:val="bottom"/>
            <w:shd w:val="clear" w:color="auto" w:fill="000000"/>
          </w:tcPr>
          <w:p>
            <w:pPr>
              <w:spacing w:after="0"/>
              <w:rPr>
                <w:sz w:val="7"/>
                <w:szCs w:val="7"/>
                <w:color w:val="auto"/>
              </w:rPr>
            </w:pPr>
          </w:p>
        </w:tc>
        <w:tc>
          <w:tcPr>
            <w:tcW w:w="60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r>
      <w:tr>
        <w:trPr>
          <w:trHeight w:val="215"/>
        </w:trPr>
        <w:tc>
          <w:tcPr>
            <w:tcW w:w="300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4"/>
        </w:trPr>
        <w:tc>
          <w:tcPr>
            <w:tcW w:w="3000" w:type="dxa"/>
            <w:vAlign w:val="bottom"/>
          </w:tcPr>
          <w:p>
            <w:pPr>
              <w:ind w:left="260"/>
              <w:spacing w:after="0"/>
              <w:rPr>
                <w:sz w:val="20"/>
                <w:szCs w:val="20"/>
                <w:color w:val="auto"/>
              </w:rPr>
            </w:pPr>
            <w:r>
              <w:rPr>
                <w:rFonts w:ascii="Arial" w:cs="Arial" w:eastAsia="Arial" w:hAnsi="Arial"/>
                <w:sz w:val="16"/>
                <w:szCs w:val="16"/>
                <w:color w:val="auto"/>
              </w:rPr>
              <w:t>Interest-rate instruments</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24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6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84"/>
        </w:trPr>
        <w:tc>
          <w:tcPr>
            <w:tcW w:w="3000" w:type="dxa"/>
            <w:vAlign w:val="bottom"/>
            <w:shd w:val="clear" w:color="auto" w:fill="DFDFDF"/>
          </w:tcPr>
          <w:p>
            <w:pPr>
              <w:spacing w:after="0"/>
              <w:rPr>
                <w:sz w:val="7"/>
                <w:szCs w:val="7"/>
                <w:color w:val="auto"/>
              </w:rPr>
            </w:pPr>
          </w:p>
        </w:tc>
        <w:tc>
          <w:tcPr>
            <w:tcW w:w="300" w:type="dxa"/>
            <w:vAlign w:val="bottom"/>
            <w:shd w:val="clear" w:color="auto" w:fill="DFDFDF"/>
          </w:tcPr>
          <w:p>
            <w:pPr>
              <w:spacing w:after="0"/>
              <w:rPr>
                <w:sz w:val="7"/>
                <w:szCs w:val="7"/>
                <w:color w:val="auto"/>
              </w:rPr>
            </w:pPr>
          </w:p>
        </w:tc>
        <w:tc>
          <w:tcPr>
            <w:tcW w:w="1420" w:type="dxa"/>
            <w:vAlign w:val="bottom"/>
            <w:shd w:val="clear" w:color="auto" w:fill="DFDFDF"/>
          </w:tcPr>
          <w:p>
            <w:pPr>
              <w:spacing w:after="0"/>
              <w:rPr>
                <w:sz w:val="7"/>
                <w:szCs w:val="7"/>
                <w:color w:val="auto"/>
              </w:rPr>
            </w:pPr>
          </w:p>
        </w:tc>
        <w:tc>
          <w:tcPr>
            <w:tcW w:w="280" w:type="dxa"/>
            <w:vAlign w:val="bottom"/>
            <w:shd w:val="clear" w:color="auto" w:fill="DFDFDF"/>
          </w:tcPr>
          <w:p>
            <w:pPr>
              <w:spacing w:after="0"/>
              <w:rPr>
                <w:sz w:val="7"/>
                <w:szCs w:val="7"/>
                <w:color w:val="auto"/>
              </w:rPr>
            </w:pPr>
          </w:p>
        </w:tc>
        <w:tc>
          <w:tcPr>
            <w:tcW w:w="2460" w:type="dxa"/>
            <w:vAlign w:val="bottom"/>
            <w:shd w:val="clear" w:color="auto" w:fill="DFDFDF"/>
          </w:tcPr>
          <w:p>
            <w:pPr>
              <w:spacing w:after="0"/>
              <w:rPr>
                <w:sz w:val="7"/>
                <w:szCs w:val="7"/>
                <w:color w:val="auto"/>
              </w:rPr>
            </w:pPr>
          </w:p>
        </w:tc>
        <w:tc>
          <w:tcPr>
            <w:tcW w:w="600" w:type="dxa"/>
            <w:vAlign w:val="bottom"/>
            <w:shd w:val="clear" w:color="auto" w:fill="DFDFDF"/>
          </w:tcPr>
          <w:p>
            <w:pPr>
              <w:spacing w:after="0"/>
              <w:rPr>
                <w:sz w:val="7"/>
                <w:szCs w:val="7"/>
                <w:color w:val="auto"/>
              </w:rPr>
            </w:pPr>
          </w:p>
        </w:tc>
        <w:tc>
          <w:tcPr>
            <w:tcW w:w="820" w:type="dxa"/>
            <w:vAlign w:val="bottom"/>
            <w:shd w:val="clear" w:color="auto" w:fill="DFDFDF"/>
          </w:tcPr>
          <w:p>
            <w:pPr>
              <w:spacing w:after="0"/>
              <w:rPr>
                <w:sz w:val="7"/>
                <w:szCs w:val="7"/>
                <w:color w:val="auto"/>
              </w:rPr>
            </w:pPr>
          </w:p>
        </w:tc>
      </w:tr>
      <w:tr>
        <w:trPr>
          <w:trHeight w:val="215"/>
        </w:trPr>
        <w:tc>
          <w:tcPr>
            <w:tcW w:w="3000" w:type="dxa"/>
            <w:vAlign w:val="bottom"/>
          </w:tcPr>
          <w:p>
            <w:pPr>
              <w:ind w:left="20"/>
              <w:spacing w:after="0"/>
              <w:rPr>
                <w:sz w:val="20"/>
                <w:szCs w:val="20"/>
                <w:color w:val="auto"/>
              </w:rPr>
            </w:pPr>
            <w:r>
              <w:rPr>
                <w:rFonts w:ascii="Arial" w:cs="Arial" w:eastAsia="Arial" w:hAnsi="Arial"/>
                <w:sz w:val="16"/>
                <w:szCs w:val="16"/>
                <w:b w:val="1"/>
                <w:bCs w:val="1"/>
                <w:color w:val="auto"/>
              </w:rPr>
              <w:t>SoCalGas:</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4"/>
        </w:trPr>
        <w:tc>
          <w:tcPr>
            <w:tcW w:w="3000" w:type="dxa"/>
            <w:vAlign w:val="bottom"/>
          </w:tcPr>
          <w:p>
            <w:pPr>
              <w:ind w:left="260"/>
              <w:spacing w:after="0"/>
              <w:rPr>
                <w:sz w:val="20"/>
                <w:szCs w:val="20"/>
                <w:color w:val="auto"/>
              </w:rPr>
            </w:pPr>
            <w:r>
              <w:rPr>
                <w:rFonts w:ascii="Arial" w:cs="Arial" w:eastAsia="Arial" w:hAnsi="Arial"/>
                <w:sz w:val="16"/>
                <w:szCs w:val="16"/>
                <w:color w:val="auto"/>
              </w:rPr>
              <w:t>Interest-rate instrument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24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6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84"/>
        </w:trPr>
        <w:tc>
          <w:tcPr>
            <w:tcW w:w="3000" w:type="dxa"/>
            <w:vAlign w:val="bottom"/>
            <w:shd w:val="clear" w:color="auto" w:fill="DFDFDF"/>
          </w:tcPr>
          <w:p>
            <w:pPr>
              <w:spacing w:after="0"/>
              <w:rPr>
                <w:sz w:val="7"/>
                <w:szCs w:val="7"/>
                <w:color w:val="auto"/>
              </w:rPr>
            </w:pPr>
          </w:p>
        </w:tc>
        <w:tc>
          <w:tcPr>
            <w:tcW w:w="300" w:type="dxa"/>
            <w:vAlign w:val="bottom"/>
            <w:shd w:val="clear" w:color="auto" w:fill="DFDFDF"/>
          </w:tcPr>
          <w:p>
            <w:pPr>
              <w:spacing w:after="0"/>
              <w:rPr>
                <w:sz w:val="7"/>
                <w:szCs w:val="7"/>
                <w:color w:val="auto"/>
              </w:rPr>
            </w:pPr>
          </w:p>
        </w:tc>
        <w:tc>
          <w:tcPr>
            <w:tcW w:w="1420" w:type="dxa"/>
            <w:vAlign w:val="bottom"/>
            <w:shd w:val="clear" w:color="auto" w:fill="DFDFDF"/>
          </w:tcPr>
          <w:p>
            <w:pPr>
              <w:spacing w:after="0"/>
              <w:rPr>
                <w:sz w:val="7"/>
                <w:szCs w:val="7"/>
                <w:color w:val="auto"/>
              </w:rPr>
            </w:pPr>
          </w:p>
        </w:tc>
        <w:tc>
          <w:tcPr>
            <w:tcW w:w="280" w:type="dxa"/>
            <w:vAlign w:val="bottom"/>
            <w:shd w:val="clear" w:color="auto" w:fill="DFDFDF"/>
          </w:tcPr>
          <w:p>
            <w:pPr>
              <w:spacing w:after="0"/>
              <w:rPr>
                <w:sz w:val="7"/>
                <w:szCs w:val="7"/>
                <w:color w:val="auto"/>
              </w:rPr>
            </w:pPr>
          </w:p>
        </w:tc>
        <w:tc>
          <w:tcPr>
            <w:tcW w:w="2460" w:type="dxa"/>
            <w:vAlign w:val="bottom"/>
            <w:shd w:val="clear" w:color="auto" w:fill="DFDFDF"/>
          </w:tcPr>
          <w:p>
            <w:pPr>
              <w:spacing w:after="0"/>
              <w:rPr>
                <w:sz w:val="7"/>
                <w:szCs w:val="7"/>
                <w:color w:val="auto"/>
              </w:rPr>
            </w:pPr>
          </w:p>
        </w:tc>
        <w:tc>
          <w:tcPr>
            <w:tcW w:w="600" w:type="dxa"/>
            <w:vAlign w:val="bottom"/>
            <w:shd w:val="clear" w:color="auto" w:fill="DFDFDF"/>
          </w:tcPr>
          <w:p>
            <w:pPr>
              <w:spacing w:after="0"/>
              <w:rPr>
                <w:sz w:val="7"/>
                <w:szCs w:val="7"/>
                <w:color w:val="auto"/>
              </w:rPr>
            </w:pPr>
          </w:p>
        </w:tc>
        <w:tc>
          <w:tcPr>
            <w:tcW w:w="820" w:type="dxa"/>
            <w:vAlign w:val="bottom"/>
            <w:shd w:val="clear" w:color="auto" w:fill="DFDFDF"/>
          </w:tcPr>
          <w:p>
            <w:pPr>
              <w:spacing w:after="0"/>
              <w:rPr>
                <w:sz w:val="7"/>
                <w:szCs w:val="7"/>
                <w:color w:val="auto"/>
              </w:rPr>
            </w:pPr>
          </w:p>
        </w:tc>
      </w:tr>
    </w:tbl>
    <w:p>
      <w:pPr>
        <w:spacing w:after="0" w:line="222"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Sempra Energy expects that losses of $10 million, which are net of income tax benefit, that are currently recorded in Accumulated Other Comprehensive Income (Loss) related to these cash flow hedges will be reclassified into earnings during the next twelve months as the hedged items affect earnings. Actual amounts ultimately reclassified to earnings depend on the commodity prices and interest rates in effect when derivative contracts that are currently outstanding mature. For all forecasted transactions, the maximum term over which we are hedging exposures to the variability of cash flows, excluding interest payments on variable-rate debt, is 28 months at March 31, 2009.</w:t>
      </w:r>
    </w:p>
    <w:p>
      <w:pPr>
        <w:spacing w:after="0" w:line="53" w:lineRule="exact"/>
        <w:rPr>
          <w:sz w:val="20"/>
          <w:szCs w:val="20"/>
          <w:color w:val="auto"/>
        </w:rPr>
      </w:pPr>
    </w:p>
    <w:p>
      <w:pPr>
        <w:ind w:right="140"/>
        <w:spacing w:after="0" w:line="258" w:lineRule="auto"/>
        <w:rPr>
          <w:sz w:val="20"/>
          <w:szCs w:val="20"/>
          <w:color w:val="auto"/>
        </w:rPr>
      </w:pPr>
      <w:r>
        <w:rPr>
          <w:rFonts w:ascii="Arial" w:cs="Arial" w:eastAsia="Arial" w:hAnsi="Arial"/>
          <w:sz w:val="21"/>
          <w:szCs w:val="21"/>
          <w:color w:val="auto"/>
        </w:rPr>
        <w:t>SDG&amp;E and SoCalGas expect that losses of a negligible amount and $3 million, respectively, which are net of income tax benefit, that are currently recorded in Accumulated Other Comprehensive Income (Loss) related to these cash flow hedges will be reclassified into earnings during the next twelve months as the hedged items affect earnings.</w:t>
      </w:r>
    </w:p>
    <w:p>
      <w:pPr>
        <w:sectPr>
          <w:pgSz w:w="11900" w:h="16838" w:orient="portrait"/>
          <w:cols w:equalWidth="0" w:num="1">
            <w:col w:w="11420"/>
          </w:cols>
          <w:pgMar w:left="240" w:top="118" w:right="239" w:bottom="1440" w:gutter="0" w:footer="0" w:header="0"/>
        </w:sectPr>
      </w:pPr>
    </w:p>
    <w:bookmarkStart w:id="44" w:name="page45"/>
    <w:bookmarkEnd w:id="44"/>
    <w:p>
      <w:pPr>
        <w:ind w:right="580"/>
        <w:spacing w:after="0" w:line="251" w:lineRule="auto"/>
        <w:rPr>
          <w:sz w:val="20"/>
          <w:szCs w:val="20"/>
          <w:color w:val="auto"/>
        </w:rPr>
      </w:pPr>
      <w:r>
        <w:rPr>
          <w:rFonts w:ascii="Arial" w:cs="Arial" w:eastAsia="Arial" w:hAnsi="Arial"/>
          <w:sz w:val="22"/>
          <w:szCs w:val="22"/>
          <w:color w:val="auto"/>
        </w:rPr>
        <w:t>The effects of derivative instruments not designated as hedging instruments under SFAS 133 on the Condensed Consolidated Statements of Operations for the three months ended March 31, 2009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5428615" cy="274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28615" cy="274320"/>
                    </a:xfrm>
                    <a:prstGeom prst="rect">
                      <a:avLst/>
                    </a:prstGeom>
                    <a:noFill/>
                  </pic:spPr>
                </pic:pic>
              </a:graphicData>
            </a:graphic>
          </wp:anchor>
        </w:drawing>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UNDESIGNATED DERIVATIVE IMPACT ON THE CONDENSED CONSOLIDATED STATEMENTS OF OPERATIONS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9"/>
        </w:trPr>
        <w:tc>
          <w:tcPr>
            <w:tcW w:w="4060" w:type="dxa"/>
            <w:vAlign w:val="bottom"/>
          </w:tcPr>
          <w:p>
            <w:pPr>
              <w:spacing w:after="0"/>
              <w:rPr>
                <w:sz w:val="18"/>
                <w:szCs w:val="18"/>
                <w:color w:val="auto"/>
              </w:rPr>
            </w:pPr>
          </w:p>
        </w:tc>
        <w:tc>
          <w:tcPr>
            <w:tcW w:w="3620" w:type="dxa"/>
            <w:vAlign w:val="bottom"/>
            <w:tcBorders>
              <w:bottom w:val="single" w:sz="8" w:color="auto"/>
            </w:tcBorders>
            <w:gridSpan w:val="2"/>
          </w:tcPr>
          <w:p>
            <w:pPr>
              <w:jc w:val="center"/>
              <w:ind w:left="801"/>
              <w:spacing w:after="0"/>
              <w:rPr>
                <w:sz w:val="20"/>
                <w:szCs w:val="20"/>
                <w:color w:val="auto"/>
              </w:rPr>
            </w:pPr>
            <w:r>
              <w:rPr>
                <w:rFonts w:ascii="Arial" w:cs="Arial" w:eastAsia="Arial" w:hAnsi="Arial"/>
                <w:sz w:val="14"/>
                <w:szCs w:val="14"/>
                <w:color w:val="auto"/>
              </w:rPr>
              <w:t>Three months ended March 31, 2009</w:t>
            </w:r>
          </w:p>
        </w:tc>
        <w:tc>
          <w:tcPr>
            <w:tcW w:w="880" w:type="dxa"/>
            <w:vAlign w:val="bottom"/>
            <w:tcBorders>
              <w:bottom w:val="single" w:sz="8" w:color="auto"/>
            </w:tcBorders>
          </w:tcPr>
          <w:p>
            <w:pPr>
              <w:spacing w:after="0"/>
              <w:rPr>
                <w:sz w:val="18"/>
                <w:szCs w:val="18"/>
                <w:color w:val="auto"/>
              </w:rPr>
            </w:pPr>
          </w:p>
        </w:tc>
      </w:tr>
      <w:tr>
        <w:trPr>
          <w:trHeight w:val="190"/>
        </w:trPr>
        <w:tc>
          <w:tcPr>
            <w:tcW w:w="4060" w:type="dxa"/>
            <w:vAlign w:val="bottom"/>
          </w:tcPr>
          <w:p>
            <w:pPr>
              <w:spacing w:after="0"/>
              <w:rPr>
                <w:sz w:val="16"/>
                <w:szCs w:val="16"/>
                <w:color w:val="auto"/>
              </w:rPr>
            </w:pPr>
          </w:p>
        </w:tc>
        <w:tc>
          <w:tcPr>
            <w:tcW w:w="3180" w:type="dxa"/>
            <w:vAlign w:val="bottom"/>
          </w:tcPr>
          <w:p>
            <w:pPr>
              <w:jc w:val="center"/>
              <w:ind w:left="1241"/>
              <w:spacing w:after="0"/>
              <w:rPr>
                <w:sz w:val="20"/>
                <w:szCs w:val="20"/>
                <w:color w:val="auto"/>
              </w:rPr>
            </w:pPr>
            <w:r>
              <w:rPr>
                <w:rFonts w:ascii="Arial" w:cs="Arial" w:eastAsia="Arial" w:hAnsi="Arial"/>
                <w:sz w:val="14"/>
                <w:szCs w:val="14"/>
                <w:color w:val="auto"/>
              </w:rPr>
              <w:t>Gain (loss) on derivative</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9"/>
        </w:trPr>
        <w:tc>
          <w:tcPr>
            <w:tcW w:w="4060" w:type="dxa"/>
            <w:vAlign w:val="bottom"/>
          </w:tcPr>
          <w:p>
            <w:pPr>
              <w:spacing w:after="0"/>
              <w:rPr>
                <w:sz w:val="18"/>
                <w:szCs w:val="18"/>
                <w:color w:val="auto"/>
              </w:rPr>
            </w:pPr>
          </w:p>
        </w:tc>
        <w:tc>
          <w:tcPr>
            <w:tcW w:w="3180" w:type="dxa"/>
            <w:vAlign w:val="bottom"/>
            <w:tcBorders>
              <w:bottom w:val="single" w:sz="8" w:color="auto"/>
            </w:tcBorders>
          </w:tcPr>
          <w:p>
            <w:pPr>
              <w:jc w:val="center"/>
              <w:ind w:left="1241"/>
              <w:spacing w:after="0"/>
              <w:rPr>
                <w:sz w:val="20"/>
                <w:szCs w:val="20"/>
                <w:color w:val="auto"/>
              </w:rPr>
            </w:pPr>
            <w:r>
              <w:rPr>
                <w:rFonts w:ascii="Arial" w:cs="Arial" w:eastAsia="Arial" w:hAnsi="Arial"/>
                <w:sz w:val="14"/>
                <w:szCs w:val="14"/>
                <w:color w:val="auto"/>
              </w:rPr>
              <w:t>recognized in earnings</w:t>
            </w: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196"/>
        </w:trPr>
        <w:tc>
          <w:tcPr>
            <w:tcW w:w="406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tcPr>
          <w:p>
            <w:pPr>
              <w:ind w:left="1320"/>
              <w:spacing w:after="0"/>
              <w:rPr>
                <w:sz w:val="20"/>
                <w:szCs w:val="20"/>
                <w:color w:val="auto"/>
              </w:rPr>
            </w:pPr>
            <w:r>
              <w:rPr>
                <w:rFonts w:ascii="Arial" w:cs="Arial" w:eastAsia="Arial" w:hAnsi="Arial"/>
                <w:sz w:val="14"/>
                <w:szCs w:val="14"/>
                <w:color w:val="auto"/>
              </w:rPr>
              <w:t>Location</w:t>
            </w: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Amount</w:t>
            </w:r>
          </w:p>
        </w:tc>
      </w:tr>
      <w:tr>
        <w:trPr>
          <w:trHeight w:val="214"/>
        </w:trPr>
        <w:tc>
          <w:tcPr>
            <w:tcW w:w="4060" w:type="dxa"/>
            <w:vAlign w:val="bottom"/>
          </w:tcPr>
          <w:p>
            <w:pPr>
              <w:ind w:left="20"/>
              <w:spacing w:after="0"/>
              <w:rPr>
                <w:sz w:val="20"/>
                <w:szCs w:val="20"/>
                <w:color w:val="auto"/>
              </w:rPr>
            </w:pPr>
            <w:r>
              <w:rPr>
                <w:rFonts w:ascii="Arial" w:cs="Arial" w:eastAsia="Arial" w:hAnsi="Arial"/>
                <w:sz w:val="16"/>
                <w:szCs w:val="16"/>
                <w:b w:val="1"/>
                <w:bCs w:val="1"/>
                <w:color w:val="auto"/>
              </w:rPr>
              <w:t>Sempra Energy Consolidated:</w:t>
            </w:r>
          </w:p>
        </w:tc>
        <w:tc>
          <w:tcPr>
            <w:tcW w:w="3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1"/>
        </w:trPr>
        <w:tc>
          <w:tcPr>
            <w:tcW w:w="4060" w:type="dxa"/>
            <w:vAlign w:val="bottom"/>
          </w:tcPr>
          <w:p>
            <w:pPr>
              <w:ind w:left="300"/>
              <w:spacing w:after="0"/>
              <w:rPr>
                <w:sz w:val="20"/>
                <w:szCs w:val="20"/>
                <w:color w:val="auto"/>
              </w:rPr>
            </w:pPr>
            <w:r>
              <w:rPr>
                <w:rFonts w:ascii="Arial" w:cs="Arial" w:eastAsia="Arial" w:hAnsi="Arial"/>
                <w:sz w:val="16"/>
                <w:szCs w:val="16"/>
                <w:color w:val="auto"/>
              </w:rPr>
              <w:t>Interest-rate instruments*</w:t>
            </w:r>
          </w:p>
        </w:tc>
        <w:tc>
          <w:tcPr>
            <w:tcW w:w="318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4060" w:type="dxa"/>
            <w:vAlign w:val="bottom"/>
          </w:tcPr>
          <w:p>
            <w:pPr>
              <w:ind w:left="300"/>
              <w:spacing w:after="0"/>
              <w:rPr>
                <w:sz w:val="20"/>
                <w:szCs w:val="20"/>
                <w:color w:val="auto"/>
              </w:rPr>
            </w:pPr>
            <w:r>
              <w:rPr>
                <w:rFonts w:ascii="Arial" w:cs="Arial" w:eastAsia="Arial" w:hAnsi="Arial"/>
                <w:sz w:val="16"/>
                <w:szCs w:val="16"/>
                <w:color w:val="auto"/>
              </w:rPr>
              <w:t>Commodity contracts not subject to rate recovery</w:t>
            </w:r>
          </w:p>
        </w:tc>
        <w:tc>
          <w:tcPr>
            <w:tcW w:w="3180" w:type="dxa"/>
            <w:vAlign w:val="bottom"/>
          </w:tcPr>
          <w:p>
            <w:pPr>
              <w:ind w:left="20"/>
              <w:spacing w:after="0"/>
              <w:rPr>
                <w:sz w:val="20"/>
                <w:szCs w:val="20"/>
                <w:color w:val="auto"/>
              </w:rPr>
            </w:pPr>
            <w:r>
              <w:rPr>
                <w:rFonts w:ascii="Arial" w:cs="Arial" w:eastAsia="Arial" w:hAnsi="Arial"/>
                <w:sz w:val="16"/>
                <w:szCs w:val="16"/>
                <w:color w:val="auto"/>
              </w:rPr>
              <w:t>Revenues: Sempra Global and Parent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6"/>
        </w:trPr>
        <w:tc>
          <w:tcPr>
            <w:tcW w:w="4060" w:type="dxa"/>
            <w:vAlign w:val="bottom"/>
          </w:tcPr>
          <w:p>
            <w:pPr>
              <w:ind w:left="300"/>
              <w:spacing w:after="0"/>
              <w:rPr>
                <w:sz w:val="20"/>
                <w:szCs w:val="20"/>
                <w:color w:val="auto"/>
              </w:rPr>
            </w:pPr>
            <w:r>
              <w:rPr>
                <w:rFonts w:ascii="Arial" w:cs="Arial" w:eastAsia="Arial" w:hAnsi="Arial"/>
                <w:sz w:val="16"/>
                <w:szCs w:val="16"/>
                <w:color w:val="auto"/>
              </w:rPr>
              <w:t>Commodity contracts not subject to rate recovery</w:t>
            </w:r>
          </w:p>
        </w:tc>
        <w:tc>
          <w:tcPr>
            <w:tcW w:w="3180" w:type="dxa"/>
            <w:vAlign w:val="bottom"/>
          </w:tcPr>
          <w:p>
            <w:pPr>
              <w:ind w:left="20"/>
              <w:spacing w:after="0"/>
              <w:rPr>
                <w:sz w:val="20"/>
                <w:szCs w:val="20"/>
                <w:color w:val="auto"/>
              </w:rPr>
            </w:pPr>
            <w:r>
              <w:rPr>
                <w:rFonts w:ascii="Arial" w:cs="Arial" w:eastAsia="Arial" w:hAnsi="Arial"/>
                <w:sz w:val="16"/>
                <w:szCs w:val="16"/>
                <w:color w:val="auto"/>
              </w:rPr>
              <w:t>Cost of Natural Gas, Electric</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3180" w:type="dxa"/>
            <w:vAlign w:val="bottom"/>
          </w:tcPr>
          <w:p>
            <w:pPr>
              <w:ind w:left="200"/>
              <w:spacing w:after="0"/>
              <w:rPr>
                <w:sz w:val="20"/>
                <w:szCs w:val="20"/>
                <w:color w:val="auto"/>
              </w:rPr>
            </w:pPr>
            <w:r>
              <w:rPr>
                <w:rFonts w:ascii="Arial" w:cs="Arial" w:eastAsia="Arial" w:hAnsi="Arial"/>
                <w:sz w:val="16"/>
                <w:szCs w:val="16"/>
                <w:color w:val="auto"/>
              </w:rPr>
              <w:t>Fuel and Purchased Power</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4060" w:type="dxa"/>
            <w:vAlign w:val="bottom"/>
          </w:tcPr>
          <w:p>
            <w:pPr>
              <w:ind w:left="300"/>
              <w:spacing w:after="0"/>
              <w:rPr>
                <w:sz w:val="20"/>
                <w:szCs w:val="20"/>
                <w:color w:val="auto"/>
              </w:rPr>
            </w:pPr>
            <w:r>
              <w:rPr>
                <w:rFonts w:ascii="Arial" w:cs="Arial" w:eastAsia="Arial" w:hAnsi="Arial"/>
                <w:sz w:val="16"/>
                <w:szCs w:val="16"/>
                <w:color w:val="auto"/>
              </w:rPr>
              <w:t>Commodity contracts subject to rate recovery</w:t>
            </w:r>
          </w:p>
        </w:tc>
        <w:tc>
          <w:tcPr>
            <w:tcW w:w="3180" w:type="dxa"/>
            <w:vAlign w:val="bottom"/>
          </w:tcPr>
          <w:p>
            <w:pPr>
              <w:ind w:left="20"/>
              <w:spacing w:after="0"/>
              <w:rPr>
                <w:sz w:val="20"/>
                <w:szCs w:val="20"/>
                <w:color w:val="auto"/>
              </w:rPr>
            </w:pPr>
            <w:r>
              <w:rPr>
                <w:rFonts w:ascii="Arial" w:cs="Arial" w:eastAsia="Arial" w:hAnsi="Arial"/>
                <w:sz w:val="16"/>
                <w:szCs w:val="16"/>
                <w:color w:val="auto"/>
              </w:rPr>
              <w:t>Cost of Electric Fuel</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3180" w:type="dxa"/>
            <w:vAlign w:val="bottom"/>
          </w:tcPr>
          <w:p>
            <w:pPr>
              <w:ind w:left="200"/>
              <w:spacing w:after="0"/>
              <w:rPr>
                <w:sz w:val="20"/>
                <w:szCs w:val="20"/>
                <w:color w:val="auto"/>
              </w:rPr>
            </w:pPr>
            <w:r>
              <w:rPr>
                <w:rFonts w:ascii="Arial" w:cs="Arial" w:eastAsia="Arial" w:hAnsi="Arial"/>
                <w:sz w:val="16"/>
                <w:szCs w:val="16"/>
                <w:color w:val="auto"/>
              </w:rPr>
              <w:t>and Purchased Power</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22"/>
        </w:trPr>
        <w:tc>
          <w:tcPr>
            <w:tcW w:w="4060" w:type="dxa"/>
            <w:vAlign w:val="bottom"/>
          </w:tcPr>
          <w:p>
            <w:pPr>
              <w:ind w:left="300"/>
              <w:spacing w:after="0"/>
              <w:rPr>
                <w:sz w:val="20"/>
                <w:szCs w:val="20"/>
                <w:color w:val="auto"/>
              </w:rPr>
            </w:pPr>
            <w:r>
              <w:rPr>
                <w:rFonts w:ascii="Arial" w:cs="Arial" w:eastAsia="Arial" w:hAnsi="Arial"/>
                <w:sz w:val="16"/>
                <w:szCs w:val="16"/>
                <w:color w:val="auto"/>
              </w:rPr>
              <w:t>Commodity contracts subject to rate recovery</w:t>
            </w:r>
          </w:p>
        </w:tc>
        <w:tc>
          <w:tcPr>
            <w:tcW w:w="3180" w:type="dxa"/>
            <w:vAlign w:val="bottom"/>
          </w:tcPr>
          <w:p>
            <w:pPr>
              <w:ind w:left="20"/>
              <w:spacing w:after="0"/>
              <w:rPr>
                <w:sz w:val="20"/>
                <w:szCs w:val="20"/>
                <w:color w:val="auto"/>
              </w:rPr>
            </w:pPr>
            <w:r>
              <w:rPr>
                <w:rFonts w:ascii="Arial" w:cs="Arial" w:eastAsia="Arial" w:hAnsi="Arial"/>
                <w:sz w:val="16"/>
                <w:szCs w:val="16"/>
                <w:color w:val="auto"/>
              </w:rPr>
              <w:t>Cost of Natural Gas</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4060" w:type="dxa"/>
            <w:vAlign w:val="bottom"/>
          </w:tcPr>
          <w:p>
            <w:pPr>
              <w:ind w:left="300"/>
              <w:spacing w:after="0"/>
              <w:rPr>
                <w:sz w:val="20"/>
                <w:szCs w:val="20"/>
                <w:color w:val="auto"/>
              </w:rPr>
            </w:pPr>
            <w:r>
              <w:rPr>
                <w:rFonts w:ascii="Arial" w:cs="Arial" w:eastAsia="Arial" w:hAnsi="Arial"/>
                <w:sz w:val="16"/>
                <w:szCs w:val="16"/>
                <w:color w:val="auto"/>
              </w:rPr>
              <w:t>Total</w:t>
            </w:r>
          </w:p>
        </w:tc>
        <w:tc>
          <w:tcPr>
            <w:tcW w:w="3180" w:type="dxa"/>
            <w:vAlign w:val="bottom"/>
          </w:tcPr>
          <w:p>
            <w:pPr>
              <w:spacing w:after="0"/>
              <w:rPr>
                <w:sz w:val="17"/>
                <w:szCs w:val="17"/>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84"/>
        </w:trPr>
        <w:tc>
          <w:tcPr>
            <w:tcW w:w="4060" w:type="dxa"/>
            <w:vAlign w:val="bottom"/>
            <w:shd w:val="clear" w:color="auto" w:fill="000000"/>
          </w:tcPr>
          <w:p>
            <w:pPr>
              <w:spacing w:after="0"/>
              <w:rPr>
                <w:sz w:val="7"/>
                <w:szCs w:val="7"/>
                <w:color w:val="auto"/>
              </w:rPr>
            </w:pPr>
          </w:p>
        </w:tc>
        <w:tc>
          <w:tcPr>
            <w:tcW w:w="3180" w:type="dxa"/>
            <w:vAlign w:val="bottom"/>
            <w:shd w:val="clear" w:color="auto" w:fill="000000"/>
          </w:tcPr>
          <w:p>
            <w:pPr>
              <w:spacing w:after="0"/>
              <w:rPr>
                <w:sz w:val="7"/>
                <w:szCs w:val="7"/>
                <w:color w:val="auto"/>
              </w:rPr>
            </w:pPr>
          </w:p>
        </w:tc>
        <w:tc>
          <w:tcPr>
            <w:tcW w:w="44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r>
      <w:tr>
        <w:trPr>
          <w:trHeight w:val="215"/>
        </w:trPr>
        <w:tc>
          <w:tcPr>
            <w:tcW w:w="406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3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1"/>
        </w:trPr>
        <w:tc>
          <w:tcPr>
            <w:tcW w:w="4060" w:type="dxa"/>
            <w:vAlign w:val="bottom"/>
          </w:tcPr>
          <w:p>
            <w:pPr>
              <w:ind w:left="300"/>
              <w:spacing w:after="0"/>
              <w:rPr>
                <w:sz w:val="20"/>
                <w:szCs w:val="20"/>
                <w:color w:val="auto"/>
              </w:rPr>
            </w:pPr>
            <w:r>
              <w:rPr>
                <w:rFonts w:ascii="Arial" w:cs="Arial" w:eastAsia="Arial" w:hAnsi="Arial"/>
                <w:sz w:val="16"/>
                <w:szCs w:val="16"/>
                <w:color w:val="auto"/>
              </w:rPr>
              <w:t>Interest-rate instruments*</w:t>
            </w:r>
          </w:p>
        </w:tc>
        <w:tc>
          <w:tcPr>
            <w:tcW w:w="318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4060" w:type="dxa"/>
            <w:vAlign w:val="bottom"/>
          </w:tcPr>
          <w:p>
            <w:pPr>
              <w:ind w:left="300"/>
              <w:spacing w:after="0"/>
              <w:rPr>
                <w:sz w:val="20"/>
                <w:szCs w:val="20"/>
                <w:color w:val="auto"/>
              </w:rPr>
            </w:pPr>
            <w:r>
              <w:rPr>
                <w:rFonts w:ascii="Arial" w:cs="Arial" w:eastAsia="Arial" w:hAnsi="Arial"/>
                <w:sz w:val="16"/>
                <w:szCs w:val="16"/>
                <w:color w:val="auto"/>
              </w:rPr>
              <w:t>Commodity contracts subject to rate recovery</w:t>
            </w:r>
          </w:p>
        </w:tc>
        <w:tc>
          <w:tcPr>
            <w:tcW w:w="3180" w:type="dxa"/>
            <w:vAlign w:val="bottom"/>
          </w:tcPr>
          <w:p>
            <w:pPr>
              <w:ind w:left="20"/>
              <w:spacing w:after="0"/>
              <w:rPr>
                <w:sz w:val="20"/>
                <w:szCs w:val="20"/>
                <w:color w:val="auto"/>
              </w:rPr>
            </w:pPr>
            <w:r>
              <w:rPr>
                <w:rFonts w:ascii="Arial" w:cs="Arial" w:eastAsia="Arial" w:hAnsi="Arial"/>
                <w:sz w:val="16"/>
                <w:szCs w:val="16"/>
                <w:color w:val="auto"/>
              </w:rPr>
              <w:t>Cost of Electric Fuel</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2"/>
        </w:trPr>
        <w:tc>
          <w:tcPr>
            <w:tcW w:w="4060" w:type="dxa"/>
            <w:vAlign w:val="bottom"/>
          </w:tcPr>
          <w:p>
            <w:pPr>
              <w:spacing w:after="0"/>
              <w:rPr>
                <w:sz w:val="19"/>
                <w:szCs w:val="19"/>
                <w:color w:val="auto"/>
              </w:rPr>
            </w:pPr>
          </w:p>
        </w:tc>
        <w:tc>
          <w:tcPr>
            <w:tcW w:w="3180" w:type="dxa"/>
            <w:vAlign w:val="bottom"/>
          </w:tcPr>
          <w:p>
            <w:pPr>
              <w:ind w:left="200"/>
              <w:spacing w:after="0"/>
              <w:rPr>
                <w:sz w:val="20"/>
                <w:szCs w:val="20"/>
                <w:color w:val="auto"/>
              </w:rPr>
            </w:pPr>
            <w:r>
              <w:rPr>
                <w:rFonts w:ascii="Arial" w:cs="Arial" w:eastAsia="Arial" w:hAnsi="Arial"/>
                <w:sz w:val="16"/>
                <w:szCs w:val="16"/>
                <w:color w:val="auto"/>
              </w:rPr>
              <w:t>and Purchased Power</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r>
      <w:tr>
        <w:trPr>
          <w:trHeight w:val="207"/>
        </w:trPr>
        <w:tc>
          <w:tcPr>
            <w:tcW w:w="4060" w:type="dxa"/>
            <w:vAlign w:val="bottom"/>
          </w:tcPr>
          <w:p>
            <w:pPr>
              <w:ind w:left="300"/>
              <w:spacing w:after="0"/>
              <w:rPr>
                <w:sz w:val="20"/>
                <w:szCs w:val="20"/>
                <w:color w:val="auto"/>
              </w:rPr>
            </w:pPr>
            <w:r>
              <w:rPr>
                <w:rFonts w:ascii="Arial" w:cs="Arial" w:eastAsia="Arial" w:hAnsi="Arial"/>
                <w:sz w:val="16"/>
                <w:szCs w:val="16"/>
                <w:color w:val="auto"/>
              </w:rPr>
              <w:t>Total</w:t>
            </w:r>
          </w:p>
        </w:tc>
        <w:tc>
          <w:tcPr>
            <w:tcW w:w="3180" w:type="dxa"/>
            <w:vAlign w:val="bottom"/>
          </w:tcPr>
          <w:p>
            <w:pPr>
              <w:spacing w:after="0"/>
              <w:rPr>
                <w:sz w:val="17"/>
                <w:szCs w:val="17"/>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84"/>
        </w:trPr>
        <w:tc>
          <w:tcPr>
            <w:tcW w:w="4060" w:type="dxa"/>
            <w:vAlign w:val="bottom"/>
            <w:shd w:val="clear" w:color="auto" w:fill="000000"/>
          </w:tcPr>
          <w:p>
            <w:pPr>
              <w:spacing w:after="0"/>
              <w:rPr>
                <w:sz w:val="7"/>
                <w:szCs w:val="7"/>
                <w:color w:val="auto"/>
              </w:rPr>
            </w:pPr>
          </w:p>
        </w:tc>
        <w:tc>
          <w:tcPr>
            <w:tcW w:w="3180" w:type="dxa"/>
            <w:vAlign w:val="bottom"/>
            <w:shd w:val="clear" w:color="auto" w:fill="000000"/>
          </w:tcPr>
          <w:p>
            <w:pPr>
              <w:spacing w:after="0"/>
              <w:rPr>
                <w:sz w:val="7"/>
                <w:szCs w:val="7"/>
                <w:color w:val="auto"/>
              </w:rPr>
            </w:pPr>
          </w:p>
        </w:tc>
        <w:tc>
          <w:tcPr>
            <w:tcW w:w="44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r>
      <w:tr>
        <w:trPr>
          <w:trHeight w:val="215"/>
        </w:trPr>
        <w:tc>
          <w:tcPr>
            <w:tcW w:w="4060" w:type="dxa"/>
            <w:vAlign w:val="bottom"/>
          </w:tcPr>
          <w:p>
            <w:pPr>
              <w:ind w:left="20"/>
              <w:spacing w:after="0"/>
              <w:rPr>
                <w:sz w:val="20"/>
                <w:szCs w:val="20"/>
                <w:color w:val="auto"/>
              </w:rPr>
            </w:pPr>
            <w:r>
              <w:rPr>
                <w:rFonts w:ascii="Arial" w:cs="Arial" w:eastAsia="Arial" w:hAnsi="Arial"/>
                <w:sz w:val="16"/>
                <w:szCs w:val="16"/>
                <w:b w:val="1"/>
                <w:bCs w:val="1"/>
                <w:color w:val="auto"/>
              </w:rPr>
              <w:t>SoCalGas:</w:t>
            </w:r>
          </w:p>
        </w:tc>
        <w:tc>
          <w:tcPr>
            <w:tcW w:w="3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4"/>
        </w:trPr>
        <w:tc>
          <w:tcPr>
            <w:tcW w:w="4060" w:type="dxa"/>
            <w:vAlign w:val="bottom"/>
          </w:tcPr>
          <w:p>
            <w:pPr>
              <w:ind w:left="300"/>
              <w:spacing w:after="0"/>
              <w:rPr>
                <w:sz w:val="20"/>
                <w:szCs w:val="20"/>
                <w:color w:val="auto"/>
              </w:rPr>
            </w:pPr>
            <w:r>
              <w:rPr>
                <w:rFonts w:ascii="Arial" w:cs="Arial" w:eastAsia="Arial" w:hAnsi="Arial"/>
                <w:sz w:val="16"/>
                <w:szCs w:val="16"/>
                <w:color w:val="auto"/>
              </w:rPr>
              <w:t>Commodity contracts subject to rate recovery</w:t>
            </w:r>
          </w:p>
        </w:tc>
        <w:tc>
          <w:tcPr>
            <w:tcW w:w="3180" w:type="dxa"/>
            <w:vAlign w:val="bottom"/>
          </w:tcPr>
          <w:p>
            <w:pPr>
              <w:ind w:left="20"/>
              <w:spacing w:after="0"/>
              <w:rPr>
                <w:sz w:val="20"/>
                <w:szCs w:val="20"/>
                <w:color w:val="auto"/>
              </w:rPr>
            </w:pPr>
            <w:r>
              <w:rPr>
                <w:rFonts w:ascii="Arial" w:cs="Arial" w:eastAsia="Arial" w:hAnsi="Arial"/>
                <w:sz w:val="16"/>
                <w:szCs w:val="16"/>
                <w:color w:val="auto"/>
              </w:rPr>
              <w:t>Cost of Natural Gas</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84"/>
        </w:trPr>
        <w:tc>
          <w:tcPr>
            <w:tcW w:w="4060" w:type="dxa"/>
            <w:vAlign w:val="bottom"/>
            <w:shd w:val="clear" w:color="auto" w:fill="DFDFDF"/>
          </w:tcPr>
          <w:p>
            <w:pPr>
              <w:spacing w:after="0"/>
              <w:rPr>
                <w:sz w:val="7"/>
                <w:szCs w:val="7"/>
                <w:color w:val="auto"/>
              </w:rPr>
            </w:pPr>
          </w:p>
        </w:tc>
        <w:tc>
          <w:tcPr>
            <w:tcW w:w="3180" w:type="dxa"/>
            <w:vAlign w:val="bottom"/>
            <w:shd w:val="clear" w:color="auto" w:fill="DFDFDF"/>
          </w:tcPr>
          <w:p>
            <w:pPr>
              <w:spacing w:after="0"/>
              <w:rPr>
                <w:sz w:val="7"/>
                <w:szCs w:val="7"/>
                <w:color w:val="auto"/>
              </w:rPr>
            </w:pPr>
          </w:p>
        </w:tc>
        <w:tc>
          <w:tcPr>
            <w:tcW w:w="440" w:type="dxa"/>
            <w:vAlign w:val="bottom"/>
            <w:shd w:val="clear" w:color="auto" w:fill="DFDFDF"/>
          </w:tcPr>
          <w:p>
            <w:pPr>
              <w:spacing w:after="0"/>
              <w:rPr>
                <w:sz w:val="7"/>
                <w:szCs w:val="7"/>
                <w:color w:val="auto"/>
              </w:rPr>
            </w:pPr>
          </w:p>
        </w:tc>
        <w:tc>
          <w:tcPr>
            <w:tcW w:w="880" w:type="dxa"/>
            <w:vAlign w:val="bottom"/>
            <w:shd w:val="clear" w:color="auto" w:fill="DFDFDF"/>
          </w:tcPr>
          <w:p>
            <w:pPr>
              <w:spacing w:after="0"/>
              <w:rPr>
                <w:sz w:val="7"/>
                <w:szCs w:val="7"/>
                <w:color w:val="auto"/>
              </w:rPr>
            </w:pPr>
          </w:p>
        </w:tc>
      </w:tr>
    </w:tbl>
    <w:p>
      <w:pPr>
        <w:spacing w:after="0" w:line="4" w:lineRule="exact"/>
        <w:rPr>
          <w:sz w:val="20"/>
          <w:szCs w:val="20"/>
          <w:color w:val="auto"/>
        </w:rPr>
      </w:pPr>
    </w:p>
    <w:p>
      <w:pPr>
        <w:ind w:left="300" w:hanging="78"/>
        <w:spacing w:after="0"/>
        <w:tabs>
          <w:tab w:leader="none" w:pos="300" w:val="left"/>
        </w:tabs>
        <w:numPr>
          <w:ilvl w:val="0"/>
          <w:numId w:val="50"/>
        </w:numPr>
        <w:rPr>
          <w:rFonts w:ascii="Arial" w:cs="Arial" w:eastAsia="Arial" w:hAnsi="Arial"/>
          <w:sz w:val="14"/>
          <w:szCs w:val="14"/>
          <w:color w:val="auto"/>
        </w:rPr>
      </w:pPr>
      <w:r>
        <w:rPr>
          <w:rFonts w:ascii="Arial" w:cs="Arial" w:eastAsia="Arial" w:hAnsi="Arial"/>
          <w:sz w:val="14"/>
          <w:szCs w:val="14"/>
          <w:i w:val="1"/>
          <w:iCs w:val="1"/>
          <w:color w:val="auto"/>
        </w:rPr>
        <w:t>Related to Otay Mesa VIE. Sempra Energy Consolidated also includes offsetting instruments.</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CONTINGENT FEATURES</w:t>
      </w:r>
    </w:p>
    <w:p>
      <w:pPr>
        <w:spacing w:after="0" w:line="96" w:lineRule="exact"/>
        <w:rPr>
          <w:sz w:val="20"/>
          <w:szCs w:val="20"/>
          <w:color w:val="auto"/>
        </w:rPr>
      </w:pPr>
    </w:p>
    <w:p>
      <w:pPr>
        <w:ind w:right="160"/>
        <w:spacing w:after="0" w:line="273" w:lineRule="auto"/>
        <w:rPr>
          <w:sz w:val="20"/>
          <w:szCs w:val="20"/>
          <w:color w:val="auto"/>
        </w:rPr>
      </w:pPr>
      <w:r>
        <w:rPr>
          <w:rFonts w:ascii="Arial" w:cs="Arial" w:eastAsia="Arial" w:hAnsi="Arial"/>
          <w:sz w:val="19"/>
          <w:szCs w:val="19"/>
          <w:color w:val="auto"/>
        </w:rPr>
        <w:t>For Sempra Energy and SDG&amp;E, certain of our derivative instruments contain credit limits which vary depending upon our credit rating. Generally, these provisions, if applicable, may reduce our credit limit if a specified credit rating agency reduces our rating. In certain cases, if our credit rating were to fall below investment grade, the counterparty to these derivative</w:t>
      </w:r>
    </w:p>
    <w:p>
      <w:pPr>
        <w:spacing w:after="0" w:line="2" w:lineRule="exact"/>
        <w:rPr>
          <w:sz w:val="20"/>
          <w:szCs w:val="20"/>
          <w:color w:val="auto"/>
        </w:rPr>
      </w:pPr>
    </w:p>
    <w:p>
      <w:pPr>
        <w:ind w:right="20"/>
        <w:spacing w:after="0" w:line="241" w:lineRule="auto"/>
        <w:rPr>
          <w:sz w:val="20"/>
          <w:szCs w:val="20"/>
          <w:color w:val="auto"/>
        </w:rPr>
      </w:pPr>
      <w:r>
        <w:rPr>
          <w:rFonts w:ascii="Arial" w:cs="Arial" w:eastAsia="Arial" w:hAnsi="Arial"/>
          <w:sz w:val="21"/>
          <w:szCs w:val="21"/>
          <w:color w:val="auto"/>
        </w:rPr>
        <w:t>liability instruments could request immediate payment or demand immediate and ongoing full collateralization. For Sempra Energy and SDG&amp;E, the total fair value of this group of derivative instruments in a net liability position at March 31, 2009 is</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$25 million. The aggregate fair value of assets that are already posted as collateral at March 31, 2009 is $6 million. As of March 31, 2009, if our credit rating were reduced below investment grade, $19 million of additional assets could be required to be posted as collateral for these derivative contracts.</w:t>
      </w:r>
    </w:p>
    <w:p>
      <w:pPr>
        <w:spacing w:after="0" w:line="66" w:lineRule="exact"/>
        <w:rPr>
          <w:sz w:val="20"/>
          <w:szCs w:val="20"/>
          <w:color w:val="auto"/>
        </w:rPr>
      </w:pPr>
    </w:p>
    <w:p>
      <w:pPr>
        <w:jc w:val="both"/>
        <w:ind w:right="660"/>
        <w:spacing w:after="0" w:line="258" w:lineRule="auto"/>
        <w:rPr>
          <w:sz w:val="20"/>
          <w:szCs w:val="20"/>
          <w:color w:val="auto"/>
        </w:rPr>
      </w:pPr>
      <w:r>
        <w:rPr>
          <w:rFonts w:ascii="Arial" w:cs="Arial" w:eastAsia="Arial" w:hAnsi="Arial"/>
          <w:sz w:val="21"/>
          <w:szCs w:val="21"/>
          <w:color w:val="auto"/>
        </w:rPr>
        <w:t>For Sempra Energy, SDG&amp;E, PE and SoCalGas, some of our derivative contracts contain a provision that would permit the counterparty, in certain circumstances, to request adequate assurance of our performance under the contract. Such additional assurance, if needed, is not material and is not included in the amounts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5" w:name="page46"/>
    <w:bookmarkEnd w:id="45"/>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t>NOTE 8. FAIR VALUE MEASUREMENTS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Derivative Positions Net of Cash Collateral</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In accordance with FSP FIN 39-1, </w:t>
      </w:r>
      <w:r>
        <w:rPr>
          <w:rFonts w:ascii="Arial" w:cs="Arial" w:eastAsia="Arial" w:hAnsi="Arial"/>
          <w:sz w:val="22"/>
          <w:szCs w:val="22"/>
          <w:i w:val="1"/>
          <w:iCs w:val="1"/>
          <w:color w:val="auto"/>
        </w:rPr>
        <w:t>Amendment of FASB Interpretation No. 39</w:t>
      </w:r>
      <w:r>
        <w:rPr>
          <w:rFonts w:ascii="Arial" w:cs="Arial" w:eastAsia="Arial" w:hAnsi="Arial"/>
          <w:sz w:val="22"/>
          <w:szCs w:val="22"/>
          <w:color w:val="auto"/>
        </w:rPr>
        <w:t>, each Condensed Consolidated Balance Sheet reflects the offsetting of net derivative positions with fair value amounts for cash collateral with the same counterparty when management believes a legal right of offset exists.</w:t>
      </w:r>
    </w:p>
    <w:p>
      <w:pPr>
        <w:spacing w:after="0" w:line="51" w:lineRule="exact"/>
        <w:rPr>
          <w:sz w:val="20"/>
          <w:szCs w:val="20"/>
          <w:color w:val="auto"/>
        </w:rPr>
      </w:pPr>
    </w:p>
    <w:p>
      <w:pPr>
        <w:ind w:right="620"/>
        <w:spacing w:after="0" w:line="328" w:lineRule="auto"/>
        <w:rPr>
          <w:sz w:val="20"/>
          <w:szCs w:val="20"/>
          <w:color w:val="auto"/>
        </w:rPr>
      </w:pPr>
      <w:r>
        <w:rPr>
          <w:rFonts w:ascii="Arial" w:cs="Arial" w:eastAsia="Arial" w:hAnsi="Arial"/>
          <w:sz w:val="19"/>
          <w:szCs w:val="19"/>
          <w:color w:val="auto"/>
        </w:rPr>
        <w:t>The following table provides the amount of fair value of cash collateral receivables and payables that were offset against net derivative positions in the Condensed Consolidated Balance Sheets as of March 31, 2009 and December 31, 2008:</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4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March 31,</w:t>
            </w:r>
          </w:p>
        </w:tc>
        <w:tc>
          <w:tcPr>
            <w:tcW w:w="38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color w:val="auto"/>
              </w:rPr>
              <w:t>December 31,</w:t>
            </w:r>
          </w:p>
        </w:tc>
      </w:tr>
      <w:tr>
        <w:trPr>
          <w:trHeight w:val="209"/>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98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color w:val="auto"/>
              </w:rPr>
              <w:t>2009</w:t>
            </w: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2008</w:t>
            </w:r>
          </w:p>
        </w:tc>
      </w:tr>
      <w:tr>
        <w:trPr>
          <w:trHeight w:val="210"/>
        </w:trPr>
        <w:tc>
          <w:tcPr>
            <w:tcW w:w="3440" w:type="dxa"/>
            <w:vAlign w:val="bottom"/>
          </w:tcPr>
          <w:p>
            <w:pPr>
              <w:ind w:left="20"/>
              <w:spacing w:after="0"/>
              <w:rPr>
                <w:sz w:val="20"/>
                <w:szCs w:val="20"/>
                <w:color w:val="auto"/>
              </w:rPr>
            </w:pPr>
            <w:r>
              <w:rPr>
                <w:rFonts w:ascii="Arial" w:cs="Arial" w:eastAsia="Arial" w:hAnsi="Arial"/>
                <w:sz w:val="16"/>
                <w:szCs w:val="16"/>
                <w:color w:val="auto"/>
              </w:rPr>
              <w:t>Receivables:</w:t>
            </w: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440" w:type="dxa"/>
            <w:vAlign w:val="bottom"/>
          </w:tcPr>
          <w:p>
            <w:pPr>
              <w:ind w:left="200"/>
              <w:spacing w:after="0"/>
              <w:rPr>
                <w:sz w:val="20"/>
                <w:szCs w:val="20"/>
                <w:color w:val="auto"/>
              </w:rPr>
            </w:pPr>
            <w:r>
              <w:rPr>
                <w:rFonts w:ascii="Arial" w:cs="Arial" w:eastAsia="Arial" w:hAnsi="Arial"/>
                <w:sz w:val="16"/>
                <w:szCs w:val="16"/>
                <w:color w:val="auto"/>
              </w:rPr>
              <w:t>Sempra Energy Consolidated</w:t>
            </w:r>
          </w:p>
        </w:tc>
        <w:tc>
          <w:tcPr>
            <w:tcW w:w="1980" w:type="dxa"/>
            <w:vAlign w:val="bottom"/>
          </w:tcPr>
          <w:p>
            <w:pPr>
              <w:jc w:val="right"/>
              <w:ind w:right="683"/>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76</w:t>
            </w:r>
          </w:p>
        </w:tc>
        <w:tc>
          <w:tcPr>
            <w:tcW w:w="340" w:type="dxa"/>
            <w:vAlign w:val="bottom"/>
          </w:tcPr>
          <w:p>
            <w:pPr>
              <w:ind w:left="1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16"/>
        </w:trPr>
        <w:tc>
          <w:tcPr>
            <w:tcW w:w="3440" w:type="dxa"/>
            <w:vAlign w:val="bottom"/>
          </w:tcPr>
          <w:p>
            <w:pPr>
              <w:ind w:left="200"/>
              <w:spacing w:after="0"/>
              <w:rPr>
                <w:sz w:val="20"/>
                <w:szCs w:val="20"/>
                <w:color w:val="auto"/>
              </w:rPr>
            </w:pPr>
            <w:r>
              <w:rPr>
                <w:rFonts w:ascii="Arial" w:cs="Arial" w:eastAsia="Arial" w:hAnsi="Arial"/>
                <w:sz w:val="16"/>
                <w:szCs w:val="16"/>
                <w:color w:val="auto"/>
              </w:rPr>
              <w:t>SDG&amp;E</w:t>
            </w:r>
          </w:p>
        </w:tc>
        <w:tc>
          <w:tcPr>
            <w:tcW w:w="1980" w:type="dxa"/>
            <w:vAlign w:val="bottom"/>
          </w:tcPr>
          <w:p>
            <w:pPr>
              <w:spacing w:after="0"/>
              <w:rPr>
                <w:sz w:val="18"/>
                <w:szCs w:val="18"/>
                <w:color w:val="auto"/>
              </w:rPr>
            </w:pP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61</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16"/>
        </w:trPr>
        <w:tc>
          <w:tcPr>
            <w:tcW w:w="3440" w:type="dxa"/>
            <w:vAlign w:val="bottom"/>
          </w:tcPr>
          <w:p>
            <w:pPr>
              <w:ind w:left="200"/>
              <w:spacing w:after="0"/>
              <w:rPr>
                <w:sz w:val="20"/>
                <w:szCs w:val="20"/>
                <w:color w:val="auto"/>
              </w:rPr>
            </w:pPr>
            <w:r>
              <w:rPr>
                <w:rFonts w:ascii="Arial" w:cs="Arial" w:eastAsia="Arial" w:hAnsi="Arial"/>
                <w:sz w:val="16"/>
                <w:szCs w:val="16"/>
                <w:color w:val="auto"/>
              </w:rPr>
              <w:t>SoCalGas</w:t>
            </w:r>
          </w:p>
        </w:tc>
        <w:tc>
          <w:tcPr>
            <w:tcW w:w="1980" w:type="dxa"/>
            <w:vAlign w:val="bottom"/>
          </w:tcPr>
          <w:p>
            <w:pPr>
              <w:spacing w:after="0"/>
              <w:rPr>
                <w:sz w:val="18"/>
                <w:szCs w:val="18"/>
                <w:color w:val="auto"/>
              </w:rPr>
            </w:pP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3440" w:type="dxa"/>
            <w:vAlign w:val="bottom"/>
          </w:tcPr>
          <w:p>
            <w:pPr>
              <w:ind w:left="20"/>
              <w:spacing w:after="0"/>
              <w:rPr>
                <w:sz w:val="20"/>
                <w:szCs w:val="20"/>
                <w:color w:val="auto"/>
              </w:rPr>
            </w:pPr>
            <w:r>
              <w:rPr>
                <w:rFonts w:ascii="Arial" w:cs="Arial" w:eastAsia="Arial" w:hAnsi="Arial"/>
                <w:sz w:val="16"/>
                <w:szCs w:val="16"/>
                <w:color w:val="auto"/>
              </w:rPr>
              <w:t>Payables:</w:t>
            </w: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3440" w:type="dxa"/>
            <w:vAlign w:val="bottom"/>
          </w:tcPr>
          <w:p>
            <w:pPr>
              <w:ind w:left="200"/>
              <w:spacing w:after="0"/>
              <w:rPr>
                <w:sz w:val="20"/>
                <w:szCs w:val="20"/>
                <w:color w:val="auto"/>
              </w:rPr>
            </w:pPr>
            <w:r>
              <w:rPr>
                <w:rFonts w:ascii="Arial" w:cs="Arial" w:eastAsia="Arial" w:hAnsi="Arial"/>
                <w:sz w:val="16"/>
                <w:szCs w:val="16"/>
                <w:color w:val="auto"/>
              </w:rPr>
              <w:t>Sempra Energy Consolidated</w:t>
            </w:r>
          </w:p>
        </w:tc>
        <w:tc>
          <w:tcPr>
            <w:tcW w:w="1980" w:type="dxa"/>
            <w:vAlign w:val="bottom"/>
          </w:tcPr>
          <w:p>
            <w:pPr>
              <w:jc w:val="right"/>
              <w:ind w:right="683"/>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37</w:t>
            </w:r>
          </w:p>
        </w:tc>
        <w:tc>
          <w:tcPr>
            <w:tcW w:w="340" w:type="dxa"/>
            <w:vAlign w:val="bottom"/>
          </w:tcPr>
          <w:p>
            <w:pPr>
              <w:ind w:left="1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84"/>
        </w:trPr>
        <w:tc>
          <w:tcPr>
            <w:tcW w:w="3440" w:type="dxa"/>
            <w:vAlign w:val="bottom"/>
            <w:shd w:val="clear" w:color="auto" w:fill="DFDFDF"/>
          </w:tcPr>
          <w:p>
            <w:pPr>
              <w:spacing w:after="0"/>
              <w:rPr>
                <w:sz w:val="7"/>
                <w:szCs w:val="7"/>
                <w:color w:val="auto"/>
              </w:rPr>
            </w:pPr>
          </w:p>
        </w:tc>
        <w:tc>
          <w:tcPr>
            <w:tcW w:w="1980" w:type="dxa"/>
            <w:vAlign w:val="bottom"/>
            <w:shd w:val="clear" w:color="auto" w:fill="DFDFDF"/>
          </w:tcPr>
          <w:p>
            <w:pPr>
              <w:spacing w:after="0"/>
              <w:rPr>
                <w:sz w:val="7"/>
                <w:szCs w:val="7"/>
                <w:color w:val="auto"/>
              </w:rPr>
            </w:pPr>
          </w:p>
        </w:tc>
        <w:tc>
          <w:tcPr>
            <w:tcW w:w="380" w:type="dxa"/>
            <w:vAlign w:val="bottom"/>
            <w:shd w:val="clear" w:color="auto" w:fill="DFDFDF"/>
          </w:tcPr>
          <w:p>
            <w:pPr>
              <w:spacing w:after="0"/>
              <w:rPr>
                <w:sz w:val="7"/>
                <w:szCs w:val="7"/>
                <w:color w:val="auto"/>
              </w:rPr>
            </w:pPr>
          </w:p>
        </w:tc>
        <w:tc>
          <w:tcPr>
            <w:tcW w:w="340" w:type="dxa"/>
            <w:vAlign w:val="bottom"/>
            <w:shd w:val="clear" w:color="auto" w:fill="DFDFDF"/>
          </w:tcPr>
          <w:p>
            <w:pPr>
              <w:spacing w:after="0"/>
              <w:rPr>
                <w:sz w:val="7"/>
                <w:szCs w:val="7"/>
                <w:color w:val="auto"/>
              </w:rPr>
            </w:pPr>
          </w:p>
        </w:tc>
        <w:tc>
          <w:tcPr>
            <w:tcW w:w="940" w:type="dxa"/>
            <w:vAlign w:val="bottom"/>
            <w:shd w:val="clear" w:color="auto" w:fill="DFDFDF"/>
          </w:tcPr>
          <w:p>
            <w:pPr>
              <w:spacing w:after="0"/>
              <w:rPr>
                <w:sz w:val="7"/>
                <w:szCs w:val="7"/>
                <w:color w:val="auto"/>
              </w:rPr>
            </w:pPr>
          </w:p>
        </w:tc>
      </w:tr>
    </w:tbl>
    <w:p>
      <w:pPr>
        <w:spacing w:after="0" w:line="222"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The following table provides the amount of fair value of cash collateral that was not offset in the Condensed Consolidated Balance Sheets as of March 31, 2009 and December 31, 2008:</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60" w:type="dxa"/>
            <w:vAlign w:val="bottom"/>
          </w:tcPr>
          <w:p>
            <w:pPr>
              <w:spacing w:after="0"/>
              <w:rPr>
                <w:sz w:val="14"/>
                <w:szCs w:val="14"/>
                <w:color w:val="auto"/>
              </w:rPr>
            </w:pPr>
          </w:p>
        </w:tc>
        <w:tc>
          <w:tcPr>
            <w:tcW w:w="2160" w:type="dxa"/>
            <w:vAlign w:val="bottom"/>
          </w:tcPr>
          <w:p>
            <w:pPr>
              <w:jc w:val="center"/>
              <w:ind w:left="1325"/>
              <w:spacing w:after="0"/>
              <w:rPr>
                <w:sz w:val="20"/>
                <w:szCs w:val="20"/>
                <w:color w:val="auto"/>
              </w:rPr>
            </w:pPr>
            <w:r>
              <w:rPr>
                <w:rFonts w:ascii="Arial" w:cs="Arial" w:eastAsia="Arial" w:hAnsi="Arial"/>
                <w:sz w:val="14"/>
                <w:szCs w:val="14"/>
                <w:color w:val="auto"/>
              </w:rPr>
              <w:t>March 31,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143"/>
              <w:spacing w:after="0"/>
              <w:rPr>
                <w:sz w:val="20"/>
                <w:szCs w:val="20"/>
                <w:color w:val="auto"/>
              </w:rPr>
            </w:pPr>
            <w:r>
              <w:rPr>
                <w:rFonts w:ascii="Arial" w:cs="Arial" w:eastAsia="Arial" w:hAnsi="Arial"/>
                <w:sz w:val="14"/>
                <w:szCs w:val="14"/>
                <w:color w:val="auto"/>
              </w:rPr>
              <w:t>December 31,</w:t>
            </w:r>
          </w:p>
        </w:tc>
      </w:tr>
      <w:tr>
        <w:trPr>
          <w:trHeight w:val="209"/>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16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color w:val="auto"/>
              </w:rPr>
              <w:t>2009</w:t>
            </w: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2008</w:t>
            </w:r>
          </w:p>
        </w:tc>
      </w:tr>
      <w:tr>
        <w:trPr>
          <w:trHeight w:val="210"/>
        </w:trPr>
        <w:tc>
          <w:tcPr>
            <w:tcW w:w="3260" w:type="dxa"/>
            <w:vAlign w:val="bottom"/>
          </w:tcPr>
          <w:p>
            <w:pPr>
              <w:ind w:left="20"/>
              <w:spacing w:after="0"/>
              <w:rPr>
                <w:sz w:val="20"/>
                <w:szCs w:val="20"/>
                <w:color w:val="auto"/>
              </w:rPr>
            </w:pPr>
            <w:r>
              <w:rPr>
                <w:rFonts w:ascii="Arial" w:cs="Arial" w:eastAsia="Arial" w:hAnsi="Arial"/>
                <w:sz w:val="16"/>
                <w:szCs w:val="16"/>
                <w:color w:val="auto"/>
              </w:rPr>
              <w:t>Sempra Energy Consolidated</w:t>
            </w:r>
          </w:p>
        </w:tc>
        <w:tc>
          <w:tcPr>
            <w:tcW w:w="2160" w:type="dxa"/>
            <w:vAlign w:val="bottom"/>
          </w:tcPr>
          <w:p>
            <w:pPr>
              <w:jc w:val="right"/>
              <w:ind w:right="885"/>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13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6"/>
        </w:trPr>
        <w:tc>
          <w:tcPr>
            <w:tcW w:w="3260" w:type="dxa"/>
            <w:vAlign w:val="bottom"/>
          </w:tcPr>
          <w:p>
            <w:pPr>
              <w:ind w:left="20"/>
              <w:spacing w:after="0"/>
              <w:rPr>
                <w:sz w:val="20"/>
                <w:szCs w:val="20"/>
                <w:color w:val="auto"/>
              </w:rPr>
            </w:pPr>
            <w:r>
              <w:rPr>
                <w:rFonts w:ascii="Arial" w:cs="Arial" w:eastAsia="Arial" w:hAnsi="Arial"/>
                <w:sz w:val="16"/>
                <w:szCs w:val="16"/>
                <w:color w:val="auto"/>
              </w:rPr>
              <w:t>SDG&amp;E</w:t>
            </w:r>
          </w:p>
        </w:tc>
        <w:tc>
          <w:tcPr>
            <w:tcW w:w="2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9"/>
        </w:trPr>
        <w:tc>
          <w:tcPr>
            <w:tcW w:w="3260" w:type="dxa"/>
            <w:vAlign w:val="bottom"/>
          </w:tcPr>
          <w:p>
            <w:pPr>
              <w:ind w:left="20"/>
              <w:spacing w:after="0"/>
              <w:rPr>
                <w:sz w:val="20"/>
                <w:szCs w:val="20"/>
                <w:color w:val="auto"/>
              </w:rPr>
            </w:pPr>
            <w:r>
              <w:rPr>
                <w:rFonts w:ascii="Arial" w:cs="Arial" w:eastAsia="Arial" w:hAnsi="Arial"/>
                <w:sz w:val="16"/>
                <w:szCs w:val="16"/>
                <w:color w:val="auto"/>
              </w:rPr>
              <w:t>SoCalGas</w:t>
            </w:r>
          </w:p>
        </w:tc>
        <w:tc>
          <w:tcPr>
            <w:tcW w:w="21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84"/>
        </w:trPr>
        <w:tc>
          <w:tcPr>
            <w:tcW w:w="3260" w:type="dxa"/>
            <w:vAlign w:val="bottom"/>
            <w:shd w:val="clear" w:color="auto" w:fill="DFDFDF"/>
          </w:tcPr>
          <w:p>
            <w:pPr>
              <w:spacing w:after="0"/>
              <w:rPr>
                <w:sz w:val="7"/>
                <w:szCs w:val="7"/>
                <w:color w:val="auto"/>
              </w:rPr>
            </w:pPr>
          </w:p>
        </w:tc>
        <w:tc>
          <w:tcPr>
            <w:tcW w:w="2160" w:type="dxa"/>
            <w:vAlign w:val="bottom"/>
            <w:shd w:val="clear" w:color="auto" w:fill="DFDFDF"/>
          </w:tcPr>
          <w:p>
            <w:pPr>
              <w:spacing w:after="0"/>
              <w:rPr>
                <w:sz w:val="7"/>
                <w:szCs w:val="7"/>
                <w:color w:val="auto"/>
              </w:rPr>
            </w:pPr>
          </w:p>
        </w:tc>
        <w:tc>
          <w:tcPr>
            <w:tcW w:w="280" w:type="dxa"/>
            <w:vAlign w:val="bottom"/>
            <w:shd w:val="clear" w:color="auto" w:fill="DFDFDF"/>
          </w:tcPr>
          <w:p>
            <w:pPr>
              <w:spacing w:after="0"/>
              <w:rPr>
                <w:sz w:val="7"/>
                <w:szCs w:val="7"/>
                <w:color w:val="auto"/>
              </w:rPr>
            </w:pPr>
          </w:p>
        </w:tc>
        <w:tc>
          <w:tcPr>
            <w:tcW w:w="180" w:type="dxa"/>
            <w:vAlign w:val="bottom"/>
            <w:shd w:val="clear" w:color="auto" w:fill="DFDFDF"/>
          </w:tcPr>
          <w:p>
            <w:pPr>
              <w:spacing w:after="0"/>
              <w:rPr>
                <w:sz w:val="7"/>
                <w:szCs w:val="7"/>
                <w:color w:val="auto"/>
              </w:rPr>
            </w:pPr>
          </w:p>
        </w:tc>
        <w:tc>
          <w:tcPr>
            <w:tcW w:w="1200" w:type="dxa"/>
            <w:vAlign w:val="bottom"/>
            <w:shd w:val="clear" w:color="auto" w:fill="DFDFDF"/>
          </w:tcPr>
          <w:p>
            <w:pPr>
              <w:spacing w:after="0"/>
              <w:rPr>
                <w:sz w:val="7"/>
                <w:szCs w:val="7"/>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Hierarchy</w:t>
      </w:r>
    </w:p>
    <w:p>
      <w:pPr>
        <w:spacing w:after="0" w:line="49"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We discuss the valuation techniques we use to measure fair value and the definition of the three levels of the fair value hierarchy, as defined in SFAS 157, </w:t>
      </w:r>
      <w:r>
        <w:rPr>
          <w:rFonts w:ascii="Arial" w:cs="Arial" w:eastAsia="Arial" w:hAnsi="Arial"/>
          <w:sz w:val="22"/>
          <w:szCs w:val="22"/>
          <w:i w:val="1"/>
          <w:iCs w:val="1"/>
          <w:color w:val="auto"/>
        </w:rPr>
        <w:t>Fair Value Measurements</w:t>
      </w:r>
      <w:r>
        <w:rPr>
          <w:rFonts w:ascii="Arial" w:cs="Arial" w:eastAsia="Arial" w:hAnsi="Arial"/>
          <w:sz w:val="22"/>
          <w:szCs w:val="22"/>
          <w:color w:val="auto"/>
        </w:rPr>
        <w:t xml:space="preserve"> (SFAS 157), and our netting policy for derivative positions in Notes 1, 2 and 11 of the Notes to Consolidated Financial Statements in the Annual Report.</w:t>
      </w:r>
    </w:p>
    <w:p>
      <w:pPr>
        <w:spacing w:after="0" w:line="65" w:lineRule="exact"/>
        <w:rPr>
          <w:sz w:val="20"/>
          <w:szCs w:val="20"/>
          <w:color w:val="auto"/>
        </w:rPr>
      </w:pPr>
    </w:p>
    <w:p>
      <w:pPr>
        <w:ind w:right="120"/>
        <w:spacing w:after="0" w:line="282" w:lineRule="auto"/>
        <w:rPr>
          <w:sz w:val="20"/>
          <w:szCs w:val="20"/>
          <w:color w:val="auto"/>
        </w:rPr>
      </w:pPr>
      <w:r>
        <w:rPr>
          <w:rFonts w:ascii="Arial" w:cs="Arial" w:eastAsia="Arial" w:hAnsi="Arial"/>
          <w:sz w:val="19"/>
          <w:szCs w:val="19"/>
          <w:color w:val="auto"/>
        </w:rPr>
        <w:t>The three tables below, by level within the fair value hierarchy, set forth our financial assets and liabilities that were accounted for at fair value on a recurring basis as of March 31, 2009 and December 31, 2008. As required by SFAS 157, we classify financial assets and liabilities in their entirety based on the lowest level of input that is significant to the fair value measurement. Our assessment of the significance of a particular input to the fair value measurement requires judgment, and may affect the valuation of fair value assets and liabilities, and their placement within the fair value hierarchy levels.</w:t>
      </w:r>
    </w:p>
    <w:p>
      <w:pPr>
        <w:spacing w:after="0" w:line="13" w:lineRule="exact"/>
        <w:rPr>
          <w:sz w:val="20"/>
          <w:szCs w:val="20"/>
          <w:color w:val="auto"/>
        </w:rPr>
      </w:pPr>
    </w:p>
    <w:p>
      <w:pPr>
        <w:ind w:right="180"/>
        <w:spacing w:after="0" w:line="258" w:lineRule="auto"/>
        <w:rPr>
          <w:sz w:val="20"/>
          <w:szCs w:val="20"/>
          <w:color w:val="auto"/>
        </w:rPr>
      </w:pPr>
      <w:r>
        <w:rPr>
          <w:rFonts w:ascii="Arial" w:cs="Arial" w:eastAsia="Arial" w:hAnsi="Arial"/>
          <w:sz w:val="21"/>
          <w:szCs w:val="21"/>
          <w:color w:val="auto"/>
        </w:rPr>
        <w:t>The determination of fair values incorporates various factors required under SFAS 157. These factors include not only the credit standing of the counterparties involved and the impact of credit enhancements (such as cash deposits, letters of credit and priority interests), but also the impact of the risk of our nonperformance on our liabilities.</w:t>
      </w:r>
    </w:p>
    <w:p>
      <w:pPr>
        <w:spacing w:after="0" w:line="45"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The fair value of commodity derivative assets and liabilities is determined in accordance with our netting policy as discussed above.</w:t>
      </w:r>
    </w:p>
    <w:p>
      <w:pPr>
        <w:sectPr>
          <w:pgSz w:w="11900" w:h="16838" w:orient="portrait"/>
          <w:cols w:equalWidth="0" w:num="1">
            <w:col w:w="11380"/>
          </w:cols>
          <w:pgMar w:left="240" w:top="595" w:right="279" w:bottom="1440" w:gutter="0" w:footer="0" w:header="0"/>
        </w:sectPr>
      </w:pPr>
    </w:p>
    <w:bookmarkStart w:id="46" w:name="page47"/>
    <w:bookmarkEnd w:id="46"/>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5711190" cy="274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11190" cy="274320"/>
                    </a:xfrm>
                    <a:prstGeom prst="rect">
                      <a:avLst/>
                    </a:prstGeom>
                    <a:noFill/>
                  </pic:spPr>
                </pic:pic>
              </a:graphicData>
            </a:graphic>
          </wp:anchor>
        </w:drawing>
        <w:t>RECURRING FAIR VALUE MEASURES -- SEMPRA ENERGY CONSOLIDATED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6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4"/>
          </w:tcPr>
          <w:p>
            <w:pPr>
              <w:jc w:val="right"/>
              <w:ind w:right="701"/>
              <w:spacing w:after="0"/>
              <w:rPr>
                <w:sz w:val="20"/>
                <w:szCs w:val="20"/>
                <w:color w:val="auto"/>
              </w:rPr>
            </w:pPr>
            <w:r>
              <w:rPr>
                <w:rFonts w:ascii="Arial" w:cs="Arial" w:eastAsia="Arial" w:hAnsi="Arial"/>
                <w:sz w:val="14"/>
                <w:szCs w:val="14"/>
                <w:color w:val="auto"/>
              </w:rPr>
              <w:t>At fair value as of March 31, 2009</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Netting and</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Level 3</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Collateral</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860" w:type="dxa"/>
            <w:vAlign w:val="bottom"/>
          </w:tcPr>
          <w:p>
            <w:pPr>
              <w:ind w:left="20"/>
              <w:spacing w:after="0"/>
              <w:rPr>
                <w:sz w:val="20"/>
                <w:szCs w:val="20"/>
                <w:color w:val="auto"/>
              </w:rPr>
            </w:pPr>
            <w:r>
              <w:rPr>
                <w:rFonts w:ascii="Arial" w:cs="Arial" w:eastAsia="Arial" w:hAnsi="Arial"/>
                <w:sz w:val="16"/>
                <w:szCs w:val="16"/>
                <w:color w:val="auto"/>
              </w:rPr>
              <w:t>Assets:</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00"/>
              <w:spacing w:after="0"/>
              <w:rPr>
                <w:sz w:val="20"/>
                <w:szCs w:val="20"/>
                <w:color w:val="auto"/>
              </w:rPr>
            </w:pPr>
            <w:r>
              <w:rPr>
                <w:rFonts w:ascii="Arial" w:cs="Arial" w:eastAsia="Arial" w:hAnsi="Arial"/>
                <w:sz w:val="16"/>
                <w:szCs w:val="16"/>
                <w:color w:val="auto"/>
              </w:rPr>
              <w:t>Nuclear decommissioning trusts*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385</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145</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ind w:left="840"/>
              <w:spacing w:after="0"/>
              <w:rPr>
                <w:sz w:val="20"/>
                <w:szCs w:val="20"/>
                <w:color w:val="auto"/>
              </w:rPr>
            </w:pPr>
            <w:r>
              <w:rPr>
                <w:rFonts w:ascii="Arial" w:cs="Arial" w:eastAsia="Arial" w:hAnsi="Arial"/>
                <w:sz w:val="16"/>
                <w:szCs w:val="16"/>
                <w:color w:val="auto"/>
              </w:rPr>
              <w:t>- $</w:t>
            </w:r>
          </w:p>
        </w:tc>
        <w:tc>
          <w:tcPr>
            <w:tcW w:w="1340" w:type="dxa"/>
            <w:vAlign w:val="bottom"/>
            <w:gridSpan w:val="2"/>
          </w:tcPr>
          <w:p>
            <w:pPr>
              <w:jc w:val="right"/>
              <w:ind w:right="179"/>
              <w:spacing w:after="0"/>
              <w:rPr>
                <w:sz w:val="20"/>
                <w:szCs w:val="20"/>
                <w:color w:val="auto"/>
              </w:rPr>
            </w:pPr>
            <w:r>
              <w:rPr>
                <w:rFonts w:ascii="Arial" w:cs="Arial" w:eastAsia="Arial" w:hAnsi="Arial"/>
                <w:sz w:val="16"/>
                <w:szCs w:val="16"/>
                <w:color w:val="auto"/>
              </w:rPr>
              <w:t>- $</w:t>
            </w:r>
          </w:p>
        </w:tc>
        <w:tc>
          <w:tcPr>
            <w:tcW w:w="860" w:type="dxa"/>
            <w:vAlign w:val="bottom"/>
          </w:tcPr>
          <w:p>
            <w:pPr>
              <w:jc w:val="right"/>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16"/>
        </w:trPr>
        <w:tc>
          <w:tcPr>
            <w:tcW w:w="2860" w:type="dxa"/>
            <w:vAlign w:val="bottom"/>
          </w:tcPr>
          <w:p>
            <w:pPr>
              <w:ind w:left="200"/>
              <w:spacing w:after="0"/>
              <w:rPr>
                <w:sz w:val="20"/>
                <w:szCs w:val="20"/>
                <w:color w:val="auto"/>
              </w:rPr>
            </w:pPr>
            <w:r>
              <w:rPr>
                <w:rFonts w:ascii="Arial" w:cs="Arial" w:eastAsia="Arial" w:hAnsi="Arial"/>
                <w:sz w:val="16"/>
                <w:szCs w:val="16"/>
                <w:color w:val="auto"/>
              </w:rPr>
              <w:t>Investments</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176</w:t>
            </w:r>
          </w:p>
        </w:tc>
        <w:tc>
          <w:tcPr>
            <w:tcW w:w="340" w:type="dxa"/>
            <w:vAlign w:val="bottom"/>
          </w:tcPr>
          <w:p>
            <w:pPr>
              <w:spacing w:after="0"/>
              <w:rPr>
                <w:sz w:val="18"/>
                <w:szCs w:val="18"/>
                <w:color w:val="auto"/>
              </w:rPr>
            </w:pPr>
          </w:p>
        </w:tc>
        <w:tc>
          <w:tcPr>
            <w:tcW w:w="1160" w:type="dxa"/>
            <w:vAlign w:val="bottom"/>
          </w:tcPr>
          <w:p>
            <w:pPr>
              <w:ind w:left="8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16"/>
        </w:trPr>
        <w:tc>
          <w:tcPr>
            <w:tcW w:w="2860" w:type="dxa"/>
            <w:vAlign w:val="bottom"/>
          </w:tcPr>
          <w:p>
            <w:pPr>
              <w:ind w:left="200"/>
              <w:spacing w:after="0"/>
              <w:rPr>
                <w:sz w:val="20"/>
                <w:szCs w:val="20"/>
                <w:color w:val="auto"/>
              </w:rPr>
            </w:pPr>
            <w:r>
              <w:rPr>
                <w:rFonts w:ascii="Arial" w:cs="Arial" w:eastAsia="Arial" w:hAnsi="Arial"/>
                <w:sz w:val="16"/>
                <w:szCs w:val="16"/>
                <w:color w:val="auto"/>
              </w:rPr>
              <w:t>Commodity derivatives</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112</w:t>
            </w:r>
          </w:p>
        </w:tc>
        <w:tc>
          <w:tcPr>
            <w:tcW w:w="340" w:type="dxa"/>
            <w:vAlign w:val="bottom"/>
          </w:tcPr>
          <w:p>
            <w:pPr>
              <w:spacing w:after="0"/>
              <w:rPr>
                <w:sz w:val="18"/>
                <w:szCs w:val="18"/>
                <w:color w:val="auto"/>
              </w:rPr>
            </w:pPr>
          </w:p>
        </w:tc>
        <w:tc>
          <w:tcPr>
            <w:tcW w:w="1160" w:type="dxa"/>
            <w:vAlign w:val="bottom"/>
          </w:tcPr>
          <w:p>
            <w:pPr>
              <w:ind w:left="660"/>
              <w:spacing w:after="0"/>
              <w:rPr>
                <w:sz w:val="20"/>
                <w:szCs w:val="20"/>
                <w:color w:val="auto"/>
              </w:rPr>
            </w:pPr>
            <w:r>
              <w:rPr>
                <w:rFonts w:ascii="Arial" w:cs="Arial" w:eastAsia="Arial" w:hAnsi="Arial"/>
                <w:sz w:val="16"/>
                <w:szCs w:val="16"/>
                <w:color w:val="auto"/>
              </w:rPr>
              <w:t>27</w:t>
            </w:r>
          </w:p>
        </w:tc>
        <w:tc>
          <w:tcPr>
            <w:tcW w:w="980" w:type="dxa"/>
            <w:vAlign w:val="bottom"/>
          </w:tcPr>
          <w:p>
            <w:pPr>
              <w:jc w:val="right"/>
              <w:spacing w:after="0"/>
              <w:rPr>
                <w:sz w:val="20"/>
                <w:szCs w:val="20"/>
                <w:color w:val="auto"/>
              </w:rPr>
            </w:pPr>
            <w:r>
              <w:rPr>
                <w:rFonts w:ascii="Arial" w:cs="Arial" w:eastAsia="Arial" w:hAnsi="Arial"/>
                <w:sz w:val="16"/>
                <w:szCs w:val="16"/>
                <w:color w:val="auto"/>
              </w:rPr>
              <w:t>(37)</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22"/>
        </w:trPr>
        <w:tc>
          <w:tcPr>
            <w:tcW w:w="2860" w:type="dxa"/>
            <w:vAlign w:val="bottom"/>
          </w:tcPr>
          <w:p>
            <w:pPr>
              <w:ind w:left="200"/>
              <w:spacing w:after="0"/>
              <w:rPr>
                <w:sz w:val="20"/>
                <w:szCs w:val="20"/>
                <w:color w:val="auto"/>
              </w:rPr>
            </w:pPr>
            <w:r>
              <w:rPr>
                <w:rFonts w:ascii="Arial" w:cs="Arial" w:eastAsia="Arial" w:hAnsi="Arial"/>
                <w:sz w:val="16"/>
                <w:szCs w:val="16"/>
                <w:color w:val="auto"/>
              </w:rPr>
              <w:t>Other derivatives</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7"/>
        </w:trPr>
        <w:tc>
          <w:tcPr>
            <w:tcW w:w="2860" w:type="dxa"/>
            <w:vAlign w:val="bottom"/>
            <w:vMerge w:val="restart"/>
          </w:tcPr>
          <w:p>
            <w:pPr>
              <w:ind w:left="20"/>
              <w:spacing w:after="0"/>
              <w:rPr>
                <w:sz w:val="20"/>
                <w:szCs w:val="20"/>
                <w:color w:val="auto"/>
              </w:rPr>
            </w:pPr>
            <w:r>
              <w:rPr>
                <w:rFonts w:ascii="Arial" w:cs="Arial" w:eastAsia="Arial" w:hAnsi="Arial"/>
                <w:sz w:val="16"/>
                <w:szCs w:val="16"/>
                <w:color w:val="auto"/>
              </w:rPr>
              <w:t>Total</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400</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496</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ind w:left="660"/>
              <w:spacing w:after="0"/>
              <w:rPr>
                <w:sz w:val="20"/>
                <w:szCs w:val="20"/>
                <w:color w:val="auto"/>
              </w:rPr>
            </w:pPr>
            <w:r>
              <w:rPr>
                <w:rFonts w:ascii="Arial" w:cs="Arial" w:eastAsia="Arial" w:hAnsi="Arial"/>
                <w:sz w:val="16"/>
                <w:szCs w:val="16"/>
                <w:color w:val="auto"/>
              </w:rPr>
              <w:t>27 $</w:t>
            </w:r>
          </w:p>
        </w:tc>
        <w:tc>
          <w:tcPr>
            <w:tcW w:w="980" w:type="dxa"/>
            <w:vAlign w:val="bottom"/>
          </w:tcPr>
          <w:p>
            <w:pPr>
              <w:jc w:val="right"/>
              <w:spacing w:after="0"/>
              <w:rPr>
                <w:sz w:val="20"/>
                <w:szCs w:val="20"/>
                <w:color w:val="auto"/>
              </w:rPr>
            </w:pPr>
            <w:r>
              <w:rPr>
                <w:rFonts w:ascii="Arial" w:cs="Arial" w:eastAsia="Arial" w:hAnsi="Arial"/>
                <w:sz w:val="16"/>
                <w:szCs w:val="16"/>
                <w:color w:val="auto"/>
              </w:rPr>
              <w:t>(37)</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886</w:t>
            </w:r>
          </w:p>
        </w:tc>
        <w:tc>
          <w:tcPr>
            <w:tcW w:w="0" w:type="dxa"/>
            <w:vAlign w:val="bottom"/>
          </w:tcPr>
          <w:p>
            <w:pPr>
              <w:spacing w:after="0"/>
              <w:rPr>
                <w:sz w:val="1"/>
                <w:szCs w:val="1"/>
                <w:color w:val="auto"/>
              </w:rPr>
            </w:pPr>
          </w:p>
        </w:tc>
      </w:tr>
      <w:tr>
        <w:trPr>
          <w:trHeight w:val="84"/>
        </w:trPr>
        <w:tc>
          <w:tcPr>
            <w:tcW w:w="2860" w:type="dxa"/>
            <w:vAlign w:val="bottom"/>
            <w:vMerge w:val="continue"/>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116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6"/>
        </w:trPr>
        <w:tc>
          <w:tcPr>
            <w:tcW w:w="286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00"/>
              <w:spacing w:after="0"/>
              <w:rPr>
                <w:sz w:val="20"/>
                <w:szCs w:val="20"/>
                <w:color w:val="auto"/>
              </w:rPr>
            </w:pPr>
            <w:r>
              <w:rPr>
                <w:rFonts w:ascii="Arial" w:cs="Arial" w:eastAsia="Arial" w:hAnsi="Arial"/>
                <w:sz w:val="16"/>
                <w:szCs w:val="16"/>
                <w:color w:val="auto"/>
              </w:rPr>
              <w:t>Commodity derivatives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76</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146</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ind w:left="840"/>
              <w:spacing w:after="0"/>
              <w:rPr>
                <w:sz w:val="20"/>
                <w:szCs w:val="20"/>
                <w:color w:val="auto"/>
              </w:rPr>
            </w:pPr>
            <w:r>
              <w:rPr>
                <w:rFonts w:ascii="Arial" w:cs="Arial" w:eastAsia="Arial" w:hAnsi="Arial"/>
                <w:sz w:val="16"/>
                <w:szCs w:val="16"/>
                <w:color w:val="auto"/>
              </w:rPr>
              <w:t>- $</w:t>
            </w:r>
          </w:p>
        </w:tc>
        <w:tc>
          <w:tcPr>
            <w:tcW w:w="980" w:type="dxa"/>
            <w:vAlign w:val="bottom"/>
          </w:tcPr>
          <w:p>
            <w:pPr>
              <w:jc w:val="right"/>
              <w:spacing w:after="0"/>
              <w:rPr>
                <w:sz w:val="20"/>
                <w:szCs w:val="20"/>
                <w:color w:val="auto"/>
              </w:rPr>
            </w:pPr>
            <w:r>
              <w:rPr>
                <w:rFonts w:ascii="Arial" w:cs="Arial" w:eastAsia="Arial" w:hAnsi="Arial"/>
                <w:sz w:val="16"/>
                <w:szCs w:val="16"/>
                <w:color w:val="auto"/>
              </w:rPr>
              <w:t>(76)</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22"/>
        </w:trPr>
        <w:tc>
          <w:tcPr>
            <w:tcW w:w="2860" w:type="dxa"/>
            <w:vAlign w:val="bottom"/>
          </w:tcPr>
          <w:p>
            <w:pPr>
              <w:ind w:left="200"/>
              <w:spacing w:after="0"/>
              <w:rPr>
                <w:sz w:val="20"/>
                <w:szCs w:val="20"/>
                <w:color w:val="auto"/>
              </w:rPr>
            </w:pPr>
            <w:r>
              <w:rPr>
                <w:rFonts w:ascii="Arial" w:cs="Arial" w:eastAsia="Arial" w:hAnsi="Arial"/>
                <w:sz w:val="16"/>
                <w:szCs w:val="16"/>
                <w:color w:val="auto"/>
              </w:rPr>
              <w:t>Other derivatives</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7"/>
        </w:trPr>
        <w:tc>
          <w:tcPr>
            <w:tcW w:w="2860" w:type="dxa"/>
            <w:vAlign w:val="bottom"/>
          </w:tcPr>
          <w:p>
            <w:pPr>
              <w:ind w:left="20"/>
              <w:spacing w:after="0"/>
              <w:rPr>
                <w:sz w:val="20"/>
                <w:szCs w:val="20"/>
                <w:color w:val="auto"/>
              </w:rPr>
            </w:pPr>
            <w:r>
              <w:rPr>
                <w:rFonts w:ascii="Arial" w:cs="Arial" w:eastAsia="Arial" w:hAnsi="Arial"/>
                <w:sz w:val="16"/>
                <w:szCs w:val="16"/>
                <w:color w:val="auto"/>
              </w:rPr>
              <w:t>Total</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76</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260</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ind w:left="840"/>
              <w:spacing w:after="0"/>
              <w:rPr>
                <w:sz w:val="20"/>
                <w:szCs w:val="20"/>
                <w:color w:val="auto"/>
              </w:rPr>
            </w:pPr>
            <w:r>
              <w:rPr>
                <w:rFonts w:ascii="Arial" w:cs="Arial" w:eastAsia="Arial" w:hAnsi="Arial"/>
                <w:sz w:val="16"/>
                <w:szCs w:val="16"/>
                <w:color w:val="auto"/>
              </w:rPr>
              <w:t>- $</w:t>
            </w:r>
          </w:p>
        </w:tc>
        <w:tc>
          <w:tcPr>
            <w:tcW w:w="980" w:type="dxa"/>
            <w:vAlign w:val="bottom"/>
          </w:tcPr>
          <w:p>
            <w:pPr>
              <w:jc w:val="right"/>
              <w:spacing w:after="0"/>
              <w:rPr>
                <w:sz w:val="20"/>
                <w:szCs w:val="20"/>
                <w:color w:val="auto"/>
              </w:rPr>
            </w:pPr>
            <w:r>
              <w:rPr>
                <w:rFonts w:ascii="Arial" w:cs="Arial" w:eastAsia="Arial" w:hAnsi="Arial"/>
                <w:sz w:val="16"/>
                <w:szCs w:val="16"/>
                <w:color w:val="auto"/>
              </w:rPr>
              <w:t>(76)</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84"/>
        </w:trPr>
        <w:tc>
          <w:tcPr>
            <w:tcW w:w="286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3360" w:type="dxa"/>
            <w:vAlign w:val="bottom"/>
            <w:gridSpan w:val="4"/>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8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4"/>
                <w:szCs w:val="14"/>
                <w:color w:val="auto"/>
              </w:rPr>
              <w:t>At fair value as of December 31, 2008</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Netting and</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Level 3</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Collateral</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860" w:type="dxa"/>
            <w:vAlign w:val="bottom"/>
          </w:tcPr>
          <w:p>
            <w:pPr>
              <w:ind w:left="20"/>
              <w:spacing w:after="0"/>
              <w:rPr>
                <w:sz w:val="20"/>
                <w:szCs w:val="20"/>
                <w:color w:val="auto"/>
              </w:rPr>
            </w:pPr>
            <w:r>
              <w:rPr>
                <w:rFonts w:ascii="Arial" w:cs="Arial" w:eastAsia="Arial" w:hAnsi="Arial"/>
                <w:sz w:val="16"/>
                <w:szCs w:val="16"/>
                <w:color w:val="auto"/>
              </w:rPr>
              <w:t>Assets:</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00"/>
              <w:spacing w:after="0"/>
              <w:rPr>
                <w:sz w:val="20"/>
                <w:szCs w:val="20"/>
                <w:color w:val="auto"/>
              </w:rPr>
            </w:pPr>
            <w:r>
              <w:rPr>
                <w:rFonts w:ascii="Arial" w:cs="Arial" w:eastAsia="Arial" w:hAnsi="Arial"/>
                <w:sz w:val="16"/>
                <w:szCs w:val="16"/>
                <w:color w:val="auto"/>
              </w:rPr>
              <w:t>Nuclear decommissioning trusts*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421</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148</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ind w:left="840"/>
              <w:spacing w:after="0"/>
              <w:rPr>
                <w:sz w:val="20"/>
                <w:szCs w:val="20"/>
                <w:color w:val="auto"/>
              </w:rPr>
            </w:pPr>
            <w:r>
              <w:rPr>
                <w:rFonts w:ascii="Arial" w:cs="Arial" w:eastAsia="Arial" w:hAnsi="Arial"/>
                <w:sz w:val="16"/>
                <w:szCs w:val="16"/>
                <w:color w:val="auto"/>
              </w:rPr>
              <w:t>- $</w:t>
            </w:r>
          </w:p>
        </w:tc>
        <w:tc>
          <w:tcPr>
            <w:tcW w:w="1340" w:type="dxa"/>
            <w:vAlign w:val="bottom"/>
            <w:gridSpan w:val="2"/>
          </w:tcPr>
          <w:p>
            <w:pPr>
              <w:jc w:val="right"/>
              <w:ind w:right="179"/>
              <w:spacing w:after="0"/>
              <w:rPr>
                <w:sz w:val="20"/>
                <w:szCs w:val="20"/>
                <w:color w:val="auto"/>
              </w:rPr>
            </w:pPr>
            <w:r>
              <w:rPr>
                <w:rFonts w:ascii="Arial" w:cs="Arial" w:eastAsia="Arial" w:hAnsi="Arial"/>
                <w:sz w:val="16"/>
                <w:szCs w:val="16"/>
                <w:color w:val="auto"/>
              </w:rPr>
              <w:t>- $</w:t>
            </w:r>
          </w:p>
        </w:tc>
        <w:tc>
          <w:tcPr>
            <w:tcW w:w="860" w:type="dxa"/>
            <w:vAlign w:val="bottom"/>
          </w:tcPr>
          <w:p>
            <w:pPr>
              <w:jc w:val="right"/>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216"/>
        </w:trPr>
        <w:tc>
          <w:tcPr>
            <w:tcW w:w="2860" w:type="dxa"/>
            <w:vAlign w:val="bottom"/>
          </w:tcPr>
          <w:p>
            <w:pPr>
              <w:ind w:left="200"/>
              <w:spacing w:after="0"/>
              <w:rPr>
                <w:sz w:val="20"/>
                <w:szCs w:val="20"/>
                <w:color w:val="auto"/>
              </w:rPr>
            </w:pPr>
            <w:r>
              <w:rPr>
                <w:rFonts w:ascii="Arial" w:cs="Arial" w:eastAsia="Arial" w:hAnsi="Arial"/>
                <w:sz w:val="16"/>
                <w:szCs w:val="16"/>
                <w:color w:val="auto"/>
              </w:rPr>
              <w:t>Investments</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176</w:t>
            </w:r>
          </w:p>
        </w:tc>
        <w:tc>
          <w:tcPr>
            <w:tcW w:w="340" w:type="dxa"/>
            <w:vAlign w:val="bottom"/>
          </w:tcPr>
          <w:p>
            <w:pPr>
              <w:spacing w:after="0"/>
              <w:rPr>
                <w:sz w:val="18"/>
                <w:szCs w:val="18"/>
                <w:color w:val="auto"/>
              </w:rPr>
            </w:pPr>
          </w:p>
        </w:tc>
        <w:tc>
          <w:tcPr>
            <w:tcW w:w="1160" w:type="dxa"/>
            <w:vAlign w:val="bottom"/>
          </w:tcPr>
          <w:p>
            <w:pPr>
              <w:ind w:left="8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16"/>
        </w:trPr>
        <w:tc>
          <w:tcPr>
            <w:tcW w:w="2860" w:type="dxa"/>
            <w:vAlign w:val="bottom"/>
          </w:tcPr>
          <w:p>
            <w:pPr>
              <w:ind w:left="200"/>
              <w:spacing w:after="0"/>
              <w:rPr>
                <w:sz w:val="20"/>
                <w:szCs w:val="20"/>
                <w:color w:val="auto"/>
              </w:rPr>
            </w:pPr>
            <w:r>
              <w:rPr>
                <w:rFonts w:ascii="Arial" w:cs="Arial" w:eastAsia="Arial" w:hAnsi="Arial"/>
                <w:sz w:val="16"/>
                <w:szCs w:val="16"/>
                <w:color w:val="auto"/>
              </w:rPr>
              <w:t>Commodity derivatives</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w:t>
            </w:r>
          </w:p>
        </w:tc>
        <w:tc>
          <w:tcPr>
            <w:tcW w:w="340" w:type="dxa"/>
            <w:vAlign w:val="bottom"/>
          </w:tcPr>
          <w:p>
            <w:pPr>
              <w:spacing w:after="0"/>
              <w:rPr>
                <w:sz w:val="18"/>
                <w:szCs w:val="18"/>
                <w:color w:val="auto"/>
              </w:rPr>
            </w:pPr>
          </w:p>
        </w:tc>
        <w:tc>
          <w:tcPr>
            <w:tcW w:w="1160" w:type="dxa"/>
            <w:vAlign w:val="bottom"/>
          </w:tcPr>
          <w:p>
            <w:pPr>
              <w:ind w:left="660"/>
              <w:spacing w:after="0"/>
              <w:rPr>
                <w:sz w:val="20"/>
                <w:szCs w:val="20"/>
                <w:color w:val="auto"/>
              </w:rPr>
            </w:pPr>
            <w:r>
              <w:rPr>
                <w:rFonts w:ascii="Arial" w:cs="Arial" w:eastAsia="Arial" w:hAnsi="Arial"/>
                <w:sz w:val="16"/>
                <w:szCs w:val="16"/>
                <w:color w:val="auto"/>
              </w:rPr>
              <w:t>27</w:t>
            </w:r>
          </w:p>
        </w:tc>
        <w:tc>
          <w:tcPr>
            <w:tcW w:w="980" w:type="dxa"/>
            <w:vAlign w:val="bottom"/>
          </w:tcPr>
          <w:p>
            <w:pPr>
              <w:jc w:val="right"/>
              <w:spacing w:after="0"/>
              <w:rPr>
                <w:sz w:val="20"/>
                <w:szCs w:val="20"/>
                <w:color w:val="auto"/>
              </w:rPr>
            </w:pPr>
            <w:r>
              <w:rPr>
                <w:rFonts w:ascii="Arial" w:cs="Arial" w:eastAsia="Arial" w:hAnsi="Arial"/>
                <w:sz w:val="16"/>
                <w:szCs w:val="16"/>
                <w:color w:val="auto"/>
              </w:rPr>
              <w:t>(38)</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22"/>
        </w:trPr>
        <w:tc>
          <w:tcPr>
            <w:tcW w:w="2860" w:type="dxa"/>
            <w:vAlign w:val="bottom"/>
          </w:tcPr>
          <w:p>
            <w:pPr>
              <w:ind w:left="200"/>
              <w:spacing w:after="0"/>
              <w:rPr>
                <w:sz w:val="20"/>
                <w:szCs w:val="20"/>
                <w:color w:val="auto"/>
              </w:rPr>
            </w:pPr>
            <w:r>
              <w:rPr>
                <w:rFonts w:ascii="Arial" w:cs="Arial" w:eastAsia="Arial" w:hAnsi="Arial"/>
                <w:sz w:val="16"/>
                <w:szCs w:val="16"/>
                <w:color w:val="auto"/>
              </w:rPr>
              <w:t>Other derivatives</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07"/>
        </w:trPr>
        <w:tc>
          <w:tcPr>
            <w:tcW w:w="2860" w:type="dxa"/>
            <w:vAlign w:val="bottom"/>
            <w:vMerge w:val="restart"/>
          </w:tcPr>
          <w:p>
            <w:pPr>
              <w:ind w:left="20"/>
              <w:spacing w:after="0"/>
              <w:rPr>
                <w:sz w:val="20"/>
                <w:szCs w:val="20"/>
                <w:color w:val="auto"/>
              </w:rPr>
            </w:pPr>
            <w:r>
              <w:rPr>
                <w:rFonts w:ascii="Arial" w:cs="Arial" w:eastAsia="Arial" w:hAnsi="Arial"/>
                <w:sz w:val="16"/>
                <w:szCs w:val="16"/>
                <w:color w:val="auto"/>
              </w:rPr>
              <w:t>Total</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477</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476</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ind w:left="660"/>
              <w:spacing w:after="0"/>
              <w:rPr>
                <w:sz w:val="20"/>
                <w:szCs w:val="20"/>
                <w:color w:val="auto"/>
              </w:rPr>
            </w:pPr>
            <w:r>
              <w:rPr>
                <w:rFonts w:ascii="Arial" w:cs="Arial" w:eastAsia="Arial" w:hAnsi="Arial"/>
                <w:sz w:val="16"/>
                <w:szCs w:val="16"/>
                <w:color w:val="auto"/>
              </w:rPr>
              <w:t>27 $</w:t>
            </w:r>
          </w:p>
        </w:tc>
        <w:tc>
          <w:tcPr>
            <w:tcW w:w="980" w:type="dxa"/>
            <w:vAlign w:val="bottom"/>
          </w:tcPr>
          <w:p>
            <w:pPr>
              <w:jc w:val="right"/>
              <w:spacing w:after="0"/>
              <w:rPr>
                <w:sz w:val="20"/>
                <w:szCs w:val="20"/>
                <w:color w:val="auto"/>
              </w:rPr>
            </w:pPr>
            <w:r>
              <w:rPr>
                <w:rFonts w:ascii="Arial" w:cs="Arial" w:eastAsia="Arial" w:hAnsi="Arial"/>
                <w:sz w:val="16"/>
                <w:szCs w:val="16"/>
                <w:color w:val="auto"/>
              </w:rPr>
              <w:t>(38)</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r>
        <w:trPr>
          <w:trHeight w:val="84"/>
        </w:trPr>
        <w:tc>
          <w:tcPr>
            <w:tcW w:w="2860" w:type="dxa"/>
            <w:vAlign w:val="bottom"/>
            <w:vMerge w:val="continue"/>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116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6"/>
        </w:trPr>
        <w:tc>
          <w:tcPr>
            <w:tcW w:w="286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00"/>
              <w:spacing w:after="0"/>
              <w:rPr>
                <w:sz w:val="20"/>
                <w:szCs w:val="20"/>
                <w:color w:val="auto"/>
              </w:rPr>
            </w:pPr>
            <w:r>
              <w:rPr>
                <w:rFonts w:ascii="Arial" w:cs="Arial" w:eastAsia="Arial" w:hAnsi="Arial"/>
                <w:sz w:val="16"/>
                <w:szCs w:val="16"/>
                <w:color w:val="auto"/>
              </w:rPr>
              <w:t>Commodity derivatives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63</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110</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ind w:left="840"/>
              <w:spacing w:after="0"/>
              <w:rPr>
                <w:sz w:val="20"/>
                <w:szCs w:val="20"/>
                <w:color w:val="auto"/>
              </w:rPr>
            </w:pPr>
            <w:r>
              <w:rPr>
                <w:rFonts w:ascii="Arial" w:cs="Arial" w:eastAsia="Arial" w:hAnsi="Arial"/>
                <w:sz w:val="16"/>
                <w:szCs w:val="16"/>
                <w:color w:val="auto"/>
              </w:rPr>
              <w:t>- $</w:t>
            </w:r>
          </w:p>
        </w:tc>
        <w:tc>
          <w:tcPr>
            <w:tcW w:w="980" w:type="dxa"/>
            <w:vAlign w:val="bottom"/>
          </w:tcPr>
          <w:p>
            <w:pPr>
              <w:jc w:val="right"/>
              <w:spacing w:after="0"/>
              <w:rPr>
                <w:sz w:val="20"/>
                <w:szCs w:val="20"/>
                <w:color w:val="auto"/>
              </w:rPr>
            </w:pPr>
            <w:r>
              <w:rPr>
                <w:rFonts w:ascii="Arial" w:cs="Arial" w:eastAsia="Arial" w:hAnsi="Arial"/>
                <w:sz w:val="16"/>
                <w:szCs w:val="16"/>
                <w:color w:val="auto"/>
              </w:rPr>
              <w:t>(63)</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22"/>
        </w:trPr>
        <w:tc>
          <w:tcPr>
            <w:tcW w:w="2860" w:type="dxa"/>
            <w:vAlign w:val="bottom"/>
          </w:tcPr>
          <w:p>
            <w:pPr>
              <w:ind w:left="200"/>
              <w:spacing w:after="0"/>
              <w:rPr>
                <w:sz w:val="20"/>
                <w:szCs w:val="20"/>
                <w:color w:val="auto"/>
              </w:rPr>
            </w:pPr>
            <w:r>
              <w:rPr>
                <w:rFonts w:ascii="Arial" w:cs="Arial" w:eastAsia="Arial" w:hAnsi="Arial"/>
                <w:sz w:val="16"/>
                <w:szCs w:val="16"/>
                <w:color w:val="auto"/>
              </w:rPr>
              <w:t>Other derivatives</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7"/>
        </w:trPr>
        <w:tc>
          <w:tcPr>
            <w:tcW w:w="2860" w:type="dxa"/>
            <w:vAlign w:val="bottom"/>
          </w:tcPr>
          <w:p>
            <w:pPr>
              <w:ind w:left="20"/>
              <w:spacing w:after="0"/>
              <w:rPr>
                <w:sz w:val="20"/>
                <w:szCs w:val="20"/>
                <w:color w:val="auto"/>
              </w:rPr>
            </w:pPr>
            <w:r>
              <w:rPr>
                <w:rFonts w:ascii="Arial" w:cs="Arial" w:eastAsia="Arial" w:hAnsi="Arial"/>
                <w:sz w:val="16"/>
                <w:szCs w:val="16"/>
                <w:color w:val="auto"/>
              </w:rPr>
              <w:t>Total</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63</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240</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ind w:left="840"/>
              <w:spacing w:after="0"/>
              <w:rPr>
                <w:sz w:val="20"/>
                <w:szCs w:val="20"/>
                <w:color w:val="auto"/>
              </w:rPr>
            </w:pPr>
            <w:r>
              <w:rPr>
                <w:rFonts w:ascii="Arial" w:cs="Arial" w:eastAsia="Arial" w:hAnsi="Arial"/>
                <w:sz w:val="16"/>
                <w:szCs w:val="16"/>
                <w:color w:val="auto"/>
              </w:rPr>
              <w:t>- $</w:t>
            </w:r>
          </w:p>
        </w:tc>
        <w:tc>
          <w:tcPr>
            <w:tcW w:w="980" w:type="dxa"/>
            <w:vAlign w:val="bottom"/>
          </w:tcPr>
          <w:p>
            <w:pPr>
              <w:jc w:val="right"/>
              <w:spacing w:after="0"/>
              <w:rPr>
                <w:sz w:val="20"/>
                <w:szCs w:val="20"/>
                <w:color w:val="auto"/>
              </w:rPr>
            </w:pPr>
            <w:r>
              <w:rPr>
                <w:rFonts w:ascii="Arial" w:cs="Arial" w:eastAsia="Arial" w:hAnsi="Arial"/>
                <w:sz w:val="16"/>
                <w:szCs w:val="16"/>
                <w:color w:val="auto"/>
              </w:rPr>
              <w:t>(63)</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84"/>
        </w:trPr>
        <w:tc>
          <w:tcPr>
            <w:tcW w:w="286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116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Excludes cash balances.</w:t>
      </w:r>
    </w:p>
    <w:p>
      <w:pPr>
        <w:sectPr>
          <w:pgSz w:w="11900" w:h="16838" w:orient="portrait"/>
          <w:cols w:equalWidth="0" w:num="1">
            <w:col w:w="10219"/>
          </w:cols>
          <w:pgMar w:left="240" w:top="419" w:right="1440" w:bottom="1440" w:gutter="0" w:footer="0" w:header="0"/>
        </w:sectPr>
      </w:pPr>
    </w:p>
    <w:bookmarkStart w:id="47" w:name="page48"/>
    <w:bookmarkEnd w:id="47"/>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5711190" cy="274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11190" cy="274320"/>
                    </a:xfrm>
                    <a:prstGeom prst="rect">
                      <a:avLst/>
                    </a:prstGeom>
                    <a:noFill/>
                  </pic:spPr>
                </pic:pic>
              </a:graphicData>
            </a:graphic>
          </wp:anchor>
        </w:drawing>
        <w:t>RECURRING FAIR VALUE MEASURES -- SDG&amp;E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6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4"/>
          </w:tcPr>
          <w:p>
            <w:pPr>
              <w:jc w:val="right"/>
              <w:ind w:right="701"/>
              <w:spacing w:after="0"/>
              <w:rPr>
                <w:sz w:val="20"/>
                <w:szCs w:val="20"/>
                <w:color w:val="auto"/>
              </w:rPr>
            </w:pPr>
            <w:r>
              <w:rPr>
                <w:rFonts w:ascii="Arial" w:cs="Arial" w:eastAsia="Arial" w:hAnsi="Arial"/>
                <w:sz w:val="14"/>
                <w:szCs w:val="14"/>
                <w:color w:val="auto"/>
              </w:rPr>
              <w:t>At fair value as of March 31, 2009</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Netting and</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color w:val="auto"/>
              </w:rPr>
              <w:t>Level 2</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Level 3</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Collateral</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860" w:type="dxa"/>
            <w:vAlign w:val="bottom"/>
          </w:tcPr>
          <w:p>
            <w:pPr>
              <w:ind w:left="20"/>
              <w:spacing w:after="0"/>
              <w:rPr>
                <w:sz w:val="20"/>
                <w:szCs w:val="20"/>
                <w:color w:val="auto"/>
              </w:rPr>
            </w:pPr>
            <w:r>
              <w:rPr>
                <w:rFonts w:ascii="Arial" w:cs="Arial" w:eastAsia="Arial" w:hAnsi="Arial"/>
                <w:sz w:val="16"/>
                <w:szCs w:val="16"/>
                <w:color w:val="auto"/>
              </w:rPr>
              <w:t>Assets:</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00"/>
              <w:spacing w:after="0"/>
              <w:rPr>
                <w:sz w:val="20"/>
                <w:szCs w:val="20"/>
                <w:color w:val="auto"/>
              </w:rPr>
            </w:pPr>
            <w:r>
              <w:rPr>
                <w:rFonts w:ascii="Arial" w:cs="Arial" w:eastAsia="Arial" w:hAnsi="Arial"/>
                <w:sz w:val="16"/>
                <w:szCs w:val="16"/>
                <w:color w:val="auto"/>
              </w:rPr>
              <w:t>Nuclear decommissioning trusts*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385</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145</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ind w:left="840"/>
              <w:spacing w:after="0"/>
              <w:rPr>
                <w:sz w:val="20"/>
                <w:szCs w:val="20"/>
                <w:color w:val="auto"/>
              </w:rPr>
            </w:pPr>
            <w:r>
              <w:rPr>
                <w:rFonts w:ascii="Arial" w:cs="Arial" w:eastAsia="Arial" w:hAnsi="Arial"/>
                <w:sz w:val="16"/>
                <w:szCs w:val="16"/>
                <w:color w:val="auto"/>
              </w:rPr>
              <w:t>- $</w:t>
            </w:r>
          </w:p>
        </w:tc>
        <w:tc>
          <w:tcPr>
            <w:tcW w:w="1340" w:type="dxa"/>
            <w:vAlign w:val="bottom"/>
            <w:gridSpan w:val="2"/>
          </w:tcPr>
          <w:p>
            <w:pPr>
              <w:jc w:val="right"/>
              <w:ind w:right="179"/>
              <w:spacing w:after="0"/>
              <w:rPr>
                <w:sz w:val="20"/>
                <w:szCs w:val="20"/>
                <w:color w:val="auto"/>
              </w:rPr>
            </w:pPr>
            <w:r>
              <w:rPr>
                <w:rFonts w:ascii="Arial" w:cs="Arial" w:eastAsia="Arial" w:hAnsi="Arial"/>
                <w:sz w:val="16"/>
                <w:szCs w:val="16"/>
                <w:color w:val="auto"/>
              </w:rPr>
              <w:t>- $</w:t>
            </w:r>
          </w:p>
        </w:tc>
        <w:tc>
          <w:tcPr>
            <w:tcW w:w="860" w:type="dxa"/>
            <w:vAlign w:val="bottom"/>
          </w:tcPr>
          <w:p>
            <w:pPr>
              <w:jc w:val="right"/>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16"/>
        </w:trPr>
        <w:tc>
          <w:tcPr>
            <w:tcW w:w="2860" w:type="dxa"/>
            <w:vAlign w:val="bottom"/>
          </w:tcPr>
          <w:p>
            <w:pPr>
              <w:ind w:left="200"/>
              <w:spacing w:after="0"/>
              <w:rPr>
                <w:sz w:val="20"/>
                <w:szCs w:val="20"/>
                <w:color w:val="auto"/>
              </w:rPr>
            </w:pPr>
            <w:r>
              <w:rPr>
                <w:rFonts w:ascii="Arial" w:cs="Arial" w:eastAsia="Arial" w:hAnsi="Arial"/>
                <w:sz w:val="16"/>
                <w:szCs w:val="16"/>
                <w:color w:val="auto"/>
              </w:rPr>
              <w:t>Commodity derivatives</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tcPr>
          <w:p>
            <w:pPr>
              <w:ind w:left="660"/>
              <w:spacing w:after="0"/>
              <w:rPr>
                <w:sz w:val="20"/>
                <w:szCs w:val="20"/>
                <w:color w:val="auto"/>
              </w:rPr>
            </w:pPr>
            <w:r>
              <w:rPr>
                <w:rFonts w:ascii="Arial" w:cs="Arial" w:eastAsia="Arial" w:hAnsi="Arial"/>
                <w:sz w:val="16"/>
                <w:szCs w:val="16"/>
                <w:color w:val="auto"/>
              </w:rPr>
              <w:t>27</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22"/>
        </w:trPr>
        <w:tc>
          <w:tcPr>
            <w:tcW w:w="2860" w:type="dxa"/>
            <w:vAlign w:val="bottom"/>
          </w:tcPr>
          <w:p>
            <w:pPr>
              <w:ind w:left="200"/>
              <w:spacing w:after="0"/>
              <w:rPr>
                <w:sz w:val="20"/>
                <w:szCs w:val="20"/>
                <w:color w:val="auto"/>
              </w:rPr>
            </w:pPr>
            <w:r>
              <w:rPr>
                <w:rFonts w:ascii="Arial" w:cs="Arial" w:eastAsia="Arial" w:hAnsi="Arial"/>
                <w:sz w:val="16"/>
                <w:szCs w:val="16"/>
                <w:color w:val="auto"/>
              </w:rPr>
              <w:t>Short-term investments</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7"/>
        </w:trPr>
        <w:tc>
          <w:tcPr>
            <w:tcW w:w="2860" w:type="dxa"/>
            <w:vAlign w:val="bottom"/>
            <w:vMerge w:val="restart"/>
          </w:tcPr>
          <w:p>
            <w:pPr>
              <w:ind w:left="20"/>
              <w:spacing w:after="0"/>
              <w:rPr>
                <w:sz w:val="20"/>
                <w:szCs w:val="20"/>
                <w:color w:val="auto"/>
              </w:rPr>
            </w:pPr>
            <w:r>
              <w:rPr>
                <w:rFonts w:ascii="Arial" w:cs="Arial" w:eastAsia="Arial" w:hAnsi="Arial"/>
                <w:sz w:val="16"/>
                <w:szCs w:val="16"/>
                <w:color w:val="auto"/>
              </w:rPr>
              <w:t>Total</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391</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169</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ind w:left="660"/>
              <w:spacing w:after="0"/>
              <w:rPr>
                <w:sz w:val="20"/>
                <w:szCs w:val="20"/>
                <w:color w:val="auto"/>
              </w:rPr>
            </w:pPr>
            <w:r>
              <w:rPr>
                <w:rFonts w:ascii="Arial" w:cs="Arial" w:eastAsia="Arial" w:hAnsi="Arial"/>
                <w:sz w:val="16"/>
                <w:szCs w:val="16"/>
                <w:color w:val="auto"/>
              </w:rPr>
              <w:t>27 $</w:t>
            </w:r>
          </w:p>
        </w:tc>
        <w:tc>
          <w:tcPr>
            <w:tcW w:w="1340" w:type="dxa"/>
            <w:vAlign w:val="bottom"/>
            <w:gridSpan w:val="2"/>
          </w:tcPr>
          <w:p>
            <w:pPr>
              <w:jc w:val="right"/>
              <w:ind w:right="179"/>
              <w:spacing w:after="0"/>
              <w:rPr>
                <w:sz w:val="20"/>
                <w:szCs w:val="20"/>
                <w:color w:val="auto"/>
              </w:rPr>
            </w:pPr>
            <w:r>
              <w:rPr>
                <w:rFonts w:ascii="Arial" w:cs="Arial" w:eastAsia="Arial" w:hAnsi="Arial"/>
                <w:sz w:val="16"/>
                <w:szCs w:val="16"/>
                <w:color w:val="auto"/>
              </w:rPr>
              <w:t>- $</w:t>
            </w:r>
          </w:p>
        </w:tc>
        <w:tc>
          <w:tcPr>
            <w:tcW w:w="860" w:type="dxa"/>
            <w:vAlign w:val="bottom"/>
          </w:tcPr>
          <w:p>
            <w:pPr>
              <w:jc w:val="right"/>
              <w:spacing w:after="0"/>
              <w:rPr>
                <w:sz w:val="20"/>
                <w:szCs w:val="20"/>
                <w:color w:val="auto"/>
              </w:rPr>
            </w:pPr>
            <w:r>
              <w:rPr>
                <w:rFonts w:ascii="Arial" w:cs="Arial" w:eastAsia="Arial" w:hAnsi="Arial"/>
                <w:sz w:val="16"/>
                <w:szCs w:val="16"/>
                <w:color w:val="auto"/>
              </w:rPr>
              <w:t>587</w:t>
            </w:r>
          </w:p>
        </w:tc>
        <w:tc>
          <w:tcPr>
            <w:tcW w:w="0" w:type="dxa"/>
            <w:vAlign w:val="bottom"/>
          </w:tcPr>
          <w:p>
            <w:pPr>
              <w:spacing w:after="0"/>
              <w:rPr>
                <w:sz w:val="1"/>
                <w:szCs w:val="1"/>
                <w:color w:val="auto"/>
              </w:rPr>
            </w:pPr>
          </w:p>
        </w:tc>
      </w:tr>
      <w:tr>
        <w:trPr>
          <w:trHeight w:val="84"/>
        </w:trPr>
        <w:tc>
          <w:tcPr>
            <w:tcW w:w="2860" w:type="dxa"/>
            <w:vAlign w:val="bottom"/>
            <w:vMerge w:val="continue"/>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116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6"/>
        </w:trPr>
        <w:tc>
          <w:tcPr>
            <w:tcW w:w="286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00"/>
              <w:spacing w:after="0"/>
              <w:rPr>
                <w:sz w:val="20"/>
                <w:szCs w:val="20"/>
                <w:color w:val="auto"/>
              </w:rPr>
            </w:pPr>
            <w:r>
              <w:rPr>
                <w:rFonts w:ascii="Arial" w:cs="Arial" w:eastAsia="Arial" w:hAnsi="Arial"/>
                <w:sz w:val="16"/>
                <w:szCs w:val="16"/>
                <w:color w:val="auto"/>
              </w:rPr>
              <w:t>Commodity derivatives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61</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ind w:left="840"/>
              <w:spacing w:after="0"/>
              <w:rPr>
                <w:sz w:val="20"/>
                <w:szCs w:val="20"/>
                <w:color w:val="auto"/>
              </w:rPr>
            </w:pPr>
            <w:r>
              <w:rPr>
                <w:rFonts w:ascii="Arial" w:cs="Arial" w:eastAsia="Arial" w:hAnsi="Arial"/>
                <w:sz w:val="16"/>
                <w:szCs w:val="16"/>
                <w:color w:val="auto"/>
              </w:rPr>
              <w:t>- $</w:t>
            </w:r>
          </w:p>
        </w:tc>
        <w:tc>
          <w:tcPr>
            <w:tcW w:w="980" w:type="dxa"/>
            <w:vAlign w:val="bottom"/>
          </w:tcPr>
          <w:p>
            <w:pPr>
              <w:jc w:val="right"/>
              <w:spacing w:after="0"/>
              <w:rPr>
                <w:sz w:val="20"/>
                <w:szCs w:val="20"/>
                <w:color w:val="auto"/>
              </w:rPr>
            </w:pPr>
            <w:r>
              <w:rPr>
                <w:rFonts w:ascii="Arial" w:cs="Arial" w:eastAsia="Arial" w:hAnsi="Arial"/>
                <w:sz w:val="16"/>
                <w:szCs w:val="16"/>
                <w:color w:val="auto"/>
              </w:rPr>
              <w:t>(61)</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22"/>
        </w:trPr>
        <w:tc>
          <w:tcPr>
            <w:tcW w:w="2860" w:type="dxa"/>
            <w:vAlign w:val="bottom"/>
          </w:tcPr>
          <w:p>
            <w:pPr>
              <w:ind w:left="200"/>
              <w:spacing w:after="0"/>
              <w:rPr>
                <w:sz w:val="20"/>
                <w:szCs w:val="20"/>
                <w:color w:val="auto"/>
              </w:rPr>
            </w:pPr>
            <w:r>
              <w:rPr>
                <w:rFonts w:ascii="Arial" w:cs="Arial" w:eastAsia="Arial" w:hAnsi="Arial"/>
                <w:sz w:val="16"/>
                <w:szCs w:val="16"/>
                <w:color w:val="auto"/>
              </w:rPr>
              <w:t>Other derivatives</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7"/>
        </w:trPr>
        <w:tc>
          <w:tcPr>
            <w:tcW w:w="2860" w:type="dxa"/>
            <w:vAlign w:val="bottom"/>
          </w:tcPr>
          <w:p>
            <w:pPr>
              <w:ind w:left="20"/>
              <w:spacing w:after="0"/>
              <w:rPr>
                <w:sz w:val="20"/>
                <w:szCs w:val="20"/>
                <w:color w:val="auto"/>
              </w:rPr>
            </w:pPr>
            <w:r>
              <w:rPr>
                <w:rFonts w:ascii="Arial" w:cs="Arial" w:eastAsia="Arial" w:hAnsi="Arial"/>
                <w:sz w:val="16"/>
                <w:szCs w:val="16"/>
                <w:color w:val="auto"/>
              </w:rPr>
              <w:t>Total</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61</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99</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ind w:left="840"/>
              <w:spacing w:after="0"/>
              <w:rPr>
                <w:sz w:val="20"/>
                <w:szCs w:val="20"/>
                <w:color w:val="auto"/>
              </w:rPr>
            </w:pPr>
            <w:r>
              <w:rPr>
                <w:rFonts w:ascii="Arial" w:cs="Arial" w:eastAsia="Arial" w:hAnsi="Arial"/>
                <w:sz w:val="16"/>
                <w:szCs w:val="16"/>
                <w:color w:val="auto"/>
              </w:rPr>
              <w:t>- $</w:t>
            </w:r>
          </w:p>
        </w:tc>
        <w:tc>
          <w:tcPr>
            <w:tcW w:w="980" w:type="dxa"/>
            <w:vAlign w:val="bottom"/>
          </w:tcPr>
          <w:p>
            <w:pPr>
              <w:jc w:val="right"/>
              <w:spacing w:after="0"/>
              <w:rPr>
                <w:sz w:val="20"/>
                <w:szCs w:val="20"/>
                <w:color w:val="auto"/>
              </w:rPr>
            </w:pPr>
            <w:r>
              <w:rPr>
                <w:rFonts w:ascii="Arial" w:cs="Arial" w:eastAsia="Arial" w:hAnsi="Arial"/>
                <w:sz w:val="16"/>
                <w:szCs w:val="16"/>
                <w:color w:val="auto"/>
              </w:rPr>
              <w:t>(61)</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84"/>
        </w:trPr>
        <w:tc>
          <w:tcPr>
            <w:tcW w:w="286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3360" w:type="dxa"/>
            <w:vAlign w:val="bottom"/>
            <w:gridSpan w:val="4"/>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8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4"/>
                <w:szCs w:val="14"/>
                <w:color w:val="auto"/>
              </w:rPr>
              <w:t>At fair value as of December 31, 2008</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Netting and</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color w:val="auto"/>
              </w:rPr>
              <w:t>Level 2</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Level 3</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Collateral</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860" w:type="dxa"/>
            <w:vAlign w:val="bottom"/>
          </w:tcPr>
          <w:p>
            <w:pPr>
              <w:ind w:left="20"/>
              <w:spacing w:after="0"/>
              <w:rPr>
                <w:sz w:val="20"/>
                <w:szCs w:val="20"/>
                <w:color w:val="auto"/>
              </w:rPr>
            </w:pPr>
            <w:r>
              <w:rPr>
                <w:rFonts w:ascii="Arial" w:cs="Arial" w:eastAsia="Arial" w:hAnsi="Arial"/>
                <w:sz w:val="16"/>
                <w:szCs w:val="16"/>
                <w:color w:val="auto"/>
              </w:rPr>
              <w:t>Assets:</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00"/>
              <w:spacing w:after="0"/>
              <w:rPr>
                <w:sz w:val="20"/>
                <w:szCs w:val="20"/>
                <w:color w:val="auto"/>
              </w:rPr>
            </w:pPr>
            <w:r>
              <w:rPr>
                <w:rFonts w:ascii="Arial" w:cs="Arial" w:eastAsia="Arial" w:hAnsi="Arial"/>
                <w:sz w:val="16"/>
                <w:szCs w:val="16"/>
                <w:color w:val="auto"/>
              </w:rPr>
              <w:t>Nuclear decommissioning trusts*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421</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148</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ind w:left="840"/>
              <w:spacing w:after="0"/>
              <w:rPr>
                <w:sz w:val="20"/>
                <w:szCs w:val="20"/>
                <w:color w:val="auto"/>
              </w:rPr>
            </w:pPr>
            <w:r>
              <w:rPr>
                <w:rFonts w:ascii="Arial" w:cs="Arial" w:eastAsia="Arial" w:hAnsi="Arial"/>
                <w:sz w:val="16"/>
                <w:szCs w:val="16"/>
                <w:color w:val="auto"/>
              </w:rPr>
              <w:t>- $</w:t>
            </w:r>
          </w:p>
        </w:tc>
        <w:tc>
          <w:tcPr>
            <w:tcW w:w="1340" w:type="dxa"/>
            <w:vAlign w:val="bottom"/>
            <w:gridSpan w:val="2"/>
          </w:tcPr>
          <w:p>
            <w:pPr>
              <w:jc w:val="right"/>
              <w:ind w:right="179"/>
              <w:spacing w:after="0"/>
              <w:rPr>
                <w:sz w:val="20"/>
                <w:szCs w:val="20"/>
                <w:color w:val="auto"/>
              </w:rPr>
            </w:pPr>
            <w:r>
              <w:rPr>
                <w:rFonts w:ascii="Arial" w:cs="Arial" w:eastAsia="Arial" w:hAnsi="Arial"/>
                <w:sz w:val="16"/>
                <w:szCs w:val="16"/>
                <w:color w:val="auto"/>
              </w:rPr>
              <w:t>- $</w:t>
            </w:r>
          </w:p>
        </w:tc>
        <w:tc>
          <w:tcPr>
            <w:tcW w:w="860" w:type="dxa"/>
            <w:vAlign w:val="bottom"/>
          </w:tcPr>
          <w:p>
            <w:pPr>
              <w:jc w:val="right"/>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216"/>
        </w:trPr>
        <w:tc>
          <w:tcPr>
            <w:tcW w:w="2860" w:type="dxa"/>
            <w:vAlign w:val="bottom"/>
          </w:tcPr>
          <w:p>
            <w:pPr>
              <w:ind w:left="200"/>
              <w:spacing w:after="0"/>
              <w:rPr>
                <w:sz w:val="20"/>
                <w:szCs w:val="20"/>
                <w:color w:val="auto"/>
              </w:rPr>
            </w:pPr>
            <w:r>
              <w:rPr>
                <w:rFonts w:ascii="Arial" w:cs="Arial" w:eastAsia="Arial" w:hAnsi="Arial"/>
                <w:sz w:val="16"/>
                <w:szCs w:val="16"/>
                <w:color w:val="auto"/>
              </w:rPr>
              <w:t>Commodity derivatives</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tcPr>
          <w:p>
            <w:pPr>
              <w:ind w:left="660"/>
              <w:spacing w:after="0"/>
              <w:rPr>
                <w:sz w:val="20"/>
                <w:szCs w:val="20"/>
                <w:color w:val="auto"/>
              </w:rPr>
            </w:pPr>
            <w:r>
              <w:rPr>
                <w:rFonts w:ascii="Arial" w:cs="Arial" w:eastAsia="Arial" w:hAnsi="Arial"/>
                <w:sz w:val="16"/>
                <w:szCs w:val="16"/>
                <w:color w:val="auto"/>
              </w:rPr>
              <w:t>27</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22"/>
        </w:trPr>
        <w:tc>
          <w:tcPr>
            <w:tcW w:w="2860" w:type="dxa"/>
            <w:vAlign w:val="bottom"/>
          </w:tcPr>
          <w:p>
            <w:pPr>
              <w:ind w:left="200"/>
              <w:spacing w:after="0"/>
              <w:rPr>
                <w:sz w:val="20"/>
                <w:szCs w:val="20"/>
                <w:color w:val="auto"/>
              </w:rPr>
            </w:pPr>
            <w:r>
              <w:rPr>
                <w:rFonts w:ascii="Arial" w:cs="Arial" w:eastAsia="Arial" w:hAnsi="Arial"/>
                <w:sz w:val="16"/>
                <w:szCs w:val="16"/>
                <w:color w:val="auto"/>
              </w:rPr>
              <w:t>Short-term investments</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7"/>
        </w:trPr>
        <w:tc>
          <w:tcPr>
            <w:tcW w:w="2860" w:type="dxa"/>
            <w:vAlign w:val="bottom"/>
            <w:vMerge w:val="restart"/>
          </w:tcPr>
          <w:p>
            <w:pPr>
              <w:ind w:left="20"/>
              <w:spacing w:after="0"/>
              <w:rPr>
                <w:sz w:val="20"/>
                <w:szCs w:val="20"/>
                <w:color w:val="auto"/>
              </w:rPr>
            </w:pPr>
            <w:r>
              <w:rPr>
                <w:rFonts w:ascii="Arial" w:cs="Arial" w:eastAsia="Arial" w:hAnsi="Arial"/>
                <w:sz w:val="16"/>
                <w:szCs w:val="16"/>
                <w:color w:val="auto"/>
              </w:rPr>
              <w:t>Total</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442</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172</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ind w:left="660"/>
              <w:spacing w:after="0"/>
              <w:rPr>
                <w:sz w:val="20"/>
                <w:szCs w:val="20"/>
                <w:color w:val="auto"/>
              </w:rPr>
            </w:pPr>
            <w:r>
              <w:rPr>
                <w:rFonts w:ascii="Arial" w:cs="Arial" w:eastAsia="Arial" w:hAnsi="Arial"/>
                <w:sz w:val="16"/>
                <w:szCs w:val="16"/>
                <w:color w:val="auto"/>
              </w:rPr>
              <w:t>27 $</w:t>
            </w:r>
          </w:p>
        </w:tc>
        <w:tc>
          <w:tcPr>
            <w:tcW w:w="1340" w:type="dxa"/>
            <w:vAlign w:val="bottom"/>
            <w:gridSpan w:val="2"/>
          </w:tcPr>
          <w:p>
            <w:pPr>
              <w:jc w:val="right"/>
              <w:ind w:right="179"/>
              <w:spacing w:after="0"/>
              <w:rPr>
                <w:sz w:val="20"/>
                <w:szCs w:val="20"/>
                <w:color w:val="auto"/>
              </w:rPr>
            </w:pPr>
            <w:r>
              <w:rPr>
                <w:rFonts w:ascii="Arial" w:cs="Arial" w:eastAsia="Arial" w:hAnsi="Arial"/>
                <w:sz w:val="16"/>
                <w:szCs w:val="16"/>
                <w:color w:val="auto"/>
              </w:rPr>
              <w:t>- $</w:t>
            </w:r>
          </w:p>
        </w:tc>
        <w:tc>
          <w:tcPr>
            <w:tcW w:w="860" w:type="dxa"/>
            <w:vAlign w:val="bottom"/>
          </w:tcPr>
          <w:p>
            <w:pPr>
              <w:jc w:val="right"/>
              <w:spacing w:after="0"/>
              <w:rPr>
                <w:sz w:val="20"/>
                <w:szCs w:val="20"/>
                <w:color w:val="auto"/>
              </w:rPr>
            </w:pPr>
            <w:r>
              <w:rPr>
                <w:rFonts w:ascii="Arial" w:cs="Arial" w:eastAsia="Arial" w:hAnsi="Arial"/>
                <w:sz w:val="16"/>
                <w:szCs w:val="16"/>
                <w:color w:val="auto"/>
              </w:rPr>
              <w:t>641</w:t>
            </w:r>
          </w:p>
        </w:tc>
        <w:tc>
          <w:tcPr>
            <w:tcW w:w="0" w:type="dxa"/>
            <w:vAlign w:val="bottom"/>
          </w:tcPr>
          <w:p>
            <w:pPr>
              <w:spacing w:after="0"/>
              <w:rPr>
                <w:sz w:val="1"/>
                <w:szCs w:val="1"/>
                <w:color w:val="auto"/>
              </w:rPr>
            </w:pPr>
          </w:p>
        </w:tc>
      </w:tr>
      <w:tr>
        <w:trPr>
          <w:trHeight w:val="84"/>
        </w:trPr>
        <w:tc>
          <w:tcPr>
            <w:tcW w:w="2860" w:type="dxa"/>
            <w:vAlign w:val="bottom"/>
            <w:vMerge w:val="continue"/>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116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6"/>
        </w:trPr>
        <w:tc>
          <w:tcPr>
            <w:tcW w:w="286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00"/>
              <w:spacing w:after="0"/>
              <w:rPr>
                <w:sz w:val="20"/>
                <w:szCs w:val="20"/>
                <w:color w:val="auto"/>
              </w:rPr>
            </w:pPr>
            <w:r>
              <w:rPr>
                <w:rFonts w:ascii="Arial" w:cs="Arial" w:eastAsia="Arial" w:hAnsi="Arial"/>
                <w:sz w:val="16"/>
                <w:szCs w:val="16"/>
                <w:color w:val="auto"/>
              </w:rPr>
              <w:t>Commodity derivatives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52</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ind w:left="840"/>
              <w:spacing w:after="0"/>
              <w:rPr>
                <w:sz w:val="20"/>
                <w:szCs w:val="20"/>
                <w:color w:val="auto"/>
              </w:rPr>
            </w:pPr>
            <w:r>
              <w:rPr>
                <w:rFonts w:ascii="Arial" w:cs="Arial" w:eastAsia="Arial" w:hAnsi="Arial"/>
                <w:sz w:val="16"/>
                <w:szCs w:val="16"/>
                <w:color w:val="auto"/>
              </w:rPr>
              <w:t>- $</w:t>
            </w:r>
          </w:p>
        </w:tc>
        <w:tc>
          <w:tcPr>
            <w:tcW w:w="980" w:type="dxa"/>
            <w:vAlign w:val="bottom"/>
          </w:tcPr>
          <w:p>
            <w:pPr>
              <w:jc w:val="right"/>
              <w:spacing w:after="0"/>
              <w:rPr>
                <w:sz w:val="20"/>
                <w:szCs w:val="20"/>
                <w:color w:val="auto"/>
              </w:rPr>
            </w:pPr>
            <w:r>
              <w:rPr>
                <w:rFonts w:ascii="Arial" w:cs="Arial" w:eastAsia="Arial" w:hAnsi="Arial"/>
                <w:sz w:val="16"/>
                <w:szCs w:val="16"/>
                <w:color w:val="auto"/>
              </w:rPr>
              <w:t>(52)</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22"/>
        </w:trPr>
        <w:tc>
          <w:tcPr>
            <w:tcW w:w="2860" w:type="dxa"/>
            <w:vAlign w:val="bottom"/>
          </w:tcPr>
          <w:p>
            <w:pPr>
              <w:ind w:left="200"/>
              <w:spacing w:after="0"/>
              <w:rPr>
                <w:sz w:val="20"/>
                <w:szCs w:val="20"/>
                <w:color w:val="auto"/>
              </w:rPr>
            </w:pPr>
            <w:r>
              <w:rPr>
                <w:rFonts w:ascii="Arial" w:cs="Arial" w:eastAsia="Arial" w:hAnsi="Arial"/>
                <w:sz w:val="16"/>
                <w:szCs w:val="16"/>
                <w:color w:val="auto"/>
              </w:rPr>
              <w:t>Other derivatives</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7"/>
        </w:trPr>
        <w:tc>
          <w:tcPr>
            <w:tcW w:w="2860" w:type="dxa"/>
            <w:vAlign w:val="bottom"/>
          </w:tcPr>
          <w:p>
            <w:pPr>
              <w:ind w:left="20"/>
              <w:spacing w:after="0"/>
              <w:rPr>
                <w:sz w:val="20"/>
                <w:szCs w:val="20"/>
                <w:color w:val="auto"/>
              </w:rPr>
            </w:pPr>
            <w:r>
              <w:rPr>
                <w:rFonts w:ascii="Arial" w:cs="Arial" w:eastAsia="Arial" w:hAnsi="Arial"/>
                <w:sz w:val="16"/>
                <w:szCs w:val="16"/>
                <w:color w:val="auto"/>
              </w:rPr>
              <w:t>Total</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52</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112</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ind w:left="840"/>
              <w:spacing w:after="0"/>
              <w:rPr>
                <w:sz w:val="20"/>
                <w:szCs w:val="20"/>
                <w:color w:val="auto"/>
              </w:rPr>
            </w:pPr>
            <w:r>
              <w:rPr>
                <w:rFonts w:ascii="Arial" w:cs="Arial" w:eastAsia="Arial" w:hAnsi="Arial"/>
                <w:sz w:val="16"/>
                <w:szCs w:val="16"/>
                <w:color w:val="auto"/>
              </w:rPr>
              <w:t>- $</w:t>
            </w:r>
          </w:p>
        </w:tc>
        <w:tc>
          <w:tcPr>
            <w:tcW w:w="980" w:type="dxa"/>
            <w:vAlign w:val="bottom"/>
          </w:tcPr>
          <w:p>
            <w:pPr>
              <w:jc w:val="right"/>
              <w:spacing w:after="0"/>
              <w:rPr>
                <w:sz w:val="20"/>
                <w:szCs w:val="20"/>
                <w:color w:val="auto"/>
              </w:rPr>
            </w:pPr>
            <w:r>
              <w:rPr>
                <w:rFonts w:ascii="Arial" w:cs="Arial" w:eastAsia="Arial" w:hAnsi="Arial"/>
                <w:sz w:val="16"/>
                <w:szCs w:val="16"/>
                <w:color w:val="auto"/>
              </w:rPr>
              <w:t>(52)</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84"/>
        </w:trPr>
        <w:tc>
          <w:tcPr>
            <w:tcW w:w="286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116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Excludes cash balances.</w:t>
      </w:r>
    </w:p>
    <w:p>
      <w:pPr>
        <w:sectPr>
          <w:pgSz w:w="11900" w:h="16838" w:orient="portrait"/>
          <w:cols w:equalWidth="0" w:num="1">
            <w:col w:w="10219"/>
          </w:cols>
          <w:pgMar w:left="240" w:top="419" w:right="1440" w:bottom="1440" w:gutter="0" w:footer="0" w:header="0"/>
        </w:sectPr>
      </w:pPr>
    </w:p>
    <w:bookmarkStart w:id="48" w:name="page49"/>
    <w:bookmarkEnd w:id="48"/>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5711190" cy="274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11190" cy="274320"/>
                    </a:xfrm>
                    <a:prstGeom prst="rect">
                      <a:avLst/>
                    </a:prstGeom>
                    <a:noFill/>
                  </pic:spPr>
                </pic:pic>
              </a:graphicData>
            </a:graphic>
          </wp:anchor>
        </w:drawing>
        <w:t>RECURRING FAIR VALUE MEASURES -- SOCALGAS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6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4"/>
          </w:tcPr>
          <w:p>
            <w:pPr>
              <w:jc w:val="right"/>
              <w:ind w:right="702"/>
              <w:spacing w:after="0"/>
              <w:rPr>
                <w:sz w:val="20"/>
                <w:szCs w:val="20"/>
                <w:color w:val="auto"/>
              </w:rPr>
            </w:pPr>
            <w:r>
              <w:rPr>
                <w:rFonts w:ascii="Arial" w:cs="Arial" w:eastAsia="Arial" w:hAnsi="Arial"/>
                <w:sz w:val="14"/>
                <w:szCs w:val="14"/>
                <w:color w:val="auto"/>
              </w:rPr>
              <w:t>At fair value as of March 31, 2009</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Netting and</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Level 3</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Collateral</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860" w:type="dxa"/>
            <w:vAlign w:val="bottom"/>
          </w:tcPr>
          <w:p>
            <w:pPr>
              <w:ind w:left="20"/>
              <w:spacing w:after="0"/>
              <w:rPr>
                <w:sz w:val="20"/>
                <w:szCs w:val="20"/>
                <w:color w:val="auto"/>
              </w:rPr>
            </w:pPr>
            <w:r>
              <w:rPr>
                <w:rFonts w:ascii="Arial" w:cs="Arial" w:eastAsia="Arial" w:hAnsi="Arial"/>
                <w:sz w:val="16"/>
                <w:szCs w:val="16"/>
                <w:color w:val="auto"/>
              </w:rPr>
              <w:t>Assets:</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00"/>
              <w:spacing w:after="0"/>
              <w:rPr>
                <w:sz w:val="20"/>
                <w:szCs w:val="20"/>
                <w:color w:val="auto"/>
              </w:rPr>
            </w:pPr>
            <w:r>
              <w:rPr>
                <w:rFonts w:ascii="Arial" w:cs="Arial" w:eastAsia="Arial" w:hAnsi="Arial"/>
                <w:sz w:val="16"/>
                <w:szCs w:val="16"/>
                <w:color w:val="auto"/>
              </w:rPr>
              <w:t>Commodity derivatives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ind w:left="840"/>
              <w:spacing w:after="0"/>
              <w:rPr>
                <w:sz w:val="20"/>
                <w:szCs w:val="20"/>
                <w:color w:val="auto"/>
              </w:rPr>
            </w:pPr>
            <w:r>
              <w:rPr>
                <w:rFonts w:ascii="Arial" w:cs="Arial" w:eastAsia="Arial" w:hAnsi="Arial"/>
                <w:sz w:val="16"/>
                <w:szCs w:val="16"/>
                <w:color w:val="auto"/>
              </w:rPr>
              <w:t>- $</w:t>
            </w:r>
          </w:p>
        </w:tc>
        <w:tc>
          <w:tcPr>
            <w:tcW w:w="1340" w:type="dxa"/>
            <w:vAlign w:val="bottom"/>
            <w:gridSpan w:val="2"/>
          </w:tcPr>
          <w:p>
            <w:pPr>
              <w:jc w:val="right"/>
              <w:ind w:right="179"/>
              <w:spacing w:after="0"/>
              <w:rPr>
                <w:sz w:val="20"/>
                <w:szCs w:val="20"/>
                <w:color w:val="auto"/>
              </w:rPr>
            </w:pPr>
            <w:r>
              <w:rPr>
                <w:rFonts w:ascii="Arial" w:cs="Arial" w:eastAsia="Arial" w:hAnsi="Arial"/>
                <w:sz w:val="16"/>
                <w:szCs w:val="16"/>
                <w:color w:val="auto"/>
              </w:rPr>
              <w:t>- $</w:t>
            </w: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22"/>
        </w:trPr>
        <w:tc>
          <w:tcPr>
            <w:tcW w:w="2860" w:type="dxa"/>
            <w:vAlign w:val="bottom"/>
          </w:tcPr>
          <w:p>
            <w:pPr>
              <w:ind w:left="200"/>
              <w:spacing w:after="0"/>
              <w:rPr>
                <w:sz w:val="20"/>
                <w:szCs w:val="20"/>
                <w:color w:val="auto"/>
              </w:rPr>
            </w:pPr>
            <w:r>
              <w:rPr>
                <w:rFonts w:ascii="Arial" w:cs="Arial" w:eastAsia="Arial" w:hAnsi="Arial"/>
                <w:sz w:val="16"/>
                <w:szCs w:val="16"/>
                <w:color w:val="auto"/>
              </w:rPr>
              <w:t>Other derivatives</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7"/>
        </w:trPr>
        <w:tc>
          <w:tcPr>
            <w:tcW w:w="2860" w:type="dxa"/>
            <w:vAlign w:val="bottom"/>
            <w:vMerge w:val="restart"/>
          </w:tcPr>
          <w:p>
            <w:pPr>
              <w:ind w:left="20"/>
              <w:spacing w:after="0"/>
              <w:rPr>
                <w:sz w:val="20"/>
                <w:szCs w:val="20"/>
                <w:color w:val="auto"/>
              </w:rPr>
            </w:pPr>
            <w:r>
              <w:rPr>
                <w:rFonts w:ascii="Arial" w:cs="Arial" w:eastAsia="Arial" w:hAnsi="Arial"/>
                <w:sz w:val="16"/>
                <w:szCs w:val="16"/>
                <w:color w:val="auto"/>
              </w:rPr>
              <w:t>Total</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ind w:left="840"/>
              <w:spacing w:after="0"/>
              <w:rPr>
                <w:sz w:val="20"/>
                <w:szCs w:val="20"/>
                <w:color w:val="auto"/>
              </w:rPr>
            </w:pPr>
            <w:r>
              <w:rPr>
                <w:rFonts w:ascii="Arial" w:cs="Arial" w:eastAsia="Arial" w:hAnsi="Arial"/>
                <w:sz w:val="16"/>
                <w:szCs w:val="16"/>
                <w:color w:val="auto"/>
              </w:rPr>
              <w:t>- $</w:t>
            </w:r>
          </w:p>
        </w:tc>
        <w:tc>
          <w:tcPr>
            <w:tcW w:w="1340" w:type="dxa"/>
            <w:vAlign w:val="bottom"/>
            <w:gridSpan w:val="2"/>
          </w:tcPr>
          <w:p>
            <w:pPr>
              <w:jc w:val="right"/>
              <w:ind w:right="179"/>
              <w:spacing w:after="0"/>
              <w:rPr>
                <w:sz w:val="20"/>
                <w:szCs w:val="20"/>
                <w:color w:val="auto"/>
              </w:rPr>
            </w:pPr>
            <w:r>
              <w:rPr>
                <w:rFonts w:ascii="Arial" w:cs="Arial" w:eastAsia="Arial" w:hAnsi="Arial"/>
                <w:sz w:val="16"/>
                <w:szCs w:val="16"/>
                <w:color w:val="auto"/>
              </w:rPr>
              <w:t>- $</w:t>
            </w: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84"/>
        </w:trPr>
        <w:tc>
          <w:tcPr>
            <w:tcW w:w="2860" w:type="dxa"/>
            <w:vAlign w:val="bottom"/>
            <w:vMerge w:val="continue"/>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116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6"/>
        </w:trPr>
        <w:tc>
          <w:tcPr>
            <w:tcW w:w="286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860" w:type="dxa"/>
            <w:vAlign w:val="bottom"/>
          </w:tcPr>
          <w:p>
            <w:pPr>
              <w:ind w:left="200"/>
              <w:spacing w:after="0"/>
              <w:rPr>
                <w:sz w:val="20"/>
                <w:szCs w:val="20"/>
                <w:color w:val="auto"/>
              </w:rPr>
            </w:pPr>
            <w:r>
              <w:rPr>
                <w:rFonts w:ascii="Arial" w:cs="Arial" w:eastAsia="Arial" w:hAnsi="Arial"/>
                <w:sz w:val="16"/>
                <w:szCs w:val="16"/>
                <w:color w:val="auto"/>
              </w:rPr>
              <w:t>Commodity derivatives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 $</w:t>
            </w:r>
          </w:p>
        </w:tc>
        <w:tc>
          <w:tcPr>
            <w:tcW w:w="1160" w:type="dxa"/>
            <w:vAlign w:val="bottom"/>
          </w:tcPr>
          <w:p>
            <w:pPr>
              <w:ind w:left="840"/>
              <w:spacing w:after="0"/>
              <w:rPr>
                <w:sz w:val="20"/>
                <w:szCs w:val="20"/>
                <w:color w:val="auto"/>
              </w:rPr>
            </w:pPr>
            <w:r>
              <w:rPr>
                <w:rFonts w:ascii="Arial" w:cs="Arial" w:eastAsia="Arial" w:hAnsi="Arial"/>
                <w:sz w:val="16"/>
                <w:szCs w:val="16"/>
                <w:color w:val="auto"/>
              </w:rPr>
              <w:t>- $</w:t>
            </w:r>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4"/>
        </w:trPr>
        <w:tc>
          <w:tcPr>
            <w:tcW w:w="286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3360" w:type="dxa"/>
            <w:vAlign w:val="bottom"/>
            <w:gridSpan w:val="4"/>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8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4"/>
          </w:tcPr>
          <w:p>
            <w:pPr>
              <w:jc w:val="right"/>
              <w:ind w:right="562"/>
              <w:spacing w:after="0"/>
              <w:rPr>
                <w:sz w:val="20"/>
                <w:szCs w:val="20"/>
                <w:color w:val="auto"/>
              </w:rPr>
            </w:pPr>
            <w:r>
              <w:rPr>
                <w:rFonts w:ascii="Arial" w:cs="Arial" w:eastAsia="Arial" w:hAnsi="Arial"/>
                <w:sz w:val="14"/>
                <w:szCs w:val="14"/>
                <w:color w:val="auto"/>
              </w:rPr>
              <w:t>At fair value as of December 31, 2008</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Netting and</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Level 3</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Collateral</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860" w:type="dxa"/>
            <w:vAlign w:val="bottom"/>
          </w:tcPr>
          <w:p>
            <w:pPr>
              <w:ind w:left="20"/>
              <w:spacing w:after="0"/>
              <w:rPr>
                <w:sz w:val="20"/>
                <w:szCs w:val="20"/>
                <w:color w:val="auto"/>
              </w:rPr>
            </w:pPr>
            <w:r>
              <w:rPr>
                <w:rFonts w:ascii="Arial" w:cs="Arial" w:eastAsia="Arial" w:hAnsi="Arial"/>
                <w:sz w:val="16"/>
                <w:szCs w:val="16"/>
                <w:color w:val="auto"/>
              </w:rPr>
              <w:t>Assets:</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00"/>
              <w:spacing w:after="0"/>
              <w:rPr>
                <w:sz w:val="20"/>
                <w:szCs w:val="20"/>
                <w:color w:val="auto"/>
              </w:rPr>
            </w:pPr>
            <w:r>
              <w:rPr>
                <w:rFonts w:ascii="Arial" w:cs="Arial" w:eastAsia="Arial" w:hAnsi="Arial"/>
                <w:sz w:val="16"/>
                <w:szCs w:val="16"/>
                <w:color w:val="auto"/>
              </w:rPr>
              <w:t>Commodity derivatives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ind w:left="840"/>
              <w:spacing w:after="0"/>
              <w:rPr>
                <w:sz w:val="20"/>
                <w:szCs w:val="20"/>
                <w:color w:val="auto"/>
              </w:rPr>
            </w:pPr>
            <w:r>
              <w:rPr>
                <w:rFonts w:ascii="Arial" w:cs="Arial" w:eastAsia="Arial" w:hAnsi="Arial"/>
                <w:sz w:val="16"/>
                <w:szCs w:val="16"/>
                <w:color w:val="auto"/>
              </w:rPr>
              <w:t>- $</w:t>
            </w:r>
          </w:p>
        </w:tc>
        <w:tc>
          <w:tcPr>
            <w:tcW w:w="1340" w:type="dxa"/>
            <w:vAlign w:val="bottom"/>
            <w:gridSpan w:val="2"/>
          </w:tcPr>
          <w:p>
            <w:pPr>
              <w:jc w:val="right"/>
              <w:ind w:right="179"/>
              <w:spacing w:after="0"/>
              <w:rPr>
                <w:sz w:val="20"/>
                <w:szCs w:val="20"/>
                <w:color w:val="auto"/>
              </w:rPr>
            </w:pPr>
            <w:r>
              <w:rPr>
                <w:rFonts w:ascii="Arial" w:cs="Arial" w:eastAsia="Arial" w:hAnsi="Arial"/>
                <w:sz w:val="16"/>
                <w:szCs w:val="16"/>
                <w:color w:val="auto"/>
              </w:rPr>
              <w:t>- $</w:t>
            </w:r>
          </w:p>
        </w:tc>
        <w:tc>
          <w:tcPr>
            <w:tcW w:w="8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2"/>
        </w:trPr>
        <w:tc>
          <w:tcPr>
            <w:tcW w:w="2860" w:type="dxa"/>
            <w:vAlign w:val="bottom"/>
          </w:tcPr>
          <w:p>
            <w:pPr>
              <w:ind w:left="200"/>
              <w:spacing w:after="0"/>
              <w:rPr>
                <w:sz w:val="20"/>
                <w:szCs w:val="20"/>
                <w:color w:val="auto"/>
              </w:rPr>
            </w:pPr>
            <w:r>
              <w:rPr>
                <w:rFonts w:ascii="Arial" w:cs="Arial" w:eastAsia="Arial" w:hAnsi="Arial"/>
                <w:sz w:val="16"/>
                <w:szCs w:val="16"/>
                <w:color w:val="auto"/>
              </w:rPr>
              <w:t>Other derivatives</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7"/>
        </w:trPr>
        <w:tc>
          <w:tcPr>
            <w:tcW w:w="2860" w:type="dxa"/>
            <w:vAlign w:val="bottom"/>
            <w:vMerge w:val="restart"/>
          </w:tcPr>
          <w:p>
            <w:pPr>
              <w:ind w:left="20"/>
              <w:spacing w:after="0"/>
              <w:rPr>
                <w:sz w:val="20"/>
                <w:szCs w:val="20"/>
                <w:color w:val="auto"/>
              </w:rPr>
            </w:pPr>
            <w:r>
              <w:rPr>
                <w:rFonts w:ascii="Arial" w:cs="Arial" w:eastAsia="Arial" w:hAnsi="Arial"/>
                <w:sz w:val="16"/>
                <w:szCs w:val="16"/>
                <w:color w:val="auto"/>
              </w:rPr>
              <w:t>Total</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ind w:left="840"/>
              <w:spacing w:after="0"/>
              <w:rPr>
                <w:sz w:val="20"/>
                <w:szCs w:val="20"/>
                <w:color w:val="auto"/>
              </w:rPr>
            </w:pPr>
            <w:r>
              <w:rPr>
                <w:rFonts w:ascii="Arial" w:cs="Arial" w:eastAsia="Arial" w:hAnsi="Arial"/>
                <w:sz w:val="16"/>
                <w:szCs w:val="16"/>
                <w:color w:val="auto"/>
              </w:rPr>
              <w:t>- $</w:t>
            </w:r>
          </w:p>
        </w:tc>
        <w:tc>
          <w:tcPr>
            <w:tcW w:w="1340" w:type="dxa"/>
            <w:vAlign w:val="bottom"/>
            <w:gridSpan w:val="2"/>
          </w:tcPr>
          <w:p>
            <w:pPr>
              <w:jc w:val="right"/>
              <w:ind w:right="179"/>
              <w:spacing w:after="0"/>
              <w:rPr>
                <w:sz w:val="20"/>
                <w:szCs w:val="20"/>
                <w:color w:val="auto"/>
              </w:rPr>
            </w:pPr>
            <w:r>
              <w:rPr>
                <w:rFonts w:ascii="Arial" w:cs="Arial" w:eastAsia="Arial" w:hAnsi="Arial"/>
                <w:sz w:val="16"/>
                <w:szCs w:val="16"/>
                <w:color w:val="auto"/>
              </w:rPr>
              <w:t>- $</w:t>
            </w:r>
          </w:p>
        </w:tc>
        <w:tc>
          <w:tcPr>
            <w:tcW w:w="86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84"/>
        </w:trPr>
        <w:tc>
          <w:tcPr>
            <w:tcW w:w="2860" w:type="dxa"/>
            <w:vAlign w:val="bottom"/>
            <w:vMerge w:val="continue"/>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116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6"/>
        </w:trPr>
        <w:tc>
          <w:tcPr>
            <w:tcW w:w="286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860" w:type="dxa"/>
            <w:vAlign w:val="bottom"/>
          </w:tcPr>
          <w:p>
            <w:pPr>
              <w:ind w:left="200"/>
              <w:spacing w:after="0"/>
              <w:rPr>
                <w:sz w:val="20"/>
                <w:szCs w:val="20"/>
                <w:color w:val="auto"/>
              </w:rPr>
            </w:pPr>
            <w:r>
              <w:rPr>
                <w:rFonts w:ascii="Arial" w:cs="Arial" w:eastAsia="Arial" w:hAnsi="Arial"/>
                <w:sz w:val="16"/>
                <w:szCs w:val="16"/>
                <w:color w:val="auto"/>
              </w:rPr>
              <w:t>Commodity derivatives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 $</w:t>
            </w:r>
          </w:p>
        </w:tc>
        <w:tc>
          <w:tcPr>
            <w:tcW w:w="1160" w:type="dxa"/>
            <w:vAlign w:val="bottom"/>
          </w:tcPr>
          <w:p>
            <w:pPr>
              <w:ind w:left="840"/>
              <w:spacing w:after="0"/>
              <w:rPr>
                <w:sz w:val="20"/>
                <w:szCs w:val="20"/>
                <w:color w:val="auto"/>
              </w:rPr>
            </w:pPr>
            <w:r>
              <w:rPr>
                <w:rFonts w:ascii="Arial" w:cs="Arial" w:eastAsia="Arial" w:hAnsi="Arial"/>
                <w:sz w:val="16"/>
                <w:szCs w:val="16"/>
                <w:color w:val="auto"/>
              </w:rPr>
              <w:t>- $</w:t>
            </w:r>
          </w:p>
        </w:tc>
        <w:tc>
          <w:tcPr>
            <w:tcW w:w="980" w:type="dxa"/>
            <w:vAlign w:val="bottom"/>
          </w:tcPr>
          <w:p>
            <w:pPr>
              <w:jc w:val="right"/>
              <w:spacing w:after="0"/>
              <w:rPr>
                <w:sz w:val="20"/>
                <w:szCs w:val="20"/>
                <w:color w:val="auto"/>
              </w:rPr>
            </w:pPr>
            <w:r>
              <w:rPr>
                <w:rFonts w:ascii="Arial" w:cs="Arial" w:eastAsia="Arial" w:hAnsi="Arial"/>
                <w:sz w:val="16"/>
                <w:szCs w:val="16"/>
                <w:color w:val="auto"/>
              </w:rPr>
              <w:t>(11)</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4"/>
        </w:trPr>
        <w:tc>
          <w:tcPr>
            <w:tcW w:w="286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116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Level 3 Information</w:t>
      </w:r>
    </w:p>
    <w:p>
      <w:pPr>
        <w:spacing w:after="0" w:line="3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following table sets forth reconciliations of changes in the fair value of net trading and other derivatives classified as Level 3 in the fair value hierarchy:</w:t>
      </w:r>
    </w:p>
    <w:p>
      <w:pPr>
        <w:spacing w:after="0" w:line="375"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Sempra Energy</w:t>
      </w:r>
    </w:p>
    <w:p>
      <w:pPr>
        <w:spacing w:after="0" w:line="42" w:lineRule="exact"/>
        <w:rPr>
          <w:sz w:val="20"/>
          <w:szCs w:val="20"/>
          <w:color w:val="auto"/>
        </w:rPr>
      </w:pPr>
    </w:p>
    <w:p>
      <w:pPr>
        <w:ind w:left="4500"/>
        <w:spacing w:after="0"/>
        <w:tabs>
          <w:tab w:leader="none" w:pos="6980" w:val="left"/>
        </w:tabs>
        <w:rPr>
          <w:sz w:val="20"/>
          <w:szCs w:val="20"/>
          <w:color w:val="auto"/>
        </w:rPr>
      </w:pPr>
      <w:r>
        <w:rPr>
          <w:rFonts w:ascii="Arial" w:cs="Arial" w:eastAsia="Arial" w:hAnsi="Arial"/>
          <w:sz w:val="14"/>
          <w:szCs w:val="14"/>
          <w:color w:val="auto"/>
        </w:rPr>
        <w:t>Consolidated</w:t>
      </w:r>
      <w:r>
        <w:rPr>
          <w:sz w:val="20"/>
          <w:szCs w:val="20"/>
          <w:color w:val="auto"/>
        </w:rPr>
        <w:tab/>
      </w:r>
      <w:r>
        <w:rPr>
          <w:rFonts w:ascii="Arial" w:cs="Arial" w:eastAsia="Arial" w:hAnsi="Arial"/>
          <w:sz w:val="14"/>
          <w:szCs w:val="14"/>
          <w:color w:val="auto"/>
        </w:rPr>
        <w:t>SDG&amp;E</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386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104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2009</w:t>
            </w:r>
          </w:p>
        </w:tc>
        <w:tc>
          <w:tcPr>
            <w:tcW w:w="104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2008</w:t>
            </w:r>
          </w:p>
        </w:tc>
        <w:tc>
          <w:tcPr>
            <w:tcW w:w="240" w:type="dxa"/>
            <w:vAlign w:val="bottom"/>
          </w:tcPr>
          <w:p>
            <w:pPr>
              <w:spacing w:after="0"/>
              <w:rPr>
                <w:sz w:val="17"/>
                <w:szCs w:val="17"/>
                <w:color w:val="auto"/>
              </w:rPr>
            </w:pPr>
          </w:p>
        </w:tc>
        <w:tc>
          <w:tcPr>
            <w:tcW w:w="106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color w:val="auto"/>
              </w:rPr>
              <w:t>2009</w:t>
            </w:r>
          </w:p>
        </w:tc>
        <w:tc>
          <w:tcPr>
            <w:tcW w:w="104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2008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52654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65420" cy="8890"/>
                    </a:xfrm>
                    <a:prstGeom prst="rect">
                      <a:avLst/>
                    </a:prstGeom>
                    <a:noFill/>
                  </pic:spPr>
                </pic:pic>
              </a:graphicData>
            </a:graphic>
          </wp:anchor>
        </w:drawing>
      </w:r>
    </w:p>
    <w:p>
      <w:pPr>
        <w:sectPr>
          <w:pgSz w:w="11900" w:h="16838" w:orient="portrait"/>
          <w:cols w:equalWidth="0" w:num="1">
            <w:col w:w="11420"/>
          </w:cols>
          <w:pgMar w:left="240" w:top="419" w:right="239" w:bottom="0" w:gutter="0" w:footer="0" w:header="0"/>
        </w:sectPr>
      </w:pP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as of January 1</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Realized and unrealized losses</w:t>
      </w:r>
    </w:p>
    <w:p>
      <w:pPr>
        <w:spacing w:after="0" w:line="46" w:lineRule="exact"/>
        <w:rPr>
          <w:sz w:val="20"/>
          <w:szCs w:val="20"/>
          <w:color w:val="auto"/>
        </w:rPr>
      </w:pPr>
    </w:p>
    <w:p>
      <w:pPr>
        <w:ind w:left="20" w:right="1320" w:firstLine="180"/>
        <w:spacing w:after="0" w:line="334" w:lineRule="auto"/>
        <w:rPr>
          <w:sz w:val="20"/>
          <w:szCs w:val="20"/>
          <w:color w:val="auto"/>
        </w:rPr>
      </w:pPr>
      <w:r>
        <w:rPr>
          <w:rFonts w:ascii="Arial" w:cs="Arial" w:eastAsia="Arial" w:hAnsi="Arial"/>
          <w:sz w:val="16"/>
          <w:szCs w:val="16"/>
          <w:color w:val="auto"/>
        </w:rPr>
        <w:t>Purchases and issuances Balance as of March 31</w:t>
      </w:r>
    </w:p>
    <w:p>
      <w:pPr>
        <w:spacing w:after="0" w:line="1" w:lineRule="exact"/>
        <w:rPr>
          <w:sz w:val="20"/>
          <w:szCs w:val="20"/>
          <w:color w:val="auto"/>
        </w:rPr>
      </w:pPr>
    </w:p>
    <w:p>
      <w:pPr>
        <w:ind w:left="200" w:hanging="179"/>
        <w:spacing w:after="0" w:line="295" w:lineRule="auto"/>
        <w:rPr>
          <w:sz w:val="20"/>
          <w:szCs w:val="20"/>
          <w:color w:val="auto"/>
        </w:rPr>
      </w:pPr>
      <w:r>
        <w:rPr>
          <w:rFonts w:ascii="Arial" w:cs="Arial" w:eastAsia="Arial" w:hAnsi="Arial"/>
          <w:sz w:val="16"/>
          <w:szCs w:val="16"/>
          <w:color w:val="auto"/>
        </w:rPr>
        <w:t>Change in unrealized gains (losses) relating to instruments still held at March 31</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27</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401</w:t>
            </w:r>
          </w:p>
        </w:tc>
        <w:tc>
          <w:tcPr>
            <w:tcW w:w="5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27</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4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(82)</w:t>
            </w:r>
          </w:p>
        </w:tc>
        <w:tc>
          <w:tcPr>
            <w:tcW w:w="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24</w:t>
            </w:r>
          </w:p>
        </w:tc>
        <w:tc>
          <w:tcPr>
            <w:tcW w:w="5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27</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343</w:t>
            </w:r>
          </w:p>
        </w:tc>
        <w:tc>
          <w:tcPr>
            <w:tcW w:w="5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27</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84"/>
        </w:trPr>
        <w:tc>
          <w:tcPr>
            <w:tcW w:w="460" w:type="dxa"/>
            <w:vAlign w:val="bottom"/>
            <w:shd w:val="clear" w:color="auto" w:fill="000000"/>
          </w:tcPr>
          <w:p>
            <w:pPr>
              <w:spacing w:after="0"/>
              <w:rPr>
                <w:sz w:val="7"/>
                <w:szCs w:val="7"/>
                <w:color w:val="auto"/>
              </w:rPr>
            </w:pPr>
          </w:p>
        </w:tc>
        <w:tc>
          <w:tcPr>
            <w:tcW w:w="1000" w:type="dxa"/>
            <w:vAlign w:val="bottom"/>
            <w:gridSpan w:val="2"/>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c>
          <w:tcPr>
            <w:tcW w:w="1100" w:type="dxa"/>
            <w:vAlign w:val="bottom"/>
            <w:gridSpan w:val="2"/>
            <w:shd w:val="clear" w:color="auto" w:fill="000000"/>
          </w:tcPr>
          <w:p>
            <w:pPr>
              <w:spacing w:after="0"/>
              <w:rPr>
                <w:sz w:val="7"/>
                <w:szCs w:val="7"/>
                <w:color w:val="auto"/>
              </w:rPr>
            </w:pPr>
          </w:p>
        </w:tc>
        <w:tc>
          <w:tcPr>
            <w:tcW w:w="540" w:type="dxa"/>
            <w:vAlign w:val="bottom"/>
            <w:shd w:val="clear" w:color="auto" w:fill="000000"/>
          </w:tcPr>
          <w:p>
            <w:pPr>
              <w:spacing w:after="0"/>
              <w:rPr>
                <w:sz w:val="7"/>
                <w:szCs w:val="7"/>
                <w:color w:val="auto"/>
              </w:rPr>
            </w:pPr>
          </w:p>
        </w:tc>
      </w:tr>
      <w:tr>
        <w:trPr>
          <w:trHeight w:val="426"/>
        </w:trPr>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39"/>
              <w:spacing w:after="0"/>
              <w:rPr>
                <w:sz w:val="20"/>
                <w:szCs w:val="20"/>
                <w:color w:val="auto"/>
              </w:rPr>
            </w:pPr>
            <w:r>
              <w:rPr>
                <w:rFonts w:ascii="Arial" w:cs="Arial" w:eastAsia="Arial" w:hAnsi="Arial"/>
                <w:sz w:val="16"/>
                <w:szCs w:val="16"/>
                <w:color w:val="auto"/>
              </w:rPr>
              <w:t>- $</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5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319"/>
              <w:spacing w:after="0"/>
              <w:rPr>
                <w:sz w:val="20"/>
                <w:szCs w:val="20"/>
                <w:color w:val="auto"/>
              </w:rPr>
            </w:pPr>
            <w:r>
              <w:rPr>
                <w:rFonts w:ascii="Arial" w:cs="Arial" w:eastAsia="Arial" w:hAnsi="Arial"/>
                <w:sz w:val="16"/>
                <w:szCs w:val="16"/>
                <w:color w:val="auto"/>
              </w:rPr>
              <w:t>- $</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3810</wp:posOffset>
            </wp:positionV>
            <wp:extent cx="5265420" cy="51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65420" cy="51435"/>
                    </a:xfrm>
                    <a:prstGeom prst="rect">
                      <a:avLst/>
                    </a:prstGeom>
                    <a:noFill/>
                  </pic:spPr>
                </pic:pic>
              </a:graphicData>
            </a:graphic>
          </wp:anchor>
        </w:drawing>
      </w:r>
    </w:p>
    <w:p>
      <w:pPr>
        <w:spacing w:after="0" w:line="241" w:lineRule="exact"/>
        <w:rPr>
          <w:sz w:val="20"/>
          <w:szCs w:val="20"/>
          <w:color w:val="auto"/>
        </w:rPr>
      </w:pPr>
    </w:p>
    <w:p>
      <w:pPr>
        <w:sectPr>
          <w:pgSz w:w="11900" w:h="16838" w:orient="portrait"/>
          <w:cols w:equalWidth="0" w:num="2">
            <w:col w:w="3360" w:space="520"/>
            <w:col w:w="7540"/>
          </w:cols>
          <w:pgMar w:left="240" w:top="419" w:right="239" w:bottom="0" w:gutter="0" w:footer="0" w:header="0"/>
          <w:type w:val="continuous"/>
        </w:sectPr>
      </w:pP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auto"/>
        </w:rPr>
        <w:t>There were no transfers in or out of Level 3 during the periods presented.</w:t>
      </w:r>
    </w:p>
    <w:p>
      <w:pPr>
        <w:spacing w:after="0" w:line="85"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Gains and losses (realized and unrealized) for Level 3 recurring items are primarily related to the commodities-marketing businesses and are included in Revenues for Sempra Global and Parent on the Condensed Consolidated Statement of Operations for the three months ended March 31, 2008. With the sale of these businesses on April 1, 2008, Level 3 recurring activity was substantially reduced.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NOTE 9. SEMPRA UTILITIES’ REGULATORY MATTERS</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POWER PROCUREMENT AND RESOURCE PLANNING</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Sunrise Powerlink Electric Transmission Line</w:t>
      </w:r>
    </w:p>
    <w:p>
      <w:pPr>
        <w:spacing w:after="0" w:line="49" w:lineRule="exact"/>
        <w:rPr>
          <w:sz w:val="20"/>
          <w:szCs w:val="20"/>
          <w:color w:val="auto"/>
        </w:rPr>
      </w:pPr>
    </w:p>
    <w:p>
      <w:pPr>
        <w:ind w:right="80"/>
        <w:spacing w:after="0" w:line="275" w:lineRule="auto"/>
        <w:rPr>
          <w:sz w:val="20"/>
          <w:szCs w:val="20"/>
          <w:color w:val="auto"/>
        </w:rPr>
      </w:pPr>
      <w:r>
        <w:rPr>
          <w:rFonts w:ascii="Arial" w:cs="Arial" w:eastAsia="Arial" w:hAnsi="Arial"/>
          <w:sz w:val="19"/>
          <w:szCs w:val="19"/>
          <w:color w:val="auto"/>
        </w:rPr>
        <w:t>In December 2008, the California Public Utilities Commission (CPUC) issued a final decision authorizing SDG&amp;E to construct a 500-kilovolt (kV) electric transmission line between the Imperial Valley and the San Diego region (Sunrise Powerlink). This line is designed to provide 1,000 MW of increased import capability into the San Diego area. The decision allows SDG&amp;E to construct the Sunrise Powerlink along a route that would generally run south of the Anza-Borrego Desert State Park. The decision also approves the environmental impact review conducted jointly by the CPUC and the Bureau of Land Management (BLM) and establishes a total project cost cap of $1.883 billion, including approximately $190 million for environmental mitigation costs. In January 2009, the BLM issued its decision approving the project, route and environmental review. We provided the details of the CPUC's decision in Note 14 of the Notes to Consolidated Financial Statements in the An nual Report.</w:t>
      </w:r>
    </w:p>
    <w:p>
      <w:pPr>
        <w:spacing w:after="0" w:line="23" w:lineRule="exact"/>
        <w:rPr>
          <w:sz w:val="20"/>
          <w:szCs w:val="20"/>
          <w:color w:val="auto"/>
        </w:rPr>
      </w:pPr>
    </w:p>
    <w:p>
      <w:pPr>
        <w:ind w:right="240"/>
        <w:spacing w:after="0" w:line="238" w:lineRule="auto"/>
        <w:rPr>
          <w:sz w:val="20"/>
          <w:szCs w:val="20"/>
          <w:color w:val="auto"/>
        </w:rPr>
      </w:pPr>
      <w:r>
        <w:rPr>
          <w:rFonts w:ascii="Arial" w:cs="Arial" w:eastAsia="Arial" w:hAnsi="Arial"/>
          <w:sz w:val="22"/>
          <w:szCs w:val="22"/>
          <w:color w:val="auto"/>
        </w:rPr>
        <w:t>The CPUC decision is subject to rehearing before the CPUC and appeal to the California courts of appeal, or to the California Supreme Court. Parties wishing to appeal must first seek rehearing with the CPUC. The Utility Consumers Action Network (UCAN) and the Center for Biological Diversity/Sierra Club (CBD) timely applied for rehearing. We expect a CPUC decision on the rehearing requests in the second quarter of 2009.</w:t>
      </w:r>
    </w:p>
    <w:p>
      <w:pPr>
        <w:spacing w:after="0" w:line="63" w:lineRule="exact"/>
        <w:rPr>
          <w:sz w:val="20"/>
          <w:szCs w:val="20"/>
          <w:color w:val="auto"/>
        </w:rPr>
      </w:pPr>
    </w:p>
    <w:p>
      <w:pPr>
        <w:ind w:right="260"/>
        <w:spacing w:after="0" w:line="282" w:lineRule="auto"/>
        <w:rPr>
          <w:sz w:val="20"/>
          <w:szCs w:val="20"/>
          <w:color w:val="auto"/>
        </w:rPr>
      </w:pPr>
      <w:r>
        <w:rPr>
          <w:rFonts w:ascii="Arial" w:cs="Arial" w:eastAsia="Arial" w:hAnsi="Arial"/>
          <w:sz w:val="19"/>
          <w:szCs w:val="19"/>
          <w:color w:val="auto"/>
        </w:rPr>
        <w:t>The Sunrise Powerlink route crosses federal land and requires approvals from the BLM and the United States Forest Service (USFS). Three appeals of the BLM decision approving the segment of the route in its jurisdiction were filed by individuals, a community organization, and the Viejas Indian tribe in March 2009. The Interior Board of Land Appeals will review the appeals, and we expect a ruling in May 2009. SDG&amp;E expects the USFS to issue a decision approving the segment of the route in its jurisdiction in the second quarter of 2009. The USFS decision is also subject to administrative and judicial appeals.</w:t>
      </w:r>
    </w:p>
    <w:p>
      <w:pPr>
        <w:sectPr>
          <w:pgSz w:w="11900" w:h="16838" w:orient="portrait"/>
          <w:cols w:equalWidth="0" w:num="1">
            <w:col w:w="11420"/>
          </w:cols>
          <w:pgMar w:left="240" w:top="419" w:right="239" w:bottom="0" w:gutter="0" w:footer="0" w:header="0"/>
          <w:type w:val="continuous"/>
        </w:sectPr>
      </w:pPr>
    </w:p>
    <w:bookmarkStart w:id="49" w:name="page50"/>
    <w:bookmarkEnd w:id="49"/>
    <w:p>
      <w:pPr>
        <w:ind w:right="620"/>
        <w:spacing w:after="0" w:line="241" w:lineRule="auto"/>
        <w:rPr>
          <w:sz w:val="20"/>
          <w:szCs w:val="20"/>
          <w:color w:val="auto"/>
        </w:rPr>
      </w:pPr>
      <w:r>
        <w:rPr>
          <w:rFonts w:ascii="Arial" w:cs="Arial" w:eastAsia="Arial" w:hAnsi="Arial"/>
          <w:sz w:val="22"/>
          <w:szCs w:val="22"/>
          <w:color w:val="auto"/>
        </w:rPr>
        <w:t>SDG&amp;E commenced procurement activities in the first quarter of 2009, but before construction can begin additional agency permits, subject to administrative and judicial appeals, must be obtained. SDG&amp;E expects the Sunrise Powerlink to be in commercial operation in 2012.</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Renewable Energy</w:t>
      </w:r>
    </w:p>
    <w:p>
      <w:pPr>
        <w:spacing w:after="0" w:line="36" w:lineRule="exact"/>
        <w:rPr>
          <w:sz w:val="20"/>
          <w:szCs w:val="20"/>
          <w:color w:val="auto"/>
        </w:rPr>
      </w:pPr>
    </w:p>
    <w:p>
      <w:pPr>
        <w:ind w:right="420"/>
        <w:spacing w:after="0" w:line="258" w:lineRule="auto"/>
        <w:rPr>
          <w:sz w:val="20"/>
          <w:szCs w:val="20"/>
          <w:color w:val="auto"/>
        </w:rPr>
      </w:pPr>
      <w:r>
        <w:rPr>
          <w:rFonts w:ascii="Arial" w:cs="Arial" w:eastAsia="Arial" w:hAnsi="Arial"/>
          <w:sz w:val="21"/>
          <w:szCs w:val="21"/>
          <w:color w:val="auto"/>
        </w:rPr>
        <w:t>Certain California electric retail sellers, including SDG&amp;E, are required to deliver 20 percent of their 2010 retail demand from renewable energy sources. The rules governing this requirement, administered by both the CPUC and the California Energy Commission, are generally known as the Renewables Portfolio Standard (RPS) Program.</w:t>
      </w:r>
    </w:p>
    <w:p>
      <w:pPr>
        <w:spacing w:after="0" w:line="45"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In February 2008, the CPUC issued a decision defining flexible compliance mechanisms that can be used to meet the RPS Program goals in 2010 and beyond, including clarifying rules within which insufficient transmission is a permissible reason for failing to satisfy the RPS Program goals. The CPUC is also expected to implement a renewable energy credits trading system by mid-2009, which would provide another mechanism to better enable SDG&amp;E to meet its RPS goals.</w:t>
      </w:r>
    </w:p>
    <w:p>
      <w:pPr>
        <w:spacing w:after="0" w:line="53" w:lineRule="exact"/>
        <w:rPr>
          <w:sz w:val="20"/>
          <w:szCs w:val="20"/>
          <w:color w:val="auto"/>
        </w:rPr>
      </w:pPr>
    </w:p>
    <w:p>
      <w:pPr>
        <w:ind w:right="240"/>
        <w:spacing w:after="0" w:line="245" w:lineRule="auto"/>
        <w:rPr>
          <w:sz w:val="20"/>
          <w:szCs w:val="20"/>
          <w:color w:val="auto"/>
        </w:rPr>
      </w:pPr>
      <w:r>
        <w:rPr>
          <w:rFonts w:ascii="Arial" w:cs="Arial" w:eastAsia="Arial" w:hAnsi="Arial"/>
          <w:sz w:val="22"/>
          <w:szCs w:val="22"/>
          <w:color w:val="auto"/>
        </w:rPr>
        <w:t>SDG&amp;E continues to aggressively secure renewable energy supplies to achieve the RPS Program goals. A substantial number of these supply contracts, however, are contingent upon many factors, including:</w:t>
      </w:r>
    </w:p>
    <w:p>
      <w:pPr>
        <w:spacing w:after="0" w:line="1" w:lineRule="exact"/>
        <w:rPr>
          <w:sz w:val="20"/>
          <w:szCs w:val="20"/>
          <w:color w:val="auto"/>
        </w:rPr>
      </w:pPr>
    </w:p>
    <w:p>
      <w:pPr>
        <w:ind w:left="180" w:hanging="172"/>
        <w:spacing w:after="0"/>
        <w:tabs>
          <w:tab w:leader="none" w:pos="180" w:val="left"/>
        </w:tabs>
        <w:numPr>
          <w:ilvl w:val="0"/>
          <w:numId w:val="51"/>
        </w:numPr>
        <w:rPr>
          <w:rFonts w:ascii="Arial" w:cs="Arial" w:eastAsia="Arial" w:hAnsi="Arial"/>
          <w:sz w:val="22"/>
          <w:szCs w:val="22"/>
          <w:color w:val="auto"/>
        </w:rPr>
      </w:pPr>
      <w:r>
        <w:rPr>
          <w:rFonts w:ascii="Arial" w:cs="Arial" w:eastAsia="Arial" w:hAnsi="Arial"/>
          <w:sz w:val="22"/>
          <w:szCs w:val="22"/>
          <w:color w:val="auto"/>
        </w:rPr>
        <w:t>access to electric transmission infrastructure (including SDG&amp;E's Sunrise Powerlink transmission line);</w:t>
      </w:r>
    </w:p>
    <w:p>
      <w:pPr>
        <w:spacing w:after="0" w:line="30" w:lineRule="exact"/>
        <w:rPr>
          <w:rFonts w:ascii="Arial" w:cs="Arial" w:eastAsia="Arial" w:hAnsi="Arial"/>
          <w:sz w:val="22"/>
          <w:szCs w:val="22"/>
          <w:color w:val="auto"/>
        </w:rPr>
      </w:pPr>
    </w:p>
    <w:p>
      <w:pPr>
        <w:ind w:left="180" w:hanging="172"/>
        <w:spacing w:after="0"/>
        <w:tabs>
          <w:tab w:leader="none" w:pos="18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timely regulatory approval of contracted renewable energy projects;</w:t>
      </w:r>
    </w:p>
    <w:p>
      <w:pPr>
        <w:spacing w:after="0" w:line="30" w:lineRule="exact"/>
        <w:rPr>
          <w:rFonts w:ascii="Arial" w:cs="Arial" w:eastAsia="Arial" w:hAnsi="Arial"/>
          <w:sz w:val="22"/>
          <w:szCs w:val="22"/>
          <w:color w:val="auto"/>
        </w:rPr>
      </w:pPr>
    </w:p>
    <w:p>
      <w:pPr>
        <w:ind w:left="180" w:hanging="172"/>
        <w:spacing w:after="0"/>
        <w:tabs>
          <w:tab w:leader="none" w:pos="18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renewable energy project developers' ability to obtain project financing and permitting; and</w:t>
      </w:r>
    </w:p>
    <w:p>
      <w:pPr>
        <w:spacing w:after="0" w:line="17" w:lineRule="exact"/>
        <w:rPr>
          <w:rFonts w:ascii="Arial" w:cs="Arial" w:eastAsia="Arial" w:hAnsi="Arial"/>
          <w:sz w:val="22"/>
          <w:szCs w:val="22"/>
          <w:color w:val="auto"/>
        </w:rPr>
      </w:pPr>
    </w:p>
    <w:p>
      <w:pPr>
        <w:ind w:left="180" w:hanging="172"/>
        <w:spacing w:after="0"/>
        <w:tabs>
          <w:tab w:leader="none" w:pos="180" w:val="left"/>
        </w:tabs>
        <w:numPr>
          <w:ilvl w:val="0"/>
          <w:numId w:val="51"/>
        </w:numPr>
        <w:rPr>
          <w:rFonts w:ascii="Arial" w:cs="Arial" w:eastAsia="Arial" w:hAnsi="Arial"/>
          <w:sz w:val="22"/>
          <w:szCs w:val="22"/>
          <w:color w:val="auto"/>
        </w:rPr>
      </w:pPr>
      <w:r>
        <w:rPr>
          <w:rFonts w:ascii="Arial" w:cs="Arial" w:eastAsia="Arial" w:hAnsi="Arial"/>
          <w:sz w:val="22"/>
          <w:szCs w:val="22"/>
          <w:color w:val="auto"/>
        </w:rPr>
        <w:t>successful development and implementation of the renewable energy technologies.</w:t>
      </w:r>
    </w:p>
    <w:p>
      <w:pPr>
        <w:sectPr>
          <w:pgSz w:w="11900" w:h="16838" w:orient="portrait"/>
          <w:cols w:equalWidth="0" w:num="1">
            <w:col w:w="11360"/>
          </w:cols>
          <w:pgMar w:left="240" w:top="118" w:right="299" w:bottom="1440" w:gutter="0" w:footer="0" w:header="0"/>
        </w:sectPr>
      </w:pPr>
    </w:p>
    <w:bookmarkStart w:id="50" w:name="page51"/>
    <w:bookmarkEnd w:id="50"/>
    <w:p>
      <w:pPr>
        <w:spacing w:after="0" w:line="277" w:lineRule="auto"/>
        <w:rPr>
          <w:sz w:val="20"/>
          <w:szCs w:val="20"/>
          <w:color w:val="auto"/>
        </w:rPr>
      </w:pPr>
      <w:r>
        <w:rPr>
          <w:rFonts w:ascii="Arial" w:cs="Arial" w:eastAsia="Arial" w:hAnsi="Arial"/>
          <w:sz w:val="19"/>
          <w:szCs w:val="19"/>
          <w:color w:val="auto"/>
        </w:rPr>
        <w:t>As previously noted, SDG&amp;E expects the Sunrise Powerlink transmission line to be in operation in 2012. This would be too late to provide transmission capability to meet the RPS Program requirements for 2010 and 2011. Consequently, while SDG&amp;E believes it will be able to comply with the RPS Program requirements based on its contracting activity and application of the flexible compliance and credits-trading mechanisms, SDG&amp;E is unlikely to meet the RPS Program delivered-energy goal for those years and could be penalized. Without the application of the flexible compliance mechanisms, SDG&amp;E's failure to attain the 20-percent goal in 2010, or any subsequent years' goals, could subject it to CPUC-imposed penalties of 5 cents per kilowatt hour of renewable energy under-delivery up to a maximum penalty of $25 million per year.</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Solar Photovoltaic Program</w:t>
      </w:r>
    </w:p>
    <w:p>
      <w:pPr>
        <w:spacing w:after="0" w:line="36" w:lineRule="exact"/>
        <w:rPr>
          <w:sz w:val="20"/>
          <w:szCs w:val="20"/>
          <w:color w:val="auto"/>
        </w:rPr>
      </w:pPr>
    </w:p>
    <w:p>
      <w:pPr>
        <w:ind w:right="100"/>
        <w:spacing w:after="0" w:line="279" w:lineRule="auto"/>
        <w:rPr>
          <w:sz w:val="20"/>
          <w:szCs w:val="20"/>
          <w:color w:val="auto"/>
        </w:rPr>
      </w:pPr>
      <w:r>
        <w:rPr>
          <w:rFonts w:ascii="Arial" w:cs="Arial" w:eastAsia="Arial" w:hAnsi="Arial"/>
          <w:sz w:val="19"/>
          <w:szCs w:val="19"/>
          <w:color w:val="auto"/>
        </w:rPr>
        <w:t>In July 2008, SDG&amp;E filed an application with the CPUC proposing to install solar photovoltaic panels in the San Diego area. These panels could potentially generate approximately 50 MW of direct current power (approximately equivalent to 35 MW of power to the electric grid). We estimate the cost of the program as filed in the application to be $250 million. SDG&amp;E, UCAN and other interested parties submitted a settlement agreement in March 2009 which, if approved by the CPUC, would, among other provisions, reduce SDG&amp;E's investment in the program to the lesser of $125 million or 26 MW (direct current). A CPUC decision is expected in the third quarter of 2009. If approved, we expect the program to be completed by 2013.</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Onofre Nuclear Generating Station (SONGS)</w:t>
      </w:r>
    </w:p>
    <w:p>
      <w:pPr>
        <w:spacing w:after="0" w:line="49" w:lineRule="exact"/>
        <w:rPr>
          <w:sz w:val="20"/>
          <w:szCs w:val="20"/>
          <w:color w:val="auto"/>
        </w:rPr>
      </w:pPr>
    </w:p>
    <w:p>
      <w:pPr>
        <w:ind w:right="120"/>
        <w:spacing w:after="0" w:line="249" w:lineRule="auto"/>
        <w:rPr>
          <w:sz w:val="20"/>
          <w:szCs w:val="20"/>
          <w:color w:val="auto"/>
        </w:rPr>
      </w:pPr>
      <w:r>
        <w:rPr>
          <w:rFonts w:ascii="Arial" w:cs="Arial" w:eastAsia="Arial" w:hAnsi="Arial"/>
          <w:sz w:val="21"/>
          <w:szCs w:val="21"/>
          <w:color w:val="auto"/>
        </w:rPr>
        <w:t>In March 2009, as part of Edison's 2009 General Rate Case, the CPUC granted SDG&amp;E's request for an approximate $116 million base revenue requirement for 2009 (an approximate $10 million increase from its 2008 base revenue) to recover costs for its 20-percent ownership in SONGS. The final decision also grants SDG&amp;E's request for approximately $13 million, a decrease of $2.7 million, for its share of SONGS refueling outage expenses (per refueling outage) in 2009. Since 2007, SDG&amp;E has been fully recovering its share of SONGS' operating and maintenance costs.</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UTILITY INCENTIVE MECHANISMS</w:t>
      </w:r>
    </w:p>
    <w:p>
      <w:pPr>
        <w:spacing w:after="0" w:line="96" w:lineRule="exact"/>
        <w:rPr>
          <w:sz w:val="20"/>
          <w:szCs w:val="20"/>
          <w:color w:val="auto"/>
        </w:rPr>
      </w:pPr>
    </w:p>
    <w:p>
      <w:pPr>
        <w:ind w:right="400"/>
        <w:spacing w:after="0" w:line="273" w:lineRule="auto"/>
        <w:rPr>
          <w:sz w:val="20"/>
          <w:szCs w:val="20"/>
          <w:color w:val="auto"/>
        </w:rPr>
      </w:pPr>
      <w:r>
        <w:rPr>
          <w:rFonts w:ascii="Arial" w:cs="Arial" w:eastAsia="Arial" w:hAnsi="Arial"/>
          <w:sz w:val="19"/>
          <w:szCs w:val="19"/>
          <w:color w:val="auto"/>
        </w:rPr>
        <w:t>The CPUC applies performance-based measures and incentive mechanisms to all California utilities. Under such measures or mechanisms, the Sempra Utilities have earnings potential above authorized base margins if they achieve or exceed specific performance and operating goals, rather than relying solely on expanding utility plant to increase earnings. Generally, for performance-based awards, if performance is above or below specific benchmarks, the utility is eligible for financial awards or subject to financial penalties. There are four general areas that operate under an incentive structure:</w:t>
      </w:r>
    </w:p>
    <w:p>
      <w:pPr>
        <w:spacing w:after="0" w:line="4" w:lineRule="exact"/>
        <w:rPr>
          <w:sz w:val="20"/>
          <w:szCs w:val="20"/>
          <w:color w:val="auto"/>
        </w:rPr>
      </w:pPr>
    </w:p>
    <w:p>
      <w:pPr>
        <w:ind w:left="180" w:hanging="172"/>
        <w:spacing w:after="0"/>
        <w:tabs>
          <w:tab w:leader="none" w:pos="180" w:val="left"/>
        </w:tabs>
        <w:numPr>
          <w:ilvl w:val="0"/>
          <w:numId w:val="52"/>
        </w:numPr>
        <w:rPr>
          <w:rFonts w:ascii="Arial" w:cs="Arial" w:eastAsia="Arial" w:hAnsi="Arial"/>
          <w:sz w:val="22"/>
          <w:szCs w:val="22"/>
          <w:color w:val="auto"/>
        </w:rPr>
      </w:pPr>
      <w:r>
        <w:rPr>
          <w:rFonts w:ascii="Arial" w:cs="Arial" w:eastAsia="Arial" w:hAnsi="Arial"/>
          <w:sz w:val="22"/>
          <w:szCs w:val="22"/>
          <w:color w:val="auto"/>
        </w:rPr>
        <w:t>employee safety</w:t>
      </w:r>
    </w:p>
    <w:p>
      <w:pPr>
        <w:spacing w:after="0" w:line="30" w:lineRule="exact"/>
        <w:rPr>
          <w:rFonts w:ascii="Arial" w:cs="Arial" w:eastAsia="Arial" w:hAnsi="Arial"/>
          <w:sz w:val="22"/>
          <w:szCs w:val="22"/>
          <w:color w:val="auto"/>
        </w:rPr>
      </w:pPr>
    </w:p>
    <w:p>
      <w:pPr>
        <w:ind w:left="180" w:hanging="172"/>
        <w:spacing w:after="0"/>
        <w:tabs>
          <w:tab w:leader="none" w:pos="180" w:val="left"/>
        </w:tabs>
        <w:numPr>
          <w:ilvl w:val="0"/>
          <w:numId w:val="52"/>
        </w:numPr>
        <w:rPr>
          <w:rFonts w:ascii="Arial" w:cs="Arial" w:eastAsia="Arial" w:hAnsi="Arial"/>
          <w:sz w:val="22"/>
          <w:szCs w:val="22"/>
          <w:color w:val="auto"/>
        </w:rPr>
      </w:pPr>
      <w:r>
        <w:rPr>
          <w:rFonts w:ascii="Arial" w:cs="Arial" w:eastAsia="Arial" w:hAnsi="Arial"/>
          <w:sz w:val="22"/>
          <w:szCs w:val="22"/>
          <w:color w:val="auto"/>
        </w:rPr>
        <w:t>energy efficiency programs</w:t>
      </w:r>
    </w:p>
    <w:p>
      <w:pPr>
        <w:spacing w:after="0" w:line="30" w:lineRule="exact"/>
        <w:rPr>
          <w:rFonts w:ascii="Arial" w:cs="Arial" w:eastAsia="Arial" w:hAnsi="Arial"/>
          <w:sz w:val="22"/>
          <w:szCs w:val="22"/>
          <w:color w:val="auto"/>
        </w:rPr>
      </w:pPr>
    </w:p>
    <w:p>
      <w:pPr>
        <w:ind w:left="180" w:hanging="172"/>
        <w:spacing w:after="0"/>
        <w:tabs>
          <w:tab w:leader="none" w:pos="180" w:val="left"/>
        </w:tabs>
        <w:numPr>
          <w:ilvl w:val="0"/>
          <w:numId w:val="52"/>
        </w:numPr>
        <w:rPr>
          <w:rFonts w:ascii="Arial" w:cs="Arial" w:eastAsia="Arial" w:hAnsi="Arial"/>
          <w:sz w:val="22"/>
          <w:szCs w:val="22"/>
          <w:color w:val="auto"/>
        </w:rPr>
      </w:pPr>
      <w:r>
        <w:rPr>
          <w:rFonts w:ascii="Arial" w:cs="Arial" w:eastAsia="Arial" w:hAnsi="Arial"/>
          <w:sz w:val="22"/>
          <w:szCs w:val="22"/>
          <w:color w:val="auto"/>
        </w:rPr>
        <w:t>natural gas procurement</w:t>
      </w:r>
    </w:p>
    <w:p>
      <w:pPr>
        <w:spacing w:after="0" w:line="17" w:lineRule="exact"/>
        <w:rPr>
          <w:rFonts w:ascii="Arial" w:cs="Arial" w:eastAsia="Arial" w:hAnsi="Arial"/>
          <w:sz w:val="22"/>
          <w:szCs w:val="22"/>
          <w:color w:val="auto"/>
        </w:rPr>
      </w:pPr>
    </w:p>
    <w:p>
      <w:pPr>
        <w:ind w:left="180" w:hanging="172"/>
        <w:spacing w:after="0"/>
        <w:tabs>
          <w:tab w:leader="none" w:pos="180" w:val="left"/>
        </w:tabs>
        <w:numPr>
          <w:ilvl w:val="0"/>
          <w:numId w:val="52"/>
        </w:numPr>
        <w:rPr>
          <w:rFonts w:ascii="Arial" w:cs="Arial" w:eastAsia="Arial" w:hAnsi="Arial"/>
          <w:sz w:val="22"/>
          <w:szCs w:val="22"/>
          <w:color w:val="auto"/>
        </w:rPr>
      </w:pPr>
      <w:r>
        <w:rPr>
          <w:rFonts w:ascii="Arial" w:cs="Arial" w:eastAsia="Arial" w:hAnsi="Arial"/>
          <w:sz w:val="22"/>
          <w:szCs w:val="22"/>
          <w:color w:val="auto"/>
        </w:rPr>
        <w:t>natural gas unbundled storage and system operator hub services</w:t>
      </w:r>
    </w:p>
    <w:p>
      <w:pPr>
        <w:spacing w:after="0" w:line="121" w:lineRule="exact"/>
        <w:rPr>
          <w:sz w:val="20"/>
          <w:szCs w:val="20"/>
          <w:color w:val="auto"/>
        </w:rPr>
      </w:pPr>
    </w:p>
    <w:p>
      <w:pPr>
        <w:jc w:val="both"/>
        <w:ind w:right="160"/>
        <w:spacing w:after="0"/>
        <w:rPr>
          <w:sz w:val="20"/>
          <w:szCs w:val="20"/>
          <w:color w:val="auto"/>
        </w:rPr>
      </w:pPr>
      <w:r>
        <w:rPr>
          <w:rFonts w:ascii="Arial" w:cs="Arial" w:eastAsia="Arial" w:hAnsi="Arial"/>
          <w:sz w:val="22"/>
          <w:szCs w:val="22"/>
          <w:color w:val="auto"/>
        </w:rPr>
        <w:t>Incentive awards are included in our earnings when we receive the CPUC's approval of the award, if applicable. We would record penalties for results below the specified benchmarks in earnings when we believe it is more likely than not that the CPUC would assess a penalty. All award amounts discussed below are on a pretax basis.</w:t>
      </w:r>
    </w:p>
    <w:p>
      <w:pPr>
        <w:spacing w:after="0" w:line="65" w:lineRule="exact"/>
        <w:rPr>
          <w:sz w:val="20"/>
          <w:szCs w:val="20"/>
          <w:color w:val="auto"/>
        </w:rPr>
      </w:pPr>
    </w:p>
    <w:p>
      <w:pPr>
        <w:ind w:right="260"/>
        <w:spacing w:after="0" w:line="328" w:lineRule="auto"/>
        <w:rPr>
          <w:sz w:val="20"/>
          <w:szCs w:val="20"/>
          <w:color w:val="auto"/>
        </w:rPr>
      </w:pPr>
      <w:r>
        <w:rPr>
          <w:rFonts w:ascii="Arial" w:cs="Arial" w:eastAsia="Arial" w:hAnsi="Arial"/>
          <w:sz w:val="19"/>
          <w:szCs w:val="19"/>
          <w:color w:val="auto"/>
        </w:rPr>
        <w:t>Below are updates to these incentive mechanisms for activity within the first quarter of 2009. We provide additional information regarding these incentive mechanisms in Note 15 of the Notes to Consolidated Financial Statements in the Annual Report.</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Energy Efficiency</w:t>
      </w:r>
    </w:p>
    <w:p>
      <w:pPr>
        <w:spacing w:after="0" w:line="36"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In accordance with the mechanism, the Sempra Utilities filed, in the first quarter of 2009, for their energy efficiency awards for 2008 results. We expect a CPUC decision in the fourth quarter of 2009.</w:t>
      </w:r>
    </w:p>
    <w:p>
      <w:pPr>
        <w:sectPr>
          <w:pgSz w:w="11900" w:h="16838" w:orient="portrait"/>
          <w:cols w:equalWidth="0" w:num="1">
            <w:col w:w="11380"/>
          </w:cols>
          <w:pgMar w:left="240" w:top="118" w:right="279" w:bottom="1440" w:gutter="0" w:footer="0" w:header="0"/>
        </w:sectPr>
      </w:pPr>
    </w:p>
    <w:bookmarkStart w:id="51" w:name="page52"/>
    <w:bookmarkEnd w:id="51"/>
    <w:p>
      <w:pPr>
        <w:spacing w:after="0"/>
        <w:rPr>
          <w:sz w:val="20"/>
          <w:szCs w:val="20"/>
          <w:color w:val="auto"/>
        </w:rPr>
      </w:pPr>
      <w:r>
        <w:rPr>
          <w:rFonts w:ascii="Arial" w:cs="Arial" w:eastAsia="Arial" w:hAnsi="Arial"/>
          <w:sz w:val="20"/>
          <w:szCs w:val="20"/>
          <w:b w:val="1"/>
          <w:bCs w:val="1"/>
          <w:i w:val="1"/>
          <w:iCs w:val="1"/>
          <w:color w:val="auto"/>
        </w:rPr>
        <w:t>Natural Gas Procurement</w:t>
      </w:r>
    </w:p>
    <w:p>
      <w:pPr>
        <w:spacing w:after="0" w:line="36" w:lineRule="exact"/>
        <w:rPr>
          <w:sz w:val="20"/>
          <w:szCs w:val="20"/>
          <w:color w:val="auto"/>
        </w:rPr>
      </w:pPr>
    </w:p>
    <w:p>
      <w:pPr>
        <w:jc w:val="both"/>
        <w:ind w:right="680"/>
        <w:spacing w:after="0" w:line="328" w:lineRule="auto"/>
        <w:rPr>
          <w:sz w:val="20"/>
          <w:szCs w:val="20"/>
          <w:color w:val="auto"/>
        </w:rPr>
      </w:pPr>
      <w:r>
        <w:rPr>
          <w:rFonts w:ascii="Arial" w:cs="Arial" w:eastAsia="Arial" w:hAnsi="Arial"/>
          <w:sz w:val="19"/>
          <w:szCs w:val="19"/>
          <w:color w:val="auto"/>
        </w:rPr>
        <w:t>In February 2009, the CPUC approved a SoCalGas gas cost incentive mechanism award of $6.5 million for core natural gas procurement activities in the 12-month period ended March 31, 2008, which SoCalGas recorded in the first quarter of 2009.</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COST OF CAPITAL</w:t>
      </w:r>
    </w:p>
    <w:p>
      <w:pPr>
        <w:spacing w:after="0" w:line="82"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The cost of capital proceeding determines the Sempra Utilities' authorized capital structure and the authorized rate of return that the Sempra Utilities may earn on their electric and natural gas distribution and electric generation assets.</w:t>
      </w:r>
    </w:p>
    <w:p>
      <w:pPr>
        <w:spacing w:after="0" w:line="52"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SoCalGas filed a petition with the CPUC in April 2009 seeking to suspend its cost of capital Market Index Capital Adjustment Mechanism (MICAM). SoCalGas is asking to suspend the MICAM because the benchmarks used to determine whether the MICAM is triggered are not indicative of the risks and interest rates associated with the natural gas distribution business. Recently, actions taken by the U.S. Government to halt the collapse of the banking and financial system have driven down U.S. Treasury yields and would likely cause the MICAM to trigger in 2009, resulting in a downward adjustment to SoCalGas' return on capital on January 1, 2010 if interest rates do not increase from current levels. The estimated impact of the adjustment is $18 million lower annual earnings. SoCalGas believes such a change would be inappropriate given the rising cost of utility debt in prevailing tight credit markets. In its petition, SoCalGas proposes to suspend the MICAM and to file a f ull cost of capital application in 2010, to be effective January 2011. SoCalGas is expecting a CPUC decision on the petition in the third quarter of 2009.</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ADVANCED METERING INFRASTRUCTURE</w:t>
      </w:r>
    </w:p>
    <w:p>
      <w:pPr>
        <w:spacing w:after="0" w:line="96" w:lineRule="exact"/>
        <w:rPr>
          <w:sz w:val="20"/>
          <w:szCs w:val="20"/>
          <w:color w:val="auto"/>
        </w:rPr>
      </w:pPr>
    </w:p>
    <w:p>
      <w:pPr>
        <w:ind w:right="260"/>
        <w:spacing w:after="0" w:line="282" w:lineRule="auto"/>
        <w:rPr>
          <w:sz w:val="20"/>
          <w:szCs w:val="20"/>
          <w:color w:val="auto"/>
        </w:rPr>
      </w:pPr>
      <w:r>
        <w:rPr>
          <w:rFonts w:ascii="Arial" w:cs="Arial" w:eastAsia="Arial" w:hAnsi="Arial"/>
          <w:sz w:val="19"/>
          <w:szCs w:val="19"/>
          <w:color w:val="auto"/>
        </w:rPr>
        <w:t>In April 2007, the CPUC approved SDG&amp;E's request to install advanced meters with integrated two-way communications functionality, including electric remote disconnect and home area network capability. SDG&amp;E estimates expenditures for this project of $572 million (including approximately $500 million in capital investment). This project involves replacing 1.4 million electric meters and 900,000 natural gas meters throughout SDG&amp;E’s service territory. SDG&amp;E began mass installation of the advanced meters in March 2009, and expects to complete the project by the end of 2011.</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2007 WILDFIRES COST RECOVERY</w:t>
      </w:r>
    </w:p>
    <w:p>
      <w:pPr>
        <w:spacing w:after="0" w:line="96" w:lineRule="exact"/>
        <w:rPr>
          <w:sz w:val="20"/>
          <w:szCs w:val="20"/>
          <w:color w:val="auto"/>
        </w:rPr>
      </w:pPr>
    </w:p>
    <w:p>
      <w:pPr>
        <w:ind w:right="80"/>
        <w:spacing w:after="0" w:line="275" w:lineRule="auto"/>
        <w:rPr>
          <w:sz w:val="20"/>
          <w:szCs w:val="20"/>
          <w:color w:val="auto"/>
        </w:rPr>
      </w:pPr>
      <w:r>
        <w:rPr>
          <w:rFonts w:ascii="Arial" w:cs="Arial" w:eastAsia="Arial" w:hAnsi="Arial"/>
          <w:sz w:val="19"/>
          <w:szCs w:val="19"/>
          <w:color w:val="auto"/>
        </w:rPr>
        <w:t>SDG&amp;E filed an application with the CPUC in March 2009 seeking to recover the incremental costs of replacing and repairing facilities damaged by the October 2007 wildfires in accordance with the CPUC rules governing incremental costs incurred as a result of a declared emergency or catastrophic event. SDG&amp;E incurred a total of $112 million in costs associated with the 2007 wildfires. Of this amount, $82 million applies to facilities under CPUC jurisdiction and $30 million applies to facilities under Federal Energy Regulatory Commission (FERC) jurisdiction. Of the $82 million associated with CPUC facilities, $49.8 million is incremental, or not already included in customer rates. The Division of Ratepayer Advocates (DRA), an advisory committee of the CPUC representing ratepayers, filed a protest to SDG&amp;E's request for recovery of the incremental costs requesting that the CPUC defer a decision on this filing until completion of the fire investigations .</w:t>
      </w:r>
    </w:p>
    <w:p>
      <w:pPr>
        <w:spacing w:after="0" w:line="36"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In regard to the 2007 wildfires litigation, if SDG&amp;E's ultimate liability, net of amounts recoverable from other defendants, were to exceed its $1.1 billion recoverable from its insurers, SDG&amp;E would request authorization from the FERC and the CPUC to recover the excess amounts in utility rates. SDG&amp;E is unable to reasonably predict the degree of success it may have in pursuing such requests or the timing of any recovery. We provide additional information regarding the wildfires in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color w:val="auto"/>
        </w:rPr>
        <w:t>NOTE 10. COMMITMENTS AND CONTINGENCIES</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PROCEEDINGS</w:t>
      </w:r>
    </w:p>
    <w:p>
      <w:pPr>
        <w:spacing w:after="0" w:line="96" w:lineRule="exact"/>
        <w:rPr>
          <w:sz w:val="20"/>
          <w:szCs w:val="20"/>
          <w:color w:val="auto"/>
        </w:rPr>
      </w:pPr>
    </w:p>
    <w:p>
      <w:pPr>
        <w:jc w:val="both"/>
        <w:ind w:right="560"/>
        <w:spacing w:after="0" w:line="297" w:lineRule="auto"/>
        <w:rPr>
          <w:sz w:val="20"/>
          <w:szCs w:val="20"/>
          <w:color w:val="auto"/>
        </w:rPr>
      </w:pPr>
      <w:r>
        <w:rPr>
          <w:rFonts w:ascii="Arial" w:cs="Arial" w:eastAsia="Arial" w:hAnsi="Arial"/>
          <w:sz w:val="19"/>
          <w:szCs w:val="19"/>
          <w:color w:val="auto"/>
        </w:rPr>
        <w:t>The uncertainties that exist in legal proceedings make it difficult to estimate with reasonable certainty the costs and effects of resolving these matters. Accordingly, actual costs incurred may differ materially from insured or reserved amounts and could materially adversely affect our business, cash flows, results of operations, and financial condition.</w:t>
      </w:r>
    </w:p>
    <w:p>
      <w:pPr>
        <w:spacing w:after="0" w:line="13"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 xml:space="preserve">We record reserves for legal proceedings in accordance with SFAS 5, </w:t>
      </w:r>
      <w:r>
        <w:rPr>
          <w:rFonts w:ascii="Arial" w:cs="Arial" w:eastAsia="Arial" w:hAnsi="Arial"/>
          <w:sz w:val="21"/>
          <w:szCs w:val="21"/>
          <w:i w:val="1"/>
          <w:iCs w:val="1"/>
          <w:color w:val="auto"/>
        </w:rPr>
        <w:t>Accounting for Contingencies</w:t>
      </w:r>
      <w:r>
        <w:rPr>
          <w:rFonts w:ascii="Arial" w:cs="Arial" w:eastAsia="Arial" w:hAnsi="Arial"/>
          <w:sz w:val="21"/>
          <w:szCs w:val="21"/>
          <w:color w:val="auto"/>
        </w:rPr>
        <w:t xml:space="preserve"> (SFAS 5). At March 31, 2009, Sempra Energy's reserves for unresolved legal proceedings, on a consolidated basis, were $942 million. At March 31, 2009, SDG&amp;E and SoCalGas had reserves for unresolved legal proceedings of $921 million and $12 million, respectively. Sempra Energy's and SDG&amp;E's reserves include an increase of $900 million in the first quarter of 2009, which had no effect on earnings or cash flows as discussed more fully below under "SDG&amp;E 2007 Wildfire Litigation."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 2007 Wildfire Litigation</w:t>
      </w:r>
    </w:p>
    <w:p>
      <w:pPr>
        <w:spacing w:after="0" w:line="49" w:lineRule="exact"/>
        <w:rPr>
          <w:sz w:val="20"/>
          <w:szCs w:val="20"/>
          <w:color w:val="auto"/>
        </w:rPr>
      </w:pPr>
    </w:p>
    <w:p>
      <w:pPr>
        <w:ind w:right="160"/>
        <w:spacing w:after="0" w:line="273" w:lineRule="auto"/>
        <w:rPr>
          <w:sz w:val="20"/>
          <w:szCs w:val="20"/>
          <w:color w:val="auto"/>
        </w:rPr>
      </w:pPr>
      <w:r>
        <w:rPr>
          <w:rFonts w:ascii="Arial" w:cs="Arial" w:eastAsia="Arial" w:hAnsi="Arial"/>
          <w:sz w:val="19"/>
          <w:szCs w:val="19"/>
          <w:color w:val="auto"/>
        </w:rPr>
        <w:t>In October 2007, San Diego County experienced catastrophic wildfires. In July 2008, the California Department of Forestry and Fire Protection (Cal Fire) issued investigation reports stating that two fires (the Witch and Rice fires) were SDG&amp;E "power line caused" and that a third fire (the Guejito fire) occurred when a wire securing a Cox Communications' fiber optic cable came into contact with an SDG&amp;E power line "causing an arc and starting the fire." Cal Fire states that the Rice fire burned approximately 9,500 acres and damaged 206 homes and two commercial properties. The reports indicate that the Witch and Guejito fires merged and eventually burned approximately 198,000 acres, resulted in two fatalities, injured approximately 40 firefighters and destroyed approximately 1,141 homes. Cal Fire is still investigating the perimeters of these two fires to determine the damages associated with each fire. In September 2008, the Consumer Protection and Safety Division of the CPUC issued a staff investigative report reaching substantially the same conclusions as the Cal Fire reports. However, the staff report also opines that the power lines involved in the Witch and Rice fires and the lashing wire involved in the Guejito fire were not properly designed, constructed and</w:t>
      </w:r>
    </w:p>
    <w:p>
      <w:pPr>
        <w:sectPr>
          <w:pgSz w:w="11900" w:h="16838" w:orient="portrait"/>
          <w:cols w:equalWidth="0" w:num="1">
            <w:col w:w="11400"/>
          </w:cols>
          <w:pgMar w:left="240" w:top="325" w:right="259" w:bottom="0" w:gutter="0" w:footer="0" w:header="0"/>
        </w:sectPr>
      </w:pPr>
    </w:p>
    <w:bookmarkStart w:id="52" w:name="page53"/>
    <w:bookmarkEnd w:id="52"/>
    <w:p>
      <w:pPr>
        <w:ind w:right="280"/>
        <w:spacing w:after="0" w:line="251" w:lineRule="auto"/>
        <w:rPr>
          <w:sz w:val="20"/>
          <w:szCs w:val="20"/>
          <w:color w:val="auto"/>
        </w:rPr>
      </w:pPr>
      <w:r>
        <w:rPr>
          <w:rFonts w:ascii="Arial" w:cs="Arial" w:eastAsia="Arial" w:hAnsi="Arial"/>
          <w:sz w:val="22"/>
          <w:szCs w:val="22"/>
          <w:color w:val="auto"/>
        </w:rPr>
        <w:t>maintained as required by CPUC rules. In November 2008, the CPUC initiated investigations to determine whether SDG&amp;E and Cox Communications violated any rules or regulations in connection with the fires.</w:t>
      </w:r>
    </w:p>
    <w:p>
      <w:pPr>
        <w:spacing w:after="0" w:line="52"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More than 100 lawsuits, some of which seek class action certification, have been filed against SDG&amp;E and Sempra Energy in San Diego County Superior Court seeking to recover damages in unspecified amounts, including punitive damages and other costs associated with the three fires. Plaintiffs include owners and insurers of properties that were damaged or destroyed and public entities seeking recovery of firefighting costs. They assert various bases for recovery, including inverse condemnation based upon a California Court of Appeal decision finding that another California investor-owned utility was subject to strict liability, without regard to foreseeability or negligence, for damages resulting from a wildfire ignited by power lines. SDG&amp;E has filed cross-complaints against Cox Communications seeking indemnification for any liability that SDG&amp;E may incur that relates to the Guejito fire.</w:t>
      </w:r>
    </w:p>
    <w:p>
      <w:pPr>
        <w:spacing w:after="0" w:line="53"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By April 2009, insurers representing 96 percent of the total California homeowner insurance market (homeowners' insurers) had paid out and reserved approximately $1.58 billion on more than 20,000 claims relating to the three fires. These include claims for approximately 950 of the 1,300 houses, mobile homes, and apartment units identified in public records as having been destroyed by the three fires. The litigation includes additional claims for uninsured and underinsured structures, firefighting costs, business interruption, evacuation expenses, agricultural damage, and personal injuries.</w:t>
      </w:r>
    </w:p>
    <w:p>
      <w:pPr>
        <w:spacing w:after="0" w:line="26" w:lineRule="exact"/>
        <w:rPr>
          <w:sz w:val="20"/>
          <w:szCs w:val="20"/>
          <w:color w:val="auto"/>
        </w:rPr>
      </w:pPr>
    </w:p>
    <w:p>
      <w:pPr>
        <w:ind w:right="160"/>
        <w:spacing w:after="0" w:line="252" w:lineRule="auto"/>
        <w:rPr>
          <w:sz w:val="20"/>
          <w:szCs w:val="20"/>
          <w:color w:val="auto"/>
        </w:rPr>
      </w:pPr>
      <w:r>
        <w:rPr>
          <w:rFonts w:ascii="Arial" w:cs="Arial" w:eastAsia="Arial" w:hAnsi="Arial"/>
          <w:sz w:val="21"/>
          <w:szCs w:val="21"/>
          <w:color w:val="auto"/>
        </w:rPr>
        <w:t>During 2009, SDG&amp;E and its liability insurers have held a number of settlement discussions with the homeowners' insurers in the litigation. Although no settlements have yet been reached, based on the information provided in these discussions SDG&amp;E has concluded that its potential exposure to the homeowners' insurers is reasonably estimable. Accordingly, SDG&amp;E established a reserve of $900 million in the first quarter of 2009 that is recorded as a current</w:t>
      </w:r>
    </w:p>
    <w:p>
      <w:pPr>
        <w:sectPr>
          <w:pgSz w:w="11900" w:h="16838" w:orient="portrait"/>
          <w:cols w:equalWidth="0" w:num="1">
            <w:col w:w="11400"/>
          </w:cols>
          <w:pgMar w:left="240" w:top="118" w:right="259" w:bottom="1440" w:gutter="0" w:footer="0" w:header="0"/>
        </w:sectPr>
      </w:pPr>
    </w:p>
    <w:bookmarkStart w:id="53" w:name="page54"/>
    <w:bookmarkEnd w:id="53"/>
    <w:p>
      <w:pPr>
        <w:spacing w:after="0" w:line="235" w:lineRule="auto"/>
        <w:rPr>
          <w:sz w:val="20"/>
          <w:szCs w:val="20"/>
          <w:color w:val="auto"/>
        </w:rPr>
      </w:pPr>
      <w:r>
        <w:rPr>
          <w:rFonts w:ascii="Arial" w:cs="Arial" w:eastAsia="Arial" w:hAnsi="Arial"/>
          <w:sz w:val="22"/>
          <w:szCs w:val="22"/>
          <w:color w:val="auto"/>
        </w:rPr>
        <w:t>liability in the Condensed Consolidated Balance Sheets and is fully offset by a current receivable of $900 million payable from SDG&amp;E's $1.l billion of liability insurance, which we expect would be paid by the liability insurers directly to the homeowners' insurers. As a result, there is no effect on SDG&amp;E's or Sempra Energy's first quarter 2009 earnings or cash flows from the recording of the reserve. SDG&amp;E does not have sufficient information under SFAS 5 to reasonably estimate its potential exposure for other wildfire claims and, accordingly, SDG&amp;E has not established a reserve for any wildfire claims other than those of the homeowners' insurers.</w:t>
      </w:r>
    </w:p>
    <w:p>
      <w:pPr>
        <w:spacing w:after="0" w:line="67"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In light of the complexity of these matters and the large number of parties involved, the wildfire litigation, including any appeals, could take several years to be resolved. If SDG&amp;E’s ultimate liability were to exceed its liability insurance coverage and amounts potentially recoverable from Cox Communications and other defendants, SDG&amp;E would request authorization from the FERC and the CPUC to recover the excess amount in utility rates. SDG&amp;E is unable to reasonably predict the degree of success it may have in pursuing such requests or the timing of any recovery.</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California Department of Water Resources (DWR) Contract</w:t>
      </w:r>
    </w:p>
    <w:p>
      <w:pPr>
        <w:spacing w:after="0" w:line="49" w:lineRule="exact"/>
        <w:rPr>
          <w:sz w:val="20"/>
          <w:szCs w:val="20"/>
          <w:color w:val="auto"/>
        </w:rPr>
      </w:pPr>
    </w:p>
    <w:p>
      <w:pPr>
        <w:ind w:right="20"/>
        <w:spacing w:after="0" w:line="245" w:lineRule="auto"/>
        <w:rPr>
          <w:sz w:val="20"/>
          <w:szCs w:val="20"/>
          <w:color w:val="auto"/>
        </w:rPr>
      </w:pPr>
      <w:r>
        <w:rPr>
          <w:rFonts w:ascii="Arial" w:cs="Arial" w:eastAsia="Arial" w:hAnsi="Arial"/>
          <w:sz w:val="21"/>
          <w:szCs w:val="21"/>
          <w:color w:val="auto"/>
        </w:rPr>
        <w:t>In February 2002, the California Energy Oversight Board (CEOB) and the CPUC filed challenges at the FERC to the DWR's contracts with Sempra Generation and other power suppliers. After the FERC upheld the contracts in 2003, the CEOB and CPUC appealed to the U.S. Court of Appeals for the Ninth Circuit (Ninth Circuit Court of Appeals), challenging the FERC's application of the Mobile-Sierra doctrine's "public interest" standard of review to the contracts without having first determined that the contracts met a more rigorous "just and reasonable" standard of review. In June 2008, the United States Supreme Court (Supreme Court) ruled that the FERC was correct to apply the Mobile-Sierra doctrine (which presumes that contract rates are just and reasonable) absent a demonstration that one of the contracting parties engaged in unlawful market manipulation that directly affected contract rates. The Supreme Court ruled that the FERC should clarify its findings on this issue and consider whether the contract rates seriously harm the public interest.</w:t>
      </w:r>
    </w:p>
    <w:p>
      <w:pPr>
        <w:spacing w:after="0" w:line="64" w:lineRule="exact"/>
        <w:rPr>
          <w:sz w:val="20"/>
          <w:szCs w:val="20"/>
          <w:color w:val="auto"/>
        </w:rPr>
      </w:pPr>
    </w:p>
    <w:p>
      <w:pPr>
        <w:ind w:right="120"/>
        <w:spacing w:after="0" w:line="273" w:lineRule="auto"/>
        <w:rPr>
          <w:sz w:val="20"/>
          <w:szCs w:val="20"/>
          <w:color w:val="auto"/>
        </w:rPr>
      </w:pPr>
      <w:r>
        <w:rPr>
          <w:rFonts w:ascii="Arial" w:cs="Arial" w:eastAsia="Arial" w:hAnsi="Arial"/>
          <w:sz w:val="19"/>
          <w:szCs w:val="19"/>
          <w:color w:val="auto"/>
        </w:rPr>
        <w:t>At various times since the contract's inception, Sempra Generation and the DWR have also had disputes regarding the meaning of terms and performance of their agreement under which Sempra Generation sells electricity to the DWR. In 2002, in a state civil action, the DWR sought to void its contract with Sempra Generation, seeking damages, injunctive and declaratory relief, and $100 million in punitive damages. The DWR claims that Sempra Generation misrepresented its intention and ability to construct a temporary phase of one power project and, alternatively, breached its contract by failure to construct and deliver power from that phase. In June 2005, the California Court of Appeal reversed a previous summary judgment in favor of Sempra Generation. The Court concluded that the contract language was ambiguous and presented triable issues of material fact that must be addressed by further evidence and proceedings. The case was sent back to the trial court. In January 2007, the DWR added additional claims for fraud and breach of contract. In June 2008, the California Court of Appeal upheld the trial court's denial of Sempra Generation's motion to compel the DWR to arbitrate its new claims. The case was returned to the San Diego Superior Court for further proceedings. The case is scheduled for a jury trial in September 2009.</w:t>
      </w:r>
    </w:p>
    <w:p>
      <w:pPr>
        <w:spacing w:after="0" w:line="21" w:lineRule="exact"/>
        <w:rPr>
          <w:sz w:val="20"/>
          <w:szCs w:val="20"/>
          <w:color w:val="auto"/>
        </w:rPr>
      </w:pPr>
    </w:p>
    <w:p>
      <w:pPr>
        <w:ind w:right="360"/>
        <w:spacing w:after="0" w:line="238" w:lineRule="auto"/>
        <w:rPr>
          <w:sz w:val="20"/>
          <w:szCs w:val="20"/>
          <w:color w:val="auto"/>
        </w:rPr>
      </w:pPr>
      <w:r>
        <w:rPr>
          <w:rFonts w:ascii="Arial" w:cs="Arial" w:eastAsia="Arial" w:hAnsi="Arial"/>
          <w:sz w:val="22"/>
          <w:szCs w:val="22"/>
          <w:color w:val="auto"/>
        </w:rPr>
        <w:t>In February 2006, the DWR began an additional arbitration against Sempra Generation related to the manner in which Sempra Generation schedules its Mexicali plant. The DWR sought $100 million in damages and an order terminating the contract. Arbitration hearings were held in November 2008 and in January 2009, the arbitration panel issued a decision denying all of the DWR's claims.</w:t>
      </w:r>
    </w:p>
    <w:p>
      <w:pPr>
        <w:spacing w:after="0" w:line="63"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In September 2008, the DWR initiated another arbitration proceeding against Sempra Generation, alleging that Sempra Generation had breached the parties’ agreement in various operational respects, and violated the order issued by the first arbitration panel relating to the amount refunded to the DWR and the manner in which Sempra Generation operates. The DWR seeks $60 million in damages and an order terminating the contract.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FERC Refund Proceedings</w:t>
      </w:r>
    </w:p>
    <w:p>
      <w:pPr>
        <w:spacing w:after="0" w:line="36" w:lineRule="exact"/>
        <w:rPr>
          <w:sz w:val="20"/>
          <w:szCs w:val="20"/>
          <w:color w:val="auto"/>
        </w:rPr>
      </w:pPr>
    </w:p>
    <w:p>
      <w:pPr>
        <w:ind w:right="380"/>
        <w:spacing w:after="0" w:line="252" w:lineRule="auto"/>
        <w:rPr>
          <w:sz w:val="20"/>
          <w:szCs w:val="20"/>
          <w:color w:val="auto"/>
        </w:rPr>
      </w:pPr>
      <w:r>
        <w:rPr>
          <w:rFonts w:ascii="Arial" w:cs="Arial" w:eastAsia="Arial" w:hAnsi="Arial"/>
          <w:sz w:val="21"/>
          <w:szCs w:val="21"/>
          <w:color w:val="auto"/>
        </w:rPr>
        <w:t>The FERC is investigating prices charged by various electric suppliers to buyers in the California Power Exchange (PX) and Independent System Operator (ISO) markets. In December 2002, a FERC Administrative Law Judge (ALJ) issued preliminary findings indicating that the PX and ISO owe power suppliers $1.2 billion for the October 2, 2000 through June 20, 2001 period. This amount is the $3.0 billion that the California PX and ISO still owe</w:t>
      </w:r>
    </w:p>
    <w:p>
      <w:pPr>
        <w:sectPr>
          <w:pgSz w:w="11900" w:h="16838" w:orient="portrait"/>
          <w:cols w:equalWidth="0" w:num="1">
            <w:col w:w="11420"/>
          </w:cols>
          <w:pgMar w:left="240" w:top="118" w:right="239" w:bottom="1440" w:gutter="0" w:footer="0" w:header="0"/>
        </w:sectPr>
      </w:pPr>
    </w:p>
    <w:bookmarkStart w:id="54" w:name="page55"/>
    <w:bookmarkEnd w:id="54"/>
    <w:p>
      <w:pPr>
        <w:spacing w:after="0" w:line="238" w:lineRule="auto"/>
        <w:rPr>
          <w:sz w:val="20"/>
          <w:szCs w:val="20"/>
          <w:color w:val="auto"/>
        </w:rPr>
      </w:pPr>
      <w:r>
        <w:rPr>
          <w:rFonts w:ascii="Arial" w:cs="Arial" w:eastAsia="Arial" w:hAnsi="Arial"/>
          <w:sz w:val="22"/>
          <w:szCs w:val="22"/>
          <w:color w:val="auto"/>
        </w:rPr>
        <w:t>energy companies less $1.8 billion that the energy companies charged California customers in excess of the preliminarily determined competitive market clearing prices. In March 2003, the FERC adopted its ALJ's findings, but changed the calculation of the refund by basing it on a different benchmark of natural gas prices. This change would increase the refund obligations from $1.8 billion to more than $3 billion for the same time period.</w:t>
      </w:r>
    </w:p>
    <w:p>
      <w:pPr>
        <w:spacing w:after="0" w:line="64" w:lineRule="exact"/>
        <w:rPr>
          <w:sz w:val="20"/>
          <w:szCs w:val="20"/>
          <w:color w:val="auto"/>
        </w:rPr>
      </w:pPr>
    </w:p>
    <w:p>
      <w:pPr>
        <w:jc w:val="both"/>
        <w:ind w:right="40"/>
        <w:spacing w:after="0" w:line="273" w:lineRule="auto"/>
        <w:rPr>
          <w:sz w:val="20"/>
          <w:szCs w:val="20"/>
          <w:color w:val="auto"/>
        </w:rPr>
      </w:pPr>
      <w:r>
        <w:rPr>
          <w:rFonts w:ascii="Arial" w:cs="Arial" w:eastAsia="Arial" w:hAnsi="Arial"/>
          <w:sz w:val="19"/>
          <w:szCs w:val="19"/>
          <w:color w:val="auto"/>
        </w:rPr>
        <w:t>Various parties, including Sempra Commodities, appealed the FERC's order to the Ninth Circuit Court of Appeals. In August 2006, the Court of Appeals held that the FERC had properly established October 2, 2000 through June 20, 2001 as the refund period and had properly excluded certain short-term bilateral transactions between sellers and the DWR from the refund proceedings.</w:t>
      </w:r>
    </w:p>
    <w:p>
      <w:pPr>
        <w:spacing w:after="0" w:line="2"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However, the court also held that the FERC erred in excluding certain multi-day transactions from the refund proceedings. Finally, while the court upheld the FERC's decision not to extend the refund proceedings to the summer period (prior to October 2, 2000), it found that the FERC should have considered other remedies for tariff violations that are alleged to have occurred prior to October 2, 2000. In April 2009, the Ninth Circuit Court of Appeals denied requests for rehearing of its August 2006 decision that Sempra Commodities and other en tities filed and returned the matter to the FERC for further proceedings. The court's orders could be the subject of further appeals.</w:t>
      </w:r>
    </w:p>
    <w:p>
      <w:pPr>
        <w:spacing w:after="0" w:line="54" w:lineRule="exact"/>
        <w:rPr>
          <w:sz w:val="20"/>
          <w:szCs w:val="20"/>
          <w:color w:val="auto"/>
        </w:rPr>
      </w:pPr>
    </w:p>
    <w:p>
      <w:pPr>
        <w:ind w:right="60"/>
        <w:spacing w:after="0" w:line="247" w:lineRule="auto"/>
        <w:rPr>
          <w:sz w:val="20"/>
          <w:szCs w:val="20"/>
          <w:color w:val="auto"/>
        </w:rPr>
      </w:pPr>
      <w:r>
        <w:rPr>
          <w:rFonts w:ascii="Arial" w:cs="Arial" w:eastAsia="Arial" w:hAnsi="Arial"/>
          <w:sz w:val="21"/>
          <w:szCs w:val="21"/>
          <w:color w:val="auto"/>
        </w:rPr>
        <w:t>In August 2007, the Ninth Circuit Court of Appeals issued a decision reversing and remanding FERC orders declining to provide refunds in a related proceeding regarding short-term bilateral sales up to one month in the Pacific Northwest. The court found that some of the short-term sales between the DWR and various sellers (including Sempra Commodities) that had previously been excluded from the refund proceeding involving sales in the ISO and PX markets in California, were within the scope of the Pacific Northwest refund proceeding. In April 2009, the Ninth Circuit Court of Appeals denied requests for rehearing of its August 2007 decision that Sempra Commodities and other entities filed and returned the matter to the FERC for further proceedings. The court's orders could be the subject of further appeals.</w:t>
      </w:r>
    </w:p>
    <w:p>
      <w:pPr>
        <w:spacing w:after="0" w:line="57" w:lineRule="exact"/>
        <w:rPr>
          <w:sz w:val="20"/>
          <w:szCs w:val="20"/>
          <w:color w:val="auto"/>
        </w:rPr>
      </w:pPr>
    </w:p>
    <w:p>
      <w:pPr>
        <w:ind w:right="120"/>
        <w:spacing w:after="0" w:line="247" w:lineRule="auto"/>
        <w:rPr>
          <w:sz w:val="20"/>
          <w:szCs w:val="20"/>
          <w:color w:val="auto"/>
        </w:rPr>
      </w:pPr>
      <w:r>
        <w:rPr>
          <w:rFonts w:ascii="Arial" w:cs="Arial" w:eastAsia="Arial" w:hAnsi="Arial"/>
          <w:sz w:val="21"/>
          <w:szCs w:val="21"/>
          <w:color w:val="auto"/>
        </w:rPr>
        <w:t>In a separate complaint filed with the FERC in 2002, the California Attorney General challenged the FERC's authority to establish a market-based rate system and also contended that even if such a system were valid, electricity sellers had failed to comply with the FERC's quarterly reporting requirements. The Attorney General requested that the FERC order refunds from suppliers. The FERC dismissed the complaint and instead ordered sellers to restate their reports. After an appeal by the California Attorney General, the Ninth Circuit Court of Appeals upheld the FERC's authority to establish a market-based rate system, but stated that failure to file transaction-specific quarterly reports gave the FERC authority to order refunds with respect to jurisdictional sellers. The FERC is in the process of addressing these issues on remand.</w:t>
      </w:r>
    </w:p>
    <w:p>
      <w:pPr>
        <w:spacing w:after="0" w:line="57"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In the cases described above, the FERC could order additional refunds or the disgorgement of profits. RBS Sempra Commodities has reserves for its estimate of the effect of the FERC's revision of the benchmark prices it will use to calculate refunds and other related developments. Pursuant to the agreements related to the formation of RBS Sempra Commodities, we have indemnified RBS related to these proceedings should the liability from the final resolution be greater than the reserves.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FERC Manipulation Investigation</w:t>
      </w:r>
    </w:p>
    <w:p>
      <w:pPr>
        <w:spacing w:after="0" w:line="49" w:lineRule="exact"/>
        <w:rPr>
          <w:sz w:val="20"/>
          <w:szCs w:val="20"/>
          <w:color w:val="auto"/>
        </w:rPr>
      </w:pPr>
    </w:p>
    <w:p>
      <w:pPr>
        <w:ind w:right="220"/>
        <w:spacing w:after="0" w:line="238" w:lineRule="auto"/>
        <w:rPr>
          <w:sz w:val="20"/>
          <w:szCs w:val="20"/>
          <w:color w:val="auto"/>
        </w:rPr>
      </w:pPr>
      <w:r>
        <w:rPr>
          <w:rFonts w:ascii="Arial" w:cs="Arial" w:eastAsia="Arial" w:hAnsi="Arial"/>
          <w:sz w:val="22"/>
          <w:szCs w:val="22"/>
          <w:color w:val="auto"/>
        </w:rPr>
        <w:t>The FERC has separately investigated whether there was manipulation of short-term energy markets in the western United States that would constitute violations of applicable tariffs and warrant disgorgement of associated profits. In May 2002, the FERC ordered all energy companies engaged in electric energy trading activities to state whether they had engaged in various specific trading activities in violation of the PX and ISO tariffs.</w:t>
      </w:r>
    </w:p>
    <w:p>
      <w:pPr>
        <w:spacing w:after="0" w:line="63" w:lineRule="exact"/>
        <w:rPr>
          <w:sz w:val="20"/>
          <w:szCs w:val="20"/>
          <w:color w:val="auto"/>
        </w:rPr>
      </w:pPr>
    </w:p>
    <w:p>
      <w:pPr>
        <w:ind w:right="140"/>
        <w:spacing w:after="0" w:line="279" w:lineRule="auto"/>
        <w:rPr>
          <w:sz w:val="20"/>
          <w:szCs w:val="20"/>
          <w:color w:val="auto"/>
        </w:rPr>
      </w:pPr>
      <w:r>
        <w:rPr>
          <w:rFonts w:ascii="Arial" w:cs="Arial" w:eastAsia="Arial" w:hAnsi="Arial"/>
          <w:sz w:val="19"/>
          <w:szCs w:val="19"/>
          <w:color w:val="auto"/>
        </w:rPr>
        <w:t>In June 2003, the FERC ordered a number of entities, including Sempra Commodities, to show why they should not disgorge profits from certain transactions between January 1, 2000 and June 20, 2001 that are asserted to have constituted gaming and/or anomalous market behavior under the California ISO and/or PX tariffs. In October 2003, Sempra Commodities agreed to pay $7.2 million in full resolution of these investigations. That liability was recorded as of December 31, 2003. The Sempra Commodities settlement was approved by the FERC in August 2004. Certain California parties sought rehearing of this order, which the FERC largely denied in November 2008. The California parties have appealed the FERC's orders to the Ninth Circuit Court of Appeals.</w:t>
      </w:r>
    </w:p>
    <w:p>
      <w:pPr>
        <w:sectPr>
          <w:pgSz w:w="11900" w:h="16838" w:orient="portrait"/>
          <w:cols w:equalWidth="0" w:num="1">
            <w:col w:w="11400"/>
          </w:cols>
          <w:pgMar w:left="240" w:top="118" w:right="259" w:bottom="1440" w:gutter="0" w:footer="0" w:header="0"/>
        </w:sectPr>
      </w:pPr>
    </w:p>
    <w:bookmarkStart w:id="55" w:name="page56"/>
    <w:bookmarkEnd w:id="55"/>
    <w:p>
      <w:pPr>
        <w:spacing w:after="0"/>
        <w:rPr>
          <w:sz w:val="20"/>
          <w:szCs w:val="20"/>
          <w:color w:val="auto"/>
        </w:rPr>
      </w:pPr>
      <w:r>
        <w:rPr>
          <w:rFonts w:ascii="Arial" w:cs="Arial" w:eastAsia="Arial" w:hAnsi="Arial"/>
          <w:sz w:val="20"/>
          <w:szCs w:val="20"/>
          <w:b w:val="1"/>
          <w:bCs w:val="1"/>
          <w:i w:val="1"/>
          <w:iCs w:val="1"/>
          <w:color w:val="auto"/>
        </w:rPr>
        <w:t>Other Litigation</w:t>
      </w:r>
    </w:p>
    <w:p>
      <w:pPr>
        <w:spacing w:after="0" w:line="36"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Sempra Energy and several subsidiaries, along with three oil and natural gas companies, the City of Beverly Hills, and the Beverly Hills Unified School District, are defendants in a toxic tort lawsuit filed in Los Angeles County Superior Court by approximately 1,000 plaintiffs. This lawsuit claims that various emissions resulted in cancer or fear of cancer. We have submitted the case to our insurers, who have reserved their rights with respect to coverage. In November 2006, the court granted the defendants' summary judgment motions based on lack of medical causation for the 12 initial plaintiffs scheduled to go to trial first. The court also granted summary judgment excluding punitive damages. The court has stayed the case as to the remaining plaintiffs pending the appeal of the rulings.</w:t>
      </w:r>
    </w:p>
    <w:p>
      <w:pPr>
        <w:spacing w:after="0" w:line="70" w:lineRule="exact"/>
        <w:rPr>
          <w:sz w:val="20"/>
          <w:szCs w:val="20"/>
          <w:color w:val="auto"/>
        </w:rPr>
      </w:pPr>
    </w:p>
    <w:p>
      <w:pPr>
        <w:ind w:right="40"/>
        <w:spacing w:after="0" w:line="247" w:lineRule="auto"/>
        <w:rPr>
          <w:sz w:val="20"/>
          <w:szCs w:val="20"/>
          <w:color w:val="auto"/>
        </w:rPr>
      </w:pPr>
      <w:r>
        <w:rPr>
          <w:rFonts w:ascii="Arial" w:cs="Arial" w:eastAsia="Arial" w:hAnsi="Arial"/>
          <w:sz w:val="21"/>
          <w:szCs w:val="21"/>
          <w:color w:val="auto"/>
        </w:rPr>
        <w:t>In 1998, we converted our traditional pension plans (other than the SoCalGas union employee plan) to cash balance plans. In July 2005, a lawsuit was filed against SoCalGas in the U.S. District Court for the Central District of California alleging that the conversion unlawfully discriminated against older employees and failed to provide required disclosure of a reduction in benefits. In October 2005, the court dismissed three of the four causes of action and, in March 2006, dismissed the remaining cause of action. Plaintiffs appealed to the Ninth Circuit Court of Appeals and, in August 2008, the court affirmed the dismissal of three of the four causes of action and reversed the District Court’s dismissal of the remaining cause of action. In November 2008, the Ninth Circuit Court of Appeals denied plaintiffs' request for rehearing.</w:t>
      </w:r>
    </w:p>
    <w:p>
      <w:pPr>
        <w:spacing w:after="0" w:line="57"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RBS Sempra Commodities assumed litigation reserves related to Sempra Commodities, however, we have indemnified RBS should the liabilities from the final resolution of these matters be greater than the reserves.</w:t>
      </w:r>
    </w:p>
    <w:p>
      <w:pPr>
        <w:spacing w:after="0" w:line="38" w:lineRule="exact"/>
        <w:rPr>
          <w:sz w:val="20"/>
          <w:szCs w:val="20"/>
          <w:color w:val="auto"/>
        </w:rPr>
      </w:pPr>
    </w:p>
    <w:p>
      <w:pPr>
        <w:ind w:right="240"/>
        <w:spacing w:after="0"/>
        <w:rPr>
          <w:sz w:val="20"/>
          <w:szCs w:val="20"/>
          <w:color w:val="auto"/>
        </w:rPr>
      </w:pPr>
      <w:r>
        <w:rPr>
          <w:rFonts w:ascii="Arial" w:cs="Arial" w:eastAsia="Arial" w:hAnsi="Arial"/>
          <w:sz w:val="22"/>
          <w:szCs w:val="22"/>
          <w:color w:val="auto"/>
        </w:rPr>
        <w:t>We are also defendants in ordinary routine litigation incidental to our businesses, including personal injury, product liability, property damage and other claims. California juries have demonstrated an increasing willingness to grant large awards, including punitive damages, in these cases.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Resolved Matters</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We have accrued liabilities for resolved matters of:</w:t>
      </w:r>
    </w:p>
    <w:p>
      <w:pPr>
        <w:spacing w:after="0" w:line="22" w:lineRule="exact"/>
        <w:rPr>
          <w:sz w:val="20"/>
          <w:szCs w:val="20"/>
          <w:color w:val="auto"/>
        </w:rPr>
      </w:pPr>
    </w:p>
    <w:p>
      <w:pPr>
        <w:ind w:left="180" w:hanging="172"/>
        <w:spacing w:after="0"/>
        <w:tabs>
          <w:tab w:leader="none" w:pos="180" w:val="left"/>
        </w:tabs>
        <w:numPr>
          <w:ilvl w:val="0"/>
          <w:numId w:val="53"/>
        </w:numPr>
        <w:rPr>
          <w:rFonts w:ascii="Arial" w:cs="Arial" w:eastAsia="Arial" w:hAnsi="Arial"/>
          <w:sz w:val="22"/>
          <w:szCs w:val="22"/>
          <w:color w:val="auto"/>
        </w:rPr>
      </w:pPr>
      <w:r>
        <w:rPr>
          <w:rFonts w:ascii="Arial" w:cs="Arial" w:eastAsia="Arial" w:hAnsi="Arial"/>
          <w:sz w:val="22"/>
          <w:szCs w:val="22"/>
          <w:color w:val="auto"/>
        </w:rPr>
        <w:t>$363 million at Sempra Energy Consolidated</w:t>
      </w:r>
    </w:p>
    <w:p>
      <w:pPr>
        <w:spacing w:after="0" w:line="30" w:lineRule="exact"/>
        <w:rPr>
          <w:rFonts w:ascii="Arial" w:cs="Arial" w:eastAsia="Arial" w:hAnsi="Arial"/>
          <w:sz w:val="22"/>
          <w:szCs w:val="22"/>
          <w:color w:val="auto"/>
        </w:rPr>
      </w:pPr>
    </w:p>
    <w:p>
      <w:pPr>
        <w:ind w:left="180" w:hanging="172"/>
        <w:spacing w:after="0"/>
        <w:tabs>
          <w:tab w:leader="none" w:pos="180" w:val="left"/>
        </w:tabs>
        <w:numPr>
          <w:ilvl w:val="0"/>
          <w:numId w:val="53"/>
        </w:numPr>
        <w:rPr>
          <w:rFonts w:ascii="Arial" w:cs="Arial" w:eastAsia="Arial" w:hAnsi="Arial"/>
          <w:sz w:val="22"/>
          <w:szCs w:val="22"/>
          <w:color w:val="auto"/>
        </w:rPr>
      </w:pPr>
      <w:r>
        <w:rPr>
          <w:rFonts w:ascii="Arial" w:cs="Arial" w:eastAsia="Arial" w:hAnsi="Arial"/>
          <w:sz w:val="22"/>
          <w:szCs w:val="22"/>
          <w:color w:val="auto"/>
        </w:rPr>
        <w:t>$33 million at SDG&amp;E</w:t>
      </w:r>
    </w:p>
    <w:p>
      <w:pPr>
        <w:spacing w:after="0" w:line="30" w:lineRule="exact"/>
        <w:rPr>
          <w:rFonts w:ascii="Arial" w:cs="Arial" w:eastAsia="Arial" w:hAnsi="Arial"/>
          <w:sz w:val="22"/>
          <w:szCs w:val="22"/>
          <w:color w:val="auto"/>
        </w:rPr>
      </w:pPr>
    </w:p>
    <w:p>
      <w:pPr>
        <w:ind w:left="180" w:hanging="172"/>
        <w:spacing w:after="0"/>
        <w:tabs>
          <w:tab w:leader="none" w:pos="180" w:val="left"/>
        </w:tabs>
        <w:numPr>
          <w:ilvl w:val="0"/>
          <w:numId w:val="53"/>
        </w:numPr>
        <w:rPr>
          <w:rFonts w:ascii="Arial" w:cs="Arial" w:eastAsia="Arial" w:hAnsi="Arial"/>
          <w:sz w:val="22"/>
          <w:szCs w:val="22"/>
          <w:color w:val="auto"/>
        </w:rPr>
      </w:pPr>
      <w:r>
        <w:rPr>
          <w:rFonts w:ascii="Arial" w:cs="Arial" w:eastAsia="Arial" w:hAnsi="Arial"/>
          <w:sz w:val="22"/>
          <w:szCs w:val="22"/>
          <w:color w:val="auto"/>
        </w:rPr>
        <w:t>$65 million at SoCalGas</w:t>
      </w:r>
    </w:p>
    <w:p>
      <w:pPr>
        <w:spacing w:after="0" w:line="121" w:lineRule="exact"/>
        <w:rPr>
          <w:sz w:val="20"/>
          <w:szCs w:val="20"/>
          <w:color w:val="auto"/>
        </w:rPr>
      </w:pPr>
    </w:p>
    <w:p>
      <w:pPr>
        <w:ind w:right="140"/>
        <w:spacing w:after="0" w:line="258" w:lineRule="auto"/>
        <w:rPr>
          <w:sz w:val="20"/>
          <w:szCs w:val="20"/>
          <w:color w:val="auto"/>
        </w:rPr>
      </w:pPr>
      <w:r>
        <w:rPr>
          <w:rFonts w:ascii="Arial" w:cs="Arial" w:eastAsia="Arial" w:hAnsi="Arial"/>
          <w:sz w:val="21"/>
          <w:szCs w:val="21"/>
          <w:color w:val="auto"/>
        </w:rPr>
        <w:t>These amounts are for settlements related to certain litigation arising out of the 2000 – 2001 California energy crisis, including the Continental Forge settlement and settlements of natural gas and electricity cases. We discussed the terms of these settlements in Note 16 of the Notes to Consolidated Financial Statements in the Annual Report.</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CONSTRUCTION AND DEVELOPMENT PROJECTS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Pipelines &amp; Storage</w:t>
      </w:r>
    </w:p>
    <w:p>
      <w:pPr>
        <w:spacing w:after="0" w:line="36" w:lineRule="exact"/>
        <w:rPr>
          <w:sz w:val="20"/>
          <w:szCs w:val="20"/>
          <w:color w:val="auto"/>
        </w:rPr>
      </w:pPr>
    </w:p>
    <w:p>
      <w:pPr>
        <w:ind w:right="120"/>
        <w:spacing w:after="0" w:line="273" w:lineRule="auto"/>
        <w:rPr>
          <w:sz w:val="20"/>
          <w:szCs w:val="20"/>
          <w:color w:val="auto"/>
        </w:rPr>
      </w:pPr>
      <w:r>
        <w:rPr>
          <w:rFonts w:ascii="Arial" w:cs="Arial" w:eastAsia="Arial" w:hAnsi="Arial"/>
          <w:sz w:val="19"/>
          <w:szCs w:val="19"/>
          <w:color w:val="auto"/>
        </w:rPr>
        <w:t>Liberty Gas Storage (Liberty), as currently permitted, is a 17 billion cubic feet (Bcf) salt-cavern natural gas storage facility located in Calcasieu Parish, Louisiana, and related pipelines. The facilities are under construction by Sempra Pipelines &amp; Storage and its 25-percent partner, Proliance Transportation and Storage, LLC. The Liberty pipeline system is currently connected with several interstate pipelines, including the Cameron Interstate Pipeline operated by Sempra Pipelines &amp; Storage, and will connect area liquefied natural gas (LNG) regasification terminals to an interstate natural gas transmission system and storage facilities. We estimate the total project cost to be approximately $250 million, and we have expended $208 million through March 31, 2009. Completion of the project has been delayed by subsurface and well-completion problems. Our corrective measures thus far have been unsuccessful. The partnership is considering all of its option s on the best next steps. It is possible that the salt caverns may not go into service, or may have reduced capacity when placed in service. In the event the partnership determines to abandon the salt caverns, we would be required to take a charge to earnings of up to $65 million after tax.</w:t>
      </w:r>
    </w:p>
    <w:p>
      <w:pPr>
        <w:sectPr>
          <w:pgSz w:w="11900" w:h="16838" w:orient="portrait"/>
          <w:cols w:equalWidth="0" w:num="1">
            <w:col w:w="11420"/>
          </w:cols>
          <w:pgMar w:left="240" w:top="325" w:right="239" w:bottom="1440" w:gutter="0" w:footer="0" w:header="0"/>
        </w:sectPr>
      </w:pPr>
    </w:p>
    <w:bookmarkStart w:id="56" w:name="page57"/>
    <w:bookmarkEnd w:id="56"/>
    <w:p>
      <w:pPr>
        <w:jc w:val="both"/>
        <w:ind w:right="280"/>
        <w:spacing w:after="0" w:line="241" w:lineRule="auto"/>
        <w:rPr>
          <w:sz w:val="20"/>
          <w:szCs w:val="20"/>
          <w:color w:val="auto"/>
        </w:rPr>
      </w:pPr>
      <w:r>
        <w:rPr>
          <w:rFonts w:ascii="Arial" w:cs="Arial" w:eastAsia="Arial" w:hAnsi="Arial"/>
          <w:sz w:val="22"/>
          <w:szCs w:val="22"/>
          <w:color w:val="auto"/>
        </w:rPr>
        <w:t>We are continuing to pursue the development of an additional property acquired in 2006 with 11 Bcf of existing caverns and the capability to add significant additional capacity by mining new caverns. Total project costs for Liberty, including this expansion, are expected to be approximately $450 million to $500 million.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Energía Costa Azul LNG Receipt Terminal</w:t>
      </w:r>
    </w:p>
    <w:p>
      <w:pPr>
        <w:spacing w:after="0" w:line="3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Sempra LNG's Energía Costa Azul LNG receipt terminal in Baja California, Mexico, generates revenue under a capacity agreement with Shell México Gas Natural, expiring in 2028, that permits Shell to use one-half of the terminal's capacity. In April 2009, Shell assigned a portion of its terminal capacity at Energía Costa Azul to Gazprom, transferring all further rights and obligations with respect to the assigned capacity.</w:t>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NUCLEAR INSURANCE</w:t>
      </w:r>
    </w:p>
    <w:p>
      <w:pPr>
        <w:spacing w:after="0" w:line="82"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SDG&amp;E and the other owners of SONGS have insurance to cover claims from nuclear liability incidents arising at SONGS. This insurance provides $300 million in coverage limits, the maximum amount available, including coverage for acts of terrorism. In addition, the Price-Anderson Act provides for up to $12.2 billion of secondary financial protection (SFP). If a nuclear liability loss occurring at any U.S. licensed/commercial reactor exceeds the $300 million insurance limit, all nuclear reactor owners could be required to contribute to the SFP. SDG&amp;E’s contribution would be up to $47 million. This amount is subject to an annual maximum of $7 million, unless a default occurs by any other SONGS owner. If SFP is insufficient to cover the liability loss, SDG&amp;E could be subject to an additional assessment.</w:t>
      </w:r>
    </w:p>
    <w:p>
      <w:pPr>
        <w:spacing w:after="0" w:line="70"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The SONGS owners, including SDG&amp;E, also have $2.75 billion of nuclear property, decontamination, and debris removal insurance. In addition, the SONGS owners have up to $490 million insurance coverage for outage expenses and replacement power costs due to accidental property damage. This coverage is limited to $3.5 million per week for the first 52 weeks, then $2.8 million per week for up to 110 additional weeks. There is a 12-week waiting period deductible. These insurance coverages are provided through a mutual insurance company. Insured members are subject to retrospective premium assessments. SDG&amp;E could be assessed up to $8.5 million.</w:t>
      </w:r>
    </w:p>
    <w:p>
      <w:pPr>
        <w:spacing w:after="0" w:line="67"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The nuclear property insurance program includes an industry aggregate loss limit for non-certified acts of terrorism (as defined by the Terrorism Risk Insurance Act). The industry aggregate loss limit for property claims arising from non-certified acts of terrorism is $3.24 billion. This is the maximum amount that will be paid to insured members who suffer losses or damages from these non-certified terrorist 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57" w:name="page58"/>
    <w:bookmarkEnd w:id="57"/>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t>NOTE 11. SEGMENT INFORMATION</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color w:val="auto"/>
        </w:rPr>
        <w:t>We have five separately managed reportable segments, as follows:</w:t>
      </w:r>
    </w:p>
    <w:p>
      <w:pPr>
        <w:spacing w:after="0" w:line="98" w:lineRule="exact"/>
        <w:rPr>
          <w:sz w:val="20"/>
          <w:szCs w:val="20"/>
          <w:color w:val="auto"/>
        </w:rPr>
      </w:pPr>
    </w:p>
    <w:p>
      <w:pPr>
        <w:ind w:left="660" w:right="140" w:hanging="328"/>
        <w:spacing w:after="0" w:line="251" w:lineRule="auto"/>
        <w:tabs>
          <w:tab w:leader="none" w:pos="660" w:val="left"/>
        </w:tabs>
        <w:numPr>
          <w:ilvl w:val="0"/>
          <w:numId w:val="54"/>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SDG&amp;E </w:t>
      </w:r>
      <w:r>
        <w:rPr>
          <w:rFonts w:ascii="Arial" w:cs="Arial" w:eastAsia="Arial" w:hAnsi="Arial"/>
          <w:sz w:val="22"/>
          <w:szCs w:val="22"/>
          <w:color w:val="auto"/>
        </w:rPr>
        <w:t>provides electric service in California to San Diego and southern Orange counties and natural gas service to San</w:t>
      </w:r>
      <w:r>
        <w:rPr>
          <w:rFonts w:ascii="Arial" w:cs="Arial" w:eastAsia="Arial" w:hAnsi="Arial"/>
          <w:sz w:val="22"/>
          <w:szCs w:val="22"/>
          <w:i w:val="1"/>
          <w:iCs w:val="1"/>
          <w:color w:val="auto"/>
        </w:rPr>
        <w:t xml:space="preserve"> </w:t>
      </w:r>
      <w:r>
        <w:rPr>
          <w:rFonts w:ascii="Arial" w:cs="Arial" w:eastAsia="Arial" w:hAnsi="Arial"/>
          <w:sz w:val="22"/>
          <w:szCs w:val="22"/>
          <w:color w:val="auto"/>
        </w:rPr>
        <w:t>Diego County.</w:t>
      </w:r>
    </w:p>
    <w:p>
      <w:pPr>
        <w:spacing w:after="0" w:line="227" w:lineRule="exact"/>
        <w:rPr>
          <w:rFonts w:ascii="Arial" w:cs="Arial" w:eastAsia="Arial" w:hAnsi="Arial"/>
          <w:sz w:val="22"/>
          <w:szCs w:val="22"/>
          <w:i w:val="1"/>
          <w:iCs w:val="1"/>
          <w:color w:val="auto"/>
        </w:rPr>
      </w:pPr>
    </w:p>
    <w:p>
      <w:pPr>
        <w:ind w:left="660" w:hanging="328"/>
        <w:spacing w:after="0" w:line="251" w:lineRule="auto"/>
        <w:tabs>
          <w:tab w:leader="none" w:pos="660" w:val="left"/>
        </w:tabs>
        <w:numPr>
          <w:ilvl w:val="0"/>
          <w:numId w:val="54"/>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SoCalGas </w:t>
      </w:r>
      <w:r>
        <w:rPr>
          <w:rFonts w:ascii="Arial" w:cs="Arial" w:eastAsia="Arial" w:hAnsi="Arial"/>
          <w:sz w:val="22"/>
          <w:szCs w:val="22"/>
          <w:color w:val="auto"/>
        </w:rPr>
        <w:t>is a natural gas distribution utility, serving customers throughout most of Southern California and part of central</w:t>
      </w:r>
      <w:r>
        <w:rPr>
          <w:rFonts w:ascii="Arial" w:cs="Arial" w:eastAsia="Arial" w:hAnsi="Arial"/>
          <w:sz w:val="22"/>
          <w:szCs w:val="22"/>
          <w:i w:val="1"/>
          <w:iCs w:val="1"/>
          <w:color w:val="auto"/>
        </w:rPr>
        <w:t xml:space="preserve"> </w:t>
      </w:r>
      <w:r>
        <w:rPr>
          <w:rFonts w:ascii="Arial" w:cs="Arial" w:eastAsia="Arial" w:hAnsi="Arial"/>
          <w:sz w:val="22"/>
          <w:szCs w:val="22"/>
          <w:color w:val="auto"/>
        </w:rPr>
        <w:t>California.</w:t>
      </w:r>
    </w:p>
    <w:p>
      <w:pPr>
        <w:spacing w:after="0" w:line="227" w:lineRule="exact"/>
        <w:rPr>
          <w:rFonts w:ascii="Arial" w:cs="Arial" w:eastAsia="Arial" w:hAnsi="Arial"/>
          <w:sz w:val="22"/>
          <w:szCs w:val="22"/>
          <w:i w:val="1"/>
          <w:iCs w:val="1"/>
          <w:color w:val="auto"/>
        </w:rPr>
      </w:pPr>
    </w:p>
    <w:p>
      <w:pPr>
        <w:ind w:left="660" w:right="540" w:hanging="328"/>
        <w:spacing w:after="0" w:line="238" w:lineRule="auto"/>
        <w:tabs>
          <w:tab w:leader="none" w:pos="660" w:val="left"/>
        </w:tabs>
        <w:numPr>
          <w:ilvl w:val="0"/>
          <w:numId w:val="54"/>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Sempra Commodities </w:t>
      </w:r>
      <w:r>
        <w:rPr>
          <w:rFonts w:ascii="Arial" w:cs="Arial" w:eastAsia="Arial" w:hAnsi="Arial"/>
          <w:sz w:val="22"/>
          <w:szCs w:val="22"/>
          <w:color w:val="auto"/>
        </w:rPr>
        <w:t>holds our investment in RBS Sempra Commodities, a joint venture with RBS. The partnership</w:t>
      </w:r>
      <w:r>
        <w:rPr>
          <w:rFonts w:ascii="Arial" w:cs="Arial" w:eastAsia="Arial" w:hAnsi="Arial"/>
          <w:sz w:val="22"/>
          <w:szCs w:val="22"/>
          <w:i w:val="1"/>
          <w:iCs w:val="1"/>
          <w:color w:val="auto"/>
        </w:rPr>
        <w:t xml:space="preserve"> </w:t>
      </w:r>
      <w:r>
        <w:rPr>
          <w:rFonts w:ascii="Arial" w:cs="Arial" w:eastAsia="Arial" w:hAnsi="Arial"/>
          <w:sz w:val="22"/>
          <w:szCs w:val="22"/>
          <w:color w:val="auto"/>
        </w:rPr>
        <w:t>was formed on April 1, 2008 from our commodities-marketing businesses previously reported in this segment. The partnership's commodity trading businesses serve customers in natural gas, electricity, petroleum and petroleum products, and base metals.</w:t>
      </w:r>
    </w:p>
    <w:p>
      <w:pPr>
        <w:spacing w:after="0" w:line="103" w:lineRule="exact"/>
        <w:rPr>
          <w:rFonts w:ascii="Arial" w:cs="Arial" w:eastAsia="Arial" w:hAnsi="Arial"/>
          <w:sz w:val="22"/>
          <w:szCs w:val="22"/>
          <w:i w:val="1"/>
          <w:iCs w:val="1"/>
          <w:color w:val="auto"/>
        </w:rPr>
      </w:pPr>
    </w:p>
    <w:p>
      <w:pPr>
        <w:ind w:left="660" w:right="840"/>
        <w:spacing w:after="0" w:line="251" w:lineRule="auto"/>
        <w:rPr>
          <w:rFonts w:ascii="Arial" w:cs="Arial" w:eastAsia="Arial" w:hAnsi="Arial"/>
          <w:sz w:val="22"/>
          <w:szCs w:val="22"/>
          <w:i w:val="1"/>
          <w:iCs w:val="1"/>
          <w:color w:val="auto"/>
        </w:rPr>
      </w:pPr>
      <w:r>
        <w:rPr>
          <w:rFonts w:ascii="Arial" w:cs="Arial" w:eastAsia="Arial" w:hAnsi="Arial"/>
          <w:sz w:val="22"/>
          <w:szCs w:val="22"/>
          <w:color w:val="auto"/>
        </w:rPr>
        <w:t>Sempra Commodities also includes the operating results of Sempra Rockies Marketing, which holds firm service capacity on the Rockies Express Pipeline.</w:t>
      </w:r>
    </w:p>
    <w:p>
      <w:pPr>
        <w:spacing w:after="0" w:line="227" w:lineRule="exact"/>
        <w:rPr>
          <w:rFonts w:ascii="Arial" w:cs="Arial" w:eastAsia="Arial" w:hAnsi="Arial"/>
          <w:sz w:val="22"/>
          <w:szCs w:val="22"/>
          <w:i w:val="1"/>
          <w:iCs w:val="1"/>
          <w:color w:val="auto"/>
        </w:rPr>
      </w:pPr>
    </w:p>
    <w:p>
      <w:pPr>
        <w:ind w:left="660" w:right="500" w:hanging="328"/>
        <w:spacing w:after="0" w:line="251" w:lineRule="auto"/>
        <w:tabs>
          <w:tab w:leader="none" w:pos="660" w:val="left"/>
        </w:tabs>
        <w:numPr>
          <w:ilvl w:val="0"/>
          <w:numId w:val="54"/>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Sempra Generation </w:t>
      </w:r>
      <w:r>
        <w:rPr>
          <w:rFonts w:ascii="Arial" w:cs="Arial" w:eastAsia="Arial" w:hAnsi="Arial"/>
          <w:sz w:val="22"/>
          <w:szCs w:val="22"/>
          <w:color w:val="auto"/>
        </w:rPr>
        <w:t>develops, owns and operates electric power plants in California, Nevada, Arizona and Mexico to</w:t>
      </w:r>
      <w:r>
        <w:rPr>
          <w:rFonts w:ascii="Arial" w:cs="Arial" w:eastAsia="Arial" w:hAnsi="Arial"/>
          <w:sz w:val="22"/>
          <w:szCs w:val="22"/>
          <w:i w:val="1"/>
          <w:iCs w:val="1"/>
          <w:color w:val="auto"/>
        </w:rPr>
        <w:t xml:space="preserve"> </w:t>
      </w:r>
      <w:r>
        <w:rPr>
          <w:rFonts w:ascii="Arial" w:cs="Arial" w:eastAsia="Arial" w:hAnsi="Arial"/>
          <w:sz w:val="22"/>
          <w:szCs w:val="22"/>
          <w:color w:val="auto"/>
        </w:rPr>
        <w:t>serve wholesale electricity markets in North America.</w:t>
      </w:r>
    </w:p>
    <w:p>
      <w:pPr>
        <w:spacing w:after="0" w:line="227" w:lineRule="exact"/>
        <w:rPr>
          <w:rFonts w:ascii="Arial" w:cs="Arial" w:eastAsia="Arial" w:hAnsi="Arial"/>
          <w:sz w:val="22"/>
          <w:szCs w:val="22"/>
          <w:i w:val="1"/>
          <w:iCs w:val="1"/>
          <w:color w:val="auto"/>
        </w:rPr>
      </w:pPr>
    </w:p>
    <w:p>
      <w:pPr>
        <w:ind w:left="660" w:right="560" w:hanging="328"/>
        <w:spacing w:after="0" w:line="282" w:lineRule="auto"/>
        <w:tabs>
          <w:tab w:leader="none" w:pos="660" w:val="left"/>
        </w:tabs>
        <w:numPr>
          <w:ilvl w:val="0"/>
          <w:numId w:val="54"/>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Sempra Pipelines &amp; Storage </w:t>
      </w:r>
      <w:r>
        <w:rPr>
          <w:rFonts w:ascii="Arial" w:cs="Arial" w:eastAsia="Arial" w:hAnsi="Arial"/>
          <w:sz w:val="19"/>
          <w:szCs w:val="19"/>
          <w:color w:val="auto"/>
        </w:rPr>
        <w:t>develops, owns and operates, or holds interests in, natural gas pipelines and storage</w:t>
      </w:r>
      <w:r>
        <w:rPr>
          <w:rFonts w:ascii="Arial" w:cs="Arial" w:eastAsia="Arial" w:hAnsi="Arial"/>
          <w:sz w:val="19"/>
          <w:szCs w:val="19"/>
          <w:i w:val="1"/>
          <w:iCs w:val="1"/>
          <w:color w:val="auto"/>
        </w:rPr>
        <w:t xml:space="preserve"> </w:t>
      </w:r>
      <w:r>
        <w:rPr>
          <w:rFonts w:ascii="Arial" w:cs="Arial" w:eastAsia="Arial" w:hAnsi="Arial"/>
          <w:sz w:val="19"/>
          <w:szCs w:val="19"/>
          <w:color w:val="auto"/>
        </w:rPr>
        <w:t>facilities in the United States and Mexico, and companies that provide natural gas or electricity services in Argentina, Chile, Mexico and Peru. We are currently pursuing the sale of our interests in the Argentine utilities, which we discuss further in Note 4 of the Notes to Consolidated Financial Statements in the Annual Report. Sempra Pipelines &amp; Storage also operates a small natural gas distribution utility in Southwest Alabama.</w:t>
      </w:r>
    </w:p>
    <w:p>
      <w:pPr>
        <w:spacing w:after="0" w:line="175" w:lineRule="exact"/>
        <w:rPr>
          <w:sz w:val="20"/>
          <w:szCs w:val="20"/>
          <w:color w:val="auto"/>
        </w:rPr>
      </w:pPr>
    </w:p>
    <w:p>
      <w:pPr>
        <w:ind w:right="140"/>
        <w:spacing w:after="0" w:line="287" w:lineRule="auto"/>
        <w:rPr>
          <w:sz w:val="20"/>
          <w:szCs w:val="20"/>
          <w:color w:val="auto"/>
        </w:rPr>
      </w:pPr>
      <w:r>
        <w:rPr>
          <w:rFonts w:ascii="Arial" w:cs="Arial" w:eastAsia="Arial" w:hAnsi="Arial"/>
          <w:sz w:val="19"/>
          <w:szCs w:val="19"/>
          <w:color w:val="auto"/>
        </w:rPr>
        <w:t>We evaluate each segment's performance based on its contribution to Sempra Energy's reported earnings. The Sempra Utilities operate in essentially separate service territories, under separate regulatory frameworks and rate structures set by the CPUC. The Sempra Utilities' operations are based on rates set by the CPUC and the FERC. We describe the accounting policies of our segments in Note 1 of the Notes to Consolidated Financial Statements in the Annual Report.</w:t>
      </w:r>
    </w:p>
    <w:p>
      <w:pPr>
        <w:spacing w:after="0" w:line="22"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color w:val="auto"/>
        </w:rPr>
        <w:t>The following tables show selected information by segment from our Condensed Consolidated Statements of Operations and Condensed Consolidated Balance Sheets.</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Amounts labeled as "all other" in the following tables consist primarily of parent organizations and Sempra LNG.</w:t>
      </w:r>
    </w:p>
    <w:p>
      <w:pPr>
        <w:sectPr>
          <w:pgSz w:w="11900" w:h="16838" w:orient="portrait"/>
          <w:cols w:equalWidth="0" w:num="1">
            <w:col w:w="11260"/>
          </w:cols>
          <w:pgMar w:left="240" w:top="595" w:right="399" w:bottom="1440" w:gutter="0" w:footer="0" w:header="0"/>
        </w:sectPr>
      </w:pPr>
    </w:p>
    <w:bookmarkStart w:id="58" w:name="page59"/>
    <w:bookmarkEnd w:id="58"/>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106045</wp:posOffset>
            </wp:positionV>
            <wp:extent cx="5746115" cy="274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46115" cy="274320"/>
                    </a:xfrm>
                    <a:prstGeom prst="rect">
                      <a:avLst/>
                    </a:prstGeom>
                    <a:noFill/>
                  </pic:spPr>
                </pic:pic>
              </a:graphicData>
            </a:graphic>
          </wp:anchor>
        </w:drawing>
        <w:t>SEGMENT INFORMATION</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color w:val="auto"/>
              </w:rPr>
              <w:t>Three months ended March 31,</w:t>
            </w:r>
          </w:p>
        </w:tc>
        <w:tc>
          <w:tcPr>
            <w:tcW w:w="5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r>
      <w:tr>
        <w:trPr>
          <w:trHeight w:val="210"/>
        </w:trPr>
        <w:tc>
          <w:tcPr>
            <w:tcW w:w="43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6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color w:val="auto"/>
              </w:rPr>
              <w:t>2008</w:t>
            </w:r>
          </w:p>
        </w:tc>
        <w:tc>
          <w:tcPr>
            <w:tcW w:w="5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r>
      <w:tr>
        <w:trPr>
          <w:trHeight w:val="210"/>
        </w:trPr>
        <w:tc>
          <w:tcPr>
            <w:tcW w:w="4360" w:type="dxa"/>
            <w:vAlign w:val="bottom"/>
          </w:tcPr>
          <w:p>
            <w:pPr>
              <w:ind w:left="20"/>
              <w:spacing w:after="0"/>
              <w:rPr>
                <w:sz w:val="20"/>
                <w:szCs w:val="20"/>
                <w:color w:val="auto"/>
              </w:rPr>
            </w:pPr>
            <w:r>
              <w:rPr>
                <w:rFonts w:ascii="Arial" w:cs="Arial" w:eastAsia="Arial" w:hAnsi="Arial"/>
                <w:sz w:val="16"/>
                <w:szCs w:val="16"/>
                <w:color w:val="auto"/>
              </w:rPr>
              <w:t>REVENUES</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SDG&amp;E</w:t>
            </w: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732</w:t>
            </w:r>
          </w:p>
        </w:tc>
        <w:tc>
          <w:tcPr>
            <w:tcW w:w="1040" w:type="dxa"/>
            <w:vAlign w:val="bottom"/>
            <w:gridSpan w:val="2"/>
          </w:tcPr>
          <w:p>
            <w:pPr>
              <w:jc w:val="right"/>
              <w:ind w:right="119"/>
              <w:spacing w:after="0"/>
              <w:rPr>
                <w:sz w:val="20"/>
                <w:szCs w:val="20"/>
                <w:color w:val="auto"/>
              </w:rPr>
            </w:pPr>
            <w:r>
              <w:rPr>
                <w:rFonts w:ascii="Arial" w:cs="Arial" w:eastAsia="Arial" w:hAnsi="Arial"/>
                <w:sz w:val="16"/>
                <w:szCs w:val="16"/>
                <w:color w:val="auto"/>
              </w:rPr>
              <w:t>35 %</w:t>
            </w:r>
          </w:p>
        </w:tc>
        <w:tc>
          <w:tcPr>
            <w:tcW w:w="4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746</w:t>
            </w:r>
          </w:p>
        </w:tc>
        <w:tc>
          <w:tcPr>
            <w:tcW w:w="840" w:type="dxa"/>
            <w:vAlign w:val="bottom"/>
            <w:gridSpan w:val="2"/>
          </w:tcPr>
          <w:p>
            <w:pPr>
              <w:jc w:val="right"/>
              <w:ind w:right="79"/>
              <w:spacing w:after="0"/>
              <w:rPr>
                <w:sz w:val="20"/>
                <w:szCs w:val="20"/>
                <w:color w:val="auto"/>
              </w:rPr>
            </w:pPr>
            <w:r>
              <w:rPr>
                <w:rFonts w:ascii="Arial" w:cs="Arial" w:eastAsia="Arial" w:hAnsi="Arial"/>
                <w:sz w:val="16"/>
                <w:szCs w:val="16"/>
                <w:color w:val="auto"/>
              </w:rPr>
              <w:t>23 %</w:t>
            </w: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SoCalGas</w:t>
            </w:r>
          </w:p>
        </w:tc>
        <w:tc>
          <w:tcPr>
            <w:tcW w:w="50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920</w:t>
            </w:r>
          </w:p>
        </w:tc>
        <w:tc>
          <w:tcPr>
            <w:tcW w:w="680" w:type="dxa"/>
            <w:vAlign w:val="bottom"/>
          </w:tcPr>
          <w:p>
            <w:pPr>
              <w:jc w:val="right"/>
              <w:spacing w:after="0"/>
              <w:rPr>
                <w:sz w:val="20"/>
                <w:szCs w:val="20"/>
                <w:color w:val="auto"/>
              </w:rPr>
            </w:pPr>
            <w:r>
              <w:rPr>
                <w:rFonts w:ascii="Arial" w:cs="Arial" w:eastAsia="Arial" w:hAnsi="Arial"/>
                <w:sz w:val="16"/>
                <w:szCs w:val="16"/>
                <w:color w:val="auto"/>
              </w:rPr>
              <w:t>44</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1,556</w:t>
            </w:r>
          </w:p>
        </w:tc>
        <w:tc>
          <w:tcPr>
            <w:tcW w:w="520" w:type="dxa"/>
            <w:vAlign w:val="bottom"/>
          </w:tcPr>
          <w:p>
            <w:pPr>
              <w:jc w:val="right"/>
              <w:spacing w:after="0"/>
              <w:rPr>
                <w:sz w:val="20"/>
                <w:szCs w:val="20"/>
                <w:color w:val="auto"/>
              </w:rPr>
            </w:pPr>
            <w:r>
              <w:rPr>
                <w:rFonts w:ascii="Arial" w:cs="Arial" w:eastAsia="Arial" w:hAnsi="Arial"/>
                <w:sz w:val="16"/>
                <w:szCs w:val="16"/>
                <w:color w:val="auto"/>
              </w:rPr>
              <w:t>47</w:t>
            </w:r>
          </w:p>
        </w:tc>
        <w:tc>
          <w:tcPr>
            <w:tcW w:w="320" w:type="dxa"/>
            <w:vAlign w:val="bottom"/>
          </w:tcPr>
          <w:p>
            <w:pPr>
              <w:spacing w:after="0"/>
              <w:rPr>
                <w:sz w:val="18"/>
                <w:szCs w:val="18"/>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Sempra Commodities</w:t>
            </w:r>
          </w:p>
        </w:tc>
        <w:tc>
          <w:tcPr>
            <w:tcW w:w="50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13</w:t>
            </w: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457</w:t>
            </w:r>
          </w:p>
        </w:tc>
        <w:tc>
          <w:tcPr>
            <w:tcW w:w="520" w:type="dxa"/>
            <w:vAlign w:val="bottom"/>
          </w:tcPr>
          <w:p>
            <w:pPr>
              <w:jc w:val="right"/>
              <w:spacing w:after="0"/>
              <w:rPr>
                <w:sz w:val="20"/>
                <w:szCs w:val="20"/>
                <w:color w:val="auto"/>
              </w:rPr>
            </w:pPr>
            <w:r>
              <w:rPr>
                <w:rFonts w:ascii="Arial" w:cs="Arial" w:eastAsia="Arial" w:hAnsi="Arial"/>
                <w:sz w:val="16"/>
                <w:szCs w:val="16"/>
                <w:color w:val="auto"/>
              </w:rPr>
              <w:t>14</w:t>
            </w:r>
          </w:p>
        </w:tc>
        <w:tc>
          <w:tcPr>
            <w:tcW w:w="320" w:type="dxa"/>
            <w:vAlign w:val="bottom"/>
          </w:tcPr>
          <w:p>
            <w:pPr>
              <w:spacing w:after="0"/>
              <w:rPr>
                <w:sz w:val="18"/>
                <w:szCs w:val="18"/>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Sempra Generation</w:t>
            </w:r>
          </w:p>
        </w:tc>
        <w:tc>
          <w:tcPr>
            <w:tcW w:w="50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297</w:t>
            </w:r>
          </w:p>
        </w:tc>
        <w:tc>
          <w:tcPr>
            <w:tcW w:w="680" w:type="dxa"/>
            <w:vAlign w:val="bottom"/>
          </w:tcPr>
          <w:p>
            <w:pPr>
              <w:jc w:val="right"/>
              <w:spacing w:after="0"/>
              <w:rPr>
                <w:sz w:val="20"/>
                <w:szCs w:val="20"/>
                <w:color w:val="auto"/>
              </w:rPr>
            </w:pPr>
            <w:r>
              <w:rPr>
                <w:rFonts w:ascii="Arial" w:cs="Arial" w:eastAsia="Arial" w:hAnsi="Arial"/>
                <w:sz w:val="16"/>
                <w:szCs w:val="16"/>
                <w:color w:val="auto"/>
              </w:rPr>
              <w:t>14</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446</w:t>
            </w:r>
          </w:p>
        </w:tc>
        <w:tc>
          <w:tcPr>
            <w:tcW w:w="520" w:type="dxa"/>
            <w:vAlign w:val="bottom"/>
          </w:tcPr>
          <w:p>
            <w:pPr>
              <w:jc w:val="right"/>
              <w:spacing w:after="0"/>
              <w:rPr>
                <w:sz w:val="20"/>
                <w:szCs w:val="20"/>
                <w:color w:val="auto"/>
              </w:rPr>
            </w:pPr>
            <w:r>
              <w:rPr>
                <w:rFonts w:ascii="Arial" w:cs="Arial" w:eastAsia="Arial" w:hAnsi="Arial"/>
                <w:sz w:val="16"/>
                <w:szCs w:val="16"/>
                <w:color w:val="auto"/>
              </w:rPr>
              <w:t>14</w:t>
            </w:r>
          </w:p>
        </w:tc>
        <w:tc>
          <w:tcPr>
            <w:tcW w:w="320" w:type="dxa"/>
            <w:vAlign w:val="bottom"/>
          </w:tcPr>
          <w:p>
            <w:pPr>
              <w:spacing w:after="0"/>
              <w:rPr>
                <w:sz w:val="18"/>
                <w:szCs w:val="18"/>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Sempra Pipelines &amp; Storage</w:t>
            </w:r>
          </w:p>
        </w:tc>
        <w:tc>
          <w:tcPr>
            <w:tcW w:w="50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132</w:t>
            </w:r>
          </w:p>
        </w:tc>
        <w:tc>
          <w:tcPr>
            <w:tcW w:w="680" w:type="dxa"/>
            <w:vAlign w:val="bottom"/>
          </w:tcPr>
          <w:p>
            <w:pPr>
              <w:jc w:val="right"/>
              <w:spacing w:after="0"/>
              <w:rPr>
                <w:sz w:val="20"/>
                <w:szCs w:val="20"/>
                <w:color w:val="auto"/>
              </w:rPr>
            </w:pPr>
            <w:r>
              <w:rPr>
                <w:rFonts w:ascii="Arial" w:cs="Arial" w:eastAsia="Arial" w:hAnsi="Arial"/>
                <w:sz w:val="16"/>
                <w:szCs w:val="16"/>
                <w:color w:val="auto"/>
              </w:rPr>
              <w:t>6</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93</w:t>
            </w:r>
          </w:p>
        </w:tc>
        <w:tc>
          <w:tcPr>
            <w:tcW w:w="520" w:type="dxa"/>
            <w:vAlign w:val="bottom"/>
          </w:tcPr>
          <w:p>
            <w:pPr>
              <w:jc w:val="right"/>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8"/>
                <w:szCs w:val="18"/>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All other</w:t>
            </w:r>
          </w:p>
        </w:tc>
        <w:tc>
          <w:tcPr>
            <w:tcW w:w="50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32</w:t>
            </w: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279"/>
              <w:spacing w:after="0"/>
              <w:rPr>
                <w:sz w:val="20"/>
                <w:szCs w:val="20"/>
                <w:color w:val="auto"/>
              </w:rPr>
            </w:pPr>
            <w:r>
              <w:rPr>
                <w:rFonts w:ascii="Arial" w:cs="Arial" w:eastAsia="Arial" w:hAnsi="Arial"/>
                <w:sz w:val="16"/>
                <w:szCs w:val="16"/>
                <w:color w:val="auto"/>
              </w:rPr>
              <w:t>(10)</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Adjustments and eliminations</w:t>
            </w:r>
          </w:p>
        </w:tc>
        <w:tc>
          <w:tcPr>
            <w:tcW w:w="50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279"/>
              <w:spacing w:after="0"/>
              <w:rPr>
                <w:sz w:val="20"/>
                <w:szCs w:val="20"/>
                <w:color w:val="auto"/>
              </w:rPr>
            </w:pPr>
            <w:r>
              <w:rPr>
                <w:rFonts w:ascii="Arial" w:cs="Arial" w:eastAsia="Arial" w:hAnsi="Arial"/>
                <w:sz w:val="16"/>
                <w:szCs w:val="16"/>
                <w:color w:val="auto"/>
              </w:rPr>
              <w:t>(6)</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r>
      <w:tr>
        <w:trPr>
          <w:trHeight w:val="222"/>
        </w:trPr>
        <w:tc>
          <w:tcPr>
            <w:tcW w:w="4360" w:type="dxa"/>
            <w:vAlign w:val="bottom"/>
          </w:tcPr>
          <w:p>
            <w:pPr>
              <w:ind w:left="200"/>
              <w:spacing w:after="0"/>
              <w:rPr>
                <w:sz w:val="20"/>
                <w:szCs w:val="20"/>
                <w:color w:val="auto"/>
              </w:rPr>
            </w:pPr>
            <w:r>
              <w:rPr>
                <w:rFonts w:ascii="Arial" w:cs="Arial" w:eastAsia="Arial" w:hAnsi="Arial"/>
                <w:sz w:val="16"/>
                <w:szCs w:val="16"/>
                <w:color w:val="auto"/>
              </w:rPr>
              <w:t>Intersegment revenues</w:t>
            </w: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(12)</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tcPr>
          <w:p>
            <w:pPr>
              <w:spacing w:after="0"/>
              <w:rPr>
                <w:sz w:val="19"/>
                <w:szCs w:val="19"/>
                <w:color w:val="auto"/>
              </w:rPr>
            </w:pPr>
          </w:p>
        </w:tc>
      </w:tr>
      <w:tr>
        <w:trPr>
          <w:trHeight w:val="207"/>
        </w:trPr>
        <w:tc>
          <w:tcPr>
            <w:tcW w:w="4360" w:type="dxa"/>
            <w:vAlign w:val="bottom"/>
          </w:tcPr>
          <w:p>
            <w:pPr>
              <w:ind w:left="380"/>
              <w:spacing w:after="0"/>
              <w:rPr>
                <w:sz w:val="20"/>
                <w:szCs w:val="20"/>
                <w:color w:val="auto"/>
              </w:rPr>
            </w:pPr>
            <w:r>
              <w:rPr>
                <w:rFonts w:ascii="Arial" w:cs="Arial" w:eastAsia="Arial" w:hAnsi="Arial"/>
                <w:sz w:val="16"/>
                <w:szCs w:val="16"/>
                <w:color w:val="auto"/>
              </w:rPr>
              <w:t>Total</w:t>
            </w: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2,108</w:t>
            </w:r>
          </w:p>
        </w:tc>
        <w:tc>
          <w:tcPr>
            <w:tcW w:w="680" w:type="dxa"/>
            <w:vAlign w:val="bottom"/>
          </w:tcPr>
          <w:p>
            <w:pPr>
              <w:jc w:val="right"/>
              <w:spacing w:after="0"/>
              <w:rPr>
                <w:sz w:val="20"/>
                <w:szCs w:val="20"/>
                <w:color w:val="auto"/>
              </w:rPr>
            </w:pPr>
            <w:r>
              <w:rPr>
                <w:rFonts w:ascii="Arial" w:cs="Arial" w:eastAsia="Arial" w:hAnsi="Arial"/>
                <w:sz w:val="16"/>
                <w:szCs w:val="16"/>
                <w:color w:val="auto"/>
              </w:rPr>
              <w:t>100</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w w:val="98"/>
              </w:rPr>
              <w:t>%</w:t>
            </w:r>
          </w:p>
        </w:tc>
        <w:tc>
          <w:tcPr>
            <w:tcW w:w="4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3,270</w:t>
            </w:r>
          </w:p>
        </w:tc>
        <w:tc>
          <w:tcPr>
            <w:tcW w:w="520" w:type="dxa"/>
            <w:vAlign w:val="bottom"/>
          </w:tcPr>
          <w:p>
            <w:pPr>
              <w:jc w:val="right"/>
              <w:spacing w:after="0"/>
              <w:rPr>
                <w:sz w:val="20"/>
                <w:szCs w:val="20"/>
                <w:color w:val="auto"/>
              </w:rPr>
            </w:pPr>
            <w:r>
              <w:rPr>
                <w:rFonts w:ascii="Arial" w:cs="Arial" w:eastAsia="Arial" w:hAnsi="Arial"/>
                <w:sz w:val="16"/>
                <w:szCs w:val="16"/>
                <w:color w:val="auto"/>
              </w:rPr>
              <w:t>100</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w w:val="98"/>
              </w:rPr>
              <w:t>%</w:t>
            </w:r>
          </w:p>
        </w:tc>
      </w:tr>
      <w:tr>
        <w:trPr>
          <w:trHeight w:val="84"/>
        </w:trPr>
        <w:tc>
          <w:tcPr>
            <w:tcW w:w="436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68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100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r>
      <w:tr>
        <w:trPr>
          <w:trHeight w:val="210"/>
        </w:trPr>
        <w:tc>
          <w:tcPr>
            <w:tcW w:w="43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SDG&amp;E</w:t>
            </w: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25</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27</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SoCalGas</w:t>
            </w:r>
          </w:p>
        </w:tc>
        <w:tc>
          <w:tcPr>
            <w:tcW w:w="50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17</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16</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Sempra Commodities</w:t>
            </w:r>
          </w:p>
        </w:tc>
        <w:tc>
          <w:tcPr>
            <w:tcW w:w="50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12</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Sempra Generation</w:t>
            </w:r>
          </w:p>
        </w:tc>
        <w:tc>
          <w:tcPr>
            <w:tcW w:w="50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4</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4</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Sempra Pipelines &amp; Storage</w:t>
            </w:r>
          </w:p>
        </w:tc>
        <w:tc>
          <w:tcPr>
            <w:tcW w:w="50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7</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2</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All other</w:t>
            </w:r>
          </w:p>
        </w:tc>
        <w:tc>
          <w:tcPr>
            <w:tcW w:w="50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61</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37</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22"/>
        </w:trPr>
        <w:tc>
          <w:tcPr>
            <w:tcW w:w="4360" w:type="dxa"/>
            <w:vAlign w:val="bottom"/>
          </w:tcPr>
          <w:p>
            <w:pPr>
              <w:ind w:left="200"/>
              <w:spacing w:after="0"/>
              <w:rPr>
                <w:sz w:val="20"/>
                <w:szCs w:val="20"/>
                <w:color w:val="auto"/>
              </w:rPr>
            </w:pPr>
            <w:r>
              <w:rPr>
                <w:rFonts w:ascii="Arial" w:cs="Arial" w:eastAsia="Arial" w:hAnsi="Arial"/>
                <w:sz w:val="16"/>
                <w:szCs w:val="16"/>
                <w:color w:val="auto"/>
              </w:rPr>
              <w:t>Intercompany eliminations</w:t>
            </w: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(35)</w:t>
            </w: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(38)</w:t>
            </w:r>
          </w:p>
        </w:tc>
        <w:tc>
          <w:tcPr>
            <w:tcW w:w="5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r>
      <w:tr>
        <w:trPr>
          <w:trHeight w:val="207"/>
        </w:trPr>
        <w:tc>
          <w:tcPr>
            <w:tcW w:w="4360" w:type="dxa"/>
            <w:vAlign w:val="bottom"/>
          </w:tcPr>
          <w:p>
            <w:pPr>
              <w:ind w:left="380"/>
              <w:spacing w:after="0"/>
              <w:rPr>
                <w:sz w:val="20"/>
                <w:szCs w:val="20"/>
                <w:color w:val="auto"/>
              </w:rPr>
            </w:pPr>
            <w:r>
              <w:rPr>
                <w:rFonts w:ascii="Arial" w:cs="Arial" w:eastAsia="Arial" w:hAnsi="Arial"/>
                <w:sz w:val="16"/>
                <w:szCs w:val="16"/>
                <w:color w:val="auto"/>
              </w:rPr>
              <w:t>Total</w:t>
            </w: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82</w:t>
            </w: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60</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84"/>
        </w:trPr>
        <w:tc>
          <w:tcPr>
            <w:tcW w:w="436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68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100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r>
      <w:tr>
        <w:trPr>
          <w:trHeight w:val="210"/>
        </w:trPr>
        <w:tc>
          <w:tcPr>
            <w:tcW w:w="436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SDG&amp;E</w:t>
            </w: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2</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SoCalGas</w:t>
            </w:r>
          </w:p>
        </w:tc>
        <w:tc>
          <w:tcPr>
            <w:tcW w:w="50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3</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Sempra Commodities</w:t>
            </w:r>
          </w:p>
        </w:tc>
        <w:tc>
          <w:tcPr>
            <w:tcW w:w="50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7</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Sempra Generation</w:t>
            </w:r>
          </w:p>
        </w:tc>
        <w:tc>
          <w:tcPr>
            <w:tcW w:w="50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2</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Sempra Pipelines &amp; Storage</w:t>
            </w:r>
          </w:p>
        </w:tc>
        <w:tc>
          <w:tcPr>
            <w:tcW w:w="50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4</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3</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All other</w:t>
            </w:r>
          </w:p>
        </w:tc>
        <w:tc>
          <w:tcPr>
            <w:tcW w:w="50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33</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35</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22"/>
        </w:trPr>
        <w:tc>
          <w:tcPr>
            <w:tcW w:w="4360" w:type="dxa"/>
            <w:vAlign w:val="bottom"/>
          </w:tcPr>
          <w:p>
            <w:pPr>
              <w:ind w:left="200"/>
              <w:spacing w:after="0"/>
              <w:rPr>
                <w:sz w:val="20"/>
                <w:szCs w:val="20"/>
                <w:color w:val="auto"/>
              </w:rPr>
            </w:pPr>
            <w:r>
              <w:rPr>
                <w:rFonts w:ascii="Arial" w:cs="Arial" w:eastAsia="Arial" w:hAnsi="Arial"/>
                <w:sz w:val="16"/>
                <w:szCs w:val="16"/>
                <w:color w:val="auto"/>
              </w:rPr>
              <w:t>Intercompany eliminations</w:t>
            </w: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(35)</w:t>
            </w: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(38)</w:t>
            </w:r>
          </w:p>
        </w:tc>
        <w:tc>
          <w:tcPr>
            <w:tcW w:w="5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r>
      <w:tr>
        <w:trPr>
          <w:trHeight w:val="207"/>
        </w:trPr>
        <w:tc>
          <w:tcPr>
            <w:tcW w:w="4360" w:type="dxa"/>
            <w:vAlign w:val="bottom"/>
          </w:tcPr>
          <w:p>
            <w:pPr>
              <w:ind w:left="380"/>
              <w:spacing w:after="0"/>
              <w:rPr>
                <w:sz w:val="20"/>
                <w:szCs w:val="20"/>
                <w:color w:val="auto"/>
              </w:rPr>
            </w:pPr>
            <w:r>
              <w:rPr>
                <w:rFonts w:ascii="Arial" w:cs="Arial" w:eastAsia="Arial" w:hAnsi="Arial"/>
                <w:sz w:val="16"/>
                <w:szCs w:val="16"/>
                <w:color w:val="auto"/>
              </w:rPr>
              <w:t>Total</w:t>
            </w: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6</w:t>
            </w: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14</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84"/>
        </w:trPr>
        <w:tc>
          <w:tcPr>
            <w:tcW w:w="436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68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100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r>
      <w:tr>
        <w:trPr>
          <w:trHeight w:val="210"/>
        </w:trPr>
        <w:tc>
          <w:tcPr>
            <w:tcW w:w="43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SDG&amp;E</w:t>
            </w: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77</w:t>
            </w:r>
          </w:p>
        </w:tc>
        <w:tc>
          <w:tcPr>
            <w:tcW w:w="1040" w:type="dxa"/>
            <w:vAlign w:val="bottom"/>
            <w:gridSpan w:val="2"/>
          </w:tcPr>
          <w:p>
            <w:pPr>
              <w:jc w:val="right"/>
              <w:ind w:right="119"/>
              <w:spacing w:after="0"/>
              <w:rPr>
                <w:sz w:val="20"/>
                <w:szCs w:val="20"/>
                <w:color w:val="auto"/>
              </w:rPr>
            </w:pPr>
            <w:r>
              <w:rPr>
                <w:rFonts w:ascii="Arial" w:cs="Arial" w:eastAsia="Arial" w:hAnsi="Arial"/>
                <w:sz w:val="16"/>
                <w:szCs w:val="16"/>
                <w:color w:val="auto"/>
              </w:rPr>
              <w:t>42 %</w:t>
            </w:r>
          </w:p>
        </w:tc>
        <w:tc>
          <w:tcPr>
            <w:tcW w:w="4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77</w:t>
            </w:r>
          </w:p>
        </w:tc>
        <w:tc>
          <w:tcPr>
            <w:tcW w:w="840" w:type="dxa"/>
            <w:vAlign w:val="bottom"/>
            <w:gridSpan w:val="2"/>
          </w:tcPr>
          <w:p>
            <w:pPr>
              <w:jc w:val="right"/>
              <w:ind w:right="79"/>
              <w:spacing w:after="0"/>
              <w:rPr>
                <w:sz w:val="20"/>
                <w:szCs w:val="20"/>
                <w:color w:val="auto"/>
              </w:rPr>
            </w:pPr>
            <w:r>
              <w:rPr>
                <w:rFonts w:ascii="Arial" w:cs="Arial" w:eastAsia="Arial" w:hAnsi="Arial"/>
                <w:sz w:val="16"/>
                <w:szCs w:val="16"/>
                <w:color w:val="auto"/>
              </w:rPr>
              <w:t>44 %</w:t>
            </w: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SoCalGas</w:t>
            </w:r>
          </w:p>
        </w:tc>
        <w:tc>
          <w:tcPr>
            <w:tcW w:w="50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72</w:t>
            </w:r>
          </w:p>
        </w:tc>
        <w:tc>
          <w:tcPr>
            <w:tcW w:w="680" w:type="dxa"/>
            <w:vAlign w:val="bottom"/>
          </w:tcPr>
          <w:p>
            <w:pPr>
              <w:jc w:val="right"/>
              <w:spacing w:after="0"/>
              <w:rPr>
                <w:sz w:val="20"/>
                <w:szCs w:val="20"/>
                <w:color w:val="auto"/>
              </w:rPr>
            </w:pPr>
            <w:r>
              <w:rPr>
                <w:rFonts w:ascii="Arial" w:cs="Arial" w:eastAsia="Arial" w:hAnsi="Arial"/>
                <w:sz w:val="16"/>
                <w:szCs w:val="16"/>
                <w:color w:val="auto"/>
              </w:rPr>
              <w:t>40</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71</w:t>
            </w:r>
          </w:p>
        </w:tc>
        <w:tc>
          <w:tcPr>
            <w:tcW w:w="520" w:type="dxa"/>
            <w:vAlign w:val="bottom"/>
          </w:tcPr>
          <w:p>
            <w:pPr>
              <w:jc w:val="right"/>
              <w:spacing w:after="0"/>
              <w:rPr>
                <w:sz w:val="20"/>
                <w:szCs w:val="20"/>
                <w:color w:val="auto"/>
              </w:rPr>
            </w:pPr>
            <w:r>
              <w:rPr>
                <w:rFonts w:ascii="Arial" w:cs="Arial" w:eastAsia="Arial" w:hAnsi="Arial"/>
                <w:sz w:val="16"/>
                <w:szCs w:val="16"/>
                <w:color w:val="auto"/>
              </w:rPr>
              <w:t>41</w:t>
            </w:r>
          </w:p>
        </w:tc>
        <w:tc>
          <w:tcPr>
            <w:tcW w:w="320" w:type="dxa"/>
            <w:vAlign w:val="bottom"/>
          </w:tcPr>
          <w:p>
            <w:pPr>
              <w:spacing w:after="0"/>
              <w:rPr>
                <w:sz w:val="18"/>
                <w:szCs w:val="18"/>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Sempra Commodities</w:t>
            </w:r>
          </w:p>
        </w:tc>
        <w:tc>
          <w:tcPr>
            <w:tcW w:w="50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6</w:t>
            </w:r>
          </w:p>
        </w:tc>
        <w:tc>
          <w:tcPr>
            <w:tcW w:w="520" w:type="dxa"/>
            <w:vAlign w:val="bottom"/>
          </w:tcPr>
          <w:p>
            <w:pPr>
              <w:jc w:val="right"/>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8"/>
                <w:szCs w:val="18"/>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Sempra Generation</w:t>
            </w:r>
          </w:p>
        </w:tc>
        <w:tc>
          <w:tcPr>
            <w:tcW w:w="50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14</w:t>
            </w:r>
          </w:p>
        </w:tc>
        <w:tc>
          <w:tcPr>
            <w:tcW w:w="680" w:type="dxa"/>
            <w:vAlign w:val="bottom"/>
          </w:tcPr>
          <w:p>
            <w:pPr>
              <w:jc w:val="right"/>
              <w:spacing w:after="0"/>
              <w:rPr>
                <w:sz w:val="20"/>
                <w:szCs w:val="20"/>
                <w:color w:val="auto"/>
              </w:rPr>
            </w:pPr>
            <w:r>
              <w:rPr>
                <w:rFonts w:ascii="Arial" w:cs="Arial" w:eastAsia="Arial" w:hAnsi="Arial"/>
                <w:sz w:val="16"/>
                <w:szCs w:val="16"/>
                <w:color w:val="auto"/>
              </w:rPr>
              <w:t>8</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14</w:t>
            </w:r>
          </w:p>
        </w:tc>
        <w:tc>
          <w:tcPr>
            <w:tcW w:w="520" w:type="dxa"/>
            <w:vAlign w:val="bottom"/>
          </w:tcPr>
          <w:p>
            <w:pPr>
              <w:jc w:val="right"/>
              <w:spacing w:after="0"/>
              <w:rPr>
                <w:sz w:val="20"/>
                <w:szCs w:val="20"/>
                <w:color w:val="auto"/>
              </w:rPr>
            </w:pPr>
            <w:r>
              <w:rPr>
                <w:rFonts w:ascii="Arial" w:cs="Arial" w:eastAsia="Arial" w:hAnsi="Arial"/>
                <w:sz w:val="16"/>
                <w:szCs w:val="16"/>
                <w:color w:val="auto"/>
              </w:rPr>
              <w:t>8</w:t>
            </w:r>
          </w:p>
        </w:tc>
        <w:tc>
          <w:tcPr>
            <w:tcW w:w="320" w:type="dxa"/>
            <w:vAlign w:val="bottom"/>
          </w:tcPr>
          <w:p>
            <w:pPr>
              <w:spacing w:after="0"/>
              <w:rPr>
                <w:sz w:val="18"/>
                <w:szCs w:val="18"/>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Sempra Pipelines &amp; Storage</w:t>
            </w:r>
          </w:p>
        </w:tc>
        <w:tc>
          <w:tcPr>
            <w:tcW w:w="50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10</w:t>
            </w:r>
          </w:p>
        </w:tc>
        <w:tc>
          <w:tcPr>
            <w:tcW w:w="680" w:type="dxa"/>
            <w:vAlign w:val="bottom"/>
          </w:tcPr>
          <w:p>
            <w:pPr>
              <w:jc w:val="right"/>
              <w:spacing w:after="0"/>
              <w:rPr>
                <w:sz w:val="20"/>
                <w:szCs w:val="20"/>
                <w:color w:val="auto"/>
              </w:rPr>
            </w:pPr>
            <w:r>
              <w:rPr>
                <w:rFonts w:ascii="Arial" w:cs="Arial" w:eastAsia="Arial" w:hAnsi="Arial"/>
                <w:sz w:val="16"/>
                <w:szCs w:val="16"/>
                <w:color w:val="auto"/>
              </w:rPr>
              <w:t>5</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2</w:t>
            </w: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r>
      <w:tr>
        <w:trPr>
          <w:trHeight w:val="222"/>
        </w:trPr>
        <w:tc>
          <w:tcPr>
            <w:tcW w:w="4360" w:type="dxa"/>
            <w:vAlign w:val="bottom"/>
          </w:tcPr>
          <w:p>
            <w:pPr>
              <w:ind w:left="200"/>
              <w:spacing w:after="0"/>
              <w:rPr>
                <w:sz w:val="20"/>
                <w:szCs w:val="20"/>
                <w:color w:val="auto"/>
              </w:rPr>
            </w:pPr>
            <w:r>
              <w:rPr>
                <w:rFonts w:ascii="Arial" w:cs="Arial" w:eastAsia="Arial" w:hAnsi="Arial"/>
                <w:sz w:val="16"/>
                <w:szCs w:val="16"/>
                <w:color w:val="auto"/>
              </w:rPr>
              <w:t>All other</w:t>
            </w: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3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5</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auto"/>
            </w:tcBorders>
          </w:tcPr>
          <w:p>
            <w:pPr>
              <w:spacing w:after="0"/>
              <w:rPr>
                <w:sz w:val="19"/>
                <w:szCs w:val="19"/>
                <w:color w:val="auto"/>
              </w:rPr>
            </w:pPr>
          </w:p>
        </w:tc>
      </w:tr>
      <w:tr>
        <w:trPr>
          <w:trHeight w:val="207"/>
        </w:trPr>
        <w:tc>
          <w:tcPr>
            <w:tcW w:w="4360" w:type="dxa"/>
            <w:vAlign w:val="bottom"/>
          </w:tcPr>
          <w:p>
            <w:pPr>
              <w:ind w:left="380"/>
              <w:spacing w:after="0"/>
              <w:rPr>
                <w:sz w:val="20"/>
                <w:szCs w:val="20"/>
                <w:color w:val="auto"/>
              </w:rPr>
            </w:pPr>
            <w:r>
              <w:rPr>
                <w:rFonts w:ascii="Arial" w:cs="Arial" w:eastAsia="Arial" w:hAnsi="Arial"/>
                <w:sz w:val="16"/>
                <w:szCs w:val="16"/>
                <w:color w:val="auto"/>
              </w:rPr>
              <w:t>Total</w:t>
            </w: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183</w:t>
            </w:r>
          </w:p>
        </w:tc>
        <w:tc>
          <w:tcPr>
            <w:tcW w:w="680" w:type="dxa"/>
            <w:vAlign w:val="bottom"/>
          </w:tcPr>
          <w:p>
            <w:pPr>
              <w:jc w:val="right"/>
              <w:spacing w:after="0"/>
              <w:rPr>
                <w:sz w:val="20"/>
                <w:szCs w:val="20"/>
                <w:color w:val="auto"/>
              </w:rPr>
            </w:pPr>
            <w:r>
              <w:rPr>
                <w:rFonts w:ascii="Arial" w:cs="Arial" w:eastAsia="Arial" w:hAnsi="Arial"/>
                <w:sz w:val="16"/>
                <w:szCs w:val="16"/>
                <w:color w:val="auto"/>
              </w:rPr>
              <w:t>100</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w w:val="98"/>
              </w:rPr>
              <w:t>%</w:t>
            </w:r>
          </w:p>
        </w:tc>
        <w:tc>
          <w:tcPr>
            <w:tcW w:w="4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175</w:t>
            </w:r>
          </w:p>
        </w:tc>
        <w:tc>
          <w:tcPr>
            <w:tcW w:w="520" w:type="dxa"/>
            <w:vAlign w:val="bottom"/>
          </w:tcPr>
          <w:p>
            <w:pPr>
              <w:jc w:val="right"/>
              <w:spacing w:after="0"/>
              <w:rPr>
                <w:sz w:val="20"/>
                <w:szCs w:val="20"/>
                <w:color w:val="auto"/>
              </w:rPr>
            </w:pPr>
            <w:r>
              <w:rPr>
                <w:rFonts w:ascii="Arial" w:cs="Arial" w:eastAsia="Arial" w:hAnsi="Arial"/>
                <w:sz w:val="16"/>
                <w:szCs w:val="16"/>
                <w:color w:val="auto"/>
              </w:rPr>
              <w:t>100</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w w:val="98"/>
              </w:rPr>
              <w:t>%</w:t>
            </w:r>
          </w:p>
        </w:tc>
      </w:tr>
      <w:tr>
        <w:trPr>
          <w:trHeight w:val="84"/>
        </w:trPr>
        <w:tc>
          <w:tcPr>
            <w:tcW w:w="436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68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100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r>
      <w:tr>
        <w:trPr>
          <w:trHeight w:val="210"/>
        </w:trPr>
        <w:tc>
          <w:tcPr>
            <w:tcW w:w="436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SDG&amp;E</w:t>
            </w: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60</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32</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SoCalGas</w:t>
            </w:r>
          </w:p>
        </w:tc>
        <w:tc>
          <w:tcPr>
            <w:tcW w:w="50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36</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40</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Sempra Commodities</w:t>
            </w:r>
          </w:p>
        </w:tc>
        <w:tc>
          <w:tcPr>
            <w:tcW w:w="50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37</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39</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Sempra Generation</w:t>
            </w:r>
          </w:p>
        </w:tc>
        <w:tc>
          <w:tcPr>
            <w:tcW w:w="50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12</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31</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Sempra Pipelines &amp; Storage</w:t>
            </w:r>
          </w:p>
        </w:tc>
        <w:tc>
          <w:tcPr>
            <w:tcW w:w="50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12</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4</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22"/>
        </w:trPr>
        <w:tc>
          <w:tcPr>
            <w:tcW w:w="4360" w:type="dxa"/>
            <w:vAlign w:val="bottom"/>
          </w:tcPr>
          <w:p>
            <w:pPr>
              <w:ind w:left="200"/>
              <w:spacing w:after="0"/>
              <w:rPr>
                <w:sz w:val="20"/>
                <w:szCs w:val="20"/>
                <w:color w:val="auto"/>
              </w:rPr>
            </w:pPr>
            <w:r>
              <w:rPr>
                <w:rFonts w:ascii="Arial" w:cs="Arial" w:eastAsia="Arial" w:hAnsi="Arial"/>
                <w:sz w:val="16"/>
                <w:szCs w:val="16"/>
                <w:color w:val="auto"/>
              </w:rPr>
              <w:t>All other</w:t>
            </w: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(48)</w:t>
            </w: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(19)</w:t>
            </w:r>
          </w:p>
        </w:tc>
        <w:tc>
          <w:tcPr>
            <w:tcW w:w="5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r>
      <w:tr>
        <w:trPr>
          <w:trHeight w:val="207"/>
        </w:trPr>
        <w:tc>
          <w:tcPr>
            <w:tcW w:w="4360" w:type="dxa"/>
            <w:vAlign w:val="bottom"/>
          </w:tcPr>
          <w:p>
            <w:pPr>
              <w:ind w:left="380"/>
              <w:spacing w:after="0"/>
              <w:rPr>
                <w:sz w:val="20"/>
                <w:szCs w:val="20"/>
                <w:color w:val="auto"/>
              </w:rPr>
            </w:pPr>
            <w:r>
              <w:rPr>
                <w:rFonts w:ascii="Arial" w:cs="Arial" w:eastAsia="Arial" w:hAnsi="Arial"/>
                <w:sz w:val="16"/>
                <w:szCs w:val="16"/>
                <w:color w:val="auto"/>
              </w:rPr>
              <w:t>Total</w:t>
            </w: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109</w:t>
            </w: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127</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84"/>
        </w:trPr>
        <w:tc>
          <w:tcPr>
            <w:tcW w:w="436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68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100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r>
    </w:tbl>
    <w:p>
      <w:pPr>
        <w:sectPr>
          <w:pgSz w:w="11900" w:h="16838" w:orient="portrait"/>
          <w:cols w:equalWidth="0" w:num="1">
            <w:col w:w="10219"/>
          </w:cols>
          <w:pgMar w:left="240" w:top="175" w:right="1440" w:bottom="1440" w:gutter="0" w:footer="0" w:header="0"/>
        </w:sectPr>
      </w:pPr>
    </w:p>
    <w:bookmarkStart w:id="59" w:name="page60"/>
    <w:bookmarkEnd w:id="59"/>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106045</wp:posOffset>
            </wp:positionV>
            <wp:extent cx="5746115" cy="274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46115" cy="274320"/>
                    </a:xfrm>
                    <a:prstGeom prst="rect">
                      <a:avLst/>
                    </a:prstGeom>
                    <a:noFill/>
                  </pic:spPr>
                </pic:pic>
              </a:graphicData>
            </a:graphic>
          </wp:anchor>
        </w:drawing>
        <w:t>SEGMENT INFORMATION (Continued)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6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color w:val="auto"/>
              </w:rPr>
              <w:t>Three months ended March 31,</w:t>
            </w:r>
          </w:p>
        </w:tc>
        <w:tc>
          <w:tcPr>
            <w:tcW w:w="5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6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color w:val="auto"/>
              </w:rPr>
              <w:t>2008</w:t>
            </w:r>
          </w:p>
        </w:tc>
        <w:tc>
          <w:tcPr>
            <w:tcW w:w="5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Pr>
          <w:p>
            <w:pPr>
              <w:ind w:left="20"/>
              <w:spacing w:after="0"/>
              <w:rPr>
                <w:sz w:val="20"/>
                <w:szCs w:val="20"/>
                <w:color w:val="auto"/>
              </w:rPr>
            </w:pPr>
            <w:r>
              <w:rPr>
                <w:rFonts w:ascii="Arial" w:cs="Arial" w:eastAsia="Arial" w:hAnsi="Arial"/>
                <w:sz w:val="16"/>
                <w:szCs w:val="16"/>
                <w:color w:val="auto"/>
              </w:rPr>
              <w:t>EQUITY EARNINGS (LOSSES)</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Earnings (losses) recorded before tax:</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80"/>
              <w:spacing w:after="0"/>
              <w:rPr>
                <w:sz w:val="20"/>
                <w:szCs w:val="20"/>
                <w:color w:val="auto"/>
              </w:rPr>
            </w:pPr>
            <w:r>
              <w:rPr>
                <w:rFonts w:ascii="Arial" w:cs="Arial" w:eastAsia="Arial" w:hAnsi="Arial"/>
                <w:sz w:val="16"/>
                <w:szCs w:val="16"/>
                <w:color w:val="auto"/>
              </w:rPr>
              <w:t>Sempra Commodities</w:t>
            </w:r>
          </w:p>
        </w:tc>
        <w:tc>
          <w:tcPr>
            <w:tcW w:w="4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153</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80"/>
              <w:spacing w:after="0"/>
              <w:rPr>
                <w:sz w:val="20"/>
                <w:szCs w:val="20"/>
                <w:color w:val="auto"/>
              </w:rPr>
            </w:pPr>
            <w:r>
              <w:rPr>
                <w:rFonts w:ascii="Arial" w:cs="Arial" w:eastAsia="Arial" w:hAnsi="Arial"/>
                <w:sz w:val="16"/>
                <w:szCs w:val="16"/>
                <w:color w:val="auto"/>
              </w:rPr>
              <w:t>Sempra Generation</w:t>
            </w:r>
          </w:p>
        </w:tc>
        <w:tc>
          <w:tcPr>
            <w:tcW w:w="460" w:type="dxa"/>
            <w:vAlign w:val="bottom"/>
          </w:tcPr>
          <w:p>
            <w:pPr>
              <w:spacing w:after="0"/>
              <w:rPr>
                <w:sz w:val="18"/>
                <w:szCs w:val="18"/>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2</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80"/>
              <w:spacing w:after="0"/>
              <w:rPr>
                <w:sz w:val="20"/>
                <w:szCs w:val="20"/>
                <w:color w:val="auto"/>
              </w:rPr>
            </w:pPr>
            <w:r>
              <w:rPr>
                <w:rFonts w:ascii="Arial" w:cs="Arial" w:eastAsia="Arial" w:hAnsi="Arial"/>
                <w:sz w:val="16"/>
                <w:szCs w:val="16"/>
                <w:color w:val="auto"/>
              </w:rPr>
              <w:t>Sempra Pipelines &amp; Storage</w:t>
            </w:r>
          </w:p>
        </w:tc>
        <w:tc>
          <w:tcPr>
            <w:tcW w:w="46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10</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8</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60" w:type="dxa"/>
            <w:vAlign w:val="bottom"/>
          </w:tcPr>
          <w:p>
            <w:pPr>
              <w:ind w:left="380"/>
              <w:spacing w:after="0"/>
              <w:rPr>
                <w:sz w:val="20"/>
                <w:szCs w:val="20"/>
                <w:color w:val="auto"/>
              </w:rPr>
            </w:pPr>
            <w:r>
              <w:rPr>
                <w:rFonts w:ascii="Arial" w:cs="Arial" w:eastAsia="Arial" w:hAnsi="Arial"/>
                <w:sz w:val="16"/>
                <w:szCs w:val="16"/>
                <w:color w:val="auto"/>
              </w:rPr>
              <w:t>All other</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w:t>
            </w: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(4)</w:t>
            </w:r>
          </w:p>
        </w:tc>
        <w:tc>
          <w:tcPr>
            <w:tcW w:w="5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360" w:type="dxa"/>
            <w:vAlign w:val="bottom"/>
            <w:vMerge w:val="restart"/>
          </w:tcPr>
          <w:p>
            <w:pPr>
              <w:ind w:left="560"/>
              <w:spacing w:after="0"/>
              <w:rPr>
                <w:sz w:val="20"/>
                <w:szCs w:val="20"/>
                <w:color w:val="auto"/>
              </w:rPr>
            </w:pPr>
            <w:r>
              <w:rPr>
                <w:rFonts w:ascii="Arial" w:cs="Arial" w:eastAsia="Arial" w:hAnsi="Arial"/>
                <w:sz w:val="16"/>
                <w:szCs w:val="16"/>
                <w:color w:val="auto"/>
              </w:rPr>
              <w:t>Total</w:t>
            </w:r>
          </w:p>
        </w:tc>
        <w:tc>
          <w:tcPr>
            <w:tcW w:w="4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160</w:t>
            </w: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6</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4360" w:type="dxa"/>
            <w:vAlign w:val="bottom"/>
            <w:vMerge w:val="continue"/>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68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360" w:type="dxa"/>
            <w:vAlign w:val="bottom"/>
          </w:tcPr>
          <w:p>
            <w:pPr>
              <w:ind w:left="200"/>
              <w:spacing w:after="0"/>
              <w:rPr>
                <w:sz w:val="20"/>
                <w:szCs w:val="20"/>
                <w:color w:val="auto"/>
              </w:rPr>
            </w:pPr>
            <w:r>
              <w:rPr>
                <w:rFonts w:ascii="Arial" w:cs="Arial" w:eastAsia="Arial" w:hAnsi="Arial"/>
                <w:sz w:val="16"/>
                <w:szCs w:val="16"/>
                <w:color w:val="auto"/>
              </w:rPr>
              <w:t>Earnings recorded net of tax:</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80"/>
              <w:spacing w:after="0"/>
              <w:rPr>
                <w:sz w:val="20"/>
                <w:szCs w:val="20"/>
                <w:color w:val="auto"/>
              </w:rPr>
            </w:pPr>
            <w:r>
              <w:rPr>
                <w:rFonts w:ascii="Arial" w:cs="Arial" w:eastAsia="Arial" w:hAnsi="Arial"/>
                <w:sz w:val="16"/>
                <w:szCs w:val="16"/>
                <w:color w:val="auto"/>
              </w:rPr>
              <w:t>Sempra Pipelines &amp; Storage</w:t>
            </w:r>
          </w:p>
        </w:tc>
        <w:tc>
          <w:tcPr>
            <w:tcW w:w="4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16</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18</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60" w:type="dxa"/>
            <w:vAlign w:val="bottom"/>
          </w:tcPr>
          <w:p>
            <w:pPr>
              <w:ind w:left="380"/>
              <w:spacing w:after="0"/>
              <w:rPr>
                <w:sz w:val="20"/>
                <w:szCs w:val="20"/>
                <w:color w:val="auto"/>
              </w:rPr>
            </w:pPr>
            <w:r>
              <w:rPr>
                <w:rFonts w:ascii="Arial" w:cs="Arial" w:eastAsia="Arial" w:hAnsi="Arial"/>
                <w:sz w:val="16"/>
                <w:szCs w:val="16"/>
                <w:color w:val="auto"/>
              </w:rPr>
              <w:t>Sempra Commodities</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3</w:t>
            </w:r>
          </w:p>
        </w:tc>
        <w:tc>
          <w:tcPr>
            <w:tcW w:w="5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360" w:type="dxa"/>
            <w:vAlign w:val="bottom"/>
          </w:tcPr>
          <w:p>
            <w:pPr>
              <w:ind w:left="560"/>
              <w:spacing w:after="0"/>
              <w:rPr>
                <w:sz w:val="20"/>
                <w:szCs w:val="20"/>
                <w:color w:val="auto"/>
              </w:rPr>
            </w:pPr>
            <w:r>
              <w:rPr>
                <w:rFonts w:ascii="Arial" w:cs="Arial" w:eastAsia="Arial" w:hAnsi="Arial"/>
                <w:sz w:val="16"/>
                <w:szCs w:val="16"/>
                <w:color w:val="auto"/>
              </w:rPr>
              <w:t>Total</w:t>
            </w:r>
          </w:p>
        </w:tc>
        <w:tc>
          <w:tcPr>
            <w:tcW w:w="4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16</w:t>
            </w: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21</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436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68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360" w:type="dxa"/>
            <w:vAlign w:val="bottom"/>
          </w:tcPr>
          <w:p>
            <w:pPr>
              <w:ind w:left="20"/>
              <w:spacing w:after="0"/>
              <w:rPr>
                <w:sz w:val="20"/>
                <w:szCs w:val="20"/>
                <w:color w:val="auto"/>
              </w:rPr>
            </w:pPr>
            <w:r>
              <w:rPr>
                <w:rFonts w:ascii="Arial" w:cs="Arial" w:eastAsia="Arial" w:hAnsi="Arial"/>
                <w:sz w:val="16"/>
                <w:szCs w:val="16"/>
                <w:color w:val="auto"/>
              </w:rPr>
              <w:t>EARNINGS (LOSSES)</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SDG&amp;E*</w:t>
            </w:r>
          </w:p>
        </w:tc>
        <w:tc>
          <w:tcPr>
            <w:tcW w:w="4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99</w:t>
            </w:r>
          </w:p>
        </w:tc>
        <w:tc>
          <w:tcPr>
            <w:tcW w:w="1040" w:type="dxa"/>
            <w:vAlign w:val="bottom"/>
            <w:gridSpan w:val="2"/>
          </w:tcPr>
          <w:p>
            <w:pPr>
              <w:jc w:val="right"/>
              <w:ind w:right="119"/>
              <w:spacing w:after="0"/>
              <w:rPr>
                <w:sz w:val="20"/>
                <w:szCs w:val="20"/>
                <w:color w:val="auto"/>
              </w:rPr>
            </w:pPr>
            <w:r>
              <w:rPr>
                <w:rFonts w:ascii="Arial" w:cs="Arial" w:eastAsia="Arial" w:hAnsi="Arial"/>
                <w:sz w:val="16"/>
                <w:szCs w:val="16"/>
                <w:color w:val="auto"/>
              </w:rPr>
              <w:t>31 %</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74</w:t>
            </w:r>
          </w:p>
        </w:tc>
        <w:tc>
          <w:tcPr>
            <w:tcW w:w="840" w:type="dxa"/>
            <w:vAlign w:val="bottom"/>
            <w:gridSpan w:val="2"/>
          </w:tcPr>
          <w:p>
            <w:pPr>
              <w:jc w:val="right"/>
              <w:ind w:right="79"/>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SoCalGas*</w:t>
            </w:r>
          </w:p>
        </w:tc>
        <w:tc>
          <w:tcPr>
            <w:tcW w:w="46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59</w:t>
            </w:r>
          </w:p>
        </w:tc>
        <w:tc>
          <w:tcPr>
            <w:tcW w:w="680" w:type="dxa"/>
            <w:vAlign w:val="bottom"/>
          </w:tcPr>
          <w:p>
            <w:pPr>
              <w:jc w:val="right"/>
              <w:spacing w:after="0"/>
              <w:rPr>
                <w:sz w:val="20"/>
                <w:szCs w:val="20"/>
                <w:color w:val="auto"/>
              </w:rPr>
            </w:pPr>
            <w:r>
              <w:rPr>
                <w:rFonts w:ascii="Arial" w:cs="Arial" w:eastAsia="Arial" w:hAnsi="Arial"/>
                <w:sz w:val="16"/>
                <w:szCs w:val="16"/>
                <w:color w:val="auto"/>
              </w:rPr>
              <w:t>19</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57</w:t>
            </w:r>
          </w:p>
        </w:tc>
        <w:tc>
          <w:tcPr>
            <w:tcW w:w="520" w:type="dxa"/>
            <w:vAlign w:val="bottom"/>
          </w:tcPr>
          <w:p>
            <w:pPr>
              <w:jc w:val="right"/>
              <w:spacing w:after="0"/>
              <w:rPr>
                <w:sz w:val="20"/>
                <w:szCs w:val="20"/>
                <w:color w:val="auto"/>
              </w:rPr>
            </w:pPr>
            <w:r>
              <w:rPr>
                <w:rFonts w:ascii="Arial" w:cs="Arial" w:eastAsia="Arial" w:hAnsi="Arial"/>
                <w:sz w:val="16"/>
                <w:szCs w:val="16"/>
                <w:color w:val="auto"/>
              </w:rPr>
              <w:t>23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Sempra Commodities</w:t>
            </w:r>
          </w:p>
        </w:tc>
        <w:tc>
          <w:tcPr>
            <w:tcW w:w="46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114</w:t>
            </w:r>
          </w:p>
        </w:tc>
        <w:tc>
          <w:tcPr>
            <w:tcW w:w="680" w:type="dxa"/>
            <w:vAlign w:val="bottom"/>
          </w:tcPr>
          <w:p>
            <w:pPr>
              <w:jc w:val="right"/>
              <w:spacing w:after="0"/>
              <w:rPr>
                <w:sz w:val="20"/>
                <w:szCs w:val="20"/>
                <w:color w:val="auto"/>
              </w:rPr>
            </w:pPr>
            <w:r>
              <w:rPr>
                <w:rFonts w:ascii="Arial" w:cs="Arial" w:eastAsia="Arial" w:hAnsi="Arial"/>
                <w:sz w:val="16"/>
                <w:szCs w:val="16"/>
                <w:color w:val="auto"/>
              </w:rPr>
              <w:t>36</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59</w:t>
            </w:r>
          </w:p>
        </w:tc>
        <w:tc>
          <w:tcPr>
            <w:tcW w:w="520" w:type="dxa"/>
            <w:vAlign w:val="bottom"/>
          </w:tcPr>
          <w:p>
            <w:pPr>
              <w:jc w:val="right"/>
              <w:spacing w:after="0"/>
              <w:rPr>
                <w:sz w:val="20"/>
                <w:szCs w:val="20"/>
                <w:color w:val="auto"/>
              </w:rPr>
            </w:pPr>
            <w:r>
              <w:rPr>
                <w:rFonts w:ascii="Arial" w:cs="Arial" w:eastAsia="Arial" w:hAnsi="Arial"/>
                <w:sz w:val="16"/>
                <w:szCs w:val="16"/>
                <w:color w:val="auto"/>
              </w:rPr>
              <w:t>24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Sempra Generation</w:t>
            </w:r>
          </w:p>
        </w:tc>
        <w:tc>
          <w:tcPr>
            <w:tcW w:w="46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43</w:t>
            </w:r>
          </w:p>
        </w:tc>
        <w:tc>
          <w:tcPr>
            <w:tcW w:w="680" w:type="dxa"/>
            <w:vAlign w:val="bottom"/>
          </w:tcPr>
          <w:p>
            <w:pPr>
              <w:jc w:val="right"/>
              <w:spacing w:after="0"/>
              <w:rPr>
                <w:sz w:val="20"/>
                <w:szCs w:val="20"/>
                <w:color w:val="auto"/>
              </w:rPr>
            </w:pPr>
            <w:r>
              <w:rPr>
                <w:rFonts w:ascii="Arial" w:cs="Arial" w:eastAsia="Arial" w:hAnsi="Arial"/>
                <w:sz w:val="16"/>
                <w:szCs w:val="16"/>
                <w:color w:val="auto"/>
              </w:rPr>
              <w:t>13</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45</w:t>
            </w:r>
          </w:p>
        </w:tc>
        <w:tc>
          <w:tcPr>
            <w:tcW w:w="520" w:type="dxa"/>
            <w:vAlign w:val="bottom"/>
          </w:tcPr>
          <w:p>
            <w:pPr>
              <w:jc w:val="right"/>
              <w:spacing w:after="0"/>
              <w:rPr>
                <w:sz w:val="20"/>
                <w:szCs w:val="20"/>
                <w:color w:val="auto"/>
              </w:rPr>
            </w:pPr>
            <w:r>
              <w:rPr>
                <w:rFonts w:ascii="Arial" w:cs="Arial" w:eastAsia="Arial" w:hAnsi="Arial"/>
                <w:sz w:val="16"/>
                <w:szCs w:val="16"/>
                <w:color w:val="auto"/>
              </w:rPr>
              <w:t>19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Sempra Pipelines &amp; Storage</w:t>
            </w:r>
          </w:p>
        </w:tc>
        <w:tc>
          <w:tcPr>
            <w:tcW w:w="46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37</w:t>
            </w:r>
          </w:p>
        </w:tc>
        <w:tc>
          <w:tcPr>
            <w:tcW w:w="680" w:type="dxa"/>
            <w:vAlign w:val="bottom"/>
          </w:tcPr>
          <w:p>
            <w:pPr>
              <w:jc w:val="right"/>
              <w:spacing w:after="0"/>
              <w:rPr>
                <w:sz w:val="20"/>
                <w:szCs w:val="20"/>
                <w:color w:val="auto"/>
              </w:rPr>
            </w:pPr>
            <w:r>
              <w:rPr>
                <w:rFonts w:ascii="Arial" w:cs="Arial" w:eastAsia="Arial" w:hAnsi="Arial"/>
                <w:sz w:val="16"/>
                <w:szCs w:val="16"/>
                <w:color w:val="auto"/>
              </w:rPr>
              <w:t>12</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26</w:t>
            </w:r>
          </w:p>
        </w:tc>
        <w:tc>
          <w:tcPr>
            <w:tcW w:w="520" w:type="dxa"/>
            <w:vAlign w:val="bottom"/>
          </w:tcPr>
          <w:p>
            <w:pPr>
              <w:jc w:val="right"/>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60" w:type="dxa"/>
            <w:vAlign w:val="bottom"/>
          </w:tcPr>
          <w:p>
            <w:pPr>
              <w:ind w:left="200"/>
              <w:spacing w:after="0"/>
              <w:rPr>
                <w:sz w:val="20"/>
                <w:szCs w:val="20"/>
                <w:color w:val="auto"/>
              </w:rPr>
            </w:pPr>
            <w:r>
              <w:rPr>
                <w:rFonts w:ascii="Arial" w:cs="Arial" w:eastAsia="Arial" w:hAnsi="Arial"/>
                <w:sz w:val="16"/>
                <w:szCs w:val="16"/>
                <w:color w:val="auto"/>
              </w:rPr>
              <w:t>All other</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(36)</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(19)</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360" w:type="dxa"/>
            <w:vAlign w:val="bottom"/>
          </w:tcPr>
          <w:p>
            <w:pPr>
              <w:ind w:left="380"/>
              <w:spacing w:after="0"/>
              <w:rPr>
                <w:sz w:val="20"/>
                <w:szCs w:val="20"/>
                <w:color w:val="auto"/>
              </w:rPr>
            </w:pPr>
            <w:r>
              <w:rPr>
                <w:rFonts w:ascii="Arial" w:cs="Arial" w:eastAsia="Arial" w:hAnsi="Arial"/>
                <w:sz w:val="16"/>
                <w:szCs w:val="16"/>
                <w:color w:val="auto"/>
              </w:rPr>
              <w:t>Total</w:t>
            </w:r>
          </w:p>
        </w:tc>
        <w:tc>
          <w:tcPr>
            <w:tcW w:w="4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316</w:t>
            </w:r>
          </w:p>
        </w:tc>
        <w:tc>
          <w:tcPr>
            <w:tcW w:w="680" w:type="dxa"/>
            <w:vAlign w:val="bottom"/>
          </w:tcPr>
          <w:p>
            <w:pPr>
              <w:jc w:val="right"/>
              <w:spacing w:after="0"/>
              <w:rPr>
                <w:sz w:val="20"/>
                <w:szCs w:val="20"/>
                <w:color w:val="auto"/>
              </w:rPr>
            </w:pPr>
            <w:r>
              <w:rPr>
                <w:rFonts w:ascii="Arial" w:cs="Arial" w:eastAsia="Arial" w:hAnsi="Arial"/>
                <w:sz w:val="16"/>
                <w:szCs w:val="16"/>
                <w:color w:val="auto"/>
              </w:rPr>
              <w:t>100</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w w:val="98"/>
              </w:rPr>
              <w:t>%</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242</w:t>
            </w:r>
          </w:p>
        </w:tc>
        <w:tc>
          <w:tcPr>
            <w:tcW w:w="520" w:type="dxa"/>
            <w:vAlign w:val="bottom"/>
          </w:tcPr>
          <w:p>
            <w:pPr>
              <w:jc w:val="right"/>
              <w:spacing w:after="0"/>
              <w:rPr>
                <w:sz w:val="20"/>
                <w:szCs w:val="20"/>
                <w:color w:val="auto"/>
              </w:rPr>
            </w:pPr>
            <w:r>
              <w:rPr>
                <w:rFonts w:ascii="Arial" w:cs="Arial" w:eastAsia="Arial" w:hAnsi="Arial"/>
                <w:sz w:val="16"/>
                <w:szCs w:val="16"/>
                <w:color w:val="auto"/>
              </w:rPr>
              <w:t>100</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84"/>
        </w:trPr>
        <w:tc>
          <w:tcPr>
            <w:tcW w:w="436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68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360" w:type="dxa"/>
            <w:vAlign w:val="bottom"/>
          </w:tcPr>
          <w:p>
            <w:pPr>
              <w:ind w:left="20"/>
              <w:spacing w:after="0"/>
              <w:rPr>
                <w:sz w:val="20"/>
                <w:szCs w:val="20"/>
                <w:color w:val="auto"/>
              </w:rPr>
            </w:pPr>
            <w:r>
              <w:rPr>
                <w:rFonts w:ascii="Arial" w:cs="Arial" w:eastAsia="Arial" w:hAnsi="Arial"/>
                <w:sz w:val="16"/>
                <w:szCs w:val="16"/>
                <w:color w:val="auto"/>
              </w:rPr>
              <w:t>EXPENDITURES FOR PROPERTY, PLANT &amp;</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20"/>
              <w:spacing w:after="0"/>
              <w:rPr>
                <w:sz w:val="20"/>
                <w:szCs w:val="20"/>
                <w:color w:val="auto"/>
              </w:rPr>
            </w:pPr>
            <w:r>
              <w:rPr>
                <w:rFonts w:ascii="Arial" w:cs="Arial" w:eastAsia="Arial" w:hAnsi="Arial"/>
                <w:sz w:val="16"/>
                <w:szCs w:val="16"/>
                <w:color w:val="auto"/>
              </w:rPr>
              <w:t>EQUIPMENT</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SDG&amp;E</w:t>
            </w:r>
          </w:p>
        </w:tc>
        <w:tc>
          <w:tcPr>
            <w:tcW w:w="4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229</w:t>
            </w:r>
          </w:p>
        </w:tc>
        <w:tc>
          <w:tcPr>
            <w:tcW w:w="1040" w:type="dxa"/>
            <w:vAlign w:val="bottom"/>
            <w:gridSpan w:val="2"/>
          </w:tcPr>
          <w:p>
            <w:pPr>
              <w:jc w:val="right"/>
              <w:ind w:right="119"/>
              <w:spacing w:after="0"/>
              <w:rPr>
                <w:sz w:val="20"/>
                <w:szCs w:val="20"/>
                <w:color w:val="auto"/>
              </w:rPr>
            </w:pPr>
            <w:r>
              <w:rPr>
                <w:rFonts w:ascii="Arial" w:cs="Arial" w:eastAsia="Arial" w:hAnsi="Arial"/>
                <w:sz w:val="16"/>
                <w:szCs w:val="16"/>
                <w:color w:val="auto"/>
              </w:rPr>
              <w:t>46 %</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235</w:t>
            </w:r>
          </w:p>
        </w:tc>
        <w:tc>
          <w:tcPr>
            <w:tcW w:w="840" w:type="dxa"/>
            <w:vAlign w:val="bottom"/>
            <w:gridSpan w:val="2"/>
          </w:tcPr>
          <w:p>
            <w:pPr>
              <w:jc w:val="right"/>
              <w:ind w:right="79"/>
              <w:spacing w:after="0"/>
              <w:rPr>
                <w:sz w:val="20"/>
                <w:szCs w:val="20"/>
                <w:color w:val="auto"/>
              </w:rPr>
            </w:pPr>
            <w:r>
              <w:rPr>
                <w:rFonts w:ascii="Arial" w:cs="Arial" w:eastAsia="Arial" w:hAnsi="Arial"/>
                <w:sz w:val="16"/>
                <w:szCs w:val="16"/>
                <w:color w:val="auto"/>
              </w:rPr>
              <w:t>43 %</w:t>
            </w:r>
          </w:p>
        </w:tc>
        <w:tc>
          <w:tcPr>
            <w:tcW w:w="0" w:type="dxa"/>
            <w:vAlign w:val="bottom"/>
          </w:tcPr>
          <w:p>
            <w:pPr>
              <w:spacing w:after="0"/>
              <w:rPr>
                <w:sz w:val="1"/>
                <w:szCs w:val="1"/>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SoCalGas</w:t>
            </w:r>
          </w:p>
        </w:tc>
        <w:tc>
          <w:tcPr>
            <w:tcW w:w="46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112</w:t>
            </w:r>
          </w:p>
        </w:tc>
        <w:tc>
          <w:tcPr>
            <w:tcW w:w="680" w:type="dxa"/>
            <w:vAlign w:val="bottom"/>
          </w:tcPr>
          <w:p>
            <w:pPr>
              <w:jc w:val="right"/>
              <w:spacing w:after="0"/>
              <w:rPr>
                <w:sz w:val="20"/>
                <w:szCs w:val="20"/>
                <w:color w:val="auto"/>
              </w:rPr>
            </w:pPr>
            <w:r>
              <w:rPr>
                <w:rFonts w:ascii="Arial" w:cs="Arial" w:eastAsia="Arial" w:hAnsi="Arial"/>
                <w:sz w:val="16"/>
                <w:szCs w:val="16"/>
                <w:color w:val="auto"/>
              </w:rPr>
              <w:t>23</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116</w:t>
            </w:r>
          </w:p>
        </w:tc>
        <w:tc>
          <w:tcPr>
            <w:tcW w:w="520" w:type="dxa"/>
            <w:vAlign w:val="bottom"/>
          </w:tcPr>
          <w:p>
            <w:pPr>
              <w:jc w:val="right"/>
              <w:spacing w:after="0"/>
              <w:rPr>
                <w:sz w:val="20"/>
                <w:szCs w:val="20"/>
                <w:color w:val="auto"/>
              </w:rPr>
            </w:pPr>
            <w:r>
              <w:rPr>
                <w:rFonts w:ascii="Arial" w:cs="Arial" w:eastAsia="Arial" w:hAnsi="Arial"/>
                <w:sz w:val="16"/>
                <w:szCs w:val="16"/>
                <w:color w:val="auto"/>
              </w:rPr>
              <w:t>21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Sempra Commodities</w:t>
            </w:r>
          </w:p>
        </w:tc>
        <w:tc>
          <w:tcPr>
            <w:tcW w:w="460" w:type="dxa"/>
            <w:vAlign w:val="bottom"/>
          </w:tcPr>
          <w:p>
            <w:pPr>
              <w:spacing w:after="0"/>
              <w:rPr>
                <w:sz w:val="18"/>
                <w:szCs w:val="18"/>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21</w:t>
            </w:r>
          </w:p>
        </w:tc>
        <w:tc>
          <w:tcPr>
            <w:tcW w:w="520" w:type="dxa"/>
            <w:vAlign w:val="bottom"/>
          </w:tcPr>
          <w:p>
            <w:pPr>
              <w:jc w:val="right"/>
              <w:spacing w:after="0"/>
              <w:rPr>
                <w:sz w:val="20"/>
                <w:szCs w:val="20"/>
                <w:color w:val="auto"/>
              </w:rPr>
            </w:pPr>
            <w:r>
              <w:rPr>
                <w:rFonts w:ascii="Arial" w:cs="Arial" w:eastAsia="Arial" w:hAnsi="Arial"/>
                <w:sz w:val="16"/>
                <w:szCs w:val="16"/>
                <w:color w:val="auto"/>
              </w:rPr>
              <w:t>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Sempra Generation</w:t>
            </w:r>
          </w:p>
        </w:tc>
        <w:tc>
          <w:tcPr>
            <w:tcW w:w="46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11</w:t>
            </w:r>
          </w:p>
        </w:tc>
        <w:tc>
          <w:tcPr>
            <w:tcW w:w="520" w:type="dxa"/>
            <w:vAlign w:val="bottom"/>
          </w:tcPr>
          <w:p>
            <w:pPr>
              <w:jc w:val="right"/>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Sempra Pipelines &amp; Storage</w:t>
            </w:r>
          </w:p>
        </w:tc>
        <w:tc>
          <w:tcPr>
            <w:tcW w:w="46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76</w:t>
            </w:r>
          </w:p>
        </w:tc>
        <w:tc>
          <w:tcPr>
            <w:tcW w:w="680" w:type="dxa"/>
            <w:vAlign w:val="bottom"/>
          </w:tcPr>
          <w:p>
            <w:pPr>
              <w:jc w:val="right"/>
              <w:spacing w:after="0"/>
              <w:rPr>
                <w:sz w:val="20"/>
                <w:szCs w:val="20"/>
                <w:color w:val="auto"/>
              </w:rPr>
            </w:pPr>
            <w:r>
              <w:rPr>
                <w:rFonts w:ascii="Arial" w:cs="Arial" w:eastAsia="Arial" w:hAnsi="Arial"/>
                <w:sz w:val="16"/>
                <w:szCs w:val="16"/>
                <w:color w:val="auto"/>
              </w:rPr>
              <w:t>15</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59</w:t>
            </w:r>
          </w:p>
        </w:tc>
        <w:tc>
          <w:tcPr>
            <w:tcW w:w="520" w:type="dxa"/>
            <w:vAlign w:val="bottom"/>
          </w:tcPr>
          <w:p>
            <w:pPr>
              <w:jc w:val="right"/>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60" w:type="dxa"/>
            <w:vAlign w:val="bottom"/>
          </w:tcPr>
          <w:p>
            <w:pPr>
              <w:ind w:left="200"/>
              <w:spacing w:after="0"/>
              <w:rPr>
                <w:sz w:val="20"/>
                <w:szCs w:val="20"/>
                <w:color w:val="auto"/>
              </w:rPr>
            </w:pPr>
            <w:r>
              <w:rPr>
                <w:rFonts w:ascii="Arial" w:cs="Arial" w:eastAsia="Arial" w:hAnsi="Arial"/>
                <w:sz w:val="16"/>
                <w:szCs w:val="16"/>
                <w:color w:val="auto"/>
              </w:rPr>
              <w:t>All other</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102</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360" w:type="dxa"/>
            <w:vAlign w:val="bottom"/>
          </w:tcPr>
          <w:p>
            <w:pPr>
              <w:ind w:left="380"/>
              <w:spacing w:after="0"/>
              <w:rPr>
                <w:sz w:val="20"/>
                <w:szCs w:val="20"/>
                <w:color w:val="auto"/>
              </w:rPr>
            </w:pPr>
            <w:r>
              <w:rPr>
                <w:rFonts w:ascii="Arial" w:cs="Arial" w:eastAsia="Arial" w:hAnsi="Arial"/>
                <w:sz w:val="16"/>
                <w:szCs w:val="16"/>
                <w:color w:val="auto"/>
              </w:rPr>
              <w:t>Total</w:t>
            </w:r>
          </w:p>
        </w:tc>
        <w:tc>
          <w:tcPr>
            <w:tcW w:w="4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492</w:t>
            </w:r>
          </w:p>
        </w:tc>
        <w:tc>
          <w:tcPr>
            <w:tcW w:w="680" w:type="dxa"/>
            <w:vAlign w:val="bottom"/>
          </w:tcPr>
          <w:p>
            <w:pPr>
              <w:jc w:val="right"/>
              <w:spacing w:after="0"/>
              <w:rPr>
                <w:sz w:val="20"/>
                <w:szCs w:val="20"/>
                <w:color w:val="auto"/>
              </w:rPr>
            </w:pPr>
            <w:r>
              <w:rPr>
                <w:rFonts w:ascii="Arial" w:cs="Arial" w:eastAsia="Arial" w:hAnsi="Arial"/>
                <w:sz w:val="16"/>
                <w:szCs w:val="16"/>
                <w:color w:val="auto"/>
              </w:rPr>
              <w:t>100</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w w:val="98"/>
              </w:rPr>
              <w:t>%</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544</w:t>
            </w:r>
          </w:p>
        </w:tc>
        <w:tc>
          <w:tcPr>
            <w:tcW w:w="520" w:type="dxa"/>
            <w:vAlign w:val="bottom"/>
          </w:tcPr>
          <w:p>
            <w:pPr>
              <w:jc w:val="right"/>
              <w:spacing w:after="0"/>
              <w:rPr>
                <w:sz w:val="20"/>
                <w:szCs w:val="20"/>
                <w:color w:val="auto"/>
              </w:rPr>
            </w:pPr>
            <w:r>
              <w:rPr>
                <w:rFonts w:ascii="Arial" w:cs="Arial" w:eastAsia="Arial" w:hAnsi="Arial"/>
                <w:sz w:val="16"/>
                <w:szCs w:val="16"/>
                <w:color w:val="auto"/>
              </w:rPr>
              <w:t>100</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84"/>
        </w:trPr>
        <w:tc>
          <w:tcPr>
            <w:tcW w:w="436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1560" w:type="dxa"/>
            <w:vAlign w:val="bottom"/>
            <w:gridSpan w:val="2"/>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1600" w:type="dxa"/>
            <w:vAlign w:val="bottom"/>
            <w:gridSpan w:val="2"/>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6"/>
        </w:trPr>
        <w:tc>
          <w:tcPr>
            <w:tcW w:w="4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4"/>
                <w:szCs w:val="14"/>
                <w:color w:val="auto"/>
              </w:rPr>
              <w:t>March 31, 2009</w:t>
            </w:r>
          </w:p>
        </w:tc>
        <w:tc>
          <w:tcPr>
            <w:tcW w:w="3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4"/>
                <w:szCs w:val="14"/>
                <w:color w:val="auto"/>
              </w:rPr>
              <w:t>December 31, 2008</w:t>
            </w: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360" w:type="dxa"/>
            <w:vAlign w:val="bottom"/>
          </w:tcPr>
          <w:p>
            <w:pPr>
              <w:ind w:left="20"/>
              <w:spacing w:after="0"/>
              <w:rPr>
                <w:sz w:val="20"/>
                <w:szCs w:val="20"/>
                <w:color w:val="auto"/>
              </w:rPr>
            </w:pPr>
            <w:r>
              <w:rPr>
                <w:rFonts w:ascii="Arial" w:cs="Arial" w:eastAsia="Arial" w:hAnsi="Arial"/>
                <w:sz w:val="16"/>
                <w:szCs w:val="16"/>
                <w:color w:val="auto"/>
              </w:rPr>
              <w:t>ASSETS</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SDG&amp;E</w:t>
            </w:r>
          </w:p>
        </w:tc>
        <w:tc>
          <w:tcPr>
            <w:tcW w:w="4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10,051</w:t>
            </w:r>
          </w:p>
        </w:tc>
        <w:tc>
          <w:tcPr>
            <w:tcW w:w="680" w:type="dxa"/>
            <w:vAlign w:val="bottom"/>
          </w:tcPr>
          <w:p>
            <w:pPr>
              <w:jc w:val="right"/>
              <w:spacing w:after="0"/>
              <w:rPr>
                <w:sz w:val="20"/>
                <w:szCs w:val="20"/>
                <w:color w:val="auto"/>
              </w:rPr>
            </w:pPr>
            <w:r>
              <w:rPr>
                <w:rFonts w:ascii="Arial" w:cs="Arial" w:eastAsia="Arial" w:hAnsi="Arial"/>
                <w:sz w:val="16"/>
                <w:szCs w:val="16"/>
                <w:color w:val="auto"/>
              </w:rPr>
              <w:t>37</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w w:val="98"/>
              </w:rPr>
              <w:t>%</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9,079</w:t>
            </w:r>
          </w:p>
        </w:tc>
        <w:tc>
          <w:tcPr>
            <w:tcW w:w="520" w:type="dxa"/>
            <w:vAlign w:val="bottom"/>
          </w:tcPr>
          <w:p>
            <w:pPr>
              <w:jc w:val="right"/>
              <w:spacing w:after="0"/>
              <w:rPr>
                <w:sz w:val="20"/>
                <w:szCs w:val="20"/>
                <w:color w:val="auto"/>
              </w:rPr>
            </w:pPr>
            <w:r>
              <w:rPr>
                <w:rFonts w:ascii="Arial" w:cs="Arial" w:eastAsia="Arial" w:hAnsi="Arial"/>
                <w:sz w:val="16"/>
                <w:szCs w:val="16"/>
                <w:color w:val="auto"/>
              </w:rPr>
              <w:t>34</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SoCalGas</w:t>
            </w:r>
          </w:p>
        </w:tc>
        <w:tc>
          <w:tcPr>
            <w:tcW w:w="46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7,549</w:t>
            </w:r>
          </w:p>
        </w:tc>
        <w:tc>
          <w:tcPr>
            <w:tcW w:w="680" w:type="dxa"/>
            <w:vAlign w:val="bottom"/>
          </w:tcPr>
          <w:p>
            <w:pPr>
              <w:jc w:val="right"/>
              <w:spacing w:after="0"/>
              <w:rPr>
                <w:sz w:val="20"/>
                <w:szCs w:val="20"/>
                <w:color w:val="auto"/>
              </w:rPr>
            </w:pPr>
            <w:r>
              <w:rPr>
                <w:rFonts w:ascii="Arial" w:cs="Arial" w:eastAsia="Arial" w:hAnsi="Arial"/>
                <w:sz w:val="16"/>
                <w:szCs w:val="16"/>
                <w:color w:val="auto"/>
              </w:rPr>
              <w:t>28</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7,351</w:t>
            </w:r>
          </w:p>
        </w:tc>
        <w:tc>
          <w:tcPr>
            <w:tcW w:w="520" w:type="dxa"/>
            <w:vAlign w:val="bottom"/>
          </w:tcPr>
          <w:p>
            <w:pPr>
              <w:jc w:val="right"/>
              <w:spacing w:after="0"/>
              <w:rPr>
                <w:sz w:val="20"/>
                <w:szCs w:val="20"/>
                <w:color w:val="auto"/>
              </w:rPr>
            </w:pPr>
            <w:r>
              <w:rPr>
                <w:rFonts w:ascii="Arial" w:cs="Arial" w:eastAsia="Arial" w:hAnsi="Arial"/>
                <w:sz w:val="16"/>
                <w:szCs w:val="16"/>
                <w:color w:val="auto"/>
              </w:rPr>
              <w:t>28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Sempra Commodities</w:t>
            </w:r>
          </w:p>
        </w:tc>
        <w:tc>
          <w:tcPr>
            <w:tcW w:w="46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1,964</w:t>
            </w:r>
          </w:p>
        </w:tc>
        <w:tc>
          <w:tcPr>
            <w:tcW w:w="680" w:type="dxa"/>
            <w:vAlign w:val="bottom"/>
          </w:tcPr>
          <w:p>
            <w:pPr>
              <w:jc w:val="right"/>
              <w:spacing w:after="0"/>
              <w:rPr>
                <w:sz w:val="20"/>
                <w:szCs w:val="20"/>
                <w:color w:val="auto"/>
              </w:rPr>
            </w:pPr>
            <w:r>
              <w:rPr>
                <w:rFonts w:ascii="Arial" w:cs="Arial" w:eastAsia="Arial" w:hAnsi="Arial"/>
                <w:sz w:val="16"/>
                <w:szCs w:val="16"/>
                <w:color w:val="auto"/>
              </w:rPr>
              <w:t>7</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2,092</w:t>
            </w:r>
          </w:p>
        </w:tc>
        <w:tc>
          <w:tcPr>
            <w:tcW w:w="520" w:type="dxa"/>
            <w:vAlign w:val="bottom"/>
          </w:tcPr>
          <w:p>
            <w:pPr>
              <w:jc w:val="right"/>
              <w:spacing w:after="0"/>
              <w:rPr>
                <w:sz w:val="20"/>
                <w:szCs w:val="20"/>
                <w:color w:val="auto"/>
              </w:rPr>
            </w:pPr>
            <w:r>
              <w:rPr>
                <w:rFonts w:ascii="Arial" w:cs="Arial" w:eastAsia="Arial" w:hAnsi="Arial"/>
                <w:sz w:val="16"/>
                <w:szCs w:val="16"/>
                <w:color w:val="auto"/>
              </w:rPr>
              <w:t>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Sempra Generation</w:t>
            </w:r>
          </w:p>
        </w:tc>
        <w:tc>
          <w:tcPr>
            <w:tcW w:w="46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1,961</w:t>
            </w:r>
          </w:p>
        </w:tc>
        <w:tc>
          <w:tcPr>
            <w:tcW w:w="680" w:type="dxa"/>
            <w:vAlign w:val="bottom"/>
          </w:tcPr>
          <w:p>
            <w:pPr>
              <w:jc w:val="right"/>
              <w:spacing w:after="0"/>
              <w:rPr>
                <w:sz w:val="20"/>
                <w:szCs w:val="20"/>
                <w:color w:val="auto"/>
              </w:rPr>
            </w:pPr>
            <w:r>
              <w:rPr>
                <w:rFonts w:ascii="Arial" w:cs="Arial" w:eastAsia="Arial" w:hAnsi="Arial"/>
                <w:sz w:val="16"/>
                <w:szCs w:val="16"/>
                <w:color w:val="auto"/>
              </w:rPr>
              <w:t>7</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1,860</w:t>
            </w:r>
          </w:p>
        </w:tc>
        <w:tc>
          <w:tcPr>
            <w:tcW w:w="520" w:type="dxa"/>
            <w:vAlign w:val="bottom"/>
          </w:tcPr>
          <w:p>
            <w:pPr>
              <w:jc w:val="right"/>
              <w:spacing w:after="0"/>
              <w:rPr>
                <w:sz w:val="20"/>
                <w:szCs w:val="20"/>
                <w:color w:val="auto"/>
              </w:rPr>
            </w:pPr>
            <w:r>
              <w:rPr>
                <w:rFonts w:ascii="Arial" w:cs="Arial" w:eastAsia="Arial" w:hAnsi="Arial"/>
                <w:sz w:val="16"/>
                <w:szCs w:val="16"/>
                <w:color w:val="auto"/>
              </w:rPr>
              <w:t>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Sempra Pipelines &amp; Storage</w:t>
            </w:r>
          </w:p>
        </w:tc>
        <w:tc>
          <w:tcPr>
            <w:tcW w:w="46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3,991</w:t>
            </w:r>
          </w:p>
        </w:tc>
        <w:tc>
          <w:tcPr>
            <w:tcW w:w="680" w:type="dxa"/>
            <w:vAlign w:val="bottom"/>
          </w:tcPr>
          <w:p>
            <w:pPr>
              <w:jc w:val="right"/>
              <w:spacing w:after="0"/>
              <w:rPr>
                <w:sz w:val="20"/>
                <w:szCs w:val="20"/>
                <w:color w:val="auto"/>
              </w:rPr>
            </w:pPr>
            <w:r>
              <w:rPr>
                <w:rFonts w:ascii="Arial" w:cs="Arial" w:eastAsia="Arial" w:hAnsi="Arial"/>
                <w:sz w:val="16"/>
                <w:szCs w:val="16"/>
                <w:color w:val="auto"/>
              </w:rPr>
              <w:t>14</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4,060</w:t>
            </w:r>
          </w:p>
        </w:tc>
        <w:tc>
          <w:tcPr>
            <w:tcW w:w="520" w:type="dxa"/>
            <w:vAlign w:val="bottom"/>
          </w:tcPr>
          <w:p>
            <w:pPr>
              <w:jc w:val="right"/>
              <w:spacing w:after="0"/>
              <w:rPr>
                <w:sz w:val="20"/>
                <w:szCs w:val="20"/>
                <w:color w:val="auto"/>
              </w:rPr>
            </w:pPr>
            <w:r>
              <w:rPr>
                <w:rFonts w:ascii="Arial" w:cs="Arial" w:eastAsia="Arial" w:hAnsi="Arial"/>
                <w:sz w:val="16"/>
                <w:szCs w:val="16"/>
                <w:color w:val="auto"/>
              </w:rPr>
              <w:t>15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All other</w:t>
            </w:r>
          </w:p>
        </w:tc>
        <w:tc>
          <w:tcPr>
            <w:tcW w:w="46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2,718</w:t>
            </w:r>
          </w:p>
        </w:tc>
        <w:tc>
          <w:tcPr>
            <w:tcW w:w="680" w:type="dxa"/>
            <w:vAlign w:val="bottom"/>
          </w:tcPr>
          <w:p>
            <w:pPr>
              <w:jc w:val="right"/>
              <w:spacing w:after="0"/>
              <w:rPr>
                <w:sz w:val="20"/>
                <w:szCs w:val="20"/>
                <w:color w:val="auto"/>
              </w:rPr>
            </w:pPr>
            <w:r>
              <w:rPr>
                <w:rFonts w:ascii="Arial" w:cs="Arial" w:eastAsia="Arial" w:hAnsi="Arial"/>
                <w:sz w:val="16"/>
                <w:szCs w:val="16"/>
                <w:color w:val="auto"/>
              </w:rPr>
              <w:t>10</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2,843</w:t>
            </w:r>
          </w:p>
        </w:tc>
        <w:tc>
          <w:tcPr>
            <w:tcW w:w="520" w:type="dxa"/>
            <w:vAlign w:val="bottom"/>
          </w:tcPr>
          <w:p>
            <w:pPr>
              <w:jc w:val="right"/>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60" w:type="dxa"/>
            <w:vAlign w:val="bottom"/>
          </w:tcPr>
          <w:p>
            <w:pPr>
              <w:ind w:left="200"/>
              <w:spacing w:after="0"/>
              <w:rPr>
                <w:sz w:val="20"/>
                <w:szCs w:val="20"/>
                <w:color w:val="auto"/>
              </w:rPr>
            </w:pPr>
            <w:r>
              <w:rPr>
                <w:rFonts w:ascii="Arial" w:cs="Arial" w:eastAsia="Arial" w:hAnsi="Arial"/>
                <w:sz w:val="16"/>
                <w:szCs w:val="16"/>
                <w:color w:val="auto"/>
              </w:rPr>
              <w:t>Intersegment receivables</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(900)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(885)</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360" w:type="dxa"/>
            <w:vAlign w:val="bottom"/>
          </w:tcPr>
          <w:p>
            <w:pPr>
              <w:ind w:left="380"/>
              <w:spacing w:after="0"/>
              <w:rPr>
                <w:sz w:val="20"/>
                <w:szCs w:val="20"/>
                <w:color w:val="auto"/>
              </w:rPr>
            </w:pPr>
            <w:r>
              <w:rPr>
                <w:rFonts w:ascii="Arial" w:cs="Arial" w:eastAsia="Arial" w:hAnsi="Arial"/>
                <w:sz w:val="16"/>
                <w:szCs w:val="16"/>
                <w:color w:val="auto"/>
              </w:rPr>
              <w:t>Total</w:t>
            </w:r>
          </w:p>
        </w:tc>
        <w:tc>
          <w:tcPr>
            <w:tcW w:w="4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27,334</w:t>
            </w:r>
          </w:p>
        </w:tc>
        <w:tc>
          <w:tcPr>
            <w:tcW w:w="680" w:type="dxa"/>
            <w:vAlign w:val="bottom"/>
          </w:tcPr>
          <w:p>
            <w:pPr>
              <w:jc w:val="right"/>
              <w:spacing w:after="0"/>
              <w:rPr>
                <w:sz w:val="20"/>
                <w:szCs w:val="20"/>
                <w:color w:val="auto"/>
              </w:rPr>
            </w:pPr>
            <w:r>
              <w:rPr>
                <w:rFonts w:ascii="Arial" w:cs="Arial" w:eastAsia="Arial" w:hAnsi="Arial"/>
                <w:sz w:val="16"/>
                <w:szCs w:val="16"/>
                <w:color w:val="auto"/>
              </w:rPr>
              <w:t>100</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w w:val="98"/>
              </w:rPr>
              <w:t>%</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26,400</w:t>
            </w:r>
          </w:p>
        </w:tc>
        <w:tc>
          <w:tcPr>
            <w:tcW w:w="520" w:type="dxa"/>
            <w:vAlign w:val="bottom"/>
          </w:tcPr>
          <w:p>
            <w:pPr>
              <w:jc w:val="right"/>
              <w:spacing w:after="0"/>
              <w:rPr>
                <w:sz w:val="20"/>
                <w:szCs w:val="20"/>
                <w:color w:val="auto"/>
              </w:rPr>
            </w:pPr>
            <w:r>
              <w:rPr>
                <w:rFonts w:ascii="Arial" w:cs="Arial" w:eastAsia="Arial" w:hAnsi="Arial"/>
                <w:sz w:val="16"/>
                <w:szCs w:val="16"/>
                <w:color w:val="auto"/>
              </w:rPr>
              <w:t>100</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84"/>
        </w:trPr>
        <w:tc>
          <w:tcPr>
            <w:tcW w:w="436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68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360" w:type="dxa"/>
            <w:vAlign w:val="bottom"/>
          </w:tcPr>
          <w:p>
            <w:pPr>
              <w:ind w:left="20"/>
              <w:spacing w:after="0"/>
              <w:rPr>
                <w:sz w:val="20"/>
                <w:szCs w:val="20"/>
                <w:color w:val="auto"/>
              </w:rPr>
            </w:pPr>
            <w:r>
              <w:rPr>
                <w:rFonts w:ascii="Arial" w:cs="Arial" w:eastAsia="Arial" w:hAnsi="Arial"/>
                <w:sz w:val="16"/>
                <w:szCs w:val="16"/>
                <w:color w:val="auto"/>
              </w:rPr>
              <w:t>INVESTMENTS IN EQUITY METHOD INVESTEES</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Sempra Commodities</w:t>
            </w:r>
          </w:p>
        </w:tc>
        <w:tc>
          <w:tcPr>
            <w:tcW w:w="4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1,958</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2,082</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Sempra Generation</w:t>
            </w:r>
          </w:p>
        </w:tc>
        <w:tc>
          <w:tcPr>
            <w:tcW w:w="46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198</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198</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6"/>
                <w:szCs w:val="16"/>
                <w:color w:val="auto"/>
              </w:rPr>
              <w:t>Sempra Pipelines &amp; Storage</w:t>
            </w:r>
          </w:p>
        </w:tc>
        <w:tc>
          <w:tcPr>
            <w:tcW w:w="46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861</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796</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60" w:type="dxa"/>
            <w:vAlign w:val="bottom"/>
          </w:tcPr>
          <w:p>
            <w:pPr>
              <w:ind w:left="200"/>
              <w:spacing w:after="0"/>
              <w:rPr>
                <w:sz w:val="20"/>
                <w:szCs w:val="20"/>
                <w:color w:val="auto"/>
              </w:rPr>
            </w:pPr>
            <w:r>
              <w:rPr>
                <w:rFonts w:ascii="Arial" w:cs="Arial" w:eastAsia="Arial" w:hAnsi="Arial"/>
                <w:sz w:val="16"/>
                <w:szCs w:val="16"/>
                <w:color w:val="auto"/>
              </w:rPr>
              <w:t>All other</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28</w:t>
            </w: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30</w:t>
            </w:r>
          </w:p>
        </w:tc>
        <w:tc>
          <w:tcPr>
            <w:tcW w:w="5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360" w:type="dxa"/>
            <w:vAlign w:val="bottom"/>
          </w:tcPr>
          <w:p>
            <w:pPr>
              <w:ind w:left="380"/>
              <w:spacing w:after="0"/>
              <w:rPr>
                <w:sz w:val="20"/>
                <w:szCs w:val="20"/>
                <w:color w:val="auto"/>
              </w:rPr>
            </w:pPr>
            <w:r>
              <w:rPr>
                <w:rFonts w:ascii="Arial" w:cs="Arial" w:eastAsia="Arial" w:hAnsi="Arial"/>
                <w:sz w:val="16"/>
                <w:szCs w:val="16"/>
                <w:color w:val="auto"/>
              </w:rPr>
              <w:t>Total</w:t>
            </w:r>
          </w:p>
        </w:tc>
        <w:tc>
          <w:tcPr>
            <w:tcW w:w="4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3,045</w:t>
            </w: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3,106</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436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68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After preferred dividends.</w:t>
      </w:r>
    </w:p>
    <w:p>
      <w:pPr>
        <w:sectPr>
          <w:pgSz w:w="11900" w:h="16838" w:orient="portrait"/>
          <w:cols w:equalWidth="0" w:num="1">
            <w:col w:w="10219"/>
          </w:cols>
          <w:pgMar w:left="240" w:top="175" w:right="1440" w:bottom="1440" w:gutter="0" w:footer="0" w:header="0"/>
        </w:sectPr>
      </w:pPr>
    </w:p>
    <w:bookmarkStart w:id="60" w:name="page61"/>
    <w:bookmarkEnd w:id="60"/>
    <w:p>
      <w:pPr>
        <w:ind w:right="200"/>
        <w:spacing w:after="0" w:line="260" w:lineRule="auto"/>
        <w:rPr>
          <w:sz w:val="20"/>
          <w:szCs w:val="20"/>
          <w:color w:val="auto"/>
        </w:rPr>
      </w:pPr>
      <w:r>
        <w:rPr>
          <w:rFonts w:ascii="Arial" w:cs="Arial" w:eastAsia="Arial" w:hAnsi="Arial"/>
          <w:sz w:val="23"/>
          <w:szCs w:val="23"/>
          <w:color w:val="auto"/>
        </w:rPr>
        <w:t>ITEM 2. MANAGEMENT’S DISCUSSION AND ANALYSIS OF FINANCIAL CONDITION AND RESULTS OF OPERATIONS</w:t>
      </w:r>
    </w:p>
    <w:p>
      <w:pPr>
        <w:spacing w:after="0" w:line="200" w:lineRule="exact"/>
        <w:rPr>
          <w:sz w:val="20"/>
          <w:szCs w:val="20"/>
          <w:color w:val="auto"/>
        </w:rPr>
      </w:pPr>
    </w:p>
    <w:p>
      <w:pPr>
        <w:spacing w:after="0" w:line="214" w:lineRule="exact"/>
        <w:rPr>
          <w:sz w:val="20"/>
          <w:szCs w:val="20"/>
          <w:color w:val="auto"/>
        </w:rPr>
      </w:pPr>
    </w:p>
    <w:p>
      <w:pPr>
        <w:ind w:right="20"/>
        <w:spacing w:after="0" w:line="258" w:lineRule="auto"/>
        <w:rPr>
          <w:sz w:val="20"/>
          <w:szCs w:val="20"/>
          <w:color w:val="auto"/>
        </w:rPr>
      </w:pPr>
      <w:r>
        <w:rPr>
          <w:rFonts w:ascii="Arial" w:cs="Arial" w:eastAsia="Arial" w:hAnsi="Arial"/>
          <w:sz w:val="21"/>
          <w:szCs w:val="21"/>
          <w:color w:val="auto"/>
        </w:rPr>
        <w:t>You should read the following discussion in conjunction with the financial statements contained in this Form 10-Q, "Management's Discussion and Analysis of Financial Condition and Results of Operations" contained in our 2008 Annual Report on Form 10-K (Annual Report), and "Risk Factors" contained in our Annual Report and Part II of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OVERVIEW</w:t>
      </w:r>
    </w:p>
    <w:p>
      <w:pPr>
        <w:spacing w:after="0" w:line="63" w:lineRule="exact"/>
        <w:rPr>
          <w:sz w:val="20"/>
          <w:szCs w:val="20"/>
          <w:color w:val="auto"/>
        </w:rPr>
      </w:pPr>
    </w:p>
    <w:p>
      <w:pPr>
        <w:ind w:right="200"/>
        <w:spacing w:after="0" w:line="236" w:lineRule="auto"/>
        <w:rPr>
          <w:sz w:val="20"/>
          <w:szCs w:val="20"/>
          <w:color w:val="auto"/>
        </w:rPr>
      </w:pPr>
      <w:r>
        <w:rPr>
          <w:rFonts w:ascii="Arial" w:cs="Arial" w:eastAsia="Arial" w:hAnsi="Arial"/>
          <w:sz w:val="22"/>
          <w:szCs w:val="22"/>
          <w:color w:val="auto"/>
        </w:rPr>
        <w:t>Sempra Energy is a Fortune 500 energy services holding company whose business units provide electric, natural gas and other energy products and services to their customers. Our operations are divided principally between the Sempra Utilities and Sempra Global. The Sempra Utilities consist of two California regulated public utility companies, 1) San Diego Gas &amp; Electric Company (SDG&amp;E) and 2) Southern California Gas Company (SoCalGas). Sempra Global consists of businesses engaged in providing energy products and services.</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color w:val="auto"/>
        </w:rPr>
        <w:t>This report includes information for the following separate registrants:</w:t>
      </w:r>
    </w:p>
    <w:p>
      <w:pPr>
        <w:spacing w:after="0" w:line="71" w:lineRule="exact"/>
        <w:rPr>
          <w:sz w:val="20"/>
          <w:szCs w:val="20"/>
          <w:color w:val="auto"/>
        </w:rPr>
      </w:pPr>
    </w:p>
    <w:p>
      <w:pPr>
        <w:ind w:left="180" w:hanging="172"/>
        <w:spacing w:after="0"/>
        <w:tabs>
          <w:tab w:leader="none" w:pos="1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Sempra Energy and its consolidated entities</w:t>
      </w:r>
    </w:p>
    <w:p>
      <w:pPr>
        <w:spacing w:after="0" w:line="35" w:lineRule="exact"/>
        <w:rPr>
          <w:rFonts w:ascii="Arial" w:cs="Arial" w:eastAsia="Arial" w:hAnsi="Arial"/>
          <w:sz w:val="22"/>
          <w:szCs w:val="22"/>
          <w:color w:val="auto"/>
        </w:rPr>
      </w:pPr>
    </w:p>
    <w:p>
      <w:pPr>
        <w:ind w:left="180" w:hanging="172"/>
        <w:spacing w:after="0"/>
        <w:tabs>
          <w:tab w:leader="none" w:pos="1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SDG&amp;E</w:t>
      </w:r>
    </w:p>
    <w:p>
      <w:pPr>
        <w:spacing w:after="0" w:line="17" w:lineRule="exact"/>
        <w:rPr>
          <w:rFonts w:ascii="Arial" w:cs="Arial" w:eastAsia="Arial" w:hAnsi="Arial"/>
          <w:sz w:val="22"/>
          <w:szCs w:val="22"/>
          <w:color w:val="auto"/>
        </w:rPr>
      </w:pPr>
    </w:p>
    <w:p>
      <w:pPr>
        <w:ind w:left="180" w:hanging="172"/>
        <w:spacing w:after="0"/>
        <w:tabs>
          <w:tab w:leader="none" w:pos="1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Pacific Enterprises (PE), the holding company for SoCalGas</w:t>
      </w:r>
    </w:p>
    <w:p>
      <w:pPr>
        <w:spacing w:after="0" w:line="30" w:lineRule="exact"/>
        <w:rPr>
          <w:rFonts w:ascii="Arial" w:cs="Arial" w:eastAsia="Arial" w:hAnsi="Arial"/>
          <w:sz w:val="22"/>
          <w:szCs w:val="22"/>
          <w:color w:val="auto"/>
        </w:rPr>
      </w:pPr>
    </w:p>
    <w:p>
      <w:pPr>
        <w:ind w:left="180" w:hanging="172"/>
        <w:spacing w:after="0"/>
        <w:tabs>
          <w:tab w:leader="none" w:pos="1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SoCalGas</w:t>
      </w:r>
    </w:p>
    <w:p>
      <w:pPr>
        <w:spacing w:after="0" w:line="121"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References in this report to "we," "our" and "Sempra Energy Consolidated" are to Sempra Energy and its consolidated entities, collectively, unless otherwise indicated by the context.</w:t>
      </w:r>
    </w:p>
    <w:p>
      <w:pPr>
        <w:spacing w:after="0" w:line="5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PE's operations consist solely of those of SoCalGas and additional items (e.g., cash, intercompany accounts and equity) attributable to being a holding company for SoCalGas.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Below are the summary descriptions of our operating business units.</w:t>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SEMPRA BUSINESS UNITS</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The Sempra Utilities consist of SDG&amp;E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238760</wp:posOffset>
            </wp:positionV>
            <wp:extent cx="5600065"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00065" cy="163195"/>
                    </a:xfrm>
                    <a:prstGeom prst="rect">
                      <a:avLst/>
                    </a:prstGeom>
                    <a:noFill/>
                  </pic:spPr>
                </pic:pic>
              </a:graphicData>
            </a:graphic>
          </wp:anchor>
        </w:drawing>
      </w:r>
    </w:p>
    <w:p>
      <w:pPr>
        <w:spacing w:after="0" w:line="392"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SEMPRA UTILITIES</w:t>
      </w:r>
    </w:p>
    <w:p>
      <w:pPr>
        <w:spacing w:after="0" w:line="37" w:lineRule="exact"/>
        <w:rPr>
          <w:sz w:val="20"/>
          <w:szCs w:val="20"/>
          <w:color w:val="auto"/>
        </w:rPr>
      </w:pPr>
    </w:p>
    <w:p>
      <w:pPr>
        <w:ind w:left="5420"/>
        <w:spacing w:after="0"/>
        <w:tabs>
          <w:tab w:leader="none" w:pos="7900" w:val="left"/>
        </w:tabs>
        <w:rPr>
          <w:sz w:val="20"/>
          <w:szCs w:val="20"/>
          <w:color w:val="auto"/>
        </w:rPr>
      </w:pPr>
      <w:r>
        <w:rPr>
          <w:rFonts w:ascii="Arial" w:cs="Arial" w:eastAsia="Arial" w:hAnsi="Arial"/>
          <w:sz w:val="14"/>
          <w:szCs w:val="14"/>
          <w:b w:val="1"/>
          <w:bCs w:val="1"/>
          <w:color w:val="auto"/>
        </w:rPr>
        <w:t>MARKET</w:t>
      </w:r>
      <w:r>
        <w:rPr>
          <w:sz w:val="20"/>
          <w:szCs w:val="20"/>
          <w:color w:val="auto"/>
        </w:rPr>
        <w:tab/>
      </w:r>
      <w:r>
        <w:rPr>
          <w:rFonts w:ascii="Arial" w:cs="Arial" w:eastAsia="Arial" w:hAnsi="Arial"/>
          <w:sz w:val="14"/>
          <w:szCs w:val="14"/>
          <w:b w:val="1"/>
          <w:bCs w:val="1"/>
          <w:color w:val="auto"/>
        </w:rPr>
        <w:t>SERVICE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52070</wp:posOffset>
            </wp:positionV>
            <wp:extent cx="5600065" cy="14617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00065" cy="1461770"/>
                    </a:xfrm>
                    <a:prstGeom prst="rect">
                      <a:avLst/>
                    </a:prstGeom>
                    <a:noFill/>
                  </pic:spPr>
                </pic:pic>
              </a:graphicData>
            </a:graphic>
          </wp:anchor>
        </w:drawing>
      </w:r>
    </w:p>
    <w:p>
      <w:pPr>
        <w:sectPr>
          <w:pgSz w:w="11900" w:h="16838" w:orient="portrait"/>
          <w:cols w:equalWidth="0" w:num="1">
            <w:col w:w="11380"/>
          </w:cols>
          <w:pgMar w:left="240" w:top="144" w:right="279" w:bottom="1440" w:gutter="0" w:footer="0" w:header="0"/>
        </w:sectPr>
      </w:pPr>
    </w:p>
    <w:p>
      <w:pPr>
        <w:spacing w:after="0" w:line="91" w:lineRule="exact"/>
        <w:rPr>
          <w:sz w:val="20"/>
          <w:szCs w:val="20"/>
          <w:color w:val="auto"/>
        </w:rPr>
      </w:pPr>
    </w:p>
    <w:p>
      <w:pPr>
        <w:ind w:left="1320" w:right="420"/>
        <w:spacing w:after="0" w:line="259" w:lineRule="auto"/>
        <w:rPr>
          <w:sz w:val="20"/>
          <w:szCs w:val="20"/>
          <w:color w:val="auto"/>
        </w:rPr>
      </w:pPr>
      <w:r>
        <w:rPr>
          <w:rFonts w:ascii="Arial" w:cs="Arial" w:eastAsia="Arial" w:hAnsi="Arial"/>
          <w:sz w:val="16"/>
          <w:szCs w:val="16"/>
          <w:b w:val="1"/>
          <w:bCs w:val="1"/>
          <w:color w:val="auto"/>
        </w:rPr>
        <w:t>SAN DIEGO GAS &amp; ELECTRIC COMPANY (SDG&amp;E)</w:t>
      </w:r>
    </w:p>
    <w:p>
      <w:pPr>
        <w:spacing w:after="0" w:line="1" w:lineRule="exact"/>
        <w:rPr>
          <w:sz w:val="20"/>
          <w:szCs w:val="20"/>
          <w:color w:val="auto"/>
        </w:rPr>
      </w:pPr>
    </w:p>
    <w:p>
      <w:pPr>
        <w:ind w:left="1320"/>
        <w:spacing w:after="0" w:line="251" w:lineRule="auto"/>
        <w:rPr>
          <w:sz w:val="20"/>
          <w:szCs w:val="20"/>
          <w:color w:val="auto"/>
        </w:rPr>
      </w:pPr>
      <w:r>
        <w:rPr>
          <w:rFonts w:ascii="Arial" w:cs="Arial" w:eastAsia="Arial" w:hAnsi="Arial"/>
          <w:sz w:val="16"/>
          <w:szCs w:val="16"/>
          <w:color w:val="auto"/>
        </w:rPr>
        <w:t>A regulated public utility; infrastructure supports electric distribution and transmission, and natural gas distribution</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ind w:left="198" w:right="120" w:hanging="198"/>
        <w:spacing w:after="0" w:line="260" w:lineRule="auto"/>
        <w:tabs>
          <w:tab w:leader="none" w:pos="198" w:val="left"/>
        </w:tabs>
        <w:numPr>
          <w:ilvl w:val="0"/>
          <w:numId w:val="56"/>
        </w:numPr>
        <w:rPr>
          <w:rFonts w:ascii="Arial" w:cs="Arial" w:eastAsia="Arial" w:hAnsi="Arial"/>
          <w:sz w:val="16"/>
          <w:szCs w:val="16"/>
          <w:color w:val="auto"/>
        </w:rPr>
      </w:pPr>
      <w:r>
        <w:rPr>
          <w:rFonts w:ascii="Arial" w:cs="Arial" w:eastAsia="Arial" w:hAnsi="Arial"/>
          <w:sz w:val="16"/>
          <w:szCs w:val="16"/>
          <w:color w:val="auto"/>
        </w:rPr>
        <w:t>Provides electricity to 3.4 million consumers (1.4 million meters)</w:t>
      </w:r>
    </w:p>
    <w:p>
      <w:pPr>
        <w:spacing w:after="0" w:line="20" w:lineRule="exact"/>
        <w:rPr>
          <w:rFonts w:ascii="Arial" w:cs="Arial" w:eastAsia="Arial" w:hAnsi="Arial"/>
          <w:sz w:val="16"/>
          <w:szCs w:val="16"/>
          <w:color w:val="auto"/>
        </w:rPr>
      </w:pPr>
    </w:p>
    <w:p>
      <w:pPr>
        <w:ind w:left="198" w:hanging="198"/>
        <w:spacing w:after="0" w:line="260" w:lineRule="auto"/>
        <w:tabs>
          <w:tab w:leader="none" w:pos="198" w:val="left"/>
        </w:tabs>
        <w:numPr>
          <w:ilvl w:val="0"/>
          <w:numId w:val="56"/>
        </w:numPr>
        <w:rPr>
          <w:rFonts w:ascii="Arial" w:cs="Arial" w:eastAsia="Arial" w:hAnsi="Arial"/>
          <w:sz w:val="16"/>
          <w:szCs w:val="16"/>
          <w:color w:val="auto"/>
        </w:rPr>
      </w:pPr>
      <w:r>
        <w:rPr>
          <w:rFonts w:ascii="Arial" w:cs="Arial" w:eastAsia="Arial" w:hAnsi="Arial"/>
          <w:sz w:val="16"/>
          <w:szCs w:val="16"/>
          <w:color w:val="auto"/>
        </w:rPr>
        <w:t>Provides natural gas to 3.1 million consumers (840,000 meters)</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right="1420"/>
        <w:spacing w:after="0" w:line="253" w:lineRule="auto"/>
        <w:rPr>
          <w:sz w:val="20"/>
          <w:szCs w:val="20"/>
          <w:color w:val="auto"/>
        </w:rPr>
      </w:pPr>
      <w:r>
        <w:rPr>
          <w:rFonts w:ascii="Arial" w:cs="Arial" w:eastAsia="Arial" w:hAnsi="Arial"/>
          <w:sz w:val="16"/>
          <w:szCs w:val="16"/>
          <w:color w:val="auto"/>
        </w:rPr>
        <w:t>Serves the county of San Diego, CA and southern Orange County covering 4,100 square miles</w:t>
      </w:r>
    </w:p>
    <w:p>
      <w:pPr>
        <w:spacing w:after="0" w:line="572" w:lineRule="exact"/>
        <w:rPr>
          <w:sz w:val="20"/>
          <w:szCs w:val="20"/>
          <w:color w:val="auto"/>
        </w:rPr>
      </w:pPr>
    </w:p>
    <w:p>
      <w:pPr>
        <w:sectPr>
          <w:pgSz w:w="11900" w:h="16838" w:orient="portrait"/>
          <w:cols w:equalWidth="0" w:num="3">
            <w:col w:w="4060" w:space="202"/>
            <w:col w:w="2618" w:space="320"/>
            <w:col w:w="4180"/>
          </w:cols>
          <w:pgMar w:left="240" w:top="144" w:right="279" w:bottom="1440" w:gutter="0" w:footer="0" w:header="0"/>
          <w:type w:val="continuous"/>
        </w:sectPr>
      </w:pPr>
    </w:p>
    <w:p>
      <w:pPr>
        <w:ind w:left="1320" w:right="400"/>
        <w:spacing w:after="0" w:line="259" w:lineRule="auto"/>
        <w:rPr>
          <w:sz w:val="20"/>
          <w:szCs w:val="20"/>
          <w:color w:val="auto"/>
        </w:rPr>
      </w:pPr>
      <w:r>
        <w:rPr>
          <w:rFonts w:ascii="Arial" w:cs="Arial" w:eastAsia="Arial" w:hAnsi="Arial"/>
          <w:sz w:val="16"/>
          <w:szCs w:val="16"/>
          <w:b w:val="1"/>
          <w:bCs w:val="1"/>
          <w:color w:val="auto"/>
        </w:rPr>
        <w:t>SOUTHERN CALIFORNIA GAS COMPANY (SOCALGAS)</w:t>
      </w:r>
    </w:p>
    <w:p>
      <w:pPr>
        <w:spacing w:after="0" w:line="1" w:lineRule="exact"/>
        <w:rPr>
          <w:sz w:val="20"/>
          <w:szCs w:val="20"/>
          <w:color w:val="auto"/>
        </w:rPr>
      </w:pPr>
    </w:p>
    <w:p>
      <w:pPr>
        <w:ind w:left="1320"/>
        <w:spacing w:after="0" w:line="253" w:lineRule="auto"/>
        <w:rPr>
          <w:sz w:val="20"/>
          <w:szCs w:val="20"/>
          <w:color w:val="auto"/>
        </w:rPr>
      </w:pPr>
      <w:r>
        <w:rPr>
          <w:rFonts w:ascii="Arial" w:cs="Arial" w:eastAsia="Arial" w:hAnsi="Arial"/>
          <w:sz w:val="16"/>
          <w:szCs w:val="16"/>
          <w:color w:val="auto"/>
        </w:rPr>
        <w:t>A regulated public utility; infrastructure supports natural gas distribution, transmission and storage</w:t>
      </w:r>
    </w:p>
    <w:p>
      <w:pPr>
        <w:spacing w:after="0" w:line="20" w:lineRule="exact"/>
        <w:rPr>
          <w:sz w:val="20"/>
          <w:szCs w:val="20"/>
          <w:color w:val="auto"/>
        </w:rPr>
      </w:pPr>
      <w:r>
        <w:rPr>
          <w:sz w:val="20"/>
          <w:szCs w:val="20"/>
          <w:color w:val="auto"/>
        </w:rPr>
        <w:br w:type="column"/>
      </w:r>
    </w:p>
    <w:p>
      <w:pPr>
        <w:ind w:left="198" w:hanging="198"/>
        <w:spacing w:after="0" w:line="253" w:lineRule="auto"/>
        <w:tabs>
          <w:tab w:leader="none" w:pos="198"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Residential, commercial, industrial, utility electric generation and wholesale customers</w:t>
      </w:r>
    </w:p>
    <w:p>
      <w:pPr>
        <w:spacing w:after="0" w:line="25" w:lineRule="exact"/>
        <w:rPr>
          <w:rFonts w:ascii="Arial" w:cs="Arial" w:eastAsia="Arial" w:hAnsi="Arial"/>
          <w:sz w:val="16"/>
          <w:szCs w:val="16"/>
          <w:color w:val="auto"/>
        </w:rPr>
      </w:pPr>
    </w:p>
    <w:p>
      <w:pPr>
        <w:ind w:left="198" w:right="20" w:hanging="198"/>
        <w:spacing w:after="0" w:line="260" w:lineRule="auto"/>
        <w:tabs>
          <w:tab w:leader="none" w:pos="198"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Covers a population of 20.5 million (5.7 million meters)</w:t>
      </w:r>
    </w:p>
    <w:p>
      <w:pPr>
        <w:spacing w:after="0" w:line="20" w:lineRule="exact"/>
        <w:rPr>
          <w:sz w:val="20"/>
          <w:szCs w:val="20"/>
          <w:color w:val="auto"/>
        </w:rPr>
      </w:pPr>
      <w:r>
        <w:rPr>
          <w:sz w:val="20"/>
          <w:szCs w:val="20"/>
          <w:color w:val="auto"/>
        </w:rPr>
        <w:br w:type="column"/>
      </w:r>
    </w:p>
    <w:p>
      <w:pPr>
        <w:ind w:right="1340"/>
        <w:spacing w:after="0" w:line="250" w:lineRule="auto"/>
        <w:rPr>
          <w:sz w:val="20"/>
          <w:szCs w:val="20"/>
          <w:color w:val="auto"/>
        </w:rPr>
      </w:pPr>
      <w:r>
        <w:rPr>
          <w:rFonts w:ascii="Arial" w:cs="Arial" w:eastAsia="Arial" w:hAnsi="Arial"/>
          <w:sz w:val="16"/>
          <w:szCs w:val="16"/>
          <w:color w:val="auto"/>
        </w:rPr>
        <w:t>Southern California and portions of Central California (excluding San Diego County, the city of Long Beach and the desert area of San Bernardino County) covering 20,000 square miles</w:t>
      </w:r>
    </w:p>
    <w:p>
      <w:pPr>
        <w:sectPr>
          <w:pgSz w:w="11900" w:h="16838" w:orient="portrait"/>
          <w:cols w:equalWidth="0" w:num="3">
            <w:col w:w="4060" w:space="202"/>
            <w:col w:w="2698" w:space="240"/>
            <w:col w:w="4180"/>
          </w:cols>
          <w:pgMar w:left="240" w:top="144" w:right="279" w:bottom="1440" w:gutter="0" w:footer="0" w:header="0"/>
          <w:type w:val="continuous"/>
        </w:sectPr>
      </w:pPr>
    </w:p>
    <w:bookmarkStart w:id="61" w:name="page62"/>
    <w:bookmarkEnd w:id="61"/>
    <w:p>
      <w:pPr>
        <w:spacing w:after="0" w:line="245" w:lineRule="auto"/>
        <w:rPr>
          <w:sz w:val="20"/>
          <w:szCs w:val="20"/>
          <w:color w:val="auto"/>
        </w:rPr>
      </w:pPr>
      <w:r>
        <w:rPr>
          <w:rFonts w:ascii="Arial" w:cs="Arial" w:eastAsia="Arial" w:hAnsi="Arial"/>
          <w:sz w:val="22"/>
          <w:szCs w:val="22"/>
          <w:color w:val="auto"/>
        </w:rPr>
        <w:t>Sempra Global is a holding company for most of our subsidiaries that are not subject to California utility regulation. Sempra Global's principal business units, which provide energy-related products and services, are</w:t>
      </w:r>
    </w:p>
    <w:p>
      <w:pPr>
        <w:spacing w:after="0" w:line="1" w:lineRule="exact"/>
        <w:rPr>
          <w:sz w:val="20"/>
          <w:szCs w:val="20"/>
          <w:color w:val="auto"/>
        </w:rPr>
      </w:pPr>
    </w:p>
    <w:p>
      <w:pPr>
        <w:ind w:left="180" w:hanging="172"/>
        <w:spacing w:after="0"/>
        <w:tabs>
          <w:tab w:leader="none" w:pos="180" w:val="left"/>
        </w:tabs>
        <w:numPr>
          <w:ilvl w:val="0"/>
          <w:numId w:val="58"/>
        </w:numPr>
        <w:rPr>
          <w:rFonts w:ascii="Arial" w:cs="Arial" w:eastAsia="Arial" w:hAnsi="Arial"/>
          <w:sz w:val="22"/>
          <w:szCs w:val="22"/>
          <w:color w:val="auto"/>
        </w:rPr>
      </w:pPr>
      <w:r>
        <w:rPr>
          <w:rFonts w:ascii="Arial" w:cs="Arial" w:eastAsia="Arial" w:hAnsi="Arial"/>
          <w:sz w:val="22"/>
          <w:szCs w:val="22"/>
          <w:color w:val="auto"/>
        </w:rPr>
        <w:t>Sempra Commodities</w:t>
      </w:r>
    </w:p>
    <w:p>
      <w:pPr>
        <w:spacing w:after="0" w:line="30" w:lineRule="exact"/>
        <w:rPr>
          <w:rFonts w:ascii="Arial" w:cs="Arial" w:eastAsia="Arial" w:hAnsi="Arial"/>
          <w:sz w:val="22"/>
          <w:szCs w:val="22"/>
          <w:color w:val="auto"/>
        </w:rPr>
      </w:pPr>
    </w:p>
    <w:p>
      <w:pPr>
        <w:ind w:left="180" w:hanging="172"/>
        <w:spacing w:after="0"/>
        <w:tabs>
          <w:tab w:leader="none" w:pos="180" w:val="left"/>
        </w:tabs>
        <w:numPr>
          <w:ilvl w:val="0"/>
          <w:numId w:val="58"/>
        </w:numPr>
        <w:rPr>
          <w:rFonts w:ascii="Arial" w:cs="Arial" w:eastAsia="Arial" w:hAnsi="Arial"/>
          <w:sz w:val="22"/>
          <w:szCs w:val="22"/>
          <w:color w:val="auto"/>
        </w:rPr>
      </w:pPr>
      <w:r>
        <w:rPr>
          <w:rFonts w:ascii="Arial" w:cs="Arial" w:eastAsia="Arial" w:hAnsi="Arial"/>
          <w:sz w:val="22"/>
          <w:szCs w:val="22"/>
          <w:color w:val="auto"/>
        </w:rPr>
        <w:t>Sempra Generation</w:t>
      </w:r>
    </w:p>
    <w:p>
      <w:pPr>
        <w:spacing w:after="0" w:line="30" w:lineRule="exact"/>
        <w:rPr>
          <w:rFonts w:ascii="Arial" w:cs="Arial" w:eastAsia="Arial" w:hAnsi="Arial"/>
          <w:sz w:val="22"/>
          <w:szCs w:val="22"/>
          <w:color w:val="auto"/>
        </w:rPr>
      </w:pPr>
    </w:p>
    <w:p>
      <w:pPr>
        <w:ind w:left="180" w:hanging="172"/>
        <w:spacing w:after="0"/>
        <w:tabs>
          <w:tab w:leader="none" w:pos="180" w:val="left"/>
        </w:tabs>
        <w:numPr>
          <w:ilvl w:val="0"/>
          <w:numId w:val="58"/>
        </w:numPr>
        <w:rPr>
          <w:rFonts w:ascii="Arial" w:cs="Arial" w:eastAsia="Arial" w:hAnsi="Arial"/>
          <w:sz w:val="22"/>
          <w:szCs w:val="22"/>
          <w:color w:val="auto"/>
        </w:rPr>
      </w:pPr>
      <w:r>
        <w:rPr>
          <w:rFonts w:ascii="Arial" w:cs="Arial" w:eastAsia="Arial" w:hAnsi="Arial"/>
          <w:sz w:val="22"/>
          <w:szCs w:val="22"/>
          <w:color w:val="auto"/>
        </w:rPr>
        <w:t>Sempra Pipelines &amp; Storage</w:t>
      </w:r>
    </w:p>
    <w:p>
      <w:pPr>
        <w:spacing w:after="0" w:line="17" w:lineRule="exact"/>
        <w:rPr>
          <w:rFonts w:ascii="Arial" w:cs="Arial" w:eastAsia="Arial" w:hAnsi="Arial"/>
          <w:sz w:val="22"/>
          <w:szCs w:val="22"/>
          <w:color w:val="auto"/>
        </w:rPr>
      </w:pPr>
    </w:p>
    <w:p>
      <w:pPr>
        <w:ind w:left="180" w:hanging="172"/>
        <w:spacing w:after="0"/>
        <w:tabs>
          <w:tab w:leader="none" w:pos="180" w:val="left"/>
        </w:tabs>
        <w:numPr>
          <w:ilvl w:val="0"/>
          <w:numId w:val="58"/>
        </w:numPr>
        <w:rPr>
          <w:rFonts w:ascii="Arial" w:cs="Arial" w:eastAsia="Arial" w:hAnsi="Arial"/>
          <w:sz w:val="22"/>
          <w:szCs w:val="22"/>
          <w:color w:val="auto"/>
        </w:rPr>
      </w:pPr>
      <w:r>
        <w:rPr>
          <w:rFonts w:ascii="Arial" w:cs="Arial" w:eastAsia="Arial" w:hAnsi="Arial"/>
          <w:sz w:val="22"/>
          <w:szCs w:val="22"/>
          <w:color w:val="auto"/>
        </w:rPr>
        <w:t>Sempra LNG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107315</wp:posOffset>
            </wp:positionV>
            <wp:extent cx="5600065"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00065" cy="163195"/>
                    </a:xfrm>
                    <a:prstGeom prst="rect">
                      <a:avLst/>
                    </a:prstGeom>
                    <a:noFill/>
                  </pic:spPr>
                </pic:pic>
              </a:graphicData>
            </a:graphic>
          </wp:anchor>
        </w:drawing>
      </w:r>
    </w:p>
    <w:p>
      <w:pPr>
        <w:spacing w:after="0" w:line="185"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SEMPRA GLOBAL</w:t>
      </w:r>
    </w:p>
    <w:p>
      <w:pPr>
        <w:spacing w:after="0" w:line="91" w:lineRule="exact"/>
        <w:rPr>
          <w:sz w:val="20"/>
          <w:szCs w:val="20"/>
          <w:color w:val="auto"/>
        </w:rPr>
      </w:pPr>
    </w:p>
    <w:tbl>
      <w:tblPr>
        <w:tblLayout w:type="fixed"/>
        <w:tblInd w:w="1300" w:type="dxa"/>
        <w:tblCellMar>
          <w:top w:w="0" w:type="dxa"/>
          <w:left w:w="0" w:type="dxa"/>
          <w:bottom w:w="0" w:type="dxa"/>
          <w:right w:w="0" w:type="dxa"/>
        </w:tblCellMar>
      </w:tblPr>
      <w:tr>
        <w:trPr>
          <w:trHeight w:val="189"/>
        </w:trPr>
        <w:tc>
          <w:tcPr>
            <w:tcW w:w="29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MARKET</w:t>
            </w:r>
          </w:p>
        </w:tc>
        <w:tc>
          <w:tcPr>
            <w:tcW w:w="1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GEOGRAPHIC REGION</w:t>
            </w:r>
          </w:p>
        </w:tc>
        <w:tc>
          <w:tcPr>
            <w:tcW w:w="0" w:type="dxa"/>
            <w:vAlign w:val="bottom"/>
          </w:tcPr>
          <w:p>
            <w:pPr>
              <w:spacing w:after="0"/>
              <w:rPr>
                <w:sz w:val="1"/>
                <w:szCs w:val="1"/>
                <w:color w:val="auto"/>
              </w:rPr>
            </w:pPr>
          </w:p>
        </w:tc>
      </w:tr>
      <w:tr>
        <w:trPr>
          <w:trHeight w:val="198"/>
        </w:trPr>
        <w:tc>
          <w:tcPr>
            <w:tcW w:w="296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SEMPRA COMMODITIES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Natural gas; natural gas liquids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780" w:type="dxa"/>
            <w:vAlign w:val="bottom"/>
          </w:tcPr>
          <w:p>
            <w:pPr>
              <w:ind w:left="60"/>
              <w:spacing w:after="0"/>
              <w:rPr>
                <w:sz w:val="20"/>
                <w:szCs w:val="20"/>
                <w:color w:val="auto"/>
              </w:rPr>
            </w:pPr>
            <w:r>
              <w:rPr>
                <w:rFonts w:ascii="Arial" w:cs="Arial" w:eastAsia="Arial" w:hAnsi="Arial"/>
                <w:sz w:val="16"/>
                <w:szCs w:val="16"/>
                <w:color w:val="auto"/>
              </w:rPr>
              <w:t>Global</w:t>
            </w:r>
          </w:p>
        </w:tc>
        <w:tc>
          <w:tcPr>
            <w:tcW w:w="0" w:type="dxa"/>
            <w:vAlign w:val="bottom"/>
          </w:tcPr>
          <w:p>
            <w:pPr>
              <w:spacing w:after="0"/>
              <w:rPr>
                <w:sz w:val="1"/>
                <w:szCs w:val="1"/>
                <w:color w:val="auto"/>
              </w:rPr>
            </w:pPr>
          </w:p>
        </w:tc>
      </w:tr>
      <w:tr>
        <w:trPr>
          <w:trHeight w:val="189"/>
        </w:trPr>
        <w:tc>
          <w:tcPr>
            <w:tcW w:w="29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RBS Sempra Commodities, a joint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Power</w:t>
            </w:r>
          </w:p>
        </w:tc>
        <w:tc>
          <w:tcPr>
            <w:tcW w:w="1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venture with The Royal Bank of</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28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Petroleum and petroleum products</w:t>
            </w:r>
          </w:p>
        </w:tc>
        <w:tc>
          <w:tcPr>
            <w:tcW w:w="1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29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Scotland (RBS), a commodities-</w:t>
            </w:r>
          </w:p>
        </w:tc>
        <w:tc>
          <w:tcPr>
            <w:tcW w:w="140" w:type="dxa"/>
            <w:vAlign w:val="bottom"/>
            <w:vMerge w:val="continue"/>
          </w:tcPr>
          <w:p>
            <w:pPr>
              <w:spacing w:after="0"/>
              <w:rPr>
                <w:sz w:val="6"/>
                <w:szCs w:val="6"/>
                <w:color w:val="auto"/>
              </w:rPr>
            </w:pPr>
          </w:p>
        </w:tc>
        <w:tc>
          <w:tcPr>
            <w:tcW w:w="2800" w:type="dxa"/>
            <w:vAlign w:val="bottom"/>
            <w:tcBorders>
              <w:right w:val="single" w:sz="8" w:color="auto"/>
            </w:tcBorders>
            <w:vMerge w:val="continue"/>
          </w:tcPr>
          <w:p>
            <w:pPr>
              <w:spacing w:after="0"/>
              <w:rPr>
                <w:sz w:val="6"/>
                <w:szCs w:val="6"/>
                <w:color w:val="auto"/>
              </w:rPr>
            </w:pPr>
          </w:p>
        </w:tc>
        <w:tc>
          <w:tcPr>
            <w:tcW w:w="140" w:type="dxa"/>
            <w:vAlign w:val="bottom"/>
          </w:tcPr>
          <w:p>
            <w:pPr>
              <w:spacing w:after="0"/>
              <w:rPr>
                <w:sz w:val="6"/>
                <w:szCs w:val="6"/>
                <w:color w:val="auto"/>
              </w:rPr>
            </w:pPr>
          </w:p>
        </w:tc>
        <w:tc>
          <w:tcPr>
            <w:tcW w:w="2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960" w:type="dxa"/>
            <w:vAlign w:val="bottom"/>
            <w:tcBorders>
              <w:right w:val="single" w:sz="8" w:color="auto"/>
            </w:tcBorders>
            <w:vMerge w:val="continue"/>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28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Coal</w:t>
            </w:r>
          </w:p>
        </w:tc>
        <w:tc>
          <w:tcPr>
            <w:tcW w:w="1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9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marketing business</w:t>
            </w:r>
          </w:p>
        </w:tc>
        <w:tc>
          <w:tcPr>
            <w:tcW w:w="140" w:type="dxa"/>
            <w:vAlign w:val="bottom"/>
            <w:vMerge w:val="continue"/>
          </w:tcPr>
          <w:p>
            <w:pPr>
              <w:spacing w:after="0"/>
              <w:rPr>
                <w:sz w:val="8"/>
                <w:szCs w:val="8"/>
                <w:color w:val="auto"/>
              </w:rPr>
            </w:pPr>
          </w:p>
        </w:tc>
        <w:tc>
          <w:tcPr>
            <w:tcW w:w="2800" w:type="dxa"/>
            <w:vAlign w:val="bottom"/>
            <w:tcBorders>
              <w:right w:val="single" w:sz="8" w:color="auto"/>
            </w:tcBorders>
            <w:vMerge w:val="continue"/>
          </w:tcPr>
          <w:p>
            <w:pPr>
              <w:spacing w:after="0"/>
              <w:rPr>
                <w:sz w:val="8"/>
                <w:szCs w:val="8"/>
                <w:color w:val="auto"/>
              </w:rPr>
            </w:pPr>
          </w:p>
        </w:tc>
        <w:tc>
          <w:tcPr>
            <w:tcW w:w="1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960" w:type="dxa"/>
            <w:vAlign w:val="bottom"/>
            <w:tcBorders>
              <w:right w:val="single" w:sz="8" w:color="auto"/>
            </w:tcBorders>
            <w:vMerge w:val="continue"/>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28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Emissions</w:t>
            </w:r>
          </w:p>
        </w:tc>
        <w:tc>
          <w:tcPr>
            <w:tcW w:w="1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960" w:type="dxa"/>
            <w:vAlign w:val="bottom"/>
            <w:tcBorders>
              <w:right w:val="single" w:sz="8" w:color="auto"/>
            </w:tcBorders>
          </w:tcPr>
          <w:p>
            <w:pPr>
              <w:spacing w:after="0"/>
              <w:rPr>
                <w:sz w:val="11"/>
                <w:szCs w:val="11"/>
                <w:color w:val="auto"/>
              </w:rPr>
            </w:pPr>
          </w:p>
        </w:tc>
        <w:tc>
          <w:tcPr>
            <w:tcW w:w="140" w:type="dxa"/>
            <w:vAlign w:val="bottom"/>
            <w:vMerge w:val="continue"/>
          </w:tcPr>
          <w:p>
            <w:pPr>
              <w:spacing w:after="0"/>
              <w:rPr>
                <w:sz w:val="11"/>
                <w:szCs w:val="11"/>
                <w:color w:val="auto"/>
              </w:rPr>
            </w:pPr>
          </w:p>
        </w:tc>
        <w:tc>
          <w:tcPr>
            <w:tcW w:w="2800" w:type="dxa"/>
            <w:vAlign w:val="bottom"/>
            <w:tcBorders>
              <w:right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960" w:type="dxa"/>
            <w:vAlign w:val="bottom"/>
            <w:tcBorders>
              <w:right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Ethanol</w:t>
            </w:r>
          </w:p>
        </w:tc>
        <w:tc>
          <w:tcPr>
            <w:tcW w:w="1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Borders>
              <w:right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Base metals</w:t>
            </w:r>
          </w:p>
        </w:tc>
        <w:tc>
          <w:tcPr>
            <w:tcW w:w="1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9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96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SEMPRA GENERATION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Wholesale electricity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780" w:type="dxa"/>
            <w:vAlign w:val="bottom"/>
          </w:tcPr>
          <w:p>
            <w:pPr>
              <w:ind w:left="60"/>
              <w:spacing w:after="0"/>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189"/>
        </w:trPr>
        <w:tc>
          <w:tcPr>
            <w:tcW w:w="29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Develops, owns and operates electric</w:t>
            </w:r>
          </w:p>
        </w:tc>
        <w:tc>
          <w:tcPr>
            <w:tcW w:w="140" w:type="dxa"/>
            <w:vAlign w:val="bottom"/>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780" w:type="dxa"/>
            <w:vAlign w:val="bottom"/>
          </w:tcPr>
          <w:p>
            <w:pPr>
              <w:ind w:left="60"/>
              <w:spacing w:after="0"/>
              <w:rPr>
                <w:sz w:val="20"/>
                <w:szCs w:val="20"/>
                <w:color w:val="auto"/>
              </w:rPr>
            </w:pPr>
            <w:r>
              <w:rPr>
                <w:rFonts w:ascii="Arial" w:cs="Arial" w:eastAsia="Arial" w:hAnsi="Arial"/>
                <w:sz w:val="16"/>
                <w:szCs w:val="16"/>
                <w:color w:val="auto"/>
              </w:rPr>
              <w:t>Mexico</w:t>
            </w:r>
          </w:p>
        </w:tc>
        <w:tc>
          <w:tcPr>
            <w:tcW w:w="0" w:type="dxa"/>
            <w:vAlign w:val="bottom"/>
          </w:tcPr>
          <w:p>
            <w:pPr>
              <w:spacing w:after="0"/>
              <w:rPr>
                <w:sz w:val="1"/>
                <w:szCs w:val="1"/>
                <w:color w:val="auto"/>
              </w:rPr>
            </w:pPr>
          </w:p>
        </w:tc>
      </w:tr>
      <w:tr>
        <w:trPr>
          <w:trHeight w:val="198"/>
        </w:trPr>
        <w:tc>
          <w:tcPr>
            <w:tcW w:w="2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power plants</w:t>
            </w:r>
          </w:p>
        </w:tc>
        <w:tc>
          <w:tcPr>
            <w:tcW w:w="140" w:type="dxa"/>
            <w:vAlign w:val="bottom"/>
            <w:tcBorders>
              <w:bottom w:val="single" w:sz="8" w:color="auto"/>
            </w:tcBorders>
          </w:tcPr>
          <w:p>
            <w:pPr>
              <w:spacing w:after="0"/>
              <w:rPr>
                <w:sz w:val="17"/>
                <w:szCs w:val="17"/>
                <w:color w:val="auto"/>
              </w:rPr>
            </w:pPr>
          </w:p>
        </w:tc>
        <w:tc>
          <w:tcPr>
            <w:tcW w:w="280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96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SEMPRA PIPELINES &amp; STORAGE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Natural gas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780" w:type="dxa"/>
            <w:vAlign w:val="bottom"/>
          </w:tcPr>
          <w:p>
            <w:pPr>
              <w:ind w:left="60"/>
              <w:spacing w:after="0"/>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189"/>
        </w:trPr>
        <w:tc>
          <w:tcPr>
            <w:tcW w:w="29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Develops, owns and operates, or holds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Electricity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780" w:type="dxa"/>
            <w:vAlign w:val="bottom"/>
          </w:tcPr>
          <w:p>
            <w:pPr>
              <w:ind w:left="60"/>
              <w:spacing w:after="0"/>
              <w:rPr>
                <w:sz w:val="20"/>
                <w:szCs w:val="20"/>
                <w:color w:val="auto"/>
              </w:rPr>
            </w:pPr>
            <w:r>
              <w:rPr>
                <w:rFonts w:ascii="Arial" w:cs="Arial" w:eastAsia="Arial" w:hAnsi="Arial"/>
                <w:sz w:val="16"/>
                <w:szCs w:val="16"/>
                <w:color w:val="auto"/>
              </w:rPr>
              <w:t>Mexico</w:t>
            </w:r>
          </w:p>
        </w:tc>
        <w:tc>
          <w:tcPr>
            <w:tcW w:w="0" w:type="dxa"/>
            <w:vAlign w:val="bottom"/>
          </w:tcPr>
          <w:p>
            <w:pPr>
              <w:spacing w:after="0"/>
              <w:rPr>
                <w:sz w:val="1"/>
                <w:szCs w:val="1"/>
                <w:color w:val="auto"/>
              </w:rPr>
            </w:pPr>
          </w:p>
        </w:tc>
      </w:tr>
      <w:tr>
        <w:trPr>
          <w:trHeight w:val="189"/>
        </w:trPr>
        <w:tc>
          <w:tcPr>
            <w:tcW w:w="29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interests in, natural gas pipelines and</w:t>
            </w:r>
          </w:p>
        </w:tc>
        <w:tc>
          <w:tcPr>
            <w:tcW w:w="140" w:type="dxa"/>
            <w:vAlign w:val="bottom"/>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2780" w:type="dxa"/>
            <w:vAlign w:val="bottom"/>
            <w:vMerge w:val="restart"/>
          </w:tcPr>
          <w:p>
            <w:pPr>
              <w:ind w:left="60"/>
              <w:spacing w:after="0"/>
              <w:rPr>
                <w:sz w:val="20"/>
                <w:szCs w:val="20"/>
                <w:color w:val="auto"/>
              </w:rPr>
            </w:pPr>
            <w:r>
              <w:rPr>
                <w:rFonts w:ascii="Arial" w:cs="Arial" w:eastAsia="Arial" w:hAnsi="Arial"/>
                <w:sz w:val="16"/>
                <w:szCs w:val="16"/>
                <w:color w:val="auto"/>
              </w:rPr>
              <w:t>Argentina</w:t>
            </w:r>
          </w:p>
        </w:tc>
        <w:tc>
          <w:tcPr>
            <w:tcW w:w="0" w:type="dxa"/>
            <w:vAlign w:val="bottom"/>
          </w:tcPr>
          <w:p>
            <w:pPr>
              <w:spacing w:after="0"/>
              <w:rPr>
                <w:sz w:val="1"/>
                <w:szCs w:val="1"/>
                <w:color w:val="auto"/>
              </w:rPr>
            </w:pPr>
          </w:p>
        </w:tc>
      </w:tr>
      <w:tr>
        <w:trPr>
          <w:trHeight w:val="73"/>
        </w:trPr>
        <w:tc>
          <w:tcPr>
            <w:tcW w:w="29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storage facilities, and natural gas and</w:t>
            </w:r>
          </w:p>
        </w:tc>
        <w:tc>
          <w:tcPr>
            <w:tcW w:w="140" w:type="dxa"/>
            <w:vAlign w:val="bottom"/>
          </w:tcPr>
          <w:p>
            <w:pPr>
              <w:spacing w:after="0"/>
              <w:rPr>
                <w:sz w:val="6"/>
                <w:szCs w:val="6"/>
                <w:color w:val="auto"/>
              </w:rPr>
            </w:pPr>
          </w:p>
        </w:tc>
        <w:tc>
          <w:tcPr>
            <w:tcW w:w="2800" w:type="dxa"/>
            <w:vAlign w:val="bottom"/>
            <w:tcBorders>
              <w:right w:val="single" w:sz="8" w:color="auto"/>
            </w:tcBorders>
          </w:tcPr>
          <w:p>
            <w:pPr>
              <w:spacing w:after="0"/>
              <w:rPr>
                <w:sz w:val="6"/>
                <w:szCs w:val="6"/>
                <w:color w:val="auto"/>
              </w:rPr>
            </w:pPr>
          </w:p>
        </w:tc>
        <w:tc>
          <w:tcPr>
            <w:tcW w:w="140" w:type="dxa"/>
            <w:vAlign w:val="bottom"/>
            <w:vMerge w:val="continue"/>
          </w:tcPr>
          <w:p>
            <w:pPr>
              <w:spacing w:after="0"/>
              <w:rPr>
                <w:sz w:val="6"/>
                <w:szCs w:val="6"/>
                <w:color w:val="auto"/>
              </w:rPr>
            </w:pPr>
          </w:p>
        </w:tc>
        <w:tc>
          <w:tcPr>
            <w:tcW w:w="2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960" w:type="dxa"/>
            <w:vAlign w:val="bottom"/>
            <w:tcBorders>
              <w:right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2800" w:type="dxa"/>
            <w:vAlign w:val="bottom"/>
            <w:tcBorders>
              <w:right w:val="single" w:sz="8" w:color="auto"/>
            </w:tcBorders>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2780" w:type="dxa"/>
            <w:vAlign w:val="bottom"/>
            <w:vMerge w:val="restart"/>
          </w:tcPr>
          <w:p>
            <w:pPr>
              <w:ind w:left="60"/>
              <w:spacing w:after="0"/>
              <w:rPr>
                <w:sz w:val="20"/>
                <w:szCs w:val="20"/>
                <w:color w:val="auto"/>
              </w:rPr>
            </w:pPr>
            <w:r>
              <w:rPr>
                <w:rFonts w:ascii="Arial" w:cs="Arial" w:eastAsia="Arial" w:hAnsi="Arial"/>
                <w:sz w:val="16"/>
                <w:szCs w:val="16"/>
                <w:color w:val="auto"/>
              </w:rPr>
              <w:t>Chile</w:t>
            </w:r>
          </w:p>
        </w:tc>
        <w:tc>
          <w:tcPr>
            <w:tcW w:w="0" w:type="dxa"/>
            <w:vAlign w:val="bottom"/>
          </w:tcPr>
          <w:p>
            <w:pPr>
              <w:spacing w:after="0"/>
              <w:rPr>
                <w:sz w:val="1"/>
                <w:szCs w:val="1"/>
                <w:color w:val="auto"/>
              </w:rPr>
            </w:pPr>
          </w:p>
        </w:tc>
      </w:tr>
      <w:tr>
        <w:trPr>
          <w:trHeight w:val="100"/>
        </w:trPr>
        <w:tc>
          <w:tcPr>
            <w:tcW w:w="29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electric service providers</w:t>
            </w:r>
          </w:p>
        </w:tc>
        <w:tc>
          <w:tcPr>
            <w:tcW w:w="140" w:type="dxa"/>
            <w:vAlign w:val="bottom"/>
          </w:tcPr>
          <w:p>
            <w:pPr>
              <w:spacing w:after="0"/>
              <w:rPr>
                <w:sz w:val="8"/>
                <w:szCs w:val="8"/>
                <w:color w:val="auto"/>
              </w:rPr>
            </w:pPr>
          </w:p>
        </w:tc>
        <w:tc>
          <w:tcPr>
            <w:tcW w:w="2800" w:type="dxa"/>
            <w:vAlign w:val="bottom"/>
            <w:tcBorders>
              <w:right w:val="single" w:sz="8" w:color="auto"/>
            </w:tcBorders>
          </w:tcPr>
          <w:p>
            <w:pPr>
              <w:spacing w:after="0"/>
              <w:rPr>
                <w:sz w:val="8"/>
                <w:szCs w:val="8"/>
                <w:color w:val="auto"/>
              </w:rPr>
            </w:pPr>
          </w:p>
        </w:tc>
        <w:tc>
          <w:tcPr>
            <w:tcW w:w="140" w:type="dxa"/>
            <w:vAlign w:val="bottom"/>
            <w:vMerge w:val="continue"/>
          </w:tcPr>
          <w:p>
            <w:pPr>
              <w:spacing w:after="0"/>
              <w:rPr>
                <w:sz w:val="8"/>
                <w:szCs w:val="8"/>
                <w:color w:val="auto"/>
              </w:rPr>
            </w:pPr>
          </w:p>
        </w:tc>
        <w:tc>
          <w:tcPr>
            <w:tcW w:w="2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960" w:type="dxa"/>
            <w:vAlign w:val="bottom"/>
            <w:tcBorders>
              <w:right w:val="single" w:sz="8" w:color="auto"/>
            </w:tcBorders>
            <w:vMerge w:val="continue"/>
          </w:tcPr>
          <w:p>
            <w:pPr>
              <w:spacing w:after="0"/>
              <w:rPr>
                <w:sz w:val="8"/>
                <w:szCs w:val="8"/>
                <w:color w:val="auto"/>
              </w:rPr>
            </w:pPr>
          </w:p>
        </w:tc>
        <w:tc>
          <w:tcPr>
            <w:tcW w:w="140" w:type="dxa"/>
            <w:vAlign w:val="bottom"/>
          </w:tcPr>
          <w:p>
            <w:pPr>
              <w:spacing w:after="0"/>
              <w:rPr>
                <w:sz w:val="8"/>
                <w:szCs w:val="8"/>
                <w:color w:val="auto"/>
              </w:rPr>
            </w:pPr>
          </w:p>
        </w:tc>
        <w:tc>
          <w:tcPr>
            <w:tcW w:w="2800" w:type="dxa"/>
            <w:vAlign w:val="bottom"/>
            <w:tcBorders>
              <w:right w:val="single" w:sz="8" w:color="auto"/>
            </w:tcBorders>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2780" w:type="dxa"/>
            <w:vAlign w:val="bottom"/>
            <w:vMerge w:val="restart"/>
          </w:tcPr>
          <w:p>
            <w:pPr>
              <w:ind w:left="60"/>
              <w:spacing w:after="0"/>
              <w:rPr>
                <w:sz w:val="20"/>
                <w:szCs w:val="20"/>
                <w:color w:val="auto"/>
              </w:rPr>
            </w:pPr>
            <w:r>
              <w:rPr>
                <w:rFonts w:ascii="Arial" w:cs="Arial" w:eastAsia="Arial" w:hAnsi="Arial"/>
                <w:sz w:val="16"/>
                <w:szCs w:val="16"/>
                <w:color w:val="auto"/>
              </w:rPr>
              <w:t>Peru</w:t>
            </w:r>
          </w:p>
        </w:tc>
        <w:tc>
          <w:tcPr>
            <w:tcW w:w="0" w:type="dxa"/>
            <w:vAlign w:val="bottom"/>
          </w:tcPr>
          <w:p>
            <w:pPr>
              <w:spacing w:after="0"/>
              <w:rPr>
                <w:sz w:val="1"/>
                <w:szCs w:val="1"/>
                <w:color w:val="auto"/>
              </w:rPr>
            </w:pPr>
          </w:p>
        </w:tc>
      </w:tr>
      <w:tr>
        <w:trPr>
          <w:trHeight w:val="135"/>
        </w:trPr>
        <w:tc>
          <w:tcPr>
            <w:tcW w:w="29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800" w:type="dxa"/>
            <w:vAlign w:val="bottom"/>
            <w:tcBorders>
              <w:right w:val="single" w:sz="8" w:color="auto"/>
            </w:tcBorders>
          </w:tcPr>
          <w:p>
            <w:pPr>
              <w:spacing w:after="0"/>
              <w:rPr>
                <w:sz w:val="11"/>
                <w:szCs w:val="11"/>
                <w:color w:val="auto"/>
              </w:rPr>
            </w:pPr>
          </w:p>
        </w:tc>
        <w:tc>
          <w:tcPr>
            <w:tcW w:w="140" w:type="dxa"/>
            <w:vAlign w:val="bottom"/>
            <w:vMerge w:val="continue"/>
          </w:tcPr>
          <w:p>
            <w:pPr>
              <w:spacing w:after="0"/>
              <w:rPr>
                <w:sz w:val="11"/>
                <w:szCs w:val="11"/>
                <w:color w:val="auto"/>
              </w:rPr>
            </w:pPr>
          </w:p>
        </w:tc>
        <w:tc>
          <w:tcPr>
            <w:tcW w:w="2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9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-12065</wp:posOffset>
            </wp:positionV>
            <wp:extent cx="5600065" cy="5568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00065" cy="556895"/>
                    </a:xfrm>
                    <a:prstGeom prst="rect">
                      <a:avLst/>
                    </a:prstGeom>
                    <a:noFill/>
                  </pic:spPr>
                </pic:pic>
              </a:graphicData>
            </a:graphic>
          </wp:anchor>
        </w:drawing>
      </w:r>
    </w:p>
    <w:p>
      <w:pPr>
        <w:sectPr>
          <w:pgSz w:w="11900" w:h="16838" w:orient="portrait"/>
          <w:cols w:equalWidth="0" w:num="1">
            <w:col w:w="10760"/>
          </w:cols>
          <w:pgMar w:left="240" w:top="1212" w:right="899" w:bottom="1440" w:gutter="0" w:footer="0" w:header="0"/>
        </w:sectPr>
      </w:pPr>
    </w:p>
    <w:p>
      <w:pPr>
        <w:ind w:left="1320"/>
        <w:spacing w:after="0"/>
        <w:tabs>
          <w:tab w:leader="none" w:pos="4240" w:val="left"/>
        </w:tabs>
        <w:rPr>
          <w:sz w:val="20"/>
          <w:szCs w:val="20"/>
          <w:color w:val="auto"/>
        </w:rPr>
      </w:pPr>
      <w:r>
        <w:rPr>
          <w:rFonts w:ascii="Arial" w:cs="Arial" w:eastAsia="Arial" w:hAnsi="Arial"/>
          <w:sz w:val="16"/>
          <w:szCs w:val="16"/>
          <w:b w:val="1"/>
          <w:bCs w:val="1"/>
          <w:color w:val="auto"/>
        </w:rPr>
        <w:t>SEMPRA LNG</w:t>
      </w:r>
      <w:r>
        <w:rPr>
          <w:sz w:val="20"/>
          <w:szCs w:val="20"/>
          <w:color w:val="auto"/>
        </w:rPr>
        <w:tab/>
      </w:r>
      <w:r>
        <w:rPr>
          <w:rFonts w:ascii="Arial" w:cs="Arial" w:eastAsia="Arial" w:hAnsi="Arial"/>
          <w:sz w:val="16"/>
          <w:szCs w:val="16"/>
          <w:color w:val="auto"/>
        </w:rPr>
        <w:t>§  Natural gas</w:t>
      </w:r>
    </w:p>
    <w:p>
      <w:pPr>
        <w:spacing w:after="0" w:line="20"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Develops, owns and operates receipt</w:t>
      </w:r>
    </w:p>
    <w:p>
      <w:pPr>
        <w:spacing w:after="0" w:line="5"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terminals for importing liquefied natural</w:t>
      </w:r>
    </w:p>
    <w:p>
      <w:pPr>
        <w:spacing w:after="0" w:line="5"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gas (LNG)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94" w:hanging="194"/>
        <w:spacing w:after="0"/>
        <w:tabs>
          <w:tab w:leader="none" w:pos="194" w:val="left"/>
        </w:tabs>
        <w:numPr>
          <w:ilvl w:val="0"/>
          <w:numId w:val="59"/>
        </w:numPr>
        <w:rPr>
          <w:rFonts w:ascii="Arial" w:cs="Arial" w:eastAsia="Arial" w:hAnsi="Arial"/>
          <w:sz w:val="16"/>
          <w:szCs w:val="16"/>
          <w:color w:val="auto"/>
        </w:rPr>
      </w:pPr>
      <w:r>
        <w:rPr>
          <w:rFonts w:ascii="Arial" w:cs="Arial" w:eastAsia="Arial" w:hAnsi="Arial"/>
          <w:sz w:val="16"/>
          <w:szCs w:val="16"/>
          <w:color w:val="auto"/>
        </w:rPr>
        <w:t>U.S.A.</w:t>
      </w:r>
    </w:p>
    <w:p>
      <w:pPr>
        <w:spacing w:after="0" w:line="32" w:lineRule="exact"/>
        <w:rPr>
          <w:rFonts w:ascii="Arial" w:cs="Arial" w:eastAsia="Arial" w:hAnsi="Arial"/>
          <w:sz w:val="16"/>
          <w:szCs w:val="16"/>
          <w:color w:val="auto"/>
        </w:rPr>
      </w:pPr>
    </w:p>
    <w:p>
      <w:pPr>
        <w:ind w:left="194" w:hanging="194"/>
        <w:spacing w:after="0"/>
        <w:tabs>
          <w:tab w:leader="none" w:pos="194" w:val="left"/>
        </w:tabs>
        <w:numPr>
          <w:ilvl w:val="0"/>
          <w:numId w:val="59"/>
        </w:numPr>
        <w:rPr>
          <w:rFonts w:ascii="Arial" w:cs="Arial" w:eastAsia="Arial" w:hAnsi="Arial"/>
          <w:sz w:val="16"/>
          <w:szCs w:val="16"/>
          <w:color w:val="auto"/>
        </w:rPr>
      </w:pPr>
      <w:r>
        <w:rPr>
          <w:rFonts w:ascii="Arial" w:cs="Arial" w:eastAsia="Arial" w:hAnsi="Arial"/>
          <w:sz w:val="16"/>
          <w:szCs w:val="16"/>
          <w:color w:val="auto"/>
        </w:rPr>
        <w:t>Mexico</w:t>
      </w:r>
    </w:p>
    <w:p>
      <w:pPr>
        <w:sectPr>
          <w:pgSz w:w="11900" w:h="16838" w:orient="portrait"/>
          <w:cols w:equalWidth="0" w:num="2">
            <w:col w:w="6486" w:space="720"/>
            <w:col w:w="3554"/>
          </w:cols>
          <w:pgMar w:left="240" w:top="1212" w:right="89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t>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color w:val="auto"/>
        </w:rPr>
        <w:t>We discuss the following in Results of Operations:</w:t>
      </w:r>
    </w:p>
    <w:p>
      <w:pPr>
        <w:spacing w:after="0" w:line="22" w:lineRule="exact"/>
        <w:rPr>
          <w:sz w:val="20"/>
          <w:szCs w:val="20"/>
          <w:color w:val="auto"/>
        </w:rPr>
      </w:pPr>
    </w:p>
    <w:p>
      <w:pPr>
        <w:ind w:left="180" w:hanging="172"/>
        <w:spacing w:after="0"/>
        <w:tabs>
          <w:tab w:leader="none" w:pos="180" w:val="left"/>
        </w:tabs>
        <w:numPr>
          <w:ilvl w:val="0"/>
          <w:numId w:val="60"/>
        </w:numPr>
        <w:rPr>
          <w:rFonts w:ascii="Arial" w:cs="Arial" w:eastAsia="Arial" w:hAnsi="Arial"/>
          <w:sz w:val="22"/>
          <w:szCs w:val="22"/>
          <w:color w:val="auto"/>
        </w:rPr>
      </w:pPr>
      <w:r>
        <w:rPr>
          <w:rFonts w:ascii="Arial" w:cs="Arial" w:eastAsia="Arial" w:hAnsi="Arial"/>
          <w:sz w:val="22"/>
          <w:szCs w:val="22"/>
          <w:color w:val="auto"/>
        </w:rPr>
        <w:t>Overall results of our operations and factors affecting those results</w:t>
      </w:r>
    </w:p>
    <w:p>
      <w:pPr>
        <w:spacing w:after="0" w:line="30" w:lineRule="exact"/>
        <w:rPr>
          <w:rFonts w:ascii="Arial" w:cs="Arial" w:eastAsia="Arial" w:hAnsi="Arial"/>
          <w:sz w:val="22"/>
          <w:szCs w:val="22"/>
          <w:color w:val="auto"/>
        </w:rPr>
      </w:pPr>
    </w:p>
    <w:p>
      <w:pPr>
        <w:ind w:left="180" w:hanging="172"/>
        <w:spacing w:after="0"/>
        <w:tabs>
          <w:tab w:leader="none" w:pos="180" w:val="left"/>
        </w:tabs>
        <w:numPr>
          <w:ilvl w:val="0"/>
          <w:numId w:val="60"/>
        </w:numPr>
        <w:rPr>
          <w:rFonts w:ascii="Arial" w:cs="Arial" w:eastAsia="Arial" w:hAnsi="Arial"/>
          <w:sz w:val="22"/>
          <w:szCs w:val="22"/>
          <w:color w:val="auto"/>
        </w:rPr>
      </w:pPr>
      <w:r>
        <w:rPr>
          <w:rFonts w:ascii="Arial" w:cs="Arial" w:eastAsia="Arial" w:hAnsi="Arial"/>
          <w:sz w:val="22"/>
          <w:szCs w:val="22"/>
          <w:color w:val="auto"/>
        </w:rPr>
        <w:t>Our business unit results</w:t>
      </w:r>
    </w:p>
    <w:p>
      <w:pPr>
        <w:spacing w:after="0" w:line="30" w:lineRule="exact"/>
        <w:rPr>
          <w:rFonts w:ascii="Arial" w:cs="Arial" w:eastAsia="Arial" w:hAnsi="Arial"/>
          <w:sz w:val="22"/>
          <w:szCs w:val="22"/>
          <w:color w:val="auto"/>
        </w:rPr>
      </w:pPr>
    </w:p>
    <w:p>
      <w:pPr>
        <w:ind w:left="180" w:hanging="172"/>
        <w:spacing w:after="0"/>
        <w:tabs>
          <w:tab w:leader="none" w:pos="180" w:val="left"/>
        </w:tabs>
        <w:numPr>
          <w:ilvl w:val="0"/>
          <w:numId w:val="60"/>
        </w:numPr>
        <w:rPr>
          <w:rFonts w:ascii="Arial" w:cs="Arial" w:eastAsia="Arial" w:hAnsi="Arial"/>
          <w:sz w:val="22"/>
          <w:szCs w:val="22"/>
          <w:color w:val="auto"/>
        </w:rPr>
      </w:pPr>
      <w:r>
        <w:rPr>
          <w:rFonts w:ascii="Arial" w:cs="Arial" w:eastAsia="Arial" w:hAnsi="Arial"/>
          <w:sz w:val="22"/>
          <w:szCs w:val="22"/>
          <w:color w:val="auto"/>
        </w:rPr>
        <w:t>Significant changes in revenues, costs and earnings between periods</w:t>
      </w:r>
    </w:p>
    <w:p>
      <w:pPr>
        <w:spacing w:after="0" w:line="12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In the three months ended March 31, 2009, our earnings increased $74 million (31%) to $316 million primarily due to higher earnings at Sempra Commodities and SDG&amp;E.</w:t>
      </w:r>
    </w:p>
    <w:p>
      <w:pPr>
        <w:spacing w:after="0" w:line="38" w:lineRule="exact"/>
        <w:rPr>
          <w:sz w:val="20"/>
          <w:szCs w:val="20"/>
          <w:color w:val="auto"/>
        </w:rPr>
      </w:pPr>
    </w:p>
    <w:p>
      <w:pPr>
        <w:ind w:right="80"/>
        <w:spacing w:after="0" w:line="274" w:lineRule="auto"/>
        <w:rPr>
          <w:sz w:val="20"/>
          <w:szCs w:val="20"/>
          <w:color w:val="auto"/>
        </w:rPr>
      </w:pPr>
      <w:r>
        <w:rPr>
          <w:rFonts w:ascii="Arial" w:cs="Arial" w:eastAsia="Arial" w:hAnsi="Arial"/>
          <w:sz w:val="21"/>
          <w:szCs w:val="21"/>
          <w:color w:val="auto"/>
        </w:rPr>
        <w:t>Diluted earnings per share increased by $0.37 per share, $0.28 per share from increased earnings and $0.09 per share from a reduction in shares outstanding, primarily as a result of our $1 billion share repurchase in 2008.</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shows our earnings by business unit, which we discuss below in "Business Unit Results."</w:t>
      </w:r>
    </w:p>
    <w:p>
      <w:pPr>
        <w:spacing w:after="0" w:line="37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EARNINGS BY BUSINESS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831840" cy="2660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31840" cy="26606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0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09"/>
        </w:trPr>
        <w:tc>
          <w:tcPr>
            <w:tcW w:w="45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color w:val="auto"/>
              </w:rPr>
              <w:t>Three months ended March 31,</w:t>
            </w:r>
          </w:p>
        </w:tc>
        <w:tc>
          <w:tcPr>
            <w:tcW w:w="5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r>
      <w:tr>
        <w:trPr>
          <w:trHeight w:val="210"/>
        </w:trPr>
        <w:tc>
          <w:tcPr>
            <w:tcW w:w="45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6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color w:val="auto"/>
              </w:rPr>
              <w:t>2008</w:t>
            </w:r>
          </w:p>
        </w:tc>
        <w:tc>
          <w:tcPr>
            <w:tcW w:w="5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r>
      <w:tr>
        <w:trPr>
          <w:trHeight w:val="210"/>
        </w:trPr>
        <w:tc>
          <w:tcPr>
            <w:tcW w:w="4500" w:type="dxa"/>
            <w:vAlign w:val="bottom"/>
          </w:tcPr>
          <w:p>
            <w:pPr>
              <w:ind w:left="20"/>
              <w:spacing w:after="0"/>
              <w:rPr>
                <w:sz w:val="20"/>
                <w:szCs w:val="20"/>
                <w:color w:val="auto"/>
              </w:rPr>
            </w:pPr>
            <w:r>
              <w:rPr>
                <w:rFonts w:ascii="Arial" w:cs="Arial" w:eastAsia="Arial" w:hAnsi="Arial"/>
                <w:sz w:val="16"/>
                <w:szCs w:val="16"/>
                <w:color w:val="auto"/>
              </w:rPr>
              <w:t>Sempra Utilities:</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4500" w:type="dxa"/>
            <w:vAlign w:val="bottom"/>
          </w:tcPr>
          <w:p>
            <w:pPr>
              <w:ind w:left="200"/>
              <w:spacing w:after="0"/>
              <w:rPr>
                <w:sz w:val="20"/>
                <w:szCs w:val="20"/>
                <w:color w:val="auto"/>
              </w:rPr>
            </w:pPr>
            <w:r>
              <w:rPr>
                <w:rFonts w:ascii="Arial" w:cs="Arial" w:eastAsia="Arial" w:hAnsi="Arial"/>
                <w:sz w:val="16"/>
                <w:szCs w:val="16"/>
                <w:color w:val="auto"/>
              </w:rPr>
              <w:t>SDG&amp;E*</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60"/>
              <w:spacing w:after="0"/>
              <w:rPr>
                <w:sz w:val="20"/>
                <w:szCs w:val="20"/>
                <w:color w:val="auto"/>
              </w:rPr>
            </w:pPr>
            <w:r>
              <w:rPr>
                <w:rFonts w:ascii="Arial" w:cs="Arial" w:eastAsia="Arial" w:hAnsi="Arial"/>
                <w:sz w:val="16"/>
                <w:szCs w:val="16"/>
                <w:color w:val="auto"/>
              </w:rPr>
              <w:t>99</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31 %</w:t>
            </w:r>
          </w:p>
        </w:tc>
        <w:tc>
          <w:tcPr>
            <w:tcW w:w="5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20"/>
              <w:spacing w:after="0"/>
              <w:rPr>
                <w:sz w:val="20"/>
                <w:szCs w:val="20"/>
                <w:color w:val="auto"/>
              </w:rPr>
            </w:pPr>
            <w:r>
              <w:rPr>
                <w:rFonts w:ascii="Arial" w:cs="Arial" w:eastAsia="Arial" w:hAnsi="Arial"/>
                <w:sz w:val="16"/>
                <w:szCs w:val="16"/>
                <w:color w:val="auto"/>
              </w:rPr>
              <w:t>74</w:t>
            </w:r>
          </w:p>
        </w:tc>
        <w:tc>
          <w:tcPr>
            <w:tcW w:w="840" w:type="dxa"/>
            <w:vAlign w:val="bottom"/>
            <w:gridSpan w:val="2"/>
          </w:tcPr>
          <w:p>
            <w:pPr>
              <w:jc w:val="right"/>
              <w:ind w:right="99"/>
              <w:spacing w:after="0"/>
              <w:rPr>
                <w:sz w:val="20"/>
                <w:szCs w:val="20"/>
                <w:color w:val="auto"/>
              </w:rPr>
            </w:pPr>
            <w:r>
              <w:rPr>
                <w:rFonts w:ascii="Arial" w:cs="Arial" w:eastAsia="Arial" w:hAnsi="Arial"/>
                <w:sz w:val="16"/>
                <w:szCs w:val="16"/>
                <w:color w:val="auto"/>
              </w:rPr>
              <w:t>31 %</w:t>
            </w:r>
          </w:p>
        </w:tc>
      </w:tr>
      <w:tr>
        <w:trPr>
          <w:trHeight w:val="216"/>
        </w:trPr>
        <w:tc>
          <w:tcPr>
            <w:tcW w:w="4500" w:type="dxa"/>
            <w:vAlign w:val="bottom"/>
          </w:tcPr>
          <w:p>
            <w:pPr>
              <w:ind w:left="200"/>
              <w:spacing w:after="0"/>
              <w:rPr>
                <w:sz w:val="20"/>
                <w:szCs w:val="20"/>
                <w:color w:val="auto"/>
              </w:rPr>
            </w:pPr>
            <w:r>
              <w:rPr>
                <w:rFonts w:ascii="Arial" w:cs="Arial" w:eastAsia="Arial" w:hAnsi="Arial"/>
                <w:sz w:val="16"/>
                <w:szCs w:val="16"/>
                <w:color w:val="auto"/>
              </w:rPr>
              <w:t>SoCalGas*</w:t>
            </w:r>
          </w:p>
        </w:tc>
        <w:tc>
          <w:tcPr>
            <w:tcW w:w="460" w:type="dxa"/>
            <w:vAlign w:val="bottom"/>
          </w:tcPr>
          <w:p>
            <w:pPr>
              <w:spacing w:after="0"/>
              <w:rPr>
                <w:sz w:val="18"/>
                <w:szCs w:val="18"/>
                <w:color w:val="auto"/>
              </w:rPr>
            </w:pPr>
          </w:p>
        </w:tc>
        <w:tc>
          <w:tcPr>
            <w:tcW w:w="880" w:type="dxa"/>
            <w:vAlign w:val="bottom"/>
          </w:tcPr>
          <w:p>
            <w:pPr>
              <w:jc w:val="right"/>
              <w:ind w:right="160"/>
              <w:spacing w:after="0"/>
              <w:rPr>
                <w:sz w:val="20"/>
                <w:szCs w:val="20"/>
                <w:color w:val="auto"/>
              </w:rPr>
            </w:pPr>
            <w:r>
              <w:rPr>
                <w:rFonts w:ascii="Arial" w:cs="Arial" w:eastAsia="Arial" w:hAnsi="Arial"/>
                <w:sz w:val="16"/>
                <w:szCs w:val="16"/>
                <w:color w:val="auto"/>
              </w:rPr>
              <w:t>59</w:t>
            </w:r>
          </w:p>
        </w:tc>
        <w:tc>
          <w:tcPr>
            <w:tcW w:w="680" w:type="dxa"/>
            <w:vAlign w:val="bottom"/>
          </w:tcPr>
          <w:p>
            <w:pPr>
              <w:jc w:val="right"/>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ind w:right="320"/>
              <w:spacing w:after="0"/>
              <w:rPr>
                <w:sz w:val="20"/>
                <w:szCs w:val="20"/>
                <w:color w:val="auto"/>
              </w:rPr>
            </w:pPr>
            <w:r>
              <w:rPr>
                <w:rFonts w:ascii="Arial" w:cs="Arial" w:eastAsia="Arial" w:hAnsi="Arial"/>
                <w:sz w:val="16"/>
                <w:szCs w:val="16"/>
                <w:color w:val="auto"/>
              </w:rPr>
              <w:t>57</w:t>
            </w:r>
          </w:p>
        </w:tc>
        <w:tc>
          <w:tcPr>
            <w:tcW w:w="500" w:type="dxa"/>
            <w:vAlign w:val="bottom"/>
          </w:tcPr>
          <w:p>
            <w:pPr>
              <w:jc w:val="right"/>
              <w:spacing w:after="0"/>
              <w:rPr>
                <w:sz w:val="20"/>
                <w:szCs w:val="20"/>
                <w:color w:val="auto"/>
              </w:rPr>
            </w:pPr>
            <w:r>
              <w:rPr>
                <w:rFonts w:ascii="Arial" w:cs="Arial" w:eastAsia="Arial" w:hAnsi="Arial"/>
                <w:sz w:val="16"/>
                <w:szCs w:val="16"/>
                <w:color w:val="auto"/>
              </w:rPr>
              <w:t>23</w:t>
            </w:r>
          </w:p>
        </w:tc>
        <w:tc>
          <w:tcPr>
            <w:tcW w:w="340" w:type="dxa"/>
            <w:vAlign w:val="bottom"/>
          </w:tcPr>
          <w:p>
            <w:pPr>
              <w:spacing w:after="0"/>
              <w:rPr>
                <w:sz w:val="18"/>
                <w:szCs w:val="18"/>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6"/>
                <w:szCs w:val="16"/>
                <w:color w:val="auto"/>
              </w:rPr>
              <w:t>Sempra Global:</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4500" w:type="dxa"/>
            <w:vAlign w:val="bottom"/>
          </w:tcPr>
          <w:p>
            <w:pPr>
              <w:ind w:left="200"/>
              <w:spacing w:after="0"/>
              <w:rPr>
                <w:sz w:val="20"/>
                <w:szCs w:val="20"/>
                <w:color w:val="auto"/>
              </w:rPr>
            </w:pPr>
            <w:r>
              <w:rPr>
                <w:rFonts w:ascii="Arial" w:cs="Arial" w:eastAsia="Arial" w:hAnsi="Arial"/>
                <w:sz w:val="16"/>
                <w:szCs w:val="16"/>
                <w:color w:val="auto"/>
              </w:rPr>
              <w:t>Sempra Commodities**</w:t>
            </w:r>
          </w:p>
        </w:tc>
        <w:tc>
          <w:tcPr>
            <w:tcW w:w="460" w:type="dxa"/>
            <w:vAlign w:val="bottom"/>
          </w:tcPr>
          <w:p>
            <w:pPr>
              <w:spacing w:after="0"/>
              <w:rPr>
                <w:sz w:val="18"/>
                <w:szCs w:val="18"/>
                <w:color w:val="auto"/>
              </w:rPr>
            </w:pPr>
          </w:p>
        </w:tc>
        <w:tc>
          <w:tcPr>
            <w:tcW w:w="880" w:type="dxa"/>
            <w:vAlign w:val="bottom"/>
          </w:tcPr>
          <w:p>
            <w:pPr>
              <w:jc w:val="right"/>
              <w:ind w:right="160"/>
              <w:spacing w:after="0"/>
              <w:rPr>
                <w:sz w:val="20"/>
                <w:szCs w:val="20"/>
                <w:color w:val="auto"/>
              </w:rPr>
            </w:pPr>
            <w:r>
              <w:rPr>
                <w:rFonts w:ascii="Arial" w:cs="Arial" w:eastAsia="Arial" w:hAnsi="Arial"/>
                <w:sz w:val="16"/>
                <w:szCs w:val="16"/>
                <w:color w:val="auto"/>
              </w:rPr>
              <w:t>114</w:t>
            </w:r>
          </w:p>
        </w:tc>
        <w:tc>
          <w:tcPr>
            <w:tcW w:w="680" w:type="dxa"/>
            <w:vAlign w:val="bottom"/>
          </w:tcPr>
          <w:p>
            <w:pPr>
              <w:jc w:val="right"/>
              <w:spacing w:after="0"/>
              <w:rPr>
                <w:sz w:val="20"/>
                <w:szCs w:val="20"/>
                <w:color w:val="auto"/>
              </w:rPr>
            </w:pPr>
            <w:r>
              <w:rPr>
                <w:rFonts w:ascii="Arial" w:cs="Arial" w:eastAsia="Arial" w:hAnsi="Arial"/>
                <w:sz w:val="16"/>
                <w:szCs w:val="16"/>
                <w:color w:val="auto"/>
              </w:rPr>
              <w:t>36</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ind w:right="320"/>
              <w:spacing w:after="0"/>
              <w:rPr>
                <w:sz w:val="20"/>
                <w:szCs w:val="20"/>
                <w:color w:val="auto"/>
              </w:rPr>
            </w:pPr>
            <w:r>
              <w:rPr>
                <w:rFonts w:ascii="Arial" w:cs="Arial" w:eastAsia="Arial" w:hAnsi="Arial"/>
                <w:sz w:val="16"/>
                <w:szCs w:val="16"/>
                <w:color w:val="auto"/>
              </w:rPr>
              <w:t>59</w:t>
            </w:r>
          </w:p>
        </w:tc>
        <w:tc>
          <w:tcPr>
            <w:tcW w:w="500" w:type="dxa"/>
            <w:vAlign w:val="bottom"/>
          </w:tcPr>
          <w:p>
            <w:pPr>
              <w:jc w:val="right"/>
              <w:spacing w:after="0"/>
              <w:rPr>
                <w:sz w:val="20"/>
                <w:szCs w:val="20"/>
                <w:color w:val="auto"/>
              </w:rPr>
            </w:pPr>
            <w:r>
              <w:rPr>
                <w:rFonts w:ascii="Arial" w:cs="Arial" w:eastAsia="Arial" w:hAnsi="Arial"/>
                <w:sz w:val="16"/>
                <w:szCs w:val="16"/>
                <w:color w:val="auto"/>
              </w:rPr>
              <w:t>24</w:t>
            </w:r>
          </w:p>
        </w:tc>
        <w:tc>
          <w:tcPr>
            <w:tcW w:w="340" w:type="dxa"/>
            <w:vAlign w:val="bottom"/>
          </w:tcPr>
          <w:p>
            <w:pPr>
              <w:spacing w:after="0"/>
              <w:rPr>
                <w:sz w:val="18"/>
                <w:szCs w:val="18"/>
                <w:color w:val="auto"/>
              </w:rPr>
            </w:pPr>
          </w:p>
        </w:tc>
      </w:tr>
      <w:tr>
        <w:trPr>
          <w:trHeight w:val="216"/>
        </w:trPr>
        <w:tc>
          <w:tcPr>
            <w:tcW w:w="4500" w:type="dxa"/>
            <w:vAlign w:val="bottom"/>
          </w:tcPr>
          <w:p>
            <w:pPr>
              <w:ind w:left="200"/>
              <w:spacing w:after="0"/>
              <w:rPr>
                <w:sz w:val="20"/>
                <w:szCs w:val="20"/>
                <w:color w:val="auto"/>
              </w:rPr>
            </w:pPr>
            <w:r>
              <w:rPr>
                <w:rFonts w:ascii="Arial" w:cs="Arial" w:eastAsia="Arial" w:hAnsi="Arial"/>
                <w:sz w:val="16"/>
                <w:szCs w:val="16"/>
                <w:color w:val="auto"/>
              </w:rPr>
              <w:t>Sempra Generation</w:t>
            </w:r>
          </w:p>
        </w:tc>
        <w:tc>
          <w:tcPr>
            <w:tcW w:w="460" w:type="dxa"/>
            <w:vAlign w:val="bottom"/>
          </w:tcPr>
          <w:p>
            <w:pPr>
              <w:spacing w:after="0"/>
              <w:rPr>
                <w:sz w:val="18"/>
                <w:szCs w:val="18"/>
                <w:color w:val="auto"/>
              </w:rPr>
            </w:pPr>
          </w:p>
        </w:tc>
        <w:tc>
          <w:tcPr>
            <w:tcW w:w="880" w:type="dxa"/>
            <w:vAlign w:val="bottom"/>
          </w:tcPr>
          <w:p>
            <w:pPr>
              <w:jc w:val="right"/>
              <w:ind w:right="160"/>
              <w:spacing w:after="0"/>
              <w:rPr>
                <w:sz w:val="20"/>
                <w:szCs w:val="20"/>
                <w:color w:val="auto"/>
              </w:rPr>
            </w:pPr>
            <w:r>
              <w:rPr>
                <w:rFonts w:ascii="Arial" w:cs="Arial" w:eastAsia="Arial" w:hAnsi="Arial"/>
                <w:sz w:val="16"/>
                <w:szCs w:val="16"/>
                <w:color w:val="auto"/>
              </w:rPr>
              <w:t>43</w:t>
            </w:r>
          </w:p>
        </w:tc>
        <w:tc>
          <w:tcPr>
            <w:tcW w:w="680" w:type="dxa"/>
            <w:vAlign w:val="bottom"/>
          </w:tcPr>
          <w:p>
            <w:pPr>
              <w:jc w:val="right"/>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ind w:right="320"/>
              <w:spacing w:after="0"/>
              <w:rPr>
                <w:sz w:val="20"/>
                <w:szCs w:val="20"/>
                <w:color w:val="auto"/>
              </w:rPr>
            </w:pPr>
            <w:r>
              <w:rPr>
                <w:rFonts w:ascii="Arial" w:cs="Arial" w:eastAsia="Arial" w:hAnsi="Arial"/>
                <w:sz w:val="16"/>
                <w:szCs w:val="16"/>
                <w:color w:val="auto"/>
              </w:rPr>
              <w:t>45</w:t>
            </w:r>
          </w:p>
        </w:tc>
        <w:tc>
          <w:tcPr>
            <w:tcW w:w="500" w:type="dxa"/>
            <w:vAlign w:val="bottom"/>
          </w:tcPr>
          <w:p>
            <w:pPr>
              <w:jc w:val="right"/>
              <w:spacing w:after="0"/>
              <w:rPr>
                <w:sz w:val="20"/>
                <w:szCs w:val="20"/>
                <w:color w:val="auto"/>
              </w:rPr>
            </w:pPr>
            <w:r>
              <w:rPr>
                <w:rFonts w:ascii="Arial" w:cs="Arial" w:eastAsia="Arial" w:hAnsi="Arial"/>
                <w:sz w:val="16"/>
                <w:szCs w:val="16"/>
                <w:color w:val="auto"/>
              </w:rPr>
              <w:t>19</w:t>
            </w:r>
          </w:p>
        </w:tc>
        <w:tc>
          <w:tcPr>
            <w:tcW w:w="340" w:type="dxa"/>
            <w:vAlign w:val="bottom"/>
          </w:tcPr>
          <w:p>
            <w:pPr>
              <w:spacing w:after="0"/>
              <w:rPr>
                <w:sz w:val="18"/>
                <w:szCs w:val="18"/>
                <w:color w:val="auto"/>
              </w:rPr>
            </w:pPr>
          </w:p>
        </w:tc>
      </w:tr>
      <w:tr>
        <w:trPr>
          <w:trHeight w:val="216"/>
        </w:trPr>
        <w:tc>
          <w:tcPr>
            <w:tcW w:w="4500" w:type="dxa"/>
            <w:vAlign w:val="bottom"/>
          </w:tcPr>
          <w:p>
            <w:pPr>
              <w:ind w:left="200"/>
              <w:spacing w:after="0"/>
              <w:rPr>
                <w:sz w:val="20"/>
                <w:szCs w:val="20"/>
                <w:color w:val="auto"/>
              </w:rPr>
            </w:pPr>
            <w:r>
              <w:rPr>
                <w:rFonts w:ascii="Arial" w:cs="Arial" w:eastAsia="Arial" w:hAnsi="Arial"/>
                <w:sz w:val="16"/>
                <w:szCs w:val="16"/>
                <w:color w:val="auto"/>
              </w:rPr>
              <w:t>Sempra Pipelines &amp; Storage</w:t>
            </w:r>
          </w:p>
        </w:tc>
        <w:tc>
          <w:tcPr>
            <w:tcW w:w="460" w:type="dxa"/>
            <w:vAlign w:val="bottom"/>
          </w:tcPr>
          <w:p>
            <w:pPr>
              <w:spacing w:after="0"/>
              <w:rPr>
                <w:sz w:val="18"/>
                <w:szCs w:val="18"/>
                <w:color w:val="auto"/>
              </w:rPr>
            </w:pPr>
          </w:p>
        </w:tc>
        <w:tc>
          <w:tcPr>
            <w:tcW w:w="880" w:type="dxa"/>
            <w:vAlign w:val="bottom"/>
          </w:tcPr>
          <w:p>
            <w:pPr>
              <w:jc w:val="right"/>
              <w:ind w:right="160"/>
              <w:spacing w:after="0"/>
              <w:rPr>
                <w:sz w:val="20"/>
                <w:szCs w:val="20"/>
                <w:color w:val="auto"/>
              </w:rPr>
            </w:pPr>
            <w:r>
              <w:rPr>
                <w:rFonts w:ascii="Arial" w:cs="Arial" w:eastAsia="Arial" w:hAnsi="Arial"/>
                <w:sz w:val="16"/>
                <w:szCs w:val="16"/>
                <w:color w:val="auto"/>
              </w:rPr>
              <w:t>37</w:t>
            </w:r>
          </w:p>
        </w:tc>
        <w:tc>
          <w:tcPr>
            <w:tcW w:w="680" w:type="dxa"/>
            <w:vAlign w:val="bottom"/>
          </w:tcPr>
          <w:p>
            <w:pPr>
              <w:jc w:val="right"/>
              <w:spacing w:after="0"/>
              <w:rPr>
                <w:sz w:val="20"/>
                <w:szCs w:val="20"/>
                <w:color w:val="auto"/>
              </w:rPr>
            </w:pPr>
            <w:r>
              <w:rPr>
                <w:rFonts w:ascii="Arial" w:cs="Arial" w:eastAsia="Arial" w:hAnsi="Arial"/>
                <w:sz w:val="16"/>
                <w:szCs w:val="16"/>
                <w:color w:val="auto"/>
              </w:rPr>
              <w:t>12</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ind w:right="320"/>
              <w:spacing w:after="0"/>
              <w:rPr>
                <w:sz w:val="20"/>
                <w:szCs w:val="20"/>
                <w:color w:val="auto"/>
              </w:rPr>
            </w:pPr>
            <w:r>
              <w:rPr>
                <w:rFonts w:ascii="Arial" w:cs="Arial" w:eastAsia="Arial" w:hAnsi="Arial"/>
                <w:sz w:val="16"/>
                <w:szCs w:val="16"/>
                <w:color w:val="auto"/>
              </w:rPr>
              <w:t>26</w:t>
            </w:r>
          </w:p>
        </w:tc>
        <w:tc>
          <w:tcPr>
            <w:tcW w:w="500" w:type="dxa"/>
            <w:vAlign w:val="bottom"/>
          </w:tcPr>
          <w:p>
            <w:pPr>
              <w:jc w:val="right"/>
              <w:spacing w:after="0"/>
              <w:rPr>
                <w:sz w:val="20"/>
                <w:szCs w:val="20"/>
                <w:color w:val="auto"/>
              </w:rPr>
            </w:pPr>
            <w:r>
              <w:rPr>
                <w:rFonts w:ascii="Arial" w:cs="Arial" w:eastAsia="Arial" w:hAnsi="Arial"/>
                <w:sz w:val="16"/>
                <w:szCs w:val="16"/>
                <w:color w:val="auto"/>
              </w:rPr>
              <w:t>11</w:t>
            </w:r>
          </w:p>
        </w:tc>
        <w:tc>
          <w:tcPr>
            <w:tcW w:w="340" w:type="dxa"/>
            <w:vAlign w:val="bottom"/>
          </w:tcPr>
          <w:p>
            <w:pPr>
              <w:spacing w:after="0"/>
              <w:rPr>
                <w:sz w:val="18"/>
                <w:szCs w:val="18"/>
                <w:color w:val="auto"/>
              </w:rPr>
            </w:pPr>
          </w:p>
        </w:tc>
      </w:tr>
      <w:tr>
        <w:trPr>
          <w:trHeight w:val="216"/>
        </w:trPr>
        <w:tc>
          <w:tcPr>
            <w:tcW w:w="4500" w:type="dxa"/>
            <w:vAlign w:val="bottom"/>
          </w:tcPr>
          <w:p>
            <w:pPr>
              <w:ind w:left="200"/>
              <w:spacing w:after="0"/>
              <w:rPr>
                <w:sz w:val="20"/>
                <w:szCs w:val="20"/>
                <w:color w:val="auto"/>
              </w:rPr>
            </w:pPr>
            <w:r>
              <w:rPr>
                <w:rFonts w:ascii="Arial" w:cs="Arial" w:eastAsia="Arial" w:hAnsi="Arial"/>
                <w:sz w:val="16"/>
                <w:szCs w:val="16"/>
                <w:color w:val="auto"/>
              </w:rPr>
              <w:t>Sempra LNG</w:t>
            </w:r>
          </w:p>
        </w:tc>
        <w:tc>
          <w:tcPr>
            <w:tcW w:w="460" w:type="dxa"/>
            <w:vAlign w:val="bottom"/>
          </w:tcPr>
          <w:p>
            <w:pPr>
              <w:spacing w:after="0"/>
              <w:rPr>
                <w:sz w:val="18"/>
                <w:szCs w:val="18"/>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(7)</w:t>
            </w: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ind w:right="280"/>
              <w:spacing w:after="0"/>
              <w:rPr>
                <w:sz w:val="20"/>
                <w:szCs w:val="20"/>
                <w:color w:val="auto"/>
              </w:rPr>
            </w:pPr>
            <w:r>
              <w:rPr>
                <w:rFonts w:ascii="Arial" w:cs="Arial" w:eastAsia="Arial" w:hAnsi="Arial"/>
                <w:sz w:val="16"/>
                <w:szCs w:val="16"/>
                <w:color w:val="auto"/>
              </w:rPr>
              <w:t>(9)</w:t>
            </w:r>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c>
          <w:tcPr>
            <w:tcW w:w="340" w:type="dxa"/>
            <w:vAlign w:val="bottom"/>
          </w:tcPr>
          <w:p>
            <w:pPr>
              <w:spacing w:after="0"/>
              <w:rPr>
                <w:sz w:val="18"/>
                <w:szCs w:val="18"/>
                <w:color w:val="auto"/>
              </w:rPr>
            </w:pPr>
          </w:p>
        </w:tc>
      </w:tr>
      <w:tr>
        <w:trPr>
          <w:trHeight w:val="222"/>
        </w:trPr>
        <w:tc>
          <w:tcPr>
            <w:tcW w:w="4500" w:type="dxa"/>
            <w:vAlign w:val="bottom"/>
          </w:tcPr>
          <w:p>
            <w:pPr>
              <w:ind w:left="20"/>
              <w:spacing w:after="0"/>
              <w:rPr>
                <w:sz w:val="20"/>
                <w:szCs w:val="20"/>
                <w:color w:val="auto"/>
              </w:rPr>
            </w:pPr>
            <w:r>
              <w:rPr>
                <w:rFonts w:ascii="Arial" w:cs="Arial" w:eastAsia="Arial" w:hAnsi="Arial"/>
                <w:sz w:val="16"/>
                <w:szCs w:val="16"/>
                <w:color w:val="auto"/>
              </w:rPr>
              <w:t>Parent and other***</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(10)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340" w:type="dxa"/>
            <w:vAlign w:val="bottom"/>
            <w:tcBorders>
              <w:bottom w:val="single" w:sz="8" w:color="auto"/>
            </w:tcBorders>
          </w:tcPr>
          <w:p>
            <w:pPr>
              <w:spacing w:after="0"/>
              <w:rPr>
                <w:sz w:val="19"/>
                <w:szCs w:val="19"/>
                <w:color w:val="auto"/>
              </w:rPr>
            </w:pPr>
          </w:p>
        </w:tc>
      </w:tr>
      <w:tr>
        <w:trPr>
          <w:trHeight w:val="207"/>
        </w:trPr>
        <w:tc>
          <w:tcPr>
            <w:tcW w:w="4500" w:type="dxa"/>
            <w:vAlign w:val="bottom"/>
          </w:tcPr>
          <w:p>
            <w:pPr>
              <w:ind w:left="20"/>
              <w:spacing w:after="0"/>
              <w:rPr>
                <w:sz w:val="20"/>
                <w:szCs w:val="20"/>
                <w:color w:val="auto"/>
              </w:rPr>
            </w:pPr>
            <w:r>
              <w:rPr>
                <w:rFonts w:ascii="Arial" w:cs="Arial" w:eastAsia="Arial" w:hAnsi="Arial"/>
                <w:sz w:val="16"/>
                <w:szCs w:val="16"/>
                <w:color w:val="auto"/>
              </w:rPr>
              <w:t>Earnings</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60"/>
              <w:spacing w:after="0"/>
              <w:rPr>
                <w:sz w:val="20"/>
                <w:szCs w:val="20"/>
                <w:color w:val="auto"/>
              </w:rPr>
            </w:pPr>
            <w:r>
              <w:rPr>
                <w:rFonts w:ascii="Arial" w:cs="Arial" w:eastAsia="Arial" w:hAnsi="Arial"/>
                <w:sz w:val="16"/>
                <w:szCs w:val="16"/>
                <w:color w:val="auto"/>
              </w:rPr>
              <w:t>316</w:t>
            </w:r>
          </w:p>
        </w:tc>
        <w:tc>
          <w:tcPr>
            <w:tcW w:w="6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5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20"/>
              <w:spacing w:after="0"/>
              <w:rPr>
                <w:sz w:val="20"/>
                <w:szCs w:val="20"/>
                <w:color w:val="auto"/>
              </w:rPr>
            </w:pPr>
            <w:r>
              <w:rPr>
                <w:rFonts w:ascii="Arial" w:cs="Arial" w:eastAsia="Arial" w:hAnsi="Arial"/>
                <w:sz w:val="16"/>
                <w:szCs w:val="16"/>
                <w:color w:val="auto"/>
              </w:rPr>
              <w:t>242</w:t>
            </w:r>
          </w:p>
        </w:tc>
        <w:tc>
          <w:tcPr>
            <w:tcW w:w="500" w:type="dxa"/>
            <w:vAlign w:val="bottom"/>
          </w:tcPr>
          <w:p>
            <w:pPr>
              <w:jc w:val="right"/>
              <w:spacing w:after="0"/>
              <w:rPr>
                <w:sz w:val="20"/>
                <w:szCs w:val="20"/>
                <w:color w:val="auto"/>
              </w:rPr>
            </w:pPr>
            <w:r>
              <w:rPr>
                <w:rFonts w:ascii="Arial" w:cs="Arial" w:eastAsia="Arial" w:hAnsi="Arial"/>
                <w:sz w:val="16"/>
                <w:szCs w:val="16"/>
                <w:color w:val="auto"/>
              </w:rPr>
              <w:t>100</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w w:val="98"/>
              </w:rPr>
              <w:t>%</w:t>
            </w:r>
          </w:p>
        </w:tc>
      </w:tr>
      <w:tr>
        <w:trPr>
          <w:trHeight w:val="84"/>
        </w:trPr>
        <w:tc>
          <w:tcPr>
            <w:tcW w:w="450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68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560" w:type="dxa"/>
            <w:vAlign w:val="bottom"/>
            <w:shd w:val="clear" w:color="auto" w:fill="000000"/>
          </w:tcPr>
          <w:p>
            <w:pPr>
              <w:spacing w:after="0"/>
              <w:rPr>
                <w:sz w:val="7"/>
                <w:szCs w:val="7"/>
                <w:color w:val="auto"/>
              </w:rPr>
            </w:pPr>
          </w:p>
        </w:tc>
        <w:tc>
          <w:tcPr>
            <w:tcW w:w="104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500" w:hanging="478"/>
        <w:spacing w:after="0"/>
        <w:tabs>
          <w:tab w:leader="none" w:pos="500" w:val="left"/>
        </w:tabs>
        <w:numPr>
          <w:ilvl w:val="0"/>
          <w:numId w:val="61"/>
        </w:numPr>
        <w:rPr>
          <w:rFonts w:ascii="Arial" w:cs="Arial" w:eastAsia="Arial" w:hAnsi="Arial"/>
          <w:sz w:val="14"/>
          <w:szCs w:val="14"/>
          <w:color w:val="auto"/>
        </w:rPr>
      </w:pPr>
      <w:r>
        <w:rPr>
          <w:rFonts w:ascii="Arial" w:cs="Arial" w:eastAsia="Arial" w:hAnsi="Arial"/>
          <w:sz w:val="14"/>
          <w:szCs w:val="14"/>
          <w:i w:val="1"/>
          <w:iCs w:val="1"/>
          <w:color w:val="auto"/>
        </w:rPr>
        <w:t>After preferred dividends.</w:t>
      </w:r>
    </w:p>
    <w:p>
      <w:pPr>
        <w:spacing w:after="0" w:line="42" w:lineRule="exact"/>
        <w:rPr>
          <w:sz w:val="20"/>
          <w:szCs w:val="20"/>
          <w:color w:val="auto"/>
        </w:rPr>
      </w:pPr>
    </w:p>
    <w:p>
      <w:pPr>
        <w:ind w:left="500" w:right="1780" w:hanging="478"/>
        <w:spacing w:after="0" w:line="275" w:lineRule="auto"/>
        <w:tabs>
          <w:tab w:leader="none" w:pos="500" w:val="left"/>
        </w:tabs>
        <w:numPr>
          <w:ilvl w:val="0"/>
          <w:numId w:val="62"/>
        </w:numPr>
        <w:rPr>
          <w:rFonts w:ascii="Arial" w:cs="Arial" w:eastAsia="Arial" w:hAnsi="Arial"/>
          <w:sz w:val="14"/>
          <w:szCs w:val="14"/>
          <w:color w:val="auto"/>
        </w:rPr>
      </w:pPr>
      <w:r>
        <w:rPr>
          <w:rFonts w:ascii="Arial" w:cs="Arial" w:eastAsia="Arial" w:hAnsi="Arial"/>
          <w:sz w:val="14"/>
          <w:szCs w:val="14"/>
          <w:i w:val="1"/>
          <w:iCs w:val="1"/>
          <w:color w:val="auto"/>
        </w:rPr>
        <w:t>Results for 2009 include our portion of RBS Sempra Commodities' joint venture earnings and interest, income taxes, cost allocations and other items associated with the joint venture. Results for 2008 include 100% of the commodities-marketing businesses. Both 2009 and 2008 include the results of Sempra Rockies Marketing.</w:t>
      </w:r>
    </w:p>
    <w:p>
      <w:pPr>
        <w:ind w:left="500" w:right="1760" w:hanging="478"/>
        <w:spacing w:after="0" w:line="299" w:lineRule="auto"/>
        <w:tabs>
          <w:tab w:leader="none" w:pos="500" w:val="left"/>
        </w:tabs>
        <w:numPr>
          <w:ilvl w:val="0"/>
          <w:numId w:val="63"/>
        </w:numPr>
        <w:rPr>
          <w:rFonts w:ascii="Arial" w:cs="Arial" w:eastAsia="Arial" w:hAnsi="Arial"/>
          <w:sz w:val="14"/>
          <w:szCs w:val="14"/>
          <w:color w:val="auto"/>
        </w:rPr>
      </w:pPr>
      <w:r>
        <w:rPr>
          <w:rFonts w:ascii="Arial" w:cs="Arial" w:eastAsia="Arial" w:hAnsi="Arial"/>
          <w:sz w:val="14"/>
          <w:szCs w:val="14"/>
          <w:i w:val="1"/>
          <w:iCs w:val="1"/>
          <w:color w:val="auto"/>
        </w:rPr>
        <w:t>Includes after-tax interest expense ($34 million for the three months ended March 31, 2009 and $15 million for the three months ended March 31, 2008), intercompany eliminations recorded in consolidation and certain corporate costs incurred at Sempra Global.</w:t>
      </w:r>
    </w:p>
    <w:p>
      <w:pPr>
        <w:sectPr>
          <w:pgSz w:w="11900" w:h="16838" w:orient="portrait"/>
          <w:cols w:equalWidth="0" w:num="1">
            <w:col w:w="10820"/>
          </w:cols>
          <w:pgMar w:left="240" w:top="595" w:right="839" w:bottom="1440" w:gutter="0" w:footer="0" w:header="0"/>
        </w:sectPr>
      </w:pPr>
    </w:p>
    <w:bookmarkStart w:id="63" w:name="page64"/>
    <w:bookmarkEnd w:id="63"/>
    <w:p>
      <w:pPr>
        <w:spacing w:after="0"/>
        <w:rPr>
          <w:sz w:val="20"/>
          <w:szCs w:val="20"/>
          <w:color w:val="auto"/>
        </w:rPr>
      </w:pPr>
      <w:r>
        <w:rPr>
          <w:rFonts w:ascii="Arial" w:cs="Arial" w:eastAsia="Arial" w:hAnsi="Arial"/>
          <w:sz w:val="22"/>
          <w:szCs w:val="22"/>
          <w:b w:val="1"/>
          <w:bCs w:val="1"/>
          <w:color w:val="auto"/>
        </w:rPr>
        <w:t>BUSINESS UNIT RESULTS</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color w:val="auto"/>
        </w:rPr>
        <w:t>The following section is a discussion of earnings by business unit, as it appears 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5385435" cy="274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385435" cy="274320"/>
                    </a:xfrm>
                    <a:prstGeom prst="rect">
                      <a:avLst/>
                    </a:prstGeom>
                    <a:noFill/>
                  </pic:spPr>
                </pic:pic>
              </a:graphicData>
            </a:graphic>
          </wp:anchor>
        </w:drawing>
      </w:r>
    </w:p>
    <w:p>
      <w:pPr>
        <w:spacing w:after="0" w:line="28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BUSINESS UNIT EARNINGS -- SEMPRA UTILITIES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4931410" cy="18611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931410" cy="186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SDG&amp;E business unit earnings were</w:t>
      </w:r>
    </w:p>
    <w:p>
      <w:pPr>
        <w:spacing w:after="0" w:line="31" w:lineRule="exact"/>
        <w:rPr>
          <w:sz w:val="20"/>
          <w:szCs w:val="20"/>
          <w:color w:val="auto"/>
        </w:rPr>
      </w:pPr>
    </w:p>
    <w:p>
      <w:pPr>
        <w:ind w:left="180" w:hanging="172"/>
        <w:spacing w:after="0"/>
        <w:tabs>
          <w:tab w:leader="none" w:pos="1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$99 million in the first three months of 2009 ($100 million before preferred dividends)</w:t>
      </w:r>
    </w:p>
    <w:p>
      <w:pPr>
        <w:spacing w:after="0" w:line="21" w:lineRule="exact"/>
        <w:rPr>
          <w:rFonts w:ascii="Arial" w:cs="Arial" w:eastAsia="Arial" w:hAnsi="Arial"/>
          <w:sz w:val="22"/>
          <w:szCs w:val="22"/>
          <w:color w:val="auto"/>
        </w:rPr>
      </w:pPr>
    </w:p>
    <w:p>
      <w:pPr>
        <w:ind w:left="180" w:hanging="172"/>
        <w:spacing w:after="0"/>
        <w:tabs>
          <w:tab w:leader="none" w:pos="1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$74 million in the first three months of 2008 ($75 million before preferred dividends)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auto"/>
        </w:rPr>
        <w:t>The increase of $25 million (34%) was due to:</w:t>
      </w:r>
    </w:p>
    <w:p>
      <w:pPr>
        <w:spacing w:after="0" w:line="31" w:lineRule="exact"/>
        <w:rPr>
          <w:sz w:val="20"/>
          <w:szCs w:val="20"/>
          <w:color w:val="auto"/>
        </w:rPr>
      </w:pPr>
    </w:p>
    <w:p>
      <w:pPr>
        <w:ind w:left="180" w:right="720" w:hanging="172"/>
        <w:spacing w:after="0" w:line="249" w:lineRule="auto"/>
        <w:tabs>
          <w:tab w:leader="none" w:pos="180" w:val="left"/>
        </w:tabs>
        <w:numPr>
          <w:ilvl w:val="0"/>
          <w:numId w:val="65"/>
        </w:numPr>
        <w:rPr>
          <w:rFonts w:ascii="Arial" w:cs="Arial" w:eastAsia="Arial" w:hAnsi="Arial"/>
          <w:sz w:val="22"/>
          <w:szCs w:val="22"/>
          <w:color w:val="auto"/>
        </w:rPr>
      </w:pPr>
      <w:r>
        <w:rPr>
          <w:rFonts w:ascii="Arial" w:cs="Arial" w:eastAsia="Arial" w:hAnsi="Arial"/>
          <w:sz w:val="22"/>
          <w:szCs w:val="22"/>
          <w:color w:val="auto"/>
        </w:rPr>
        <w:t>$16 million higher authorized margin due to the implementation of the 2008 General Rate Case (GRC) decision in the third quarter 2008;</w:t>
      </w:r>
    </w:p>
    <w:p>
      <w:pPr>
        <w:spacing w:after="0" w:line="1" w:lineRule="exact"/>
        <w:rPr>
          <w:rFonts w:ascii="Arial" w:cs="Arial" w:eastAsia="Arial" w:hAnsi="Arial"/>
          <w:sz w:val="22"/>
          <w:szCs w:val="22"/>
          <w:color w:val="auto"/>
        </w:rPr>
      </w:pPr>
    </w:p>
    <w:p>
      <w:pPr>
        <w:ind w:left="180" w:hanging="172"/>
        <w:spacing w:after="0"/>
        <w:tabs>
          <w:tab w:leader="none" w:pos="180" w:val="left"/>
        </w:tabs>
        <w:numPr>
          <w:ilvl w:val="0"/>
          <w:numId w:val="65"/>
        </w:numPr>
        <w:rPr>
          <w:rFonts w:ascii="Arial" w:cs="Arial" w:eastAsia="Arial" w:hAnsi="Arial"/>
          <w:sz w:val="22"/>
          <w:szCs w:val="22"/>
          <w:color w:val="auto"/>
        </w:rPr>
      </w:pPr>
      <w:r>
        <w:rPr>
          <w:rFonts w:ascii="Arial" w:cs="Arial" w:eastAsia="Arial" w:hAnsi="Arial"/>
          <w:sz w:val="22"/>
          <w:szCs w:val="22"/>
          <w:color w:val="auto"/>
        </w:rPr>
        <w:t>$8 million higher CPUC authorized margin and lower operation and maintenance expenses; and</w:t>
      </w:r>
    </w:p>
    <w:p>
      <w:pPr>
        <w:spacing w:after="0" w:line="21" w:lineRule="exact"/>
        <w:rPr>
          <w:rFonts w:ascii="Arial" w:cs="Arial" w:eastAsia="Arial" w:hAnsi="Arial"/>
          <w:sz w:val="22"/>
          <w:szCs w:val="22"/>
          <w:color w:val="auto"/>
        </w:rPr>
      </w:pPr>
    </w:p>
    <w:p>
      <w:pPr>
        <w:ind w:left="180" w:hanging="172"/>
        <w:spacing w:after="0"/>
        <w:tabs>
          <w:tab w:leader="none" w:pos="180" w:val="left"/>
        </w:tabs>
        <w:numPr>
          <w:ilvl w:val="0"/>
          <w:numId w:val="65"/>
        </w:numPr>
        <w:rPr>
          <w:rFonts w:ascii="Arial" w:cs="Arial" w:eastAsia="Arial" w:hAnsi="Arial"/>
          <w:sz w:val="22"/>
          <w:szCs w:val="22"/>
          <w:color w:val="auto"/>
        </w:rPr>
      </w:pPr>
      <w:r>
        <w:rPr>
          <w:rFonts w:ascii="Arial" w:cs="Arial" w:eastAsia="Arial" w:hAnsi="Arial"/>
          <w:sz w:val="22"/>
          <w:szCs w:val="22"/>
          <w:color w:val="auto"/>
        </w:rPr>
        <w:t xml:space="preserve">$6 million primarily from the favorable resolution of litigation in 2009; </w:t>
      </w:r>
      <w:r>
        <w:rPr>
          <w:rFonts w:ascii="Arial" w:cs="Arial" w:eastAsia="Arial" w:hAnsi="Arial"/>
          <w:sz w:val="22"/>
          <w:szCs w:val="22"/>
          <w:b w:val="1"/>
          <w:bCs w:val="1"/>
          <w:color w:val="auto"/>
        </w:rPr>
        <w:t>offset by</w:t>
      </w:r>
    </w:p>
    <w:p>
      <w:pPr>
        <w:spacing w:after="0" w:line="30" w:lineRule="exact"/>
        <w:rPr>
          <w:rFonts w:ascii="Arial" w:cs="Arial" w:eastAsia="Arial" w:hAnsi="Arial"/>
          <w:sz w:val="22"/>
          <w:szCs w:val="22"/>
          <w:color w:val="auto"/>
        </w:rPr>
      </w:pPr>
    </w:p>
    <w:p>
      <w:pPr>
        <w:ind w:left="180" w:hanging="172"/>
        <w:spacing w:after="0"/>
        <w:tabs>
          <w:tab w:leader="none" w:pos="180" w:val="left"/>
        </w:tabs>
        <w:numPr>
          <w:ilvl w:val="0"/>
          <w:numId w:val="65"/>
        </w:numPr>
        <w:rPr>
          <w:rFonts w:ascii="Arial" w:cs="Arial" w:eastAsia="Arial" w:hAnsi="Arial"/>
          <w:sz w:val="22"/>
          <w:szCs w:val="22"/>
          <w:color w:val="auto"/>
        </w:rPr>
      </w:pPr>
      <w:r>
        <w:rPr>
          <w:rFonts w:ascii="Arial" w:cs="Arial" w:eastAsia="Arial" w:hAnsi="Arial"/>
          <w:sz w:val="22"/>
          <w:szCs w:val="22"/>
          <w:color w:val="auto"/>
        </w:rPr>
        <w:t>$9 million from the favorable resolution of prior years' income tax issues in 2008.</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color w:val="auto"/>
        </w:rPr>
        <w:t>SoCalGas business unit earnings were</w:t>
      </w:r>
    </w:p>
    <w:p>
      <w:pPr>
        <w:spacing w:after="0" w:line="31" w:lineRule="exact"/>
        <w:rPr>
          <w:sz w:val="20"/>
          <w:szCs w:val="20"/>
          <w:color w:val="auto"/>
        </w:rPr>
      </w:pPr>
    </w:p>
    <w:p>
      <w:pPr>
        <w:ind w:left="180" w:hanging="172"/>
        <w:spacing w:after="0"/>
        <w:tabs>
          <w:tab w:leader="none" w:pos="180" w:val="left"/>
        </w:tabs>
        <w:numPr>
          <w:ilvl w:val="0"/>
          <w:numId w:val="66"/>
        </w:numPr>
        <w:rPr>
          <w:rFonts w:ascii="Arial" w:cs="Arial" w:eastAsia="Arial" w:hAnsi="Arial"/>
          <w:sz w:val="22"/>
          <w:szCs w:val="22"/>
          <w:color w:val="auto"/>
        </w:rPr>
      </w:pPr>
      <w:r>
        <w:rPr>
          <w:rFonts w:ascii="Arial" w:cs="Arial" w:eastAsia="Arial" w:hAnsi="Arial"/>
          <w:sz w:val="22"/>
          <w:szCs w:val="22"/>
          <w:color w:val="auto"/>
        </w:rPr>
        <w:t>$59 million in the first three months of 2009</w:t>
      </w:r>
    </w:p>
    <w:p>
      <w:pPr>
        <w:spacing w:after="0" w:line="35" w:lineRule="exact"/>
        <w:rPr>
          <w:rFonts w:ascii="Arial" w:cs="Arial" w:eastAsia="Arial" w:hAnsi="Arial"/>
          <w:sz w:val="22"/>
          <w:szCs w:val="22"/>
          <w:color w:val="auto"/>
        </w:rPr>
      </w:pPr>
    </w:p>
    <w:p>
      <w:pPr>
        <w:ind w:left="180" w:hanging="172"/>
        <w:spacing w:after="0"/>
        <w:tabs>
          <w:tab w:leader="none" w:pos="180" w:val="left"/>
        </w:tabs>
        <w:numPr>
          <w:ilvl w:val="0"/>
          <w:numId w:val="66"/>
        </w:numPr>
        <w:rPr>
          <w:rFonts w:ascii="Arial" w:cs="Arial" w:eastAsia="Arial" w:hAnsi="Arial"/>
          <w:sz w:val="22"/>
          <w:szCs w:val="22"/>
          <w:color w:val="auto"/>
        </w:rPr>
      </w:pPr>
      <w:r>
        <w:rPr>
          <w:rFonts w:ascii="Arial" w:cs="Arial" w:eastAsia="Arial" w:hAnsi="Arial"/>
          <w:sz w:val="22"/>
          <w:szCs w:val="22"/>
          <w:color w:val="auto"/>
        </w:rPr>
        <w:t>$57 million in the first three months of 2008</w:t>
      </w:r>
    </w:p>
    <w:p>
      <w:pPr>
        <w:spacing w:after="0" w:line="12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increase of $2 million (4%) was due to $3 million higher authorized margin due to the implementation of the 2008 GRC decision in the third quarter 2008.</w:t>
      </w:r>
    </w:p>
    <w:p>
      <w:pPr>
        <w:sectPr>
          <w:pgSz w:w="11900" w:h="16838" w:orient="portrait"/>
          <w:cols w:equalWidth="0" w:num="1">
            <w:col w:w="10780"/>
          </w:cols>
          <w:pgMar w:left="240" w:top="418" w:right="879" w:bottom="1440" w:gutter="0" w:footer="0" w:header="0"/>
        </w:sectPr>
      </w:pPr>
    </w:p>
    <w:bookmarkStart w:id="64" w:name="page65"/>
    <w:bookmarkEnd w:id="64"/>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5385435" cy="274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385435" cy="274320"/>
                    </a:xfrm>
                    <a:prstGeom prst="rect">
                      <a:avLst/>
                    </a:prstGeom>
                    <a:noFill/>
                  </pic:spPr>
                </pic:pic>
              </a:graphicData>
            </a:graphic>
          </wp:anchor>
        </w:drawing>
        <w:t>BUSINESS UNIT EARNINGS (LOSSES) -- SEMPRA GLOBAL</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5685790" cy="19037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85790"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Commodities</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color w:val="auto"/>
        </w:rPr>
        <w:t>Sempra Commodities recorded business unit earnings of:</w:t>
      </w:r>
    </w:p>
    <w:p>
      <w:pPr>
        <w:spacing w:after="0" w:line="31" w:lineRule="exact"/>
        <w:rPr>
          <w:sz w:val="20"/>
          <w:szCs w:val="20"/>
          <w:color w:val="auto"/>
        </w:rPr>
      </w:pPr>
    </w:p>
    <w:p>
      <w:pPr>
        <w:ind w:left="180" w:hanging="172"/>
        <w:spacing w:after="0"/>
        <w:tabs>
          <w:tab w:leader="none" w:pos="180" w:val="left"/>
        </w:tabs>
        <w:numPr>
          <w:ilvl w:val="0"/>
          <w:numId w:val="67"/>
        </w:numPr>
        <w:rPr>
          <w:rFonts w:ascii="Arial" w:cs="Arial" w:eastAsia="Arial" w:hAnsi="Arial"/>
          <w:sz w:val="22"/>
          <w:szCs w:val="22"/>
          <w:color w:val="auto"/>
        </w:rPr>
      </w:pPr>
      <w:r>
        <w:rPr>
          <w:rFonts w:ascii="Arial" w:cs="Arial" w:eastAsia="Arial" w:hAnsi="Arial"/>
          <w:sz w:val="22"/>
          <w:szCs w:val="22"/>
          <w:color w:val="auto"/>
        </w:rPr>
        <w:t>$114 million in the first three months of 2009</w:t>
      </w:r>
    </w:p>
    <w:p>
      <w:pPr>
        <w:spacing w:after="0" w:line="35" w:lineRule="exact"/>
        <w:rPr>
          <w:rFonts w:ascii="Arial" w:cs="Arial" w:eastAsia="Arial" w:hAnsi="Arial"/>
          <w:sz w:val="22"/>
          <w:szCs w:val="22"/>
          <w:color w:val="auto"/>
        </w:rPr>
      </w:pPr>
    </w:p>
    <w:p>
      <w:pPr>
        <w:ind w:left="180" w:hanging="172"/>
        <w:spacing w:after="0"/>
        <w:tabs>
          <w:tab w:leader="none" w:pos="180" w:val="left"/>
        </w:tabs>
        <w:numPr>
          <w:ilvl w:val="0"/>
          <w:numId w:val="67"/>
        </w:numPr>
        <w:rPr>
          <w:rFonts w:ascii="Arial" w:cs="Arial" w:eastAsia="Arial" w:hAnsi="Arial"/>
          <w:sz w:val="22"/>
          <w:szCs w:val="22"/>
          <w:color w:val="auto"/>
        </w:rPr>
      </w:pPr>
      <w:r>
        <w:rPr>
          <w:rFonts w:ascii="Arial" w:cs="Arial" w:eastAsia="Arial" w:hAnsi="Arial"/>
          <w:sz w:val="22"/>
          <w:szCs w:val="22"/>
          <w:color w:val="auto"/>
        </w:rPr>
        <w:t>$59 million in the first three months of 2008</w:t>
      </w:r>
    </w:p>
    <w:p>
      <w:pPr>
        <w:spacing w:after="0" w:line="121"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Results for the first quarter of 2009 primarily represent our equity earnings from RBS Sempra Commodities, formed on April 1, 2008. Results for the first quarter of 2008 represent 100% of the commodities-marketing businesses' earnings until the formation of the joint venture. The 2008 results included a $17 million write-down related to a counterparty credit issue.</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Generation</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Sempra Generation recorded business unit earnings of:</w:t>
      </w:r>
    </w:p>
    <w:p>
      <w:pPr>
        <w:spacing w:after="0" w:line="31"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$43 million in the first three months of 2009</w:t>
      </w:r>
    </w:p>
    <w:p>
      <w:pPr>
        <w:spacing w:after="0" w:line="21" w:lineRule="exact"/>
        <w:rPr>
          <w:rFonts w:ascii="Arial" w:cs="Arial" w:eastAsia="Arial" w:hAnsi="Arial"/>
          <w:sz w:val="22"/>
          <w:szCs w:val="22"/>
          <w:color w:val="auto"/>
        </w:rPr>
      </w:pPr>
    </w:p>
    <w:p>
      <w:pPr>
        <w:ind w:left="180" w:hanging="172"/>
        <w:spacing w:after="0"/>
        <w:tabs>
          <w:tab w:leader="none" w:pos="1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$45 million in the first three months of 2008</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auto"/>
        </w:rPr>
        <w:t>The decrease of $2 million (4%) included</w:t>
      </w:r>
    </w:p>
    <w:p>
      <w:pPr>
        <w:spacing w:after="0" w:line="31" w:lineRule="exact"/>
        <w:rPr>
          <w:sz w:val="20"/>
          <w:szCs w:val="20"/>
          <w:color w:val="auto"/>
        </w:rPr>
      </w:pPr>
    </w:p>
    <w:p>
      <w:pPr>
        <w:ind w:left="180" w:right="1680" w:hanging="172"/>
        <w:spacing w:after="0" w:line="249" w:lineRule="auto"/>
        <w:tabs>
          <w:tab w:leader="none" w:pos="180" w:val="left"/>
        </w:tabs>
        <w:numPr>
          <w:ilvl w:val="0"/>
          <w:numId w:val="69"/>
        </w:numPr>
        <w:rPr>
          <w:rFonts w:ascii="Arial" w:cs="Arial" w:eastAsia="Arial" w:hAnsi="Arial"/>
          <w:sz w:val="22"/>
          <w:szCs w:val="22"/>
          <w:color w:val="auto"/>
        </w:rPr>
      </w:pPr>
      <w:r>
        <w:rPr>
          <w:rFonts w:ascii="Arial" w:cs="Arial" w:eastAsia="Arial" w:hAnsi="Arial"/>
          <w:sz w:val="22"/>
          <w:szCs w:val="22"/>
          <w:color w:val="auto"/>
        </w:rPr>
        <w:t xml:space="preserve">$9 million lower earnings from operations primarily due to plant scheduled major maintenance and associated downtime in 2009; </w:t>
      </w:r>
      <w:r>
        <w:rPr>
          <w:rFonts w:ascii="Arial" w:cs="Arial" w:eastAsia="Arial" w:hAnsi="Arial"/>
          <w:sz w:val="22"/>
          <w:szCs w:val="22"/>
          <w:b w:val="1"/>
          <w:bCs w:val="1"/>
          <w:color w:val="auto"/>
        </w:rPr>
        <w:t>offset by</w:t>
      </w:r>
    </w:p>
    <w:p>
      <w:pPr>
        <w:spacing w:after="0" w:line="1" w:lineRule="exact"/>
        <w:rPr>
          <w:rFonts w:ascii="Arial" w:cs="Arial" w:eastAsia="Arial" w:hAnsi="Arial"/>
          <w:sz w:val="22"/>
          <w:szCs w:val="22"/>
          <w:color w:val="auto"/>
        </w:rPr>
      </w:pPr>
    </w:p>
    <w:p>
      <w:pPr>
        <w:ind w:left="180" w:right="1300" w:hanging="172"/>
        <w:spacing w:after="0" w:line="251" w:lineRule="auto"/>
        <w:tabs>
          <w:tab w:leader="none" w:pos="180" w:val="left"/>
        </w:tabs>
        <w:numPr>
          <w:ilvl w:val="0"/>
          <w:numId w:val="69"/>
        </w:numPr>
        <w:rPr>
          <w:rFonts w:ascii="Arial" w:cs="Arial" w:eastAsia="Arial" w:hAnsi="Arial"/>
          <w:sz w:val="22"/>
          <w:szCs w:val="22"/>
          <w:color w:val="auto"/>
        </w:rPr>
      </w:pPr>
      <w:r>
        <w:rPr>
          <w:rFonts w:ascii="Arial" w:cs="Arial" w:eastAsia="Arial" w:hAnsi="Arial"/>
          <w:sz w:val="22"/>
          <w:szCs w:val="22"/>
          <w:color w:val="auto"/>
        </w:rPr>
        <w:t>$8 million lower taxes related to Sempra Generation's planned solar investments and Mexican currency translation and inflation adjustments.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Pipelines &amp; Storage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Sempra Pipelines &amp; Storage recorded business unit earnings of:</w:t>
      </w:r>
    </w:p>
    <w:p>
      <w:pPr>
        <w:spacing w:after="0" w:line="31" w:lineRule="exact"/>
        <w:rPr>
          <w:sz w:val="20"/>
          <w:szCs w:val="20"/>
          <w:color w:val="auto"/>
        </w:rPr>
      </w:pPr>
    </w:p>
    <w:p>
      <w:pPr>
        <w:ind w:left="180" w:hanging="172"/>
        <w:spacing w:after="0"/>
        <w:tabs>
          <w:tab w:leader="none" w:pos="180" w:val="left"/>
        </w:tabs>
        <w:numPr>
          <w:ilvl w:val="0"/>
          <w:numId w:val="70"/>
        </w:numPr>
        <w:rPr>
          <w:rFonts w:ascii="Arial" w:cs="Arial" w:eastAsia="Arial" w:hAnsi="Arial"/>
          <w:sz w:val="22"/>
          <w:szCs w:val="22"/>
          <w:color w:val="auto"/>
        </w:rPr>
      </w:pPr>
      <w:r>
        <w:rPr>
          <w:rFonts w:ascii="Arial" w:cs="Arial" w:eastAsia="Arial" w:hAnsi="Arial"/>
          <w:sz w:val="22"/>
          <w:szCs w:val="22"/>
          <w:color w:val="auto"/>
        </w:rPr>
        <w:t>$37 million in the first three months of 2009</w:t>
      </w:r>
    </w:p>
    <w:p>
      <w:pPr>
        <w:spacing w:after="0" w:line="21" w:lineRule="exact"/>
        <w:rPr>
          <w:rFonts w:ascii="Arial" w:cs="Arial" w:eastAsia="Arial" w:hAnsi="Arial"/>
          <w:sz w:val="22"/>
          <w:szCs w:val="22"/>
          <w:color w:val="auto"/>
        </w:rPr>
      </w:pPr>
    </w:p>
    <w:p>
      <w:pPr>
        <w:ind w:left="180" w:hanging="172"/>
        <w:spacing w:after="0"/>
        <w:tabs>
          <w:tab w:leader="none" w:pos="180" w:val="left"/>
        </w:tabs>
        <w:numPr>
          <w:ilvl w:val="0"/>
          <w:numId w:val="70"/>
        </w:numPr>
        <w:rPr>
          <w:rFonts w:ascii="Arial" w:cs="Arial" w:eastAsia="Arial" w:hAnsi="Arial"/>
          <w:sz w:val="22"/>
          <w:szCs w:val="22"/>
          <w:color w:val="auto"/>
        </w:rPr>
      </w:pPr>
      <w:r>
        <w:rPr>
          <w:rFonts w:ascii="Arial" w:cs="Arial" w:eastAsia="Arial" w:hAnsi="Arial"/>
          <w:sz w:val="22"/>
          <w:szCs w:val="22"/>
          <w:color w:val="auto"/>
        </w:rPr>
        <w:t>$26 million in the first three months of 2008</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auto"/>
        </w:rPr>
        <w:t>The increase of $11 million (42%) was primarily due to</w:t>
      </w:r>
    </w:p>
    <w:p>
      <w:pPr>
        <w:spacing w:after="0" w:line="31" w:lineRule="exact"/>
        <w:rPr>
          <w:sz w:val="20"/>
          <w:szCs w:val="20"/>
          <w:color w:val="auto"/>
        </w:rPr>
      </w:pPr>
    </w:p>
    <w:p>
      <w:pPr>
        <w:ind w:left="180" w:right="1480" w:hanging="172"/>
        <w:spacing w:after="0" w:line="247" w:lineRule="auto"/>
        <w:tabs>
          <w:tab w:leader="none" w:pos="180" w:val="left"/>
        </w:tabs>
        <w:numPr>
          <w:ilvl w:val="0"/>
          <w:numId w:val="71"/>
        </w:numPr>
        <w:rPr>
          <w:rFonts w:ascii="Arial" w:cs="Arial" w:eastAsia="Arial" w:hAnsi="Arial"/>
          <w:sz w:val="22"/>
          <w:szCs w:val="22"/>
          <w:color w:val="auto"/>
        </w:rPr>
      </w:pPr>
      <w:r>
        <w:rPr>
          <w:rFonts w:ascii="Arial" w:cs="Arial" w:eastAsia="Arial" w:hAnsi="Arial"/>
          <w:sz w:val="22"/>
          <w:szCs w:val="22"/>
          <w:color w:val="auto"/>
        </w:rPr>
        <w:t>$9 million higher earnings from the commencement of LNG-related pipeline operations in Mexico in the second quarter of 2008; and</w:t>
      </w:r>
    </w:p>
    <w:p>
      <w:pPr>
        <w:ind w:left="180" w:hanging="172"/>
        <w:spacing w:after="0"/>
        <w:tabs>
          <w:tab w:leader="none" w:pos="180" w:val="left"/>
        </w:tabs>
        <w:numPr>
          <w:ilvl w:val="0"/>
          <w:numId w:val="71"/>
        </w:numPr>
        <w:rPr>
          <w:rFonts w:ascii="Arial" w:cs="Arial" w:eastAsia="Arial" w:hAnsi="Arial"/>
          <w:sz w:val="22"/>
          <w:szCs w:val="22"/>
          <w:color w:val="auto"/>
        </w:rPr>
      </w:pPr>
      <w:r>
        <w:rPr>
          <w:rFonts w:ascii="Arial" w:cs="Arial" w:eastAsia="Arial" w:hAnsi="Arial"/>
          <w:sz w:val="22"/>
          <w:szCs w:val="22"/>
          <w:color w:val="auto"/>
        </w:rPr>
        <w:t xml:space="preserve">$6 million earnings from the operations of Mobile Gas acquired in October 2008; </w:t>
      </w:r>
      <w:r>
        <w:rPr>
          <w:rFonts w:ascii="Arial" w:cs="Arial" w:eastAsia="Arial" w:hAnsi="Arial"/>
          <w:sz w:val="22"/>
          <w:szCs w:val="22"/>
          <w:b w:val="1"/>
          <w:bCs w:val="1"/>
          <w:color w:val="auto"/>
        </w:rPr>
        <w:t>offset by</w:t>
      </w:r>
    </w:p>
    <w:p>
      <w:pPr>
        <w:sectPr>
          <w:pgSz w:w="11900" w:h="16838" w:orient="portrait"/>
          <w:cols w:equalWidth="0" w:num="1">
            <w:col w:w="11380"/>
          </w:cols>
          <w:pgMar w:left="240" w:top="419" w:right="279" w:bottom="1440" w:gutter="0" w:footer="0" w:header="0"/>
        </w:sectPr>
      </w:pPr>
    </w:p>
    <w:bookmarkStart w:id="65" w:name="page66"/>
    <w:bookmarkEnd w:id="65"/>
    <w:p>
      <w:pPr>
        <w:spacing w:after="0"/>
        <w:rPr>
          <w:sz w:val="20"/>
          <w:szCs w:val="20"/>
          <w:color w:val="auto"/>
        </w:rPr>
      </w:pPr>
      <w:r>
        <w:rPr>
          <w:rFonts w:ascii="Arial" w:cs="Arial" w:eastAsia="Arial" w:hAnsi="Arial"/>
          <w:sz w:val="22"/>
          <w:szCs w:val="22"/>
          <w:color w:val="auto"/>
        </w:rPr>
        <w:t>§ $7 million lower earnings due to foreign currency exchange-rate effects, primarily from its investments in Chile.</w:t>
      </w:r>
    </w:p>
    <w:p>
      <w:pPr>
        <w:spacing w:after="0" w:line="31" w:lineRule="exact"/>
        <w:rPr>
          <w:sz w:val="20"/>
          <w:szCs w:val="20"/>
          <w:color w:val="auto"/>
        </w:rPr>
      </w:pPr>
    </w:p>
    <w:p>
      <w:pPr>
        <w:ind w:right="1420"/>
        <w:spacing w:after="0" w:line="251" w:lineRule="auto"/>
        <w:rPr>
          <w:sz w:val="20"/>
          <w:szCs w:val="20"/>
          <w:color w:val="auto"/>
        </w:rPr>
      </w:pPr>
      <w:r>
        <w:rPr>
          <w:rFonts w:ascii="Arial" w:cs="Arial" w:eastAsia="Arial" w:hAnsi="Arial"/>
          <w:sz w:val="22"/>
          <w:szCs w:val="22"/>
          <w:color w:val="auto"/>
        </w:rPr>
        <w:t>Mobile Gas typically reports its highest earnings in the first quarter, when heating demand is stronger due to colder weather.</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LNG</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Sempra LNG recorded losses of:</w:t>
      </w:r>
    </w:p>
    <w:p>
      <w:pPr>
        <w:spacing w:after="0" w:line="22" w:lineRule="exact"/>
        <w:rPr>
          <w:sz w:val="20"/>
          <w:szCs w:val="20"/>
          <w:color w:val="auto"/>
        </w:rPr>
      </w:pPr>
    </w:p>
    <w:p>
      <w:pPr>
        <w:ind w:left="180" w:hanging="172"/>
        <w:spacing w:after="0"/>
        <w:tabs>
          <w:tab w:leader="none" w:pos="180" w:val="left"/>
        </w:tabs>
        <w:numPr>
          <w:ilvl w:val="0"/>
          <w:numId w:val="72"/>
        </w:numPr>
        <w:rPr>
          <w:rFonts w:ascii="Arial" w:cs="Arial" w:eastAsia="Arial" w:hAnsi="Arial"/>
          <w:sz w:val="22"/>
          <w:szCs w:val="22"/>
          <w:color w:val="auto"/>
        </w:rPr>
      </w:pPr>
      <w:r>
        <w:rPr>
          <w:rFonts w:ascii="Arial" w:cs="Arial" w:eastAsia="Arial" w:hAnsi="Arial"/>
          <w:sz w:val="22"/>
          <w:szCs w:val="22"/>
          <w:color w:val="auto"/>
        </w:rPr>
        <w:t>$7 million in the first three months of 2009</w:t>
      </w:r>
    </w:p>
    <w:p>
      <w:pPr>
        <w:spacing w:after="0" w:line="30" w:lineRule="exact"/>
        <w:rPr>
          <w:rFonts w:ascii="Arial" w:cs="Arial" w:eastAsia="Arial" w:hAnsi="Arial"/>
          <w:sz w:val="22"/>
          <w:szCs w:val="22"/>
          <w:color w:val="auto"/>
        </w:rPr>
      </w:pPr>
    </w:p>
    <w:p>
      <w:pPr>
        <w:ind w:left="180" w:hanging="172"/>
        <w:spacing w:after="0"/>
        <w:tabs>
          <w:tab w:leader="none" w:pos="180" w:val="left"/>
        </w:tabs>
        <w:numPr>
          <w:ilvl w:val="0"/>
          <w:numId w:val="72"/>
        </w:numPr>
        <w:rPr>
          <w:rFonts w:ascii="Arial" w:cs="Arial" w:eastAsia="Arial" w:hAnsi="Arial"/>
          <w:sz w:val="22"/>
          <w:szCs w:val="22"/>
          <w:color w:val="auto"/>
        </w:rPr>
      </w:pPr>
      <w:r>
        <w:rPr>
          <w:rFonts w:ascii="Arial" w:cs="Arial" w:eastAsia="Arial" w:hAnsi="Arial"/>
          <w:sz w:val="22"/>
          <w:szCs w:val="22"/>
          <w:color w:val="auto"/>
        </w:rPr>
        <w:t>$9 million in the first three months of 2008</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auto"/>
        </w:rPr>
        <w:t>The decrease in losses of $2 million (22%) included</w:t>
      </w:r>
    </w:p>
    <w:p>
      <w:pPr>
        <w:spacing w:after="0" w:line="31" w:lineRule="exact"/>
        <w:rPr>
          <w:sz w:val="20"/>
          <w:szCs w:val="20"/>
          <w:color w:val="auto"/>
        </w:rPr>
      </w:pPr>
    </w:p>
    <w:p>
      <w:pPr>
        <w:ind w:left="180" w:right="1880" w:hanging="172"/>
        <w:spacing w:after="0" w:line="245" w:lineRule="auto"/>
        <w:tabs>
          <w:tab w:leader="none" w:pos="180" w:val="left"/>
        </w:tabs>
        <w:numPr>
          <w:ilvl w:val="0"/>
          <w:numId w:val="73"/>
        </w:numPr>
        <w:rPr>
          <w:rFonts w:ascii="Arial" w:cs="Arial" w:eastAsia="Arial" w:hAnsi="Arial"/>
          <w:sz w:val="22"/>
          <w:szCs w:val="22"/>
          <w:color w:val="auto"/>
        </w:rPr>
      </w:pPr>
      <w:r>
        <w:rPr>
          <w:rFonts w:ascii="Arial" w:cs="Arial" w:eastAsia="Arial" w:hAnsi="Arial"/>
          <w:sz w:val="22"/>
          <w:szCs w:val="22"/>
          <w:color w:val="auto"/>
        </w:rPr>
        <w:t xml:space="preserve">$9 million improved mark-to-market results related to a natural gas marketing agreement with RBS Sempra Commodities; </w:t>
      </w:r>
      <w:r>
        <w:rPr>
          <w:rFonts w:ascii="Arial" w:cs="Arial" w:eastAsia="Arial" w:hAnsi="Arial"/>
          <w:sz w:val="22"/>
          <w:szCs w:val="22"/>
          <w:b w:val="1"/>
          <w:bCs w:val="1"/>
          <w:color w:val="auto"/>
        </w:rPr>
        <w:t>offset by</w:t>
      </w:r>
    </w:p>
    <w:p>
      <w:pPr>
        <w:spacing w:after="0" w:line="1" w:lineRule="exact"/>
        <w:rPr>
          <w:rFonts w:ascii="Arial" w:cs="Arial" w:eastAsia="Arial" w:hAnsi="Arial"/>
          <w:sz w:val="22"/>
          <w:szCs w:val="22"/>
          <w:color w:val="auto"/>
        </w:rPr>
      </w:pPr>
    </w:p>
    <w:p>
      <w:pPr>
        <w:ind w:left="180" w:right="1640" w:hanging="172"/>
        <w:spacing w:after="0" w:line="246" w:lineRule="auto"/>
        <w:tabs>
          <w:tab w:leader="none" w:pos="180" w:val="left"/>
        </w:tabs>
        <w:numPr>
          <w:ilvl w:val="0"/>
          <w:numId w:val="73"/>
        </w:numPr>
        <w:rPr>
          <w:rFonts w:ascii="Arial" w:cs="Arial" w:eastAsia="Arial" w:hAnsi="Arial"/>
          <w:sz w:val="22"/>
          <w:szCs w:val="22"/>
          <w:color w:val="auto"/>
        </w:rPr>
      </w:pPr>
      <w:r>
        <w:rPr>
          <w:rFonts w:ascii="Arial" w:cs="Arial" w:eastAsia="Arial" w:hAnsi="Arial"/>
          <w:sz w:val="22"/>
          <w:szCs w:val="22"/>
          <w:color w:val="auto"/>
        </w:rPr>
        <w:t>a $10 million after-tax cash payment received in 2008 for the early termination of a capacity agreement for the Cameron LNG receipt terminal.</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Parent and Other</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Losses for Parent and Other were</w:t>
      </w:r>
    </w:p>
    <w:p>
      <w:pPr>
        <w:spacing w:after="0" w:line="22" w:lineRule="exact"/>
        <w:rPr>
          <w:sz w:val="20"/>
          <w:szCs w:val="20"/>
          <w:color w:val="auto"/>
        </w:rPr>
      </w:pPr>
    </w:p>
    <w:p>
      <w:pPr>
        <w:ind w:left="180" w:hanging="172"/>
        <w:spacing w:after="0"/>
        <w:tabs>
          <w:tab w:leader="none" w:pos="180" w:val="left"/>
        </w:tabs>
        <w:numPr>
          <w:ilvl w:val="0"/>
          <w:numId w:val="74"/>
        </w:numPr>
        <w:rPr>
          <w:rFonts w:ascii="Arial" w:cs="Arial" w:eastAsia="Arial" w:hAnsi="Arial"/>
          <w:sz w:val="22"/>
          <w:szCs w:val="22"/>
          <w:color w:val="auto"/>
        </w:rPr>
      </w:pPr>
      <w:r>
        <w:rPr>
          <w:rFonts w:ascii="Arial" w:cs="Arial" w:eastAsia="Arial" w:hAnsi="Arial"/>
          <w:sz w:val="22"/>
          <w:szCs w:val="22"/>
          <w:color w:val="auto"/>
        </w:rPr>
        <w:t>$29 million in the first three months of 2009</w:t>
      </w:r>
    </w:p>
    <w:p>
      <w:pPr>
        <w:spacing w:after="0" w:line="30" w:lineRule="exact"/>
        <w:rPr>
          <w:rFonts w:ascii="Arial" w:cs="Arial" w:eastAsia="Arial" w:hAnsi="Arial"/>
          <w:sz w:val="22"/>
          <w:szCs w:val="22"/>
          <w:color w:val="auto"/>
        </w:rPr>
      </w:pPr>
    </w:p>
    <w:p>
      <w:pPr>
        <w:ind w:left="180" w:hanging="172"/>
        <w:spacing w:after="0"/>
        <w:tabs>
          <w:tab w:leader="none" w:pos="180" w:val="left"/>
        </w:tabs>
        <w:numPr>
          <w:ilvl w:val="0"/>
          <w:numId w:val="74"/>
        </w:numPr>
        <w:rPr>
          <w:rFonts w:ascii="Arial" w:cs="Arial" w:eastAsia="Arial" w:hAnsi="Arial"/>
          <w:sz w:val="22"/>
          <w:szCs w:val="22"/>
          <w:color w:val="auto"/>
        </w:rPr>
      </w:pPr>
      <w:r>
        <w:rPr>
          <w:rFonts w:ascii="Arial" w:cs="Arial" w:eastAsia="Arial" w:hAnsi="Arial"/>
          <w:sz w:val="22"/>
          <w:szCs w:val="22"/>
          <w:color w:val="auto"/>
        </w:rPr>
        <w:t>$10 million in the first three months of 2008</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auto"/>
        </w:rPr>
        <w:t>The increase in losses of $19 million (190%) was due to:</w:t>
      </w:r>
    </w:p>
    <w:p>
      <w:pPr>
        <w:spacing w:after="0" w:line="31" w:lineRule="exact"/>
        <w:rPr>
          <w:sz w:val="20"/>
          <w:szCs w:val="20"/>
          <w:color w:val="auto"/>
        </w:rPr>
      </w:pPr>
    </w:p>
    <w:p>
      <w:pPr>
        <w:ind w:left="180" w:hanging="172"/>
        <w:spacing w:after="0"/>
        <w:tabs>
          <w:tab w:leader="none" w:pos="180" w:val="left"/>
        </w:tabs>
        <w:numPr>
          <w:ilvl w:val="0"/>
          <w:numId w:val="75"/>
        </w:numPr>
        <w:rPr>
          <w:rFonts w:ascii="Arial" w:cs="Arial" w:eastAsia="Arial" w:hAnsi="Arial"/>
          <w:sz w:val="22"/>
          <w:szCs w:val="22"/>
          <w:color w:val="auto"/>
        </w:rPr>
      </w:pPr>
      <w:r>
        <w:rPr>
          <w:rFonts w:ascii="Arial" w:cs="Arial" w:eastAsia="Arial" w:hAnsi="Arial"/>
          <w:sz w:val="22"/>
          <w:szCs w:val="22"/>
          <w:color w:val="auto"/>
        </w:rPr>
        <w:t>$14 million higher net interest expense; and</w:t>
      </w:r>
    </w:p>
    <w:p>
      <w:pPr>
        <w:spacing w:after="0" w:line="21" w:lineRule="exact"/>
        <w:rPr>
          <w:rFonts w:ascii="Arial" w:cs="Arial" w:eastAsia="Arial" w:hAnsi="Arial"/>
          <w:sz w:val="22"/>
          <w:szCs w:val="22"/>
          <w:color w:val="auto"/>
        </w:rPr>
      </w:pPr>
    </w:p>
    <w:p>
      <w:pPr>
        <w:ind w:left="180" w:right="1380" w:hanging="172"/>
        <w:spacing w:after="0" w:line="239" w:lineRule="auto"/>
        <w:tabs>
          <w:tab w:leader="none" w:pos="180" w:val="left"/>
        </w:tabs>
        <w:numPr>
          <w:ilvl w:val="0"/>
          <w:numId w:val="75"/>
        </w:numPr>
        <w:rPr>
          <w:rFonts w:ascii="Arial" w:cs="Arial" w:eastAsia="Arial" w:hAnsi="Arial"/>
          <w:sz w:val="22"/>
          <w:szCs w:val="22"/>
          <w:color w:val="auto"/>
        </w:rPr>
      </w:pPr>
      <w:r>
        <w:rPr>
          <w:rFonts w:ascii="Arial" w:cs="Arial" w:eastAsia="Arial" w:hAnsi="Arial"/>
          <w:sz w:val="22"/>
          <w:szCs w:val="22"/>
          <w:color w:val="auto"/>
        </w:rPr>
        <w:t>$8 million higher investment losses on dedicated assets in support of our executive retirement and deferred compensation plans due to market declines. This amount is net of the reduction in deferred compensation liability associated with the investments.</w:t>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REVENUES, COSTS AND EARNINGS</w:t>
      </w:r>
    </w:p>
    <w:p>
      <w:pPr>
        <w:spacing w:after="0" w:line="82" w:lineRule="exact"/>
        <w:rPr>
          <w:sz w:val="20"/>
          <w:szCs w:val="20"/>
          <w:color w:val="auto"/>
        </w:rPr>
      </w:pPr>
    </w:p>
    <w:p>
      <w:pPr>
        <w:ind w:right="480"/>
        <w:spacing w:after="0" w:line="251" w:lineRule="auto"/>
        <w:rPr>
          <w:sz w:val="20"/>
          <w:szCs w:val="20"/>
          <w:color w:val="auto"/>
        </w:rPr>
      </w:pPr>
      <w:r>
        <w:rPr>
          <w:rFonts w:ascii="Arial" w:cs="Arial" w:eastAsia="Arial" w:hAnsi="Arial"/>
          <w:sz w:val="22"/>
          <w:szCs w:val="22"/>
          <w:color w:val="auto"/>
        </w:rPr>
        <w:t>This section contains a discussion of the differences between periods in the specific line items of the Condensed Consolidated Statements of Operations for Sempra Energy, SDG&amp;E, PE and SoCalGas.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Utilities Revenues</w:t>
      </w:r>
    </w:p>
    <w:p>
      <w:pPr>
        <w:spacing w:after="0" w:line="49" w:lineRule="exact"/>
        <w:rPr>
          <w:sz w:val="20"/>
          <w:szCs w:val="20"/>
          <w:color w:val="auto"/>
        </w:rPr>
      </w:pPr>
    </w:p>
    <w:p>
      <w:pPr>
        <w:ind w:right="140"/>
        <w:spacing w:after="0" w:line="277" w:lineRule="auto"/>
        <w:rPr>
          <w:sz w:val="20"/>
          <w:szCs w:val="20"/>
          <w:color w:val="auto"/>
        </w:rPr>
      </w:pPr>
      <w:r>
        <w:rPr>
          <w:rFonts w:ascii="Arial" w:cs="Arial" w:eastAsia="Arial" w:hAnsi="Arial"/>
          <w:sz w:val="19"/>
          <w:szCs w:val="19"/>
          <w:color w:val="auto"/>
        </w:rPr>
        <w:t>The current regulatory framework permits the cost of natural gas purchased for core customers (primarily residential and small commercial and industrial customers) to be passed on to customers substantially as incurred. However, SoCalGas' Gas Cost Incentive Mechanism (GCIM) provides SoCalGas the opportunity to share in the savings and/or costs from buying natural gas for its core customers at prices below or above market-based monthly benchmarks. The mechanism permits full recovery of costs incurred when average purchase costs are within a price range around a monthly benchmark price. Any higher costs or savings realized outside this range are shared between the core customers and SoCalGas. We provide further discussion in Note 9 of the Notes to Condensed Consolidated Financial Statements herein.</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The regulatory framework permits SDG&amp;E to recover the actual cost incurred to generate or procure electricity based on annual estimates of the cost of electricity supplied to core customers. The differences in cost between estimates and actual are recovered in the next year through rates.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Utilities: Natural Gas Revenues and Cost of Natural Gas</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auto"/>
        </w:rPr>
        <w:t>The tables below show natural gas revenues for Sempra Energy, SDG&amp;E and SoCalGas for the three-month periods ended March</w:t>
      </w:r>
    </w:p>
    <w:p>
      <w:pPr>
        <w:spacing w:after="0" w:line="43" w:lineRule="exact"/>
        <w:rPr>
          <w:sz w:val="20"/>
          <w:szCs w:val="20"/>
          <w:color w:val="auto"/>
        </w:rPr>
      </w:pPr>
    </w:p>
    <w:p>
      <w:pPr>
        <w:ind w:right="320" w:firstLine="8"/>
        <w:spacing w:after="0" w:line="256" w:lineRule="auto"/>
        <w:tabs>
          <w:tab w:leader="none" w:pos="324" w:val="left"/>
        </w:tabs>
        <w:numPr>
          <w:ilvl w:val="0"/>
          <w:numId w:val="76"/>
        </w:numPr>
        <w:rPr>
          <w:rFonts w:ascii="Arial" w:cs="Arial" w:eastAsia="Arial" w:hAnsi="Arial"/>
          <w:sz w:val="21"/>
          <w:szCs w:val="21"/>
          <w:color w:val="auto"/>
        </w:rPr>
      </w:pPr>
      <w:r>
        <w:rPr>
          <w:rFonts w:ascii="Arial" w:cs="Arial" w:eastAsia="Arial" w:hAnsi="Arial"/>
          <w:sz w:val="21"/>
          <w:szCs w:val="21"/>
          <w:color w:val="auto"/>
        </w:rPr>
        <w:t>The Sempra Energy amounts reflect SDG&amp;E and SoCalGas revenues, net of intercompany transactions. Because the cost of natural gas is recovered in rates, changes in the cost are reflected in the changes in revenues.</w:t>
      </w:r>
    </w:p>
    <w:p>
      <w:pPr>
        <w:sectPr>
          <w:pgSz w:w="11900" w:h="16838" w:orient="portrait"/>
          <w:cols w:equalWidth="0" w:num="1">
            <w:col w:w="11380"/>
          </w:cols>
          <w:pgMar w:left="240" w:top="118" w:right="279" w:bottom="1440" w:gutter="0" w:footer="0" w:header="0"/>
        </w:sectPr>
      </w:pPr>
    </w:p>
    <w:bookmarkStart w:id="66" w:name="page67"/>
    <w:bookmarkEnd w:id="66"/>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5831840" cy="4114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31840" cy="411480"/>
                    </a:xfrm>
                    <a:prstGeom prst="rect">
                      <a:avLst/>
                    </a:prstGeom>
                    <a:noFill/>
                  </pic:spPr>
                </pic:pic>
              </a:graphicData>
            </a:graphic>
          </wp:anchor>
        </w:drawing>
        <w:t>SEMPRA ENERGY CONSOLIDATED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NATURAL GAS SALES, TRANSPORTATION AND EXCHANGE</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(Volumes in billion cubic feet, dollars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60" w:type="dxa"/>
            <w:vAlign w:val="bottom"/>
            <w:gridSpan w:val="2"/>
          </w:tcPr>
          <w:p>
            <w:pPr>
              <w:jc w:val="right"/>
              <w:ind w:right="322"/>
              <w:spacing w:after="0"/>
              <w:rPr>
                <w:sz w:val="20"/>
                <w:szCs w:val="20"/>
                <w:color w:val="auto"/>
              </w:rPr>
            </w:pPr>
            <w:r>
              <w:rPr>
                <w:rFonts w:ascii="Arial" w:cs="Arial" w:eastAsia="Arial" w:hAnsi="Arial"/>
                <w:sz w:val="14"/>
                <w:szCs w:val="14"/>
                <w:color w:val="auto"/>
              </w:rPr>
              <w:t>Transportation</w:t>
            </w: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9"/>
        </w:trPr>
        <w:tc>
          <w:tcPr>
            <w:tcW w:w="2420" w:type="dxa"/>
            <w:vAlign w:val="bottom"/>
          </w:tcPr>
          <w:p>
            <w:pPr>
              <w:spacing w:after="0"/>
              <w:rPr>
                <w:sz w:val="18"/>
                <w:szCs w:val="18"/>
                <w:color w:val="auto"/>
              </w:rPr>
            </w:pPr>
          </w:p>
        </w:tc>
        <w:tc>
          <w:tcPr>
            <w:tcW w:w="23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Natural Gas Sales</w:t>
            </w:r>
          </w:p>
        </w:tc>
        <w:tc>
          <w:tcPr>
            <w:tcW w:w="1860" w:type="dxa"/>
            <w:vAlign w:val="bottom"/>
            <w:tcBorders>
              <w:bottom w:val="single" w:sz="8" w:color="auto"/>
            </w:tcBorders>
            <w:gridSpan w:val="2"/>
          </w:tcPr>
          <w:p>
            <w:pPr>
              <w:jc w:val="right"/>
              <w:ind w:right="322"/>
              <w:spacing w:after="0"/>
              <w:rPr>
                <w:sz w:val="20"/>
                <w:szCs w:val="20"/>
                <w:color w:val="auto"/>
              </w:rPr>
            </w:pPr>
            <w:r>
              <w:rPr>
                <w:rFonts w:ascii="Arial" w:cs="Arial" w:eastAsia="Arial" w:hAnsi="Arial"/>
                <w:sz w:val="14"/>
                <w:szCs w:val="14"/>
                <w:color w:val="auto"/>
              </w:rPr>
              <w:t>and Exchange</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left="760"/>
              <w:spacing w:after="0"/>
              <w:rPr>
                <w:sz w:val="20"/>
                <w:szCs w:val="20"/>
                <w:color w:val="auto"/>
              </w:rPr>
            </w:pPr>
            <w:r>
              <w:rPr>
                <w:rFonts w:ascii="Arial" w:cs="Arial" w:eastAsia="Arial" w:hAnsi="Arial"/>
                <w:sz w:val="14"/>
                <w:szCs w:val="14"/>
                <w:color w:val="auto"/>
                <w:w w:val="96"/>
              </w:rPr>
              <w:t>Total</w:t>
            </w:r>
          </w:p>
        </w:tc>
        <w:tc>
          <w:tcPr>
            <w:tcW w:w="940" w:type="dxa"/>
            <w:vAlign w:val="bottom"/>
            <w:tcBorders>
              <w:bottom w:val="single" w:sz="8" w:color="auto"/>
            </w:tcBorders>
          </w:tcPr>
          <w:p>
            <w:pPr>
              <w:spacing w:after="0"/>
              <w:rPr>
                <w:sz w:val="18"/>
                <w:szCs w:val="18"/>
                <w:color w:val="auto"/>
              </w:rPr>
            </w:pPr>
          </w:p>
        </w:tc>
      </w:tr>
      <w:tr>
        <w:trPr>
          <w:trHeight w:val="196"/>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Customer class</w:t>
            </w:r>
          </w:p>
        </w:tc>
        <w:tc>
          <w:tcPr>
            <w:tcW w:w="10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Volumes</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Revenue</w:t>
            </w:r>
          </w:p>
        </w:tc>
        <w:tc>
          <w:tcPr>
            <w:tcW w:w="9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color w:val="auto"/>
              </w:rPr>
              <w:t>Volumes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Revenue</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Volumes</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Revenue</w:t>
            </w:r>
          </w:p>
        </w:tc>
      </w:tr>
      <w:tr>
        <w:trPr>
          <w:trHeight w:val="210"/>
        </w:trPr>
        <w:tc>
          <w:tcPr>
            <w:tcW w:w="2420" w:type="dxa"/>
            <w:vAlign w:val="bottom"/>
          </w:tcPr>
          <w:p>
            <w:pPr>
              <w:ind w:left="20"/>
              <w:spacing w:after="0"/>
              <w:rPr>
                <w:sz w:val="20"/>
                <w:szCs w:val="20"/>
                <w:color w:val="auto"/>
              </w:rPr>
            </w:pPr>
            <w:r>
              <w:rPr>
                <w:rFonts w:ascii="Arial" w:cs="Arial" w:eastAsia="Arial" w:hAnsi="Arial"/>
                <w:sz w:val="16"/>
                <w:szCs w:val="16"/>
                <w:color w:val="auto"/>
              </w:rPr>
              <w:t>2009:</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420" w:type="dxa"/>
            <w:vAlign w:val="bottom"/>
          </w:tcPr>
          <w:p>
            <w:pPr>
              <w:ind w:left="200"/>
              <w:spacing w:after="0"/>
              <w:rPr>
                <w:sz w:val="20"/>
                <w:szCs w:val="20"/>
                <w:color w:val="auto"/>
              </w:rPr>
            </w:pPr>
            <w:r>
              <w:rPr>
                <w:rFonts w:ascii="Arial" w:cs="Arial" w:eastAsia="Arial" w:hAnsi="Arial"/>
                <w:sz w:val="16"/>
                <w:szCs w:val="16"/>
                <w:color w:val="auto"/>
              </w:rPr>
              <w:t>Residential</w:t>
            </w:r>
          </w:p>
        </w:tc>
        <w:tc>
          <w:tcPr>
            <w:tcW w:w="1080" w:type="dxa"/>
            <w:vAlign w:val="bottom"/>
          </w:tcPr>
          <w:p>
            <w:pPr>
              <w:jc w:val="right"/>
              <w:spacing w:after="0"/>
              <w:rPr>
                <w:sz w:val="20"/>
                <w:szCs w:val="20"/>
                <w:color w:val="auto"/>
              </w:rPr>
            </w:pPr>
            <w:r>
              <w:rPr>
                <w:rFonts w:ascii="Arial" w:cs="Arial" w:eastAsia="Arial" w:hAnsi="Arial"/>
                <w:sz w:val="16"/>
                <w:szCs w:val="16"/>
                <w:color w:val="auto"/>
              </w:rPr>
              <w:t>95</w:t>
            </w:r>
          </w:p>
        </w:tc>
        <w:tc>
          <w:tcPr>
            <w:tcW w:w="20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851</w:t>
            </w:r>
          </w:p>
        </w:tc>
        <w:tc>
          <w:tcPr>
            <w:tcW w:w="1860" w:type="dxa"/>
            <w:vAlign w:val="bottom"/>
            <w:gridSpan w:val="2"/>
          </w:tcPr>
          <w:p>
            <w:pPr>
              <w:jc w:val="right"/>
              <w:ind w:right="722"/>
              <w:spacing w:after="0"/>
              <w:rPr>
                <w:sz w:val="20"/>
                <w:szCs w:val="20"/>
                <w:color w:val="auto"/>
              </w:rPr>
            </w:pPr>
            <w:r>
              <w:rPr>
                <w:rFonts w:ascii="Arial" w:cs="Arial" w:eastAsia="Arial" w:hAnsi="Arial"/>
                <w:sz w:val="16"/>
                <w:szCs w:val="16"/>
                <w:color w:val="auto"/>
              </w:rPr>
              <w:t>- $</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980" w:type="dxa"/>
            <w:vAlign w:val="bottom"/>
          </w:tcPr>
          <w:p>
            <w:pPr>
              <w:jc w:val="right"/>
              <w:spacing w:after="0"/>
              <w:rPr>
                <w:sz w:val="20"/>
                <w:szCs w:val="20"/>
                <w:color w:val="auto"/>
              </w:rPr>
            </w:pPr>
            <w:r>
              <w:rPr>
                <w:rFonts w:ascii="Arial" w:cs="Arial" w:eastAsia="Arial" w:hAnsi="Arial"/>
                <w:sz w:val="16"/>
                <w:szCs w:val="16"/>
                <w:color w:val="auto"/>
              </w:rPr>
              <w:t>95</w:t>
            </w:r>
          </w:p>
        </w:tc>
        <w:tc>
          <w:tcPr>
            <w:tcW w:w="240" w:type="dxa"/>
            <w:vAlign w:val="bottom"/>
          </w:tcPr>
          <w:p>
            <w:pPr>
              <w:jc w:val="center"/>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852</w:t>
            </w:r>
          </w:p>
        </w:tc>
      </w:tr>
      <w:tr>
        <w:trPr>
          <w:trHeight w:val="216"/>
        </w:trPr>
        <w:tc>
          <w:tcPr>
            <w:tcW w:w="2420" w:type="dxa"/>
            <w:vAlign w:val="bottom"/>
          </w:tcPr>
          <w:p>
            <w:pPr>
              <w:ind w:left="200"/>
              <w:spacing w:after="0"/>
              <w:rPr>
                <w:sz w:val="20"/>
                <w:szCs w:val="20"/>
                <w:color w:val="auto"/>
              </w:rPr>
            </w:pPr>
            <w:r>
              <w:rPr>
                <w:rFonts w:ascii="Arial" w:cs="Arial" w:eastAsia="Arial" w:hAnsi="Arial"/>
                <w:sz w:val="16"/>
                <w:szCs w:val="16"/>
                <w:color w:val="auto"/>
              </w:rPr>
              <w:t>Commercial and industrial</w:t>
            </w:r>
          </w:p>
        </w:tc>
        <w:tc>
          <w:tcPr>
            <w:tcW w:w="1080" w:type="dxa"/>
            <w:vAlign w:val="bottom"/>
          </w:tcPr>
          <w:p>
            <w:pPr>
              <w:jc w:val="right"/>
              <w:spacing w:after="0"/>
              <w:rPr>
                <w:sz w:val="20"/>
                <w:szCs w:val="20"/>
                <w:color w:val="auto"/>
              </w:rPr>
            </w:pPr>
            <w:r>
              <w:rPr>
                <w:rFonts w:ascii="Arial" w:cs="Arial" w:eastAsia="Arial" w:hAnsi="Arial"/>
                <w:sz w:val="16"/>
                <w:szCs w:val="16"/>
                <w:color w:val="auto"/>
              </w:rPr>
              <w:t>36</w:t>
            </w:r>
          </w:p>
        </w:tc>
        <w:tc>
          <w:tcPr>
            <w:tcW w:w="20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264</w:t>
            </w:r>
          </w:p>
        </w:tc>
        <w:tc>
          <w:tcPr>
            <w:tcW w:w="940" w:type="dxa"/>
            <w:vAlign w:val="bottom"/>
          </w:tcPr>
          <w:p>
            <w:pPr>
              <w:jc w:val="right"/>
              <w:spacing w:after="0"/>
              <w:rPr>
                <w:sz w:val="20"/>
                <w:szCs w:val="20"/>
                <w:color w:val="auto"/>
              </w:rPr>
            </w:pPr>
            <w:r>
              <w:rPr>
                <w:rFonts w:ascii="Arial" w:cs="Arial" w:eastAsia="Arial" w:hAnsi="Arial"/>
                <w:sz w:val="16"/>
                <w:szCs w:val="16"/>
                <w:color w:val="auto"/>
              </w:rPr>
              <w:t>66</w:t>
            </w:r>
          </w:p>
        </w:tc>
        <w:tc>
          <w:tcPr>
            <w:tcW w:w="920" w:type="dxa"/>
            <w:vAlign w:val="bottom"/>
          </w:tcPr>
          <w:p>
            <w:pPr>
              <w:spacing w:after="0"/>
              <w:rPr>
                <w:sz w:val="18"/>
                <w:szCs w:val="18"/>
                <w:color w:val="auto"/>
              </w:rPr>
            </w:pP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51</w:t>
            </w:r>
          </w:p>
        </w:tc>
        <w:tc>
          <w:tcPr>
            <w:tcW w:w="980" w:type="dxa"/>
            <w:vAlign w:val="bottom"/>
          </w:tcPr>
          <w:p>
            <w:pPr>
              <w:jc w:val="right"/>
              <w:spacing w:after="0"/>
              <w:rPr>
                <w:sz w:val="20"/>
                <w:szCs w:val="20"/>
                <w:color w:val="auto"/>
              </w:rPr>
            </w:pPr>
            <w:r>
              <w:rPr>
                <w:rFonts w:ascii="Arial" w:cs="Arial" w:eastAsia="Arial" w:hAnsi="Arial"/>
                <w:sz w:val="16"/>
                <w:szCs w:val="16"/>
                <w:color w:val="auto"/>
              </w:rPr>
              <w:t>102</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315</w:t>
            </w:r>
          </w:p>
        </w:tc>
      </w:tr>
      <w:tr>
        <w:trPr>
          <w:trHeight w:val="216"/>
        </w:trPr>
        <w:tc>
          <w:tcPr>
            <w:tcW w:w="2420" w:type="dxa"/>
            <w:vAlign w:val="bottom"/>
          </w:tcPr>
          <w:p>
            <w:pPr>
              <w:ind w:left="200"/>
              <w:spacing w:after="0"/>
              <w:rPr>
                <w:sz w:val="20"/>
                <w:szCs w:val="20"/>
                <w:color w:val="auto"/>
              </w:rPr>
            </w:pPr>
            <w:r>
              <w:rPr>
                <w:rFonts w:ascii="Arial" w:cs="Arial" w:eastAsia="Arial" w:hAnsi="Arial"/>
                <w:sz w:val="16"/>
                <w:szCs w:val="16"/>
                <w:color w:val="auto"/>
              </w:rPr>
              <w:t>Electric generation plants</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55</w:t>
            </w:r>
          </w:p>
        </w:tc>
        <w:tc>
          <w:tcPr>
            <w:tcW w:w="920" w:type="dxa"/>
            <w:vAlign w:val="bottom"/>
          </w:tcPr>
          <w:p>
            <w:pPr>
              <w:spacing w:after="0"/>
              <w:rPr>
                <w:sz w:val="18"/>
                <w:szCs w:val="18"/>
                <w:color w:val="auto"/>
              </w:rPr>
            </w:pP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980" w:type="dxa"/>
            <w:vAlign w:val="bottom"/>
          </w:tcPr>
          <w:p>
            <w:pPr>
              <w:jc w:val="right"/>
              <w:spacing w:after="0"/>
              <w:rPr>
                <w:sz w:val="20"/>
                <w:szCs w:val="20"/>
                <w:color w:val="auto"/>
              </w:rPr>
            </w:pPr>
            <w:r>
              <w:rPr>
                <w:rFonts w:ascii="Arial" w:cs="Arial" w:eastAsia="Arial" w:hAnsi="Arial"/>
                <w:sz w:val="16"/>
                <w:szCs w:val="16"/>
                <w:color w:val="auto"/>
              </w:rPr>
              <w:t>55</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22"/>
        </w:trPr>
        <w:tc>
          <w:tcPr>
            <w:tcW w:w="2420" w:type="dxa"/>
            <w:vAlign w:val="bottom"/>
          </w:tcPr>
          <w:p>
            <w:pPr>
              <w:ind w:left="200"/>
              <w:spacing w:after="0"/>
              <w:rPr>
                <w:sz w:val="20"/>
                <w:szCs w:val="20"/>
                <w:color w:val="auto"/>
              </w:rPr>
            </w:pPr>
            <w:r>
              <w:rPr>
                <w:rFonts w:ascii="Arial" w:cs="Arial" w:eastAsia="Arial" w:hAnsi="Arial"/>
                <w:sz w:val="16"/>
                <w:szCs w:val="16"/>
                <w:color w:val="auto"/>
              </w:rPr>
              <w:t>Wholesale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4"/>
        </w:trPr>
        <w:tc>
          <w:tcPr>
            <w:tcW w:w="24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131</w:t>
            </w:r>
          </w:p>
        </w:tc>
        <w:tc>
          <w:tcPr>
            <w:tcW w:w="20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1,115</w:t>
            </w:r>
          </w:p>
        </w:tc>
        <w:tc>
          <w:tcPr>
            <w:tcW w:w="940" w:type="dxa"/>
            <w:vAlign w:val="bottom"/>
          </w:tcPr>
          <w:p>
            <w:pPr>
              <w:jc w:val="right"/>
              <w:spacing w:after="0"/>
              <w:rPr>
                <w:sz w:val="20"/>
                <w:szCs w:val="20"/>
                <w:color w:val="auto"/>
              </w:rPr>
            </w:pPr>
            <w:r>
              <w:rPr>
                <w:rFonts w:ascii="Arial" w:cs="Arial" w:eastAsia="Arial" w:hAnsi="Arial"/>
                <w:sz w:val="16"/>
                <w:szCs w:val="16"/>
                <w:color w:val="auto"/>
              </w:rPr>
              <w:t>128</w:t>
            </w:r>
          </w:p>
        </w:tc>
        <w:tc>
          <w:tcPr>
            <w:tcW w:w="920" w:type="dxa"/>
            <w:vAlign w:val="bottom"/>
          </w:tcPr>
          <w:p>
            <w:pPr>
              <w:jc w:val="right"/>
              <w:ind w:right="722"/>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68</w:t>
            </w:r>
          </w:p>
        </w:tc>
        <w:tc>
          <w:tcPr>
            <w:tcW w:w="980" w:type="dxa"/>
            <w:vAlign w:val="bottom"/>
          </w:tcPr>
          <w:p>
            <w:pPr>
              <w:jc w:val="right"/>
              <w:spacing w:after="0"/>
              <w:rPr>
                <w:sz w:val="20"/>
                <w:szCs w:val="20"/>
                <w:color w:val="auto"/>
              </w:rPr>
            </w:pPr>
            <w:r>
              <w:rPr>
                <w:rFonts w:ascii="Arial" w:cs="Arial" w:eastAsia="Arial" w:hAnsi="Arial"/>
                <w:sz w:val="16"/>
                <w:szCs w:val="16"/>
                <w:color w:val="auto"/>
              </w:rPr>
              <w:t>259</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1,183</w:t>
            </w:r>
          </w:p>
        </w:tc>
      </w:tr>
      <w:tr>
        <w:trPr>
          <w:trHeight w:val="216"/>
        </w:trPr>
        <w:tc>
          <w:tcPr>
            <w:tcW w:w="2420" w:type="dxa"/>
            <w:vAlign w:val="bottom"/>
          </w:tcPr>
          <w:p>
            <w:pPr>
              <w:ind w:left="200"/>
              <w:spacing w:after="0"/>
              <w:rPr>
                <w:sz w:val="20"/>
                <w:szCs w:val="20"/>
                <w:color w:val="auto"/>
              </w:rPr>
            </w:pPr>
            <w:r>
              <w:rPr>
                <w:rFonts w:ascii="Arial" w:cs="Arial" w:eastAsia="Arial" w:hAnsi="Arial"/>
                <w:sz w:val="16"/>
                <w:szCs w:val="16"/>
                <w:color w:val="auto"/>
              </w:rPr>
              <w:t>Other revenues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22"/>
        </w:trPr>
        <w:tc>
          <w:tcPr>
            <w:tcW w:w="2420" w:type="dxa"/>
            <w:vAlign w:val="bottom"/>
          </w:tcPr>
          <w:p>
            <w:pPr>
              <w:ind w:left="200"/>
              <w:spacing w:after="0"/>
              <w:rPr>
                <w:sz w:val="20"/>
                <w:szCs w:val="20"/>
                <w:color w:val="auto"/>
              </w:rPr>
            </w:pPr>
            <w:r>
              <w:rPr>
                <w:rFonts w:ascii="Arial" w:cs="Arial" w:eastAsia="Arial" w:hAnsi="Arial"/>
                <w:sz w:val="16"/>
                <w:szCs w:val="16"/>
                <w:color w:val="auto"/>
              </w:rPr>
              <w:t>Balancing accounts*</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r>
      <w:tr>
        <w:trPr>
          <w:trHeight w:val="207"/>
        </w:trPr>
        <w:tc>
          <w:tcPr>
            <w:tcW w:w="2420" w:type="dxa"/>
            <w:vAlign w:val="bottom"/>
          </w:tcPr>
          <w:p>
            <w:pPr>
              <w:ind w:left="380"/>
              <w:spacing w:after="0"/>
              <w:rPr>
                <w:sz w:val="20"/>
                <w:szCs w:val="20"/>
                <w:color w:val="auto"/>
              </w:rPr>
            </w:pPr>
            <w:r>
              <w:rPr>
                <w:rFonts w:ascii="Arial" w:cs="Arial" w:eastAsia="Arial" w:hAnsi="Arial"/>
                <w:sz w:val="16"/>
                <w:szCs w:val="16"/>
                <w:color w:val="auto"/>
              </w:rPr>
              <w:t>Total</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jc w:val="center"/>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1,091</w:t>
            </w:r>
          </w:p>
        </w:tc>
      </w:tr>
      <w:tr>
        <w:trPr>
          <w:trHeight w:val="84"/>
        </w:trPr>
        <w:tc>
          <w:tcPr>
            <w:tcW w:w="242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110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r>
      <w:tr>
        <w:trPr>
          <w:trHeight w:val="210"/>
        </w:trPr>
        <w:tc>
          <w:tcPr>
            <w:tcW w:w="2420" w:type="dxa"/>
            <w:vAlign w:val="bottom"/>
          </w:tcPr>
          <w:p>
            <w:pPr>
              <w:ind w:left="20"/>
              <w:spacing w:after="0"/>
              <w:rPr>
                <w:sz w:val="20"/>
                <w:szCs w:val="20"/>
                <w:color w:val="auto"/>
              </w:rPr>
            </w:pPr>
            <w:r>
              <w:rPr>
                <w:rFonts w:ascii="Arial" w:cs="Arial" w:eastAsia="Arial" w:hAnsi="Arial"/>
                <w:sz w:val="16"/>
                <w:szCs w:val="16"/>
                <w:color w:val="auto"/>
              </w:rPr>
              <w:t>2008:</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420" w:type="dxa"/>
            <w:vAlign w:val="bottom"/>
          </w:tcPr>
          <w:p>
            <w:pPr>
              <w:ind w:left="200"/>
              <w:spacing w:after="0"/>
              <w:rPr>
                <w:sz w:val="20"/>
                <w:szCs w:val="20"/>
                <w:color w:val="auto"/>
              </w:rPr>
            </w:pPr>
            <w:r>
              <w:rPr>
                <w:rFonts w:ascii="Arial" w:cs="Arial" w:eastAsia="Arial" w:hAnsi="Arial"/>
                <w:sz w:val="16"/>
                <w:szCs w:val="16"/>
                <w:color w:val="auto"/>
              </w:rPr>
              <w:t>Residential</w:t>
            </w:r>
          </w:p>
        </w:tc>
        <w:tc>
          <w:tcPr>
            <w:tcW w:w="1080" w:type="dxa"/>
            <w:vAlign w:val="bottom"/>
          </w:tcPr>
          <w:p>
            <w:pPr>
              <w:jc w:val="right"/>
              <w:spacing w:after="0"/>
              <w:rPr>
                <w:sz w:val="20"/>
                <w:szCs w:val="20"/>
                <w:color w:val="auto"/>
              </w:rPr>
            </w:pPr>
            <w:r>
              <w:rPr>
                <w:rFonts w:ascii="Arial" w:cs="Arial" w:eastAsia="Arial" w:hAnsi="Arial"/>
                <w:sz w:val="16"/>
                <w:szCs w:val="16"/>
                <w:color w:val="auto"/>
              </w:rPr>
              <w:t>108</w:t>
            </w:r>
          </w:p>
        </w:tc>
        <w:tc>
          <w:tcPr>
            <w:tcW w:w="20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1,293</w:t>
            </w:r>
          </w:p>
        </w:tc>
        <w:tc>
          <w:tcPr>
            <w:tcW w:w="1860" w:type="dxa"/>
            <w:vAlign w:val="bottom"/>
            <w:gridSpan w:val="2"/>
          </w:tcPr>
          <w:p>
            <w:pPr>
              <w:jc w:val="right"/>
              <w:ind w:right="722"/>
              <w:spacing w:after="0"/>
              <w:rPr>
                <w:sz w:val="20"/>
                <w:szCs w:val="20"/>
                <w:color w:val="auto"/>
              </w:rPr>
            </w:pPr>
            <w:r>
              <w:rPr>
                <w:rFonts w:ascii="Arial" w:cs="Arial" w:eastAsia="Arial" w:hAnsi="Arial"/>
                <w:sz w:val="16"/>
                <w:szCs w:val="16"/>
                <w:color w:val="auto"/>
              </w:rPr>
              <w:t>- $</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980" w:type="dxa"/>
            <w:vAlign w:val="bottom"/>
          </w:tcPr>
          <w:p>
            <w:pPr>
              <w:jc w:val="right"/>
              <w:spacing w:after="0"/>
              <w:rPr>
                <w:sz w:val="20"/>
                <w:szCs w:val="20"/>
                <w:color w:val="auto"/>
              </w:rPr>
            </w:pPr>
            <w:r>
              <w:rPr>
                <w:rFonts w:ascii="Arial" w:cs="Arial" w:eastAsia="Arial" w:hAnsi="Arial"/>
                <w:sz w:val="16"/>
                <w:szCs w:val="16"/>
                <w:color w:val="auto"/>
              </w:rPr>
              <w:t>108</w:t>
            </w:r>
          </w:p>
        </w:tc>
        <w:tc>
          <w:tcPr>
            <w:tcW w:w="240" w:type="dxa"/>
            <w:vAlign w:val="bottom"/>
          </w:tcPr>
          <w:p>
            <w:pPr>
              <w:jc w:val="center"/>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1,295</w:t>
            </w:r>
          </w:p>
        </w:tc>
      </w:tr>
      <w:tr>
        <w:trPr>
          <w:trHeight w:val="216"/>
        </w:trPr>
        <w:tc>
          <w:tcPr>
            <w:tcW w:w="2420" w:type="dxa"/>
            <w:vAlign w:val="bottom"/>
          </w:tcPr>
          <w:p>
            <w:pPr>
              <w:ind w:left="200"/>
              <w:spacing w:after="0"/>
              <w:rPr>
                <w:sz w:val="20"/>
                <w:szCs w:val="20"/>
                <w:color w:val="auto"/>
              </w:rPr>
            </w:pPr>
            <w:r>
              <w:rPr>
                <w:rFonts w:ascii="Arial" w:cs="Arial" w:eastAsia="Arial" w:hAnsi="Arial"/>
                <w:sz w:val="16"/>
                <w:szCs w:val="16"/>
                <w:color w:val="auto"/>
              </w:rPr>
              <w:t>Commercial and industrial</w:t>
            </w:r>
          </w:p>
        </w:tc>
        <w:tc>
          <w:tcPr>
            <w:tcW w:w="1080" w:type="dxa"/>
            <w:vAlign w:val="bottom"/>
          </w:tcPr>
          <w:p>
            <w:pPr>
              <w:jc w:val="right"/>
              <w:spacing w:after="0"/>
              <w:rPr>
                <w:sz w:val="20"/>
                <w:szCs w:val="20"/>
                <w:color w:val="auto"/>
              </w:rPr>
            </w:pPr>
            <w:r>
              <w:rPr>
                <w:rFonts w:ascii="Arial" w:cs="Arial" w:eastAsia="Arial" w:hAnsi="Arial"/>
                <w:sz w:val="16"/>
                <w:szCs w:val="16"/>
                <w:color w:val="auto"/>
              </w:rPr>
              <w:t>36</w:t>
            </w:r>
          </w:p>
        </w:tc>
        <w:tc>
          <w:tcPr>
            <w:tcW w:w="20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396</w:t>
            </w:r>
          </w:p>
        </w:tc>
        <w:tc>
          <w:tcPr>
            <w:tcW w:w="940" w:type="dxa"/>
            <w:vAlign w:val="bottom"/>
          </w:tcPr>
          <w:p>
            <w:pPr>
              <w:jc w:val="right"/>
              <w:spacing w:after="0"/>
              <w:rPr>
                <w:sz w:val="20"/>
                <w:szCs w:val="20"/>
                <w:color w:val="auto"/>
              </w:rPr>
            </w:pPr>
            <w:r>
              <w:rPr>
                <w:rFonts w:ascii="Arial" w:cs="Arial" w:eastAsia="Arial" w:hAnsi="Arial"/>
                <w:sz w:val="16"/>
                <w:szCs w:val="16"/>
                <w:color w:val="auto"/>
              </w:rPr>
              <w:t>73</w:t>
            </w:r>
          </w:p>
        </w:tc>
        <w:tc>
          <w:tcPr>
            <w:tcW w:w="920" w:type="dxa"/>
            <w:vAlign w:val="bottom"/>
          </w:tcPr>
          <w:p>
            <w:pPr>
              <w:spacing w:after="0"/>
              <w:rPr>
                <w:sz w:val="18"/>
                <w:szCs w:val="18"/>
                <w:color w:val="auto"/>
              </w:rPr>
            </w:pP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35</w:t>
            </w:r>
          </w:p>
        </w:tc>
        <w:tc>
          <w:tcPr>
            <w:tcW w:w="980" w:type="dxa"/>
            <w:vAlign w:val="bottom"/>
          </w:tcPr>
          <w:p>
            <w:pPr>
              <w:jc w:val="right"/>
              <w:spacing w:after="0"/>
              <w:rPr>
                <w:sz w:val="20"/>
                <w:szCs w:val="20"/>
                <w:color w:val="auto"/>
              </w:rPr>
            </w:pPr>
            <w:r>
              <w:rPr>
                <w:rFonts w:ascii="Arial" w:cs="Arial" w:eastAsia="Arial" w:hAnsi="Arial"/>
                <w:sz w:val="16"/>
                <w:szCs w:val="16"/>
                <w:color w:val="auto"/>
              </w:rPr>
              <w:t>109</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431</w:t>
            </w:r>
          </w:p>
        </w:tc>
      </w:tr>
      <w:tr>
        <w:trPr>
          <w:trHeight w:val="216"/>
        </w:trPr>
        <w:tc>
          <w:tcPr>
            <w:tcW w:w="2420" w:type="dxa"/>
            <w:vAlign w:val="bottom"/>
          </w:tcPr>
          <w:p>
            <w:pPr>
              <w:ind w:left="200"/>
              <w:spacing w:after="0"/>
              <w:rPr>
                <w:sz w:val="20"/>
                <w:szCs w:val="20"/>
                <w:color w:val="auto"/>
              </w:rPr>
            </w:pPr>
            <w:r>
              <w:rPr>
                <w:rFonts w:ascii="Arial" w:cs="Arial" w:eastAsia="Arial" w:hAnsi="Arial"/>
                <w:sz w:val="16"/>
                <w:szCs w:val="16"/>
                <w:color w:val="auto"/>
              </w:rPr>
              <w:t>Electric generation plants</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58</w:t>
            </w:r>
          </w:p>
        </w:tc>
        <w:tc>
          <w:tcPr>
            <w:tcW w:w="920" w:type="dxa"/>
            <w:vAlign w:val="bottom"/>
          </w:tcPr>
          <w:p>
            <w:pPr>
              <w:spacing w:after="0"/>
              <w:rPr>
                <w:sz w:val="18"/>
                <w:szCs w:val="18"/>
                <w:color w:val="auto"/>
              </w:rPr>
            </w:pP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21</w:t>
            </w:r>
          </w:p>
        </w:tc>
        <w:tc>
          <w:tcPr>
            <w:tcW w:w="980" w:type="dxa"/>
            <w:vAlign w:val="bottom"/>
          </w:tcPr>
          <w:p>
            <w:pPr>
              <w:jc w:val="right"/>
              <w:spacing w:after="0"/>
              <w:rPr>
                <w:sz w:val="20"/>
                <w:szCs w:val="20"/>
                <w:color w:val="auto"/>
              </w:rPr>
            </w:pPr>
            <w:r>
              <w:rPr>
                <w:rFonts w:ascii="Arial" w:cs="Arial" w:eastAsia="Arial" w:hAnsi="Arial"/>
                <w:sz w:val="16"/>
                <w:szCs w:val="16"/>
                <w:color w:val="auto"/>
              </w:rPr>
              <w:t>58</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22"/>
        </w:trPr>
        <w:tc>
          <w:tcPr>
            <w:tcW w:w="2420" w:type="dxa"/>
            <w:vAlign w:val="bottom"/>
          </w:tcPr>
          <w:p>
            <w:pPr>
              <w:ind w:left="200"/>
              <w:spacing w:after="0"/>
              <w:rPr>
                <w:sz w:val="20"/>
                <w:szCs w:val="20"/>
                <w:color w:val="auto"/>
              </w:rPr>
            </w:pPr>
            <w:r>
              <w:rPr>
                <w:rFonts w:ascii="Arial" w:cs="Arial" w:eastAsia="Arial" w:hAnsi="Arial"/>
                <w:sz w:val="16"/>
                <w:szCs w:val="16"/>
                <w:color w:val="auto"/>
              </w:rPr>
              <w:t>Wholesale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4"/>
        </w:trPr>
        <w:tc>
          <w:tcPr>
            <w:tcW w:w="24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144</w:t>
            </w:r>
          </w:p>
        </w:tc>
        <w:tc>
          <w:tcPr>
            <w:tcW w:w="20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1,689</w:t>
            </w:r>
          </w:p>
        </w:tc>
        <w:tc>
          <w:tcPr>
            <w:tcW w:w="940" w:type="dxa"/>
            <w:vAlign w:val="bottom"/>
          </w:tcPr>
          <w:p>
            <w:pPr>
              <w:jc w:val="right"/>
              <w:spacing w:after="0"/>
              <w:rPr>
                <w:sz w:val="20"/>
                <w:szCs w:val="20"/>
                <w:color w:val="auto"/>
              </w:rPr>
            </w:pPr>
            <w:r>
              <w:rPr>
                <w:rFonts w:ascii="Arial" w:cs="Arial" w:eastAsia="Arial" w:hAnsi="Arial"/>
                <w:sz w:val="16"/>
                <w:szCs w:val="16"/>
                <w:color w:val="auto"/>
              </w:rPr>
              <w:t>138</w:t>
            </w:r>
          </w:p>
        </w:tc>
        <w:tc>
          <w:tcPr>
            <w:tcW w:w="920" w:type="dxa"/>
            <w:vAlign w:val="bottom"/>
          </w:tcPr>
          <w:p>
            <w:pPr>
              <w:jc w:val="right"/>
              <w:ind w:right="722"/>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60</w:t>
            </w:r>
          </w:p>
        </w:tc>
        <w:tc>
          <w:tcPr>
            <w:tcW w:w="980" w:type="dxa"/>
            <w:vAlign w:val="bottom"/>
          </w:tcPr>
          <w:p>
            <w:pPr>
              <w:jc w:val="right"/>
              <w:spacing w:after="0"/>
              <w:rPr>
                <w:sz w:val="20"/>
                <w:szCs w:val="20"/>
                <w:color w:val="auto"/>
              </w:rPr>
            </w:pPr>
            <w:r>
              <w:rPr>
                <w:rFonts w:ascii="Arial" w:cs="Arial" w:eastAsia="Arial" w:hAnsi="Arial"/>
                <w:sz w:val="16"/>
                <w:szCs w:val="16"/>
                <w:color w:val="auto"/>
              </w:rPr>
              <w:t>282</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1,749</w:t>
            </w:r>
          </w:p>
        </w:tc>
      </w:tr>
      <w:tr>
        <w:trPr>
          <w:trHeight w:val="216"/>
        </w:trPr>
        <w:tc>
          <w:tcPr>
            <w:tcW w:w="2420" w:type="dxa"/>
            <w:vAlign w:val="bottom"/>
          </w:tcPr>
          <w:p>
            <w:pPr>
              <w:ind w:left="200"/>
              <w:spacing w:after="0"/>
              <w:rPr>
                <w:sz w:val="20"/>
                <w:szCs w:val="20"/>
                <w:color w:val="auto"/>
              </w:rPr>
            </w:pPr>
            <w:r>
              <w:rPr>
                <w:rFonts w:ascii="Arial" w:cs="Arial" w:eastAsia="Arial" w:hAnsi="Arial"/>
                <w:sz w:val="16"/>
                <w:szCs w:val="16"/>
                <w:color w:val="auto"/>
              </w:rPr>
              <w:t>Other revenues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22"/>
        </w:trPr>
        <w:tc>
          <w:tcPr>
            <w:tcW w:w="2420" w:type="dxa"/>
            <w:vAlign w:val="bottom"/>
          </w:tcPr>
          <w:p>
            <w:pPr>
              <w:ind w:left="200"/>
              <w:spacing w:after="0"/>
              <w:rPr>
                <w:sz w:val="20"/>
                <w:szCs w:val="20"/>
                <w:color w:val="auto"/>
              </w:rPr>
            </w:pPr>
            <w:r>
              <w:rPr>
                <w:rFonts w:ascii="Arial" w:cs="Arial" w:eastAsia="Arial" w:hAnsi="Arial"/>
                <w:sz w:val="16"/>
                <w:szCs w:val="16"/>
                <w:color w:val="auto"/>
              </w:rPr>
              <w:t>Balancing accounts*</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2420" w:type="dxa"/>
            <w:vAlign w:val="bottom"/>
          </w:tcPr>
          <w:p>
            <w:pPr>
              <w:ind w:left="380"/>
              <w:spacing w:after="0"/>
              <w:rPr>
                <w:sz w:val="20"/>
                <w:szCs w:val="20"/>
                <w:color w:val="auto"/>
              </w:rPr>
            </w:pPr>
            <w:r>
              <w:rPr>
                <w:rFonts w:ascii="Arial" w:cs="Arial" w:eastAsia="Arial" w:hAnsi="Arial"/>
                <w:sz w:val="16"/>
                <w:szCs w:val="16"/>
                <w:color w:val="auto"/>
              </w:rPr>
              <w:t>Total</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jc w:val="center"/>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1,792</w:t>
            </w:r>
          </w:p>
        </w:tc>
      </w:tr>
      <w:tr>
        <w:trPr>
          <w:trHeight w:val="84"/>
        </w:trPr>
        <w:tc>
          <w:tcPr>
            <w:tcW w:w="242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110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We discuss balancing accounts and their effects in Note 1 of the Notes to Consolidated Financial Statements in the Annual Report.</w:t>
      </w:r>
    </w:p>
    <w:p>
      <w:pPr>
        <w:spacing w:after="0" w:line="25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During the three months ended March 31, 2009, our natural gas revenues decreased by $701 million (39%) to $1.1 billion, and the cost of natural gas decreased by $695 million (56%) to $540 million. The decrease in revenues was primarily due to substantially lower natural gas prices in 2009. To a lesser extent, the decrease was due to lower sales volumes resulting from a milder winter in 2009.</w:t>
      </w:r>
    </w:p>
    <w:p>
      <w:pPr>
        <w:sectPr>
          <w:pgSz w:w="11900" w:h="16838" w:orient="portrait"/>
          <w:cols w:equalWidth="0" w:num="1">
            <w:col w:w="11280"/>
          </w:cols>
          <w:pgMar w:left="240" w:top="419" w:right="379" w:bottom="1440" w:gutter="0" w:footer="0" w:header="0"/>
        </w:sectPr>
      </w:pPr>
    </w:p>
    <w:bookmarkStart w:id="67" w:name="page68"/>
    <w:bookmarkEnd w:id="67"/>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5797550" cy="4114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97550" cy="411480"/>
                    </a:xfrm>
                    <a:prstGeom prst="rect">
                      <a:avLst/>
                    </a:prstGeom>
                    <a:noFill/>
                  </pic:spPr>
                </pic:pic>
              </a:graphicData>
            </a:graphic>
          </wp:anchor>
        </w:drawing>
        <w:t>SDG&amp;E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NATURAL GAS SALES, TRANSPORTATION AND EXCHANGE</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(Volumes in billion cubic feet, dollars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60" w:type="dxa"/>
            <w:vAlign w:val="bottom"/>
            <w:gridSpan w:val="2"/>
          </w:tcPr>
          <w:p>
            <w:pPr>
              <w:jc w:val="right"/>
              <w:ind w:right="322"/>
              <w:spacing w:after="0"/>
              <w:rPr>
                <w:sz w:val="20"/>
                <w:szCs w:val="20"/>
                <w:color w:val="auto"/>
              </w:rPr>
            </w:pPr>
            <w:r>
              <w:rPr>
                <w:rFonts w:ascii="Arial" w:cs="Arial" w:eastAsia="Arial" w:hAnsi="Arial"/>
                <w:sz w:val="14"/>
                <w:szCs w:val="14"/>
                <w:color w:val="auto"/>
              </w:rPr>
              <w:t>Transportation</w:t>
            </w: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9"/>
        </w:trPr>
        <w:tc>
          <w:tcPr>
            <w:tcW w:w="2380" w:type="dxa"/>
            <w:vAlign w:val="bottom"/>
          </w:tcPr>
          <w:p>
            <w:pPr>
              <w:spacing w:after="0"/>
              <w:rPr>
                <w:sz w:val="18"/>
                <w:szCs w:val="18"/>
                <w:color w:val="auto"/>
              </w:rPr>
            </w:pPr>
          </w:p>
        </w:tc>
        <w:tc>
          <w:tcPr>
            <w:tcW w:w="23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color w:val="auto"/>
              </w:rPr>
              <w:t>Natural Gas Sales</w:t>
            </w:r>
          </w:p>
        </w:tc>
        <w:tc>
          <w:tcPr>
            <w:tcW w:w="1860" w:type="dxa"/>
            <w:vAlign w:val="bottom"/>
            <w:tcBorders>
              <w:bottom w:val="single" w:sz="8" w:color="auto"/>
            </w:tcBorders>
            <w:gridSpan w:val="2"/>
          </w:tcPr>
          <w:p>
            <w:pPr>
              <w:jc w:val="right"/>
              <w:ind w:right="322"/>
              <w:spacing w:after="0"/>
              <w:rPr>
                <w:sz w:val="20"/>
                <w:szCs w:val="20"/>
                <w:color w:val="auto"/>
              </w:rPr>
            </w:pPr>
            <w:r>
              <w:rPr>
                <w:rFonts w:ascii="Arial" w:cs="Arial" w:eastAsia="Arial" w:hAnsi="Arial"/>
                <w:sz w:val="14"/>
                <w:szCs w:val="14"/>
                <w:color w:val="auto"/>
              </w:rPr>
              <w:t>and Exchange</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left="721"/>
              <w:spacing w:after="0"/>
              <w:rPr>
                <w:sz w:val="20"/>
                <w:szCs w:val="20"/>
                <w:color w:val="auto"/>
              </w:rPr>
            </w:pPr>
            <w:r>
              <w:rPr>
                <w:rFonts w:ascii="Arial" w:cs="Arial" w:eastAsia="Arial" w:hAnsi="Arial"/>
                <w:sz w:val="14"/>
                <w:szCs w:val="14"/>
                <w:color w:val="auto"/>
                <w:w w:val="96"/>
              </w:rPr>
              <w:t>Total</w:t>
            </w:r>
          </w:p>
        </w:tc>
        <w:tc>
          <w:tcPr>
            <w:tcW w:w="920" w:type="dxa"/>
            <w:vAlign w:val="bottom"/>
            <w:tcBorders>
              <w:bottom w:val="single" w:sz="8" w:color="auto"/>
            </w:tcBorders>
          </w:tcPr>
          <w:p>
            <w:pPr>
              <w:spacing w:after="0"/>
              <w:rPr>
                <w:sz w:val="18"/>
                <w:szCs w:val="18"/>
                <w:color w:val="auto"/>
              </w:rPr>
            </w:pPr>
          </w:p>
        </w:tc>
      </w:tr>
      <w:tr>
        <w:trPr>
          <w:trHeight w:val="196"/>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Customer class</w:t>
            </w:r>
          </w:p>
        </w:tc>
        <w:tc>
          <w:tcPr>
            <w:tcW w:w="10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color w:val="auto"/>
              </w:rPr>
              <w:t>Volumes</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Revenue</w:t>
            </w:r>
          </w:p>
        </w:tc>
        <w:tc>
          <w:tcPr>
            <w:tcW w:w="9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color w:val="auto"/>
              </w:rPr>
              <w:t>Volumes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Revenue</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color w:val="auto"/>
              </w:rPr>
              <w:t>Volumes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Revenue</w:t>
            </w:r>
          </w:p>
        </w:tc>
      </w:tr>
      <w:tr>
        <w:trPr>
          <w:trHeight w:val="210"/>
        </w:trPr>
        <w:tc>
          <w:tcPr>
            <w:tcW w:w="2380" w:type="dxa"/>
            <w:vAlign w:val="bottom"/>
          </w:tcPr>
          <w:p>
            <w:pPr>
              <w:ind w:left="20"/>
              <w:spacing w:after="0"/>
              <w:rPr>
                <w:sz w:val="20"/>
                <w:szCs w:val="20"/>
                <w:color w:val="auto"/>
              </w:rPr>
            </w:pPr>
            <w:r>
              <w:rPr>
                <w:rFonts w:ascii="Arial" w:cs="Arial" w:eastAsia="Arial" w:hAnsi="Arial"/>
                <w:sz w:val="16"/>
                <w:szCs w:val="16"/>
                <w:color w:val="auto"/>
              </w:rPr>
              <w:t>2009:</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380" w:type="dxa"/>
            <w:vAlign w:val="bottom"/>
          </w:tcPr>
          <w:p>
            <w:pPr>
              <w:ind w:left="200"/>
              <w:spacing w:after="0"/>
              <w:rPr>
                <w:sz w:val="20"/>
                <w:szCs w:val="20"/>
                <w:color w:val="auto"/>
              </w:rPr>
            </w:pPr>
            <w:r>
              <w:rPr>
                <w:rFonts w:ascii="Arial" w:cs="Arial" w:eastAsia="Arial" w:hAnsi="Arial"/>
                <w:sz w:val="16"/>
                <w:szCs w:val="16"/>
                <w:color w:val="auto"/>
              </w:rPr>
              <w:t>Residential</w:t>
            </w:r>
          </w:p>
        </w:tc>
        <w:tc>
          <w:tcPr>
            <w:tcW w:w="108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jc w:val="center"/>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127</w:t>
            </w:r>
          </w:p>
        </w:tc>
        <w:tc>
          <w:tcPr>
            <w:tcW w:w="1860" w:type="dxa"/>
            <w:vAlign w:val="bottom"/>
            <w:gridSpan w:val="2"/>
          </w:tcPr>
          <w:p>
            <w:pPr>
              <w:jc w:val="right"/>
              <w:ind w:right="722"/>
              <w:spacing w:after="0"/>
              <w:rPr>
                <w:sz w:val="20"/>
                <w:szCs w:val="20"/>
                <w:color w:val="auto"/>
              </w:rPr>
            </w:pPr>
            <w:r>
              <w:rPr>
                <w:rFonts w:ascii="Arial" w:cs="Arial" w:eastAsia="Arial" w:hAnsi="Arial"/>
                <w:sz w:val="16"/>
                <w:szCs w:val="16"/>
                <w:color w:val="auto"/>
              </w:rPr>
              <w:t>- $</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260" w:type="dxa"/>
            <w:vAlign w:val="bottom"/>
          </w:tcPr>
          <w:p>
            <w:pPr>
              <w:jc w:val="center"/>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216"/>
        </w:trPr>
        <w:tc>
          <w:tcPr>
            <w:tcW w:w="2380" w:type="dxa"/>
            <w:vAlign w:val="bottom"/>
          </w:tcPr>
          <w:p>
            <w:pPr>
              <w:ind w:left="200"/>
              <w:spacing w:after="0"/>
              <w:rPr>
                <w:sz w:val="20"/>
                <w:szCs w:val="20"/>
                <w:color w:val="auto"/>
              </w:rPr>
            </w:pPr>
            <w:r>
              <w:rPr>
                <w:rFonts w:ascii="Arial" w:cs="Arial" w:eastAsia="Arial" w:hAnsi="Arial"/>
                <w:sz w:val="16"/>
                <w:szCs w:val="16"/>
                <w:color w:val="auto"/>
              </w:rPr>
              <w:t>Commercial and industrial</w:t>
            </w: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8"/>
                <w:szCs w:val="18"/>
                <w:color w:val="auto"/>
              </w:rPr>
            </w:pP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37</w:t>
            </w: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940" w:type="dxa"/>
            <w:vAlign w:val="bottom"/>
          </w:tcPr>
          <w:p>
            <w:pPr>
              <w:spacing w:after="0"/>
              <w:rPr>
                <w:sz w:val="18"/>
                <w:szCs w:val="18"/>
                <w:color w:val="auto"/>
              </w:rPr>
            </w:pP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22"/>
        </w:trPr>
        <w:tc>
          <w:tcPr>
            <w:tcW w:w="2380" w:type="dxa"/>
            <w:vAlign w:val="bottom"/>
          </w:tcPr>
          <w:p>
            <w:pPr>
              <w:ind w:left="200"/>
              <w:spacing w:after="0"/>
              <w:rPr>
                <w:sz w:val="20"/>
                <w:szCs w:val="20"/>
                <w:color w:val="auto"/>
              </w:rPr>
            </w:pPr>
            <w:r>
              <w:rPr>
                <w:rFonts w:ascii="Arial" w:cs="Arial" w:eastAsia="Arial" w:hAnsi="Arial"/>
                <w:sz w:val="16"/>
                <w:szCs w:val="16"/>
                <w:color w:val="auto"/>
              </w:rPr>
              <w:t>Electric generation plants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9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04"/>
        </w:trPr>
        <w:tc>
          <w:tcPr>
            <w:tcW w:w="23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w:t>
            </w:r>
          </w:p>
        </w:tc>
        <w:tc>
          <w:tcPr>
            <w:tcW w:w="200" w:type="dxa"/>
            <w:vAlign w:val="bottom"/>
          </w:tcPr>
          <w:p>
            <w:pPr>
              <w:jc w:val="center"/>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164</w:t>
            </w:r>
          </w:p>
        </w:tc>
        <w:tc>
          <w:tcPr>
            <w:tcW w:w="920" w:type="dxa"/>
            <w:vAlign w:val="bottom"/>
          </w:tcPr>
          <w:p>
            <w:pPr>
              <w:jc w:val="right"/>
              <w:spacing w:after="0"/>
              <w:rPr>
                <w:sz w:val="20"/>
                <w:szCs w:val="20"/>
                <w:color w:val="auto"/>
              </w:rPr>
            </w:pPr>
            <w:r>
              <w:rPr>
                <w:rFonts w:ascii="Arial" w:cs="Arial" w:eastAsia="Arial" w:hAnsi="Arial"/>
                <w:sz w:val="16"/>
                <w:szCs w:val="16"/>
                <w:color w:val="auto"/>
              </w:rPr>
              <w:t>19</w:t>
            </w:r>
          </w:p>
        </w:tc>
        <w:tc>
          <w:tcPr>
            <w:tcW w:w="940" w:type="dxa"/>
            <w:vAlign w:val="bottom"/>
          </w:tcPr>
          <w:p>
            <w:pPr>
              <w:jc w:val="right"/>
              <w:ind w:right="722"/>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8</w:t>
            </w:r>
          </w:p>
        </w:tc>
        <w:tc>
          <w:tcPr>
            <w:tcW w:w="960" w:type="dxa"/>
            <w:vAlign w:val="bottom"/>
          </w:tcPr>
          <w:p>
            <w:pPr>
              <w:jc w:val="right"/>
              <w:spacing w:after="0"/>
              <w:rPr>
                <w:sz w:val="20"/>
                <w:szCs w:val="20"/>
                <w:color w:val="auto"/>
              </w:rPr>
            </w:pPr>
            <w:r>
              <w:rPr>
                <w:rFonts w:ascii="Arial" w:cs="Arial" w:eastAsia="Arial" w:hAnsi="Arial"/>
                <w:sz w:val="16"/>
                <w:szCs w:val="16"/>
                <w:color w:val="auto"/>
              </w:rPr>
              <w:t>35</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172</w:t>
            </w:r>
          </w:p>
        </w:tc>
      </w:tr>
      <w:tr>
        <w:trPr>
          <w:trHeight w:val="216"/>
        </w:trPr>
        <w:tc>
          <w:tcPr>
            <w:tcW w:w="2380" w:type="dxa"/>
            <w:vAlign w:val="bottom"/>
          </w:tcPr>
          <w:p>
            <w:pPr>
              <w:ind w:left="200"/>
              <w:spacing w:after="0"/>
              <w:rPr>
                <w:sz w:val="20"/>
                <w:szCs w:val="20"/>
                <w:color w:val="auto"/>
              </w:rPr>
            </w:pPr>
            <w:r>
              <w:rPr>
                <w:rFonts w:ascii="Arial" w:cs="Arial" w:eastAsia="Arial" w:hAnsi="Arial"/>
                <w:sz w:val="16"/>
                <w:szCs w:val="16"/>
                <w:color w:val="auto"/>
              </w:rPr>
              <w:t>Other revenues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22"/>
        </w:trPr>
        <w:tc>
          <w:tcPr>
            <w:tcW w:w="2380" w:type="dxa"/>
            <w:vAlign w:val="bottom"/>
          </w:tcPr>
          <w:p>
            <w:pPr>
              <w:ind w:left="200"/>
              <w:spacing w:after="0"/>
              <w:rPr>
                <w:sz w:val="20"/>
                <w:szCs w:val="20"/>
                <w:color w:val="auto"/>
              </w:rPr>
            </w:pPr>
            <w:r>
              <w:rPr>
                <w:rFonts w:ascii="Arial" w:cs="Arial" w:eastAsia="Arial" w:hAnsi="Arial"/>
                <w:sz w:val="16"/>
                <w:szCs w:val="16"/>
                <w:color w:val="auto"/>
              </w:rPr>
              <w:t>Balancing accounts</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2380" w:type="dxa"/>
            <w:vAlign w:val="bottom"/>
          </w:tcPr>
          <w:p>
            <w:pPr>
              <w:ind w:left="380"/>
              <w:spacing w:after="0"/>
              <w:rPr>
                <w:sz w:val="20"/>
                <w:szCs w:val="20"/>
                <w:color w:val="auto"/>
              </w:rPr>
            </w:pPr>
            <w:r>
              <w:rPr>
                <w:rFonts w:ascii="Arial" w:cs="Arial" w:eastAsia="Arial" w:hAnsi="Arial"/>
                <w:sz w:val="16"/>
                <w:szCs w:val="16"/>
                <w:color w:val="auto"/>
              </w:rPr>
              <w:t>Total*</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jc w:val="center"/>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179</w:t>
            </w:r>
          </w:p>
        </w:tc>
      </w:tr>
      <w:tr>
        <w:trPr>
          <w:trHeight w:val="84"/>
        </w:trPr>
        <w:tc>
          <w:tcPr>
            <w:tcW w:w="238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110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r>
      <w:tr>
        <w:trPr>
          <w:trHeight w:val="210"/>
        </w:trPr>
        <w:tc>
          <w:tcPr>
            <w:tcW w:w="2380" w:type="dxa"/>
            <w:vAlign w:val="bottom"/>
          </w:tcPr>
          <w:p>
            <w:pPr>
              <w:ind w:left="20"/>
              <w:spacing w:after="0"/>
              <w:rPr>
                <w:sz w:val="20"/>
                <w:szCs w:val="20"/>
                <w:color w:val="auto"/>
              </w:rPr>
            </w:pPr>
            <w:r>
              <w:rPr>
                <w:rFonts w:ascii="Arial" w:cs="Arial" w:eastAsia="Arial" w:hAnsi="Arial"/>
                <w:sz w:val="16"/>
                <w:szCs w:val="16"/>
                <w:color w:val="auto"/>
              </w:rPr>
              <w:t>2008:</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380" w:type="dxa"/>
            <w:vAlign w:val="bottom"/>
          </w:tcPr>
          <w:p>
            <w:pPr>
              <w:ind w:left="200"/>
              <w:spacing w:after="0"/>
              <w:rPr>
                <w:sz w:val="20"/>
                <w:szCs w:val="20"/>
                <w:color w:val="auto"/>
              </w:rPr>
            </w:pPr>
            <w:r>
              <w:rPr>
                <w:rFonts w:ascii="Arial" w:cs="Arial" w:eastAsia="Arial" w:hAnsi="Arial"/>
                <w:sz w:val="16"/>
                <w:szCs w:val="16"/>
                <w:color w:val="auto"/>
              </w:rPr>
              <w:t>Residential</w:t>
            </w:r>
          </w:p>
        </w:tc>
        <w:tc>
          <w:tcPr>
            <w:tcW w:w="1080" w:type="dxa"/>
            <w:vAlign w:val="bottom"/>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jc w:val="center"/>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180</w:t>
            </w:r>
          </w:p>
        </w:tc>
        <w:tc>
          <w:tcPr>
            <w:tcW w:w="1860" w:type="dxa"/>
            <w:vAlign w:val="bottom"/>
            <w:gridSpan w:val="2"/>
          </w:tcPr>
          <w:p>
            <w:pPr>
              <w:jc w:val="right"/>
              <w:ind w:right="722"/>
              <w:spacing w:after="0"/>
              <w:rPr>
                <w:sz w:val="20"/>
                <w:szCs w:val="20"/>
                <w:color w:val="auto"/>
              </w:rPr>
            </w:pPr>
            <w:r>
              <w:rPr>
                <w:rFonts w:ascii="Arial" w:cs="Arial" w:eastAsia="Arial" w:hAnsi="Arial"/>
                <w:sz w:val="16"/>
                <w:szCs w:val="16"/>
                <w:color w:val="auto"/>
              </w:rPr>
              <w:t>- $</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c>
          <w:tcPr>
            <w:tcW w:w="260" w:type="dxa"/>
            <w:vAlign w:val="bottom"/>
          </w:tcPr>
          <w:p>
            <w:pPr>
              <w:jc w:val="center"/>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216"/>
        </w:trPr>
        <w:tc>
          <w:tcPr>
            <w:tcW w:w="2380" w:type="dxa"/>
            <w:vAlign w:val="bottom"/>
          </w:tcPr>
          <w:p>
            <w:pPr>
              <w:ind w:left="200"/>
              <w:spacing w:after="0"/>
              <w:rPr>
                <w:sz w:val="20"/>
                <w:szCs w:val="20"/>
                <w:color w:val="auto"/>
              </w:rPr>
            </w:pPr>
            <w:r>
              <w:rPr>
                <w:rFonts w:ascii="Arial" w:cs="Arial" w:eastAsia="Arial" w:hAnsi="Arial"/>
                <w:sz w:val="16"/>
                <w:szCs w:val="16"/>
                <w:color w:val="auto"/>
              </w:rPr>
              <w:t>Commercial and industrial</w:t>
            </w: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8"/>
                <w:szCs w:val="18"/>
                <w:color w:val="auto"/>
              </w:rPr>
            </w:pP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56</w:t>
            </w: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940" w:type="dxa"/>
            <w:vAlign w:val="bottom"/>
          </w:tcPr>
          <w:p>
            <w:pPr>
              <w:spacing w:after="0"/>
              <w:rPr>
                <w:sz w:val="18"/>
                <w:szCs w:val="18"/>
                <w:color w:val="auto"/>
              </w:rPr>
            </w:pP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22"/>
        </w:trPr>
        <w:tc>
          <w:tcPr>
            <w:tcW w:w="2380" w:type="dxa"/>
            <w:vAlign w:val="bottom"/>
          </w:tcPr>
          <w:p>
            <w:pPr>
              <w:ind w:left="200"/>
              <w:spacing w:after="0"/>
              <w:rPr>
                <w:sz w:val="20"/>
                <w:szCs w:val="20"/>
                <w:color w:val="auto"/>
              </w:rPr>
            </w:pPr>
            <w:r>
              <w:rPr>
                <w:rFonts w:ascii="Arial" w:cs="Arial" w:eastAsia="Arial" w:hAnsi="Arial"/>
                <w:sz w:val="16"/>
                <w:szCs w:val="16"/>
                <w:color w:val="auto"/>
              </w:rPr>
              <w:t>Electric generation plants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9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04"/>
        </w:trPr>
        <w:tc>
          <w:tcPr>
            <w:tcW w:w="23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w:t>
            </w:r>
          </w:p>
        </w:tc>
        <w:tc>
          <w:tcPr>
            <w:tcW w:w="200" w:type="dxa"/>
            <w:vAlign w:val="bottom"/>
          </w:tcPr>
          <w:p>
            <w:pPr>
              <w:jc w:val="center"/>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236</w:t>
            </w:r>
          </w:p>
        </w:tc>
        <w:tc>
          <w:tcPr>
            <w:tcW w:w="920" w:type="dxa"/>
            <w:vAlign w:val="bottom"/>
          </w:tcPr>
          <w:p>
            <w:pPr>
              <w:jc w:val="right"/>
              <w:spacing w:after="0"/>
              <w:rPr>
                <w:sz w:val="20"/>
                <w:szCs w:val="20"/>
                <w:color w:val="auto"/>
              </w:rPr>
            </w:pPr>
            <w:r>
              <w:rPr>
                <w:rFonts w:ascii="Arial" w:cs="Arial" w:eastAsia="Arial" w:hAnsi="Arial"/>
                <w:sz w:val="16"/>
                <w:szCs w:val="16"/>
                <w:color w:val="auto"/>
              </w:rPr>
              <w:t>20</w:t>
            </w:r>
          </w:p>
        </w:tc>
        <w:tc>
          <w:tcPr>
            <w:tcW w:w="940" w:type="dxa"/>
            <w:vAlign w:val="bottom"/>
          </w:tcPr>
          <w:p>
            <w:pPr>
              <w:jc w:val="right"/>
              <w:ind w:right="722"/>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10</w:t>
            </w:r>
          </w:p>
        </w:tc>
        <w:tc>
          <w:tcPr>
            <w:tcW w:w="960" w:type="dxa"/>
            <w:vAlign w:val="bottom"/>
          </w:tcPr>
          <w:p>
            <w:pPr>
              <w:jc w:val="right"/>
              <w:spacing w:after="0"/>
              <w:rPr>
                <w:sz w:val="20"/>
                <w:szCs w:val="20"/>
                <w:color w:val="auto"/>
              </w:rPr>
            </w:pPr>
            <w:r>
              <w:rPr>
                <w:rFonts w:ascii="Arial" w:cs="Arial" w:eastAsia="Arial" w:hAnsi="Arial"/>
                <w:sz w:val="16"/>
                <w:szCs w:val="16"/>
                <w:color w:val="auto"/>
              </w:rPr>
              <w:t>39</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216"/>
        </w:trPr>
        <w:tc>
          <w:tcPr>
            <w:tcW w:w="2380" w:type="dxa"/>
            <w:vAlign w:val="bottom"/>
          </w:tcPr>
          <w:p>
            <w:pPr>
              <w:ind w:left="200"/>
              <w:spacing w:after="0"/>
              <w:rPr>
                <w:sz w:val="20"/>
                <w:szCs w:val="20"/>
                <w:color w:val="auto"/>
              </w:rPr>
            </w:pPr>
            <w:r>
              <w:rPr>
                <w:rFonts w:ascii="Arial" w:cs="Arial" w:eastAsia="Arial" w:hAnsi="Arial"/>
                <w:sz w:val="16"/>
                <w:szCs w:val="16"/>
                <w:color w:val="auto"/>
              </w:rPr>
              <w:t>Other revenues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2"/>
        </w:trPr>
        <w:tc>
          <w:tcPr>
            <w:tcW w:w="2380" w:type="dxa"/>
            <w:vAlign w:val="bottom"/>
          </w:tcPr>
          <w:p>
            <w:pPr>
              <w:ind w:left="200"/>
              <w:spacing w:after="0"/>
              <w:rPr>
                <w:sz w:val="20"/>
                <w:szCs w:val="20"/>
                <w:color w:val="auto"/>
              </w:rPr>
            </w:pPr>
            <w:r>
              <w:rPr>
                <w:rFonts w:ascii="Arial" w:cs="Arial" w:eastAsia="Arial" w:hAnsi="Arial"/>
                <w:sz w:val="16"/>
                <w:szCs w:val="16"/>
                <w:color w:val="auto"/>
              </w:rPr>
              <w:t>Balancing accounts</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07"/>
        </w:trPr>
        <w:tc>
          <w:tcPr>
            <w:tcW w:w="2380" w:type="dxa"/>
            <w:vAlign w:val="bottom"/>
          </w:tcPr>
          <w:p>
            <w:pPr>
              <w:ind w:left="380"/>
              <w:spacing w:after="0"/>
              <w:rPr>
                <w:sz w:val="20"/>
                <w:szCs w:val="20"/>
                <w:color w:val="auto"/>
              </w:rPr>
            </w:pPr>
            <w:r>
              <w:rPr>
                <w:rFonts w:ascii="Arial" w:cs="Arial" w:eastAsia="Arial" w:hAnsi="Arial"/>
                <w:sz w:val="16"/>
                <w:szCs w:val="16"/>
                <w:color w:val="auto"/>
              </w:rPr>
              <w:t>Total*</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jc w:val="center"/>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245</w:t>
            </w:r>
          </w:p>
        </w:tc>
      </w:tr>
      <w:tr>
        <w:trPr>
          <w:trHeight w:val="84"/>
        </w:trPr>
        <w:tc>
          <w:tcPr>
            <w:tcW w:w="238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110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Includes sales to affiliates of $1 million in 2008.</w:t>
      </w:r>
    </w:p>
    <w:p>
      <w:pPr>
        <w:spacing w:after="0" w:line="259"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During the three months ended March 31, 2009, SDG&amp;E's natural gas revenues decreased by $66 million (27%) to $179 million, and the cost of natural gas decreased by $65 million (43%) to $87 million. The decrease in revenues was primarily due to substantially lower natural gas prices in 2009 and, to a lesser extent, lower volumes resulting from a milder winter in 2009.</w:t>
      </w:r>
    </w:p>
    <w:p>
      <w:pPr>
        <w:sectPr>
          <w:pgSz w:w="11900" w:h="16838" w:orient="portrait"/>
          <w:cols w:equalWidth="0" w:num="1">
            <w:col w:w="11160"/>
          </w:cols>
          <w:pgMar w:left="240" w:top="419" w:right="499" w:bottom="1440" w:gutter="0" w:footer="0" w:header="0"/>
        </w:sectPr>
      </w:pPr>
    </w:p>
    <w:bookmarkStart w:id="68" w:name="page69"/>
    <w:bookmarkEnd w:id="68"/>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6106160" cy="4114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106160" cy="411480"/>
                    </a:xfrm>
                    <a:prstGeom prst="rect">
                      <a:avLst/>
                    </a:prstGeom>
                    <a:noFill/>
                  </pic:spPr>
                </pic:pic>
              </a:graphicData>
            </a:graphic>
          </wp:anchor>
        </w:drawing>
        <w:t>SOCALGAS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NATURAL GAS SALES, TRANSPORTATION AND EXCHANGE</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(Volumes in billion cubic feet, dollars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60" w:type="dxa"/>
            <w:vAlign w:val="bottom"/>
            <w:gridSpan w:val="2"/>
          </w:tcPr>
          <w:p>
            <w:pPr>
              <w:jc w:val="right"/>
              <w:ind w:right="322"/>
              <w:spacing w:after="0"/>
              <w:rPr>
                <w:sz w:val="20"/>
                <w:szCs w:val="20"/>
                <w:color w:val="auto"/>
              </w:rPr>
            </w:pPr>
            <w:r>
              <w:rPr>
                <w:rFonts w:ascii="Arial" w:cs="Arial" w:eastAsia="Arial" w:hAnsi="Arial"/>
                <w:sz w:val="14"/>
                <w:szCs w:val="14"/>
                <w:color w:val="auto"/>
              </w:rPr>
              <w:t>Transportation</w:t>
            </w: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9"/>
        </w:trPr>
        <w:tc>
          <w:tcPr>
            <w:tcW w:w="2860" w:type="dxa"/>
            <w:vAlign w:val="bottom"/>
          </w:tcPr>
          <w:p>
            <w:pPr>
              <w:spacing w:after="0"/>
              <w:rPr>
                <w:sz w:val="18"/>
                <w:szCs w:val="18"/>
                <w:color w:val="auto"/>
              </w:rPr>
            </w:pPr>
          </w:p>
        </w:tc>
        <w:tc>
          <w:tcPr>
            <w:tcW w:w="23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color w:val="auto"/>
              </w:rPr>
              <w:t>Natural Gas Sales</w:t>
            </w:r>
          </w:p>
        </w:tc>
        <w:tc>
          <w:tcPr>
            <w:tcW w:w="1860" w:type="dxa"/>
            <w:vAlign w:val="bottom"/>
            <w:tcBorders>
              <w:bottom w:val="single" w:sz="8" w:color="auto"/>
            </w:tcBorders>
            <w:gridSpan w:val="2"/>
          </w:tcPr>
          <w:p>
            <w:pPr>
              <w:jc w:val="right"/>
              <w:ind w:right="322"/>
              <w:spacing w:after="0"/>
              <w:rPr>
                <w:sz w:val="20"/>
                <w:szCs w:val="20"/>
                <w:color w:val="auto"/>
              </w:rPr>
            </w:pPr>
            <w:r>
              <w:rPr>
                <w:rFonts w:ascii="Arial" w:cs="Arial" w:eastAsia="Arial" w:hAnsi="Arial"/>
                <w:sz w:val="14"/>
                <w:szCs w:val="14"/>
                <w:color w:val="auto"/>
              </w:rPr>
              <w:t>and Exchange</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left="720"/>
              <w:spacing w:after="0"/>
              <w:rPr>
                <w:sz w:val="20"/>
                <w:szCs w:val="20"/>
                <w:color w:val="auto"/>
              </w:rPr>
            </w:pPr>
            <w:r>
              <w:rPr>
                <w:rFonts w:ascii="Arial" w:cs="Arial" w:eastAsia="Arial" w:hAnsi="Arial"/>
                <w:sz w:val="14"/>
                <w:szCs w:val="14"/>
                <w:color w:val="auto"/>
                <w:w w:val="96"/>
              </w:rPr>
              <w:t>Total</w:t>
            </w:r>
          </w:p>
        </w:tc>
        <w:tc>
          <w:tcPr>
            <w:tcW w:w="920" w:type="dxa"/>
            <w:vAlign w:val="bottom"/>
            <w:tcBorders>
              <w:bottom w:val="single" w:sz="8" w:color="auto"/>
            </w:tcBorders>
          </w:tcPr>
          <w:p>
            <w:pPr>
              <w:spacing w:after="0"/>
              <w:rPr>
                <w:sz w:val="18"/>
                <w:szCs w:val="18"/>
                <w:color w:val="auto"/>
              </w:rPr>
            </w:pPr>
          </w:p>
        </w:tc>
      </w:tr>
      <w:tr>
        <w:trPr>
          <w:trHeight w:val="196"/>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Customer class</w:t>
            </w:r>
          </w:p>
        </w:tc>
        <w:tc>
          <w:tcPr>
            <w:tcW w:w="10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Volumes</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Revenue</w:t>
            </w:r>
          </w:p>
        </w:tc>
        <w:tc>
          <w:tcPr>
            <w:tcW w:w="9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color w:val="auto"/>
              </w:rPr>
              <w:t>Volumes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Revenue</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Volumes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Revenue</w:t>
            </w:r>
          </w:p>
        </w:tc>
      </w:tr>
      <w:tr>
        <w:trPr>
          <w:trHeight w:val="210"/>
        </w:trPr>
        <w:tc>
          <w:tcPr>
            <w:tcW w:w="2860" w:type="dxa"/>
            <w:vAlign w:val="bottom"/>
          </w:tcPr>
          <w:p>
            <w:pPr>
              <w:ind w:left="20"/>
              <w:spacing w:after="0"/>
              <w:rPr>
                <w:sz w:val="20"/>
                <w:szCs w:val="20"/>
                <w:color w:val="auto"/>
              </w:rPr>
            </w:pPr>
            <w:r>
              <w:rPr>
                <w:rFonts w:ascii="Arial" w:cs="Arial" w:eastAsia="Arial" w:hAnsi="Arial"/>
                <w:sz w:val="16"/>
                <w:szCs w:val="16"/>
                <w:color w:val="auto"/>
              </w:rPr>
              <w:t>2009:</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860" w:type="dxa"/>
            <w:vAlign w:val="bottom"/>
          </w:tcPr>
          <w:p>
            <w:pPr>
              <w:ind w:left="200"/>
              <w:spacing w:after="0"/>
              <w:rPr>
                <w:sz w:val="20"/>
                <w:szCs w:val="20"/>
                <w:color w:val="auto"/>
              </w:rPr>
            </w:pPr>
            <w:r>
              <w:rPr>
                <w:rFonts w:ascii="Arial" w:cs="Arial" w:eastAsia="Arial" w:hAnsi="Arial"/>
                <w:sz w:val="16"/>
                <w:szCs w:val="16"/>
                <w:color w:val="auto"/>
              </w:rPr>
              <w:t>Residential</w:t>
            </w:r>
          </w:p>
        </w:tc>
        <w:tc>
          <w:tcPr>
            <w:tcW w:w="1080" w:type="dxa"/>
            <w:vAlign w:val="bottom"/>
          </w:tcPr>
          <w:p>
            <w:pPr>
              <w:jc w:val="right"/>
              <w:spacing w:after="0"/>
              <w:rPr>
                <w:sz w:val="20"/>
                <w:szCs w:val="20"/>
                <w:color w:val="auto"/>
              </w:rPr>
            </w:pPr>
            <w:r>
              <w:rPr>
                <w:rFonts w:ascii="Arial" w:cs="Arial" w:eastAsia="Arial" w:hAnsi="Arial"/>
                <w:sz w:val="16"/>
                <w:szCs w:val="16"/>
                <w:color w:val="auto"/>
              </w:rPr>
              <w:t>84</w:t>
            </w:r>
          </w:p>
        </w:tc>
        <w:tc>
          <w:tcPr>
            <w:tcW w:w="20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724</w:t>
            </w:r>
          </w:p>
        </w:tc>
        <w:tc>
          <w:tcPr>
            <w:tcW w:w="1860" w:type="dxa"/>
            <w:vAlign w:val="bottom"/>
            <w:gridSpan w:val="2"/>
          </w:tcPr>
          <w:p>
            <w:pPr>
              <w:jc w:val="right"/>
              <w:ind w:right="722"/>
              <w:spacing w:after="0"/>
              <w:rPr>
                <w:sz w:val="20"/>
                <w:szCs w:val="20"/>
                <w:color w:val="auto"/>
              </w:rPr>
            </w:pPr>
            <w:r>
              <w:rPr>
                <w:rFonts w:ascii="Arial" w:cs="Arial" w:eastAsia="Arial" w:hAnsi="Arial"/>
                <w:sz w:val="16"/>
                <w:szCs w:val="16"/>
                <w:color w:val="auto"/>
              </w:rPr>
              <w:t>- $</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960" w:type="dxa"/>
            <w:vAlign w:val="bottom"/>
          </w:tcPr>
          <w:p>
            <w:pPr>
              <w:jc w:val="right"/>
              <w:spacing w:after="0"/>
              <w:rPr>
                <w:sz w:val="20"/>
                <w:szCs w:val="20"/>
                <w:color w:val="auto"/>
              </w:rPr>
            </w:pPr>
            <w:r>
              <w:rPr>
                <w:rFonts w:ascii="Arial" w:cs="Arial" w:eastAsia="Arial" w:hAnsi="Arial"/>
                <w:sz w:val="16"/>
                <w:szCs w:val="16"/>
                <w:color w:val="auto"/>
              </w:rPr>
              <w:t>84</w:t>
            </w:r>
          </w:p>
        </w:tc>
        <w:tc>
          <w:tcPr>
            <w:tcW w:w="260" w:type="dxa"/>
            <w:vAlign w:val="bottom"/>
          </w:tcPr>
          <w:p>
            <w:pPr>
              <w:jc w:val="center"/>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725</w:t>
            </w:r>
          </w:p>
        </w:tc>
      </w:tr>
      <w:tr>
        <w:trPr>
          <w:trHeight w:val="216"/>
        </w:trPr>
        <w:tc>
          <w:tcPr>
            <w:tcW w:w="2860" w:type="dxa"/>
            <w:vAlign w:val="bottom"/>
          </w:tcPr>
          <w:p>
            <w:pPr>
              <w:ind w:left="200"/>
              <w:spacing w:after="0"/>
              <w:rPr>
                <w:sz w:val="20"/>
                <w:szCs w:val="20"/>
                <w:color w:val="auto"/>
              </w:rPr>
            </w:pPr>
            <w:r>
              <w:rPr>
                <w:rFonts w:ascii="Arial" w:cs="Arial" w:eastAsia="Arial" w:hAnsi="Arial"/>
                <w:sz w:val="16"/>
                <w:szCs w:val="16"/>
                <w:color w:val="auto"/>
              </w:rPr>
              <w:t>Commercial and industrial</w:t>
            </w:r>
          </w:p>
        </w:tc>
        <w:tc>
          <w:tcPr>
            <w:tcW w:w="1080" w:type="dxa"/>
            <w:vAlign w:val="bottom"/>
          </w:tcPr>
          <w:p>
            <w:pPr>
              <w:jc w:val="right"/>
              <w:spacing w:after="0"/>
              <w:rPr>
                <w:sz w:val="20"/>
                <w:szCs w:val="20"/>
                <w:color w:val="auto"/>
              </w:rPr>
            </w:pPr>
            <w:r>
              <w:rPr>
                <w:rFonts w:ascii="Arial" w:cs="Arial" w:eastAsia="Arial" w:hAnsi="Arial"/>
                <w:sz w:val="16"/>
                <w:szCs w:val="16"/>
                <w:color w:val="auto"/>
              </w:rPr>
              <w:t>31</w:t>
            </w:r>
          </w:p>
        </w:tc>
        <w:tc>
          <w:tcPr>
            <w:tcW w:w="20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227</w:t>
            </w:r>
          </w:p>
        </w:tc>
        <w:tc>
          <w:tcPr>
            <w:tcW w:w="940" w:type="dxa"/>
            <w:vAlign w:val="bottom"/>
          </w:tcPr>
          <w:p>
            <w:pPr>
              <w:jc w:val="right"/>
              <w:spacing w:after="0"/>
              <w:rPr>
                <w:sz w:val="20"/>
                <w:szCs w:val="20"/>
                <w:color w:val="auto"/>
              </w:rPr>
            </w:pPr>
            <w:r>
              <w:rPr>
                <w:rFonts w:ascii="Arial" w:cs="Arial" w:eastAsia="Arial" w:hAnsi="Arial"/>
                <w:sz w:val="16"/>
                <w:szCs w:val="16"/>
                <w:color w:val="auto"/>
              </w:rPr>
              <w:t>64</w:t>
            </w:r>
          </w:p>
        </w:tc>
        <w:tc>
          <w:tcPr>
            <w:tcW w:w="920" w:type="dxa"/>
            <w:vAlign w:val="bottom"/>
          </w:tcPr>
          <w:p>
            <w:pPr>
              <w:spacing w:after="0"/>
              <w:rPr>
                <w:sz w:val="18"/>
                <w:szCs w:val="18"/>
                <w:color w:val="auto"/>
              </w:rPr>
            </w:pP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48</w:t>
            </w:r>
          </w:p>
        </w:tc>
        <w:tc>
          <w:tcPr>
            <w:tcW w:w="960" w:type="dxa"/>
            <w:vAlign w:val="bottom"/>
          </w:tcPr>
          <w:p>
            <w:pPr>
              <w:jc w:val="right"/>
              <w:spacing w:after="0"/>
              <w:rPr>
                <w:sz w:val="20"/>
                <w:szCs w:val="20"/>
                <w:color w:val="auto"/>
              </w:rPr>
            </w:pPr>
            <w:r>
              <w:rPr>
                <w:rFonts w:ascii="Arial" w:cs="Arial" w:eastAsia="Arial" w:hAnsi="Arial"/>
                <w:sz w:val="16"/>
                <w:szCs w:val="16"/>
                <w:color w:val="auto"/>
              </w:rPr>
              <w:t>95</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275</w:t>
            </w:r>
          </w:p>
        </w:tc>
      </w:tr>
      <w:tr>
        <w:trPr>
          <w:trHeight w:val="216"/>
        </w:trPr>
        <w:tc>
          <w:tcPr>
            <w:tcW w:w="2860" w:type="dxa"/>
            <w:vAlign w:val="bottom"/>
          </w:tcPr>
          <w:p>
            <w:pPr>
              <w:ind w:left="200"/>
              <w:spacing w:after="0"/>
              <w:rPr>
                <w:sz w:val="20"/>
                <w:szCs w:val="20"/>
                <w:color w:val="auto"/>
              </w:rPr>
            </w:pPr>
            <w:r>
              <w:rPr>
                <w:rFonts w:ascii="Arial" w:cs="Arial" w:eastAsia="Arial" w:hAnsi="Arial"/>
                <w:sz w:val="16"/>
                <w:szCs w:val="16"/>
                <w:color w:val="auto"/>
              </w:rPr>
              <w:t>Electric generation plants</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38</w:t>
            </w:r>
          </w:p>
        </w:tc>
        <w:tc>
          <w:tcPr>
            <w:tcW w:w="920" w:type="dxa"/>
            <w:vAlign w:val="bottom"/>
          </w:tcPr>
          <w:p>
            <w:pPr>
              <w:spacing w:after="0"/>
              <w:rPr>
                <w:sz w:val="18"/>
                <w:szCs w:val="18"/>
                <w:color w:val="auto"/>
              </w:rPr>
            </w:pP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9</w:t>
            </w:r>
          </w:p>
        </w:tc>
        <w:tc>
          <w:tcPr>
            <w:tcW w:w="960" w:type="dxa"/>
            <w:vAlign w:val="bottom"/>
          </w:tcPr>
          <w:p>
            <w:pPr>
              <w:jc w:val="right"/>
              <w:spacing w:after="0"/>
              <w:rPr>
                <w:sz w:val="20"/>
                <w:szCs w:val="20"/>
                <w:color w:val="auto"/>
              </w:rPr>
            </w:pPr>
            <w:r>
              <w:rPr>
                <w:rFonts w:ascii="Arial" w:cs="Arial" w:eastAsia="Arial" w:hAnsi="Arial"/>
                <w:sz w:val="16"/>
                <w:szCs w:val="16"/>
                <w:color w:val="auto"/>
              </w:rPr>
              <w:t>38</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22"/>
        </w:trPr>
        <w:tc>
          <w:tcPr>
            <w:tcW w:w="2860" w:type="dxa"/>
            <w:vAlign w:val="bottom"/>
          </w:tcPr>
          <w:p>
            <w:pPr>
              <w:ind w:left="200"/>
              <w:spacing w:after="0"/>
              <w:rPr>
                <w:sz w:val="20"/>
                <w:szCs w:val="20"/>
                <w:color w:val="auto"/>
              </w:rPr>
            </w:pPr>
            <w:r>
              <w:rPr>
                <w:rFonts w:ascii="Arial" w:cs="Arial" w:eastAsia="Arial" w:hAnsi="Arial"/>
                <w:sz w:val="16"/>
                <w:szCs w:val="16"/>
                <w:color w:val="auto"/>
              </w:rPr>
              <w:t>Wholesale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04"/>
        </w:trPr>
        <w:tc>
          <w:tcPr>
            <w:tcW w:w="28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115</w:t>
            </w:r>
          </w:p>
        </w:tc>
        <w:tc>
          <w:tcPr>
            <w:tcW w:w="20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951</w:t>
            </w:r>
          </w:p>
        </w:tc>
        <w:tc>
          <w:tcPr>
            <w:tcW w:w="940" w:type="dxa"/>
            <w:vAlign w:val="bottom"/>
          </w:tcPr>
          <w:p>
            <w:pPr>
              <w:jc w:val="right"/>
              <w:spacing w:after="0"/>
              <w:rPr>
                <w:sz w:val="20"/>
                <w:szCs w:val="20"/>
                <w:color w:val="auto"/>
              </w:rPr>
            </w:pPr>
            <w:r>
              <w:rPr>
                <w:rFonts w:ascii="Arial" w:cs="Arial" w:eastAsia="Arial" w:hAnsi="Arial"/>
                <w:sz w:val="16"/>
                <w:szCs w:val="16"/>
                <w:color w:val="auto"/>
              </w:rPr>
              <w:t>142</w:t>
            </w:r>
          </w:p>
        </w:tc>
        <w:tc>
          <w:tcPr>
            <w:tcW w:w="920" w:type="dxa"/>
            <w:vAlign w:val="bottom"/>
          </w:tcPr>
          <w:p>
            <w:pPr>
              <w:jc w:val="right"/>
              <w:ind w:right="722"/>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62</w:t>
            </w:r>
          </w:p>
        </w:tc>
        <w:tc>
          <w:tcPr>
            <w:tcW w:w="960" w:type="dxa"/>
            <w:vAlign w:val="bottom"/>
          </w:tcPr>
          <w:p>
            <w:pPr>
              <w:jc w:val="right"/>
              <w:spacing w:after="0"/>
              <w:rPr>
                <w:sz w:val="20"/>
                <w:szCs w:val="20"/>
                <w:color w:val="auto"/>
              </w:rPr>
            </w:pPr>
            <w:r>
              <w:rPr>
                <w:rFonts w:ascii="Arial" w:cs="Arial" w:eastAsia="Arial" w:hAnsi="Arial"/>
                <w:sz w:val="16"/>
                <w:szCs w:val="16"/>
                <w:color w:val="auto"/>
              </w:rPr>
              <w:t>257</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1,013</w:t>
            </w:r>
          </w:p>
        </w:tc>
      </w:tr>
      <w:tr>
        <w:trPr>
          <w:trHeight w:val="216"/>
        </w:trPr>
        <w:tc>
          <w:tcPr>
            <w:tcW w:w="2860" w:type="dxa"/>
            <w:vAlign w:val="bottom"/>
          </w:tcPr>
          <w:p>
            <w:pPr>
              <w:ind w:left="200"/>
              <w:spacing w:after="0"/>
              <w:rPr>
                <w:sz w:val="20"/>
                <w:szCs w:val="20"/>
                <w:color w:val="auto"/>
              </w:rPr>
            </w:pPr>
            <w:r>
              <w:rPr>
                <w:rFonts w:ascii="Arial" w:cs="Arial" w:eastAsia="Arial" w:hAnsi="Arial"/>
                <w:sz w:val="16"/>
                <w:szCs w:val="16"/>
                <w:color w:val="auto"/>
              </w:rPr>
              <w:t>Other revenues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22"/>
        </w:trPr>
        <w:tc>
          <w:tcPr>
            <w:tcW w:w="2860" w:type="dxa"/>
            <w:vAlign w:val="bottom"/>
          </w:tcPr>
          <w:p>
            <w:pPr>
              <w:ind w:left="200"/>
              <w:spacing w:after="0"/>
              <w:rPr>
                <w:sz w:val="20"/>
                <w:szCs w:val="20"/>
                <w:color w:val="auto"/>
              </w:rPr>
            </w:pPr>
            <w:r>
              <w:rPr>
                <w:rFonts w:ascii="Arial" w:cs="Arial" w:eastAsia="Arial" w:hAnsi="Arial"/>
                <w:sz w:val="16"/>
                <w:szCs w:val="16"/>
                <w:color w:val="auto"/>
              </w:rPr>
              <w:t>Balancing accounts</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r>
      <w:tr>
        <w:trPr>
          <w:trHeight w:val="207"/>
        </w:trPr>
        <w:tc>
          <w:tcPr>
            <w:tcW w:w="2860" w:type="dxa"/>
            <w:vAlign w:val="bottom"/>
          </w:tcPr>
          <w:p>
            <w:pPr>
              <w:ind w:left="380"/>
              <w:spacing w:after="0"/>
              <w:rPr>
                <w:sz w:val="20"/>
                <w:szCs w:val="20"/>
                <w:color w:val="auto"/>
              </w:rPr>
            </w:pPr>
            <w:r>
              <w:rPr>
                <w:rFonts w:ascii="Arial" w:cs="Arial" w:eastAsia="Arial" w:hAnsi="Arial"/>
                <w:sz w:val="16"/>
                <w:szCs w:val="16"/>
                <w:color w:val="auto"/>
              </w:rPr>
              <w:t>Total*</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jc w:val="center"/>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920</w:t>
            </w:r>
          </w:p>
        </w:tc>
      </w:tr>
      <w:tr>
        <w:trPr>
          <w:trHeight w:val="84"/>
        </w:trPr>
        <w:tc>
          <w:tcPr>
            <w:tcW w:w="286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110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r>
      <w:tr>
        <w:trPr>
          <w:trHeight w:val="210"/>
        </w:trPr>
        <w:tc>
          <w:tcPr>
            <w:tcW w:w="2860" w:type="dxa"/>
            <w:vAlign w:val="bottom"/>
          </w:tcPr>
          <w:p>
            <w:pPr>
              <w:ind w:left="20"/>
              <w:spacing w:after="0"/>
              <w:rPr>
                <w:sz w:val="20"/>
                <w:szCs w:val="20"/>
                <w:color w:val="auto"/>
              </w:rPr>
            </w:pPr>
            <w:r>
              <w:rPr>
                <w:rFonts w:ascii="Arial" w:cs="Arial" w:eastAsia="Arial" w:hAnsi="Arial"/>
                <w:sz w:val="16"/>
                <w:szCs w:val="16"/>
                <w:color w:val="auto"/>
              </w:rPr>
              <w:t>2008:</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860" w:type="dxa"/>
            <w:vAlign w:val="bottom"/>
          </w:tcPr>
          <w:p>
            <w:pPr>
              <w:ind w:left="200"/>
              <w:spacing w:after="0"/>
              <w:rPr>
                <w:sz w:val="20"/>
                <w:szCs w:val="20"/>
                <w:color w:val="auto"/>
              </w:rPr>
            </w:pPr>
            <w:r>
              <w:rPr>
                <w:rFonts w:ascii="Arial" w:cs="Arial" w:eastAsia="Arial" w:hAnsi="Arial"/>
                <w:sz w:val="16"/>
                <w:szCs w:val="16"/>
                <w:color w:val="auto"/>
              </w:rPr>
              <w:t>Residential</w:t>
            </w:r>
          </w:p>
        </w:tc>
        <w:tc>
          <w:tcPr>
            <w:tcW w:w="1080" w:type="dxa"/>
            <w:vAlign w:val="bottom"/>
          </w:tcPr>
          <w:p>
            <w:pPr>
              <w:jc w:val="right"/>
              <w:spacing w:after="0"/>
              <w:rPr>
                <w:sz w:val="20"/>
                <w:szCs w:val="20"/>
                <w:color w:val="auto"/>
              </w:rPr>
            </w:pPr>
            <w:r>
              <w:rPr>
                <w:rFonts w:ascii="Arial" w:cs="Arial" w:eastAsia="Arial" w:hAnsi="Arial"/>
                <w:sz w:val="16"/>
                <w:szCs w:val="16"/>
                <w:color w:val="auto"/>
              </w:rPr>
              <w:t>94</w:t>
            </w:r>
          </w:p>
        </w:tc>
        <w:tc>
          <w:tcPr>
            <w:tcW w:w="20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1,113</w:t>
            </w:r>
          </w:p>
        </w:tc>
        <w:tc>
          <w:tcPr>
            <w:tcW w:w="1860" w:type="dxa"/>
            <w:vAlign w:val="bottom"/>
            <w:gridSpan w:val="2"/>
          </w:tcPr>
          <w:p>
            <w:pPr>
              <w:jc w:val="right"/>
              <w:ind w:right="722"/>
              <w:spacing w:after="0"/>
              <w:rPr>
                <w:sz w:val="20"/>
                <w:szCs w:val="20"/>
                <w:color w:val="auto"/>
              </w:rPr>
            </w:pPr>
            <w:r>
              <w:rPr>
                <w:rFonts w:ascii="Arial" w:cs="Arial" w:eastAsia="Arial" w:hAnsi="Arial"/>
                <w:sz w:val="16"/>
                <w:szCs w:val="16"/>
                <w:color w:val="auto"/>
              </w:rPr>
              <w:t>- $</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960" w:type="dxa"/>
            <w:vAlign w:val="bottom"/>
          </w:tcPr>
          <w:p>
            <w:pPr>
              <w:jc w:val="right"/>
              <w:spacing w:after="0"/>
              <w:rPr>
                <w:sz w:val="20"/>
                <w:szCs w:val="20"/>
                <w:color w:val="auto"/>
              </w:rPr>
            </w:pPr>
            <w:r>
              <w:rPr>
                <w:rFonts w:ascii="Arial" w:cs="Arial" w:eastAsia="Arial" w:hAnsi="Arial"/>
                <w:sz w:val="16"/>
                <w:szCs w:val="16"/>
                <w:color w:val="auto"/>
              </w:rPr>
              <w:t>94</w:t>
            </w:r>
          </w:p>
        </w:tc>
        <w:tc>
          <w:tcPr>
            <w:tcW w:w="260" w:type="dxa"/>
            <w:vAlign w:val="bottom"/>
          </w:tcPr>
          <w:p>
            <w:pPr>
              <w:jc w:val="center"/>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1,115</w:t>
            </w:r>
          </w:p>
        </w:tc>
      </w:tr>
      <w:tr>
        <w:trPr>
          <w:trHeight w:val="216"/>
        </w:trPr>
        <w:tc>
          <w:tcPr>
            <w:tcW w:w="2860" w:type="dxa"/>
            <w:vAlign w:val="bottom"/>
          </w:tcPr>
          <w:p>
            <w:pPr>
              <w:ind w:left="200"/>
              <w:spacing w:after="0"/>
              <w:rPr>
                <w:sz w:val="20"/>
                <w:szCs w:val="20"/>
                <w:color w:val="auto"/>
              </w:rPr>
            </w:pPr>
            <w:r>
              <w:rPr>
                <w:rFonts w:ascii="Arial" w:cs="Arial" w:eastAsia="Arial" w:hAnsi="Arial"/>
                <w:sz w:val="16"/>
                <w:szCs w:val="16"/>
                <w:color w:val="auto"/>
              </w:rPr>
              <w:t>Commercial and industrial</w:t>
            </w:r>
          </w:p>
        </w:tc>
        <w:tc>
          <w:tcPr>
            <w:tcW w:w="1080" w:type="dxa"/>
            <w:vAlign w:val="bottom"/>
          </w:tcPr>
          <w:p>
            <w:pPr>
              <w:jc w:val="right"/>
              <w:spacing w:after="0"/>
              <w:rPr>
                <w:sz w:val="20"/>
                <w:szCs w:val="20"/>
                <w:color w:val="auto"/>
              </w:rPr>
            </w:pPr>
            <w:r>
              <w:rPr>
                <w:rFonts w:ascii="Arial" w:cs="Arial" w:eastAsia="Arial" w:hAnsi="Arial"/>
                <w:sz w:val="16"/>
                <w:szCs w:val="16"/>
                <w:color w:val="auto"/>
              </w:rPr>
              <w:t>31</w:t>
            </w:r>
          </w:p>
        </w:tc>
        <w:tc>
          <w:tcPr>
            <w:tcW w:w="20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340</w:t>
            </w:r>
          </w:p>
        </w:tc>
        <w:tc>
          <w:tcPr>
            <w:tcW w:w="940" w:type="dxa"/>
            <w:vAlign w:val="bottom"/>
          </w:tcPr>
          <w:p>
            <w:pPr>
              <w:jc w:val="right"/>
              <w:spacing w:after="0"/>
              <w:rPr>
                <w:sz w:val="20"/>
                <w:szCs w:val="20"/>
                <w:color w:val="auto"/>
              </w:rPr>
            </w:pPr>
            <w:r>
              <w:rPr>
                <w:rFonts w:ascii="Arial" w:cs="Arial" w:eastAsia="Arial" w:hAnsi="Arial"/>
                <w:sz w:val="16"/>
                <w:szCs w:val="16"/>
                <w:color w:val="auto"/>
              </w:rPr>
              <w:t>71</w:t>
            </w:r>
          </w:p>
        </w:tc>
        <w:tc>
          <w:tcPr>
            <w:tcW w:w="920" w:type="dxa"/>
            <w:vAlign w:val="bottom"/>
          </w:tcPr>
          <w:p>
            <w:pPr>
              <w:spacing w:after="0"/>
              <w:rPr>
                <w:sz w:val="18"/>
                <w:szCs w:val="18"/>
                <w:color w:val="auto"/>
              </w:rPr>
            </w:pP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32</w:t>
            </w:r>
          </w:p>
        </w:tc>
        <w:tc>
          <w:tcPr>
            <w:tcW w:w="960" w:type="dxa"/>
            <w:vAlign w:val="bottom"/>
          </w:tcPr>
          <w:p>
            <w:pPr>
              <w:jc w:val="right"/>
              <w:spacing w:after="0"/>
              <w:rPr>
                <w:sz w:val="20"/>
                <w:szCs w:val="20"/>
                <w:color w:val="auto"/>
              </w:rPr>
            </w:pPr>
            <w:r>
              <w:rPr>
                <w:rFonts w:ascii="Arial" w:cs="Arial" w:eastAsia="Arial" w:hAnsi="Arial"/>
                <w:sz w:val="16"/>
                <w:szCs w:val="16"/>
                <w:color w:val="auto"/>
              </w:rPr>
              <w:t>102</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372</w:t>
            </w:r>
          </w:p>
        </w:tc>
      </w:tr>
      <w:tr>
        <w:trPr>
          <w:trHeight w:val="216"/>
        </w:trPr>
        <w:tc>
          <w:tcPr>
            <w:tcW w:w="2860" w:type="dxa"/>
            <w:vAlign w:val="bottom"/>
          </w:tcPr>
          <w:p>
            <w:pPr>
              <w:ind w:left="200"/>
              <w:spacing w:after="0"/>
              <w:rPr>
                <w:sz w:val="20"/>
                <w:szCs w:val="20"/>
                <w:color w:val="auto"/>
              </w:rPr>
            </w:pPr>
            <w:r>
              <w:rPr>
                <w:rFonts w:ascii="Arial" w:cs="Arial" w:eastAsia="Arial" w:hAnsi="Arial"/>
                <w:sz w:val="16"/>
                <w:szCs w:val="16"/>
                <w:color w:val="auto"/>
              </w:rPr>
              <w:t>Electric generation plants</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40</w:t>
            </w:r>
          </w:p>
        </w:tc>
        <w:tc>
          <w:tcPr>
            <w:tcW w:w="920" w:type="dxa"/>
            <w:vAlign w:val="bottom"/>
          </w:tcPr>
          <w:p>
            <w:pPr>
              <w:spacing w:after="0"/>
              <w:rPr>
                <w:sz w:val="18"/>
                <w:szCs w:val="18"/>
                <w:color w:val="auto"/>
              </w:rPr>
            </w:pP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14</w:t>
            </w:r>
          </w:p>
        </w:tc>
        <w:tc>
          <w:tcPr>
            <w:tcW w:w="960" w:type="dxa"/>
            <w:vAlign w:val="bottom"/>
          </w:tcPr>
          <w:p>
            <w:pPr>
              <w:jc w:val="right"/>
              <w:spacing w:after="0"/>
              <w:rPr>
                <w:sz w:val="20"/>
                <w:szCs w:val="20"/>
                <w:color w:val="auto"/>
              </w:rPr>
            </w:pPr>
            <w:r>
              <w:rPr>
                <w:rFonts w:ascii="Arial" w:cs="Arial" w:eastAsia="Arial" w:hAnsi="Arial"/>
                <w:sz w:val="16"/>
                <w:szCs w:val="16"/>
                <w:color w:val="auto"/>
              </w:rPr>
              <w:t>40</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22"/>
        </w:trPr>
        <w:tc>
          <w:tcPr>
            <w:tcW w:w="2860" w:type="dxa"/>
            <w:vAlign w:val="bottom"/>
          </w:tcPr>
          <w:p>
            <w:pPr>
              <w:ind w:left="200"/>
              <w:spacing w:after="0"/>
              <w:rPr>
                <w:sz w:val="20"/>
                <w:szCs w:val="20"/>
                <w:color w:val="auto"/>
              </w:rPr>
            </w:pPr>
            <w:r>
              <w:rPr>
                <w:rFonts w:ascii="Arial" w:cs="Arial" w:eastAsia="Arial" w:hAnsi="Arial"/>
                <w:sz w:val="16"/>
                <w:szCs w:val="16"/>
                <w:color w:val="auto"/>
              </w:rPr>
              <w:t>Wholesale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04"/>
        </w:trPr>
        <w:tc>
          <w:tcPr>
            <w:tcW w:w="28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125</w:t>
            </w:r>
          </w:p>
        </w:tc>
        <w:tc>
          <w:tcPr>
            <w:tcW w:w="20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1,453</w:t>
            </w:r>
          </w:p>
        </w:tc>
        <w:tc>
          <w:tcPr>
            <w:tcW w:w="940" w:type="dxa"/>
            <w:vAlign w:val="bottom"/>
          </w:tcPr>
          <w:p>
            <w:pPr>
              <w:jc w:val="right"/>
              <w:spacing w:after="0"/>
              <w:rPr>
                <w:sz w:val="20"/>
                <w:szCs w:val="20"/>
                <w:color w:val="auto"/>
              </w:rPr>
            </w:pPr>
            <w:r>
              <w:rPr>
                <w:rFonts w:ascii="Arial" w:cs="Arial" w:eastAsia="Arial" w:hAnsi="Arial"/>
                <w:sz w:val="16"/>
                <w:szCs w:val="16"/>
                <w:color w:val="auto"/>
              </w:rPr>
              <w:t>155</w:t>
            </w:r>
          </w:p>
        </w:tc>
        <w:tc>
          <w:tcPr>
            <w:tcW w:w="920" w:type="dxa"/>
            <w:vAlign w:val="bottom"/>
          </w:tcPr>
          <w:p>
            <w:pPr>
              <w:jc w:val="right"/>
              <w:ind w:right="722"/>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54</w:t>
            </w:r>
          </w:p>
        </w:tc>
        <w:tc>
          <w:tcPr>
            <w:tcW w:w="960" w:type="dxa"/>
            <w:vAlign w:val="bottom"/>
          </w:tcPr>
          <w:p>
            <w:pPr>
              <w:jc w:val="right"/>
              <w:spacing w:after="0"/>
              <w:rPr>
                <w:sz w:val="20"/>
                <w:szCs w:val="20"/>
                <w:color w:val="auto"/>
              </w:rPr>
            </w:pPr>
            <w:r>
              <w:rPr>
                <w:rFonts w:ascii="Arial" w:cs="Arial" w:eastAsia="Arial" w:hAnsi="Arial"/>
                <w:sz w:val="16"/>
                <w:szCs w:val="16"/>
                <w:color w:val="auto"/>
              </w:rPr>
              <w:t>280</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1,507</w:t>
            </w:r>
          </w:p>
        </w:tc>
      </w:tr>
      <w:tr>
        <w:trPr>
          <w:trHeight w:val="216"/>
        </w:trPr>
        <w:tc>
          <w:tcPr>
            <w:tcW w:w="2860" w:type="dxa"/>
            <w:vAlign w:val="bottom"/>
          </w:tcPr>
          <w:p>
            <w:pPr>
              <w:ind w:left="200"/>
              <w:spacing w:after="0"/>
              <w:rPr>
                <w:sz w:val="20"/>
                <w:szCs w:val="20"/>
                <w:color w:val="auto"/>
              </w:rPr>
            </w:pPr>
            <w:r>
              <w:rPr>
                <w:rFonts w:ascii="Arial" w:cs="Arial" w:eastAsia="Arial" w:hAnsi="Arial"/>
                <w:sz w:val="16"/>
                <w:szCs w:val="16"/>
                <w:color w:val="auto"/>
              </w:rPr>
              <w:t>Other revenues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22"/>
        </w:trPr>
        <w:tc>
          <w:tcPr>
            <w:tcW w:w="2860" w:type="dxa"/>
            <w:vAlign w:val="bottom"/>
          </w:tcPr>
          <w:p>
            <w:pPr>
              <w:ind w:left="200"/>
              <w:spacing w:after="0"/>
              <w:rPr>
                <w:sz w:val="20"/>
                <w:szCs w:val="20"/>
                <w:color w:val="auto"/>
              </w:rPr>
            </w:pPr>
            <w:r>
              <w:rPr>
                <w:rFonts w:ascii="Arial" w:cs="Arial" w:eastAsia="Arial" w:hAnsi="Arial"/>
                <w:sz w:val="16"/>
                <w:szCs w:val="16"/>
                <w:color w:val="auto"/>
              </w:rPr>
              <w:t>Balancing accounts</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07"/>
        </w:trPr>
        <w:tc>
          <w:tcPr>
            <w:tcW w:w="2860" w:type="dxa"/>
            <w:vAlign w:val="bottom"/>
          </w:tcPr>
          <w:p>
            <w:pPr>
              <w:ind w:left="380"/>
              <w:spacing w:after="0"/>
              <w:rPr>
                <w:sz w:val="20"/>
                <w:szCs w:val="20"/>
                <w:color w:val="auto"/>
              </w:rPr>
            </w:pPr>
            <w:r>
              <w:rPr>
                <w:rFonts w:ascii="Arial" w:cs="Arial" w:eastAsia="Arial" w:hAnsi="Arial"/>
                <w:sz w:val="16"/>
                <w:szCs w:val="16"/>
                <w:color w:val="auto"/>
              </w:rPr>
              <w:t>Total*</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jc w:val="center"/>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1,556</w:t>
            </w:r>
          </w:p>
        </w:tc>
      </w:tr>
      <w:tr>
        <w:trPr>
          <w:trHeight w:val="84"/>
        </w:trPr>
        <w:tc>
          <w:tcPr>
            <w:tcW w:w="286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110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Includes sales to affiliates of $8 million in each of 2009 and 2008.</w:t>
      </w:r>
    </w:p>
    <w:p>
      <w:pPr>
        <w:spacing w:after="0" w:line="259"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During the three months ended March 31, 2009, SoCalGas' natural gas revenues decreased by $636 million (41%) to $920 million, and the cost of natural gas decreased by $632 million (58%) to $455 million. The decrease in revenues was primarily due to substantially lower natural gas prices in 2009 and, to a lesser extent, lower volumes resulting from a milder winter in 2009.</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Utilities: Electric Revenues and Cost of Electric Fuel and Purchased Power</w:t>
      </w:r>
    </w:p>
    <w:p>
      <w:pPr>
        <w:spacing w:after="0" w:line="36"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The table below shows electric revenues for Sempra Energy and SDG&amp;E. Sempra Energy amounts are net of intercompany transactions. Because the cost of electricity is substantially recovered in rates, changes in the cost are reflected in the changes in revenues.</w:t>
      </w:r>
    </w:p>
    <w:p>
      <w:pPr>
        <w:spacing w:after="0" w:line="65"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During the three months ended March 31, 2009, electric revenues increased by $53 million (11%) to $551 million at Sempra Energy and by $52 million (10%) to $553 million at SDG&amp;E, and the cost of electric fuel and purchased power increased by $8 million (5%) to $171 million. The increase in revenues was primarily due to:</w:t>
      </w:r>
    </w:p>
    <w:p>
      <w:pPr>
        <w:spacing w:after="0" w:line="11" w:lineRule="exact"/>
        <w:rPr>
          <w:sz w:val="20"/>
          <w:szCs w:val="20"/>
          <w:color w:val="auto"/>
        </w:rPr>
      </w:pPr>
    </w:p>
    <w:p>
      <w:pPr>
        <w:ind w:left="180" w:hanging="172"/>
        <w:spacing w:after="0"/>
        <w:tabs>
          <w:tab w:leader="none" w:pos="180" w:val="left"/>
        </w:tabs>
        <w:numPr>
          <w:ilvl w:val="0"/>
          <w:numId w:val="77"/>
        </w:numPr>
        <w:rPr>
          <w:rFonts w:ascii="Arial" w:cs="Arial" w:eastAsia="Arial" w:hAnsi="Arial"/>
          <w:sz w:val="22"/>
          <w:szCs w:val="22"/>
          <w:color w:val="auto"/>
        </w:rPr>
      </w:pPr>
      <w:r>
        <w:rPr>
          <w:rFonts w:ascii="Arial" w:cs="Arial" w:eastAsia="Arial" w:hAnsi="Arial"/>
          <w:sz w:val="22"/>
          <w:szCs w:val="22"/>
          <w:color w:val="auto"/>
        </w:rPr>
        <w:t>$24 million due to the implementation of the 2008 GRC decision in the third quarter of 2008;</w:t>
      </w:r>
    </w:p>
    <w:p>
      <w:pPr>
        <w:spacing w:after="0" w:line="21" w:lineRule="exact"/>
        <w:rPr>
          <w:rFonts w:ascii="Arial" w:cs="Arial" w:eastAsia="Arial" w:hAnsi="Arial"/>
          <w:sz w:val="22"/>
          <w:szCs w:val="22"/>
          <w:color w:val="auto"/>
        </w:rPr>
      </w:pPr>
    </w:p>
    <w:p>
      <w:pPr>
        <w:ind w:left="180" w:hanging="172"/>
        <w:spacing w:after="0"/>
        <w:tabs>
          <w:tab w:leader="none" w:pos="180" w:val="left"/>
        </w:tabs>
        <w:numPr>
          <w:ilvl w:val="0"/>
          <w:numId w:val="77"/>
        </w:numPr>
        <w:rPr>
          <w:rFonts w:ascii="Arial" w:cs="Arial" w:eastAsia="Arial" w:hAnsi="Arial"/>
          <w:sz w:val="22"/>
          <w:szCs w:val="22"/>
          <w:color w:val="auto"/>
        </w:rPr>
      </w:pPr>
      <w:r>
        <w:rPr>
          <w:rFonts w:ascii="Arial" w:cs="Arial" w:eastAsia="Arial" w:hAnsi="Arial"/>
          <w:sz w:val="22"/>
          <w:szCs w:val="22"/>
          <w:color w:val="auto"/>
        </w:rPr>
        <w:t>$13 million higher authorized electric distribution, transmission and generation margins;</w:t>
      </w:r>
    </w:p>
    <w:p>
      <w:pPr>
        <w:spacing w:after="0" w:line="30" w:lineRule="exact"/>
        <w:rPr>
          <w:rFonts w:ascii="Arial" w:cs="Arial" w:eastAsia="Arial" w:hAnsi="Arial"/>
          <w:sz w:val="22"/>
          <w:szCs w:val="22"/>
          <w:color w:val="auto"/>
        </w:rPr>
      </w:pPr>
    </w:p>
    <w:p>
      <w:pPr>
        <w:ind w:left="180" w:hanging="172"/>
        <w:spacing w:after="0"/>
        <w:tabs>
          <w:tab w:leader="none" w:pos="180" w:val="left"/>
        </w:tabs>
        <w:numPr>
          <w:ilvl w:val="0"/>
          <w:numId w:val="77"/>
        </w:numPr>
        <w:rPr>
          <w:rFonts w:ascii="Arial" w:cs="Arial" w:eastAsia="Arial" w:hAnsi="Arial"/>
          <w:sz w:val="22"/>
          <w:szCs w:val="22"/>
          <w:color w:val="auto"/>
        </w:rPr>
      </w:pPr>
      <w:r>
        <w:rPr>
          <w:rFonts w:ascii="Arial" w:cs="Arial" w:eastAsia="Arial" w:hAnsi="Arial"/>
          <w:sz w:val="22"/>
          <w:szCs w:val="22"/>
          <w:color w:val="auto"/>
        </w:rPr>
        <w:t>$8 million increase in cost of electric fuel and purchased power; and</w:t>
      </w:r>
    </w:p>
    <w:p>
      <w:pPr>
        <w:spacing w:after="0" w:line="30" w:lineRule="exact"/>
        <w:rPr>
          <w:rFonts w:ascii="Arial" w:cs="Arial" w:eastAsia="Arial" w:hAnsi="Arial"/>
          <w:sz w:val="22"/>
          <w:szCs w:val="22"/>
          <w:color w:val="auto"/>
        </w:rPr>
      </w:pPr>
    </w:p>
    <w:p>
      <w:pPr>
        <w:ind w:left="180" w:hanging="172"/>
        <w:spacing w:after="0"/>
        <w:tabs>
          <w:tab w:leader="none" w:pos="180" w:val="left"/>
        </w:tabs>
        <w:numPr>
          <w:ilvl w:val="0"/>
          <w:numId w:val="77"/>
        </w:numPr>
        <w:rPr>
          <w:rFonts w:ascii="Arial" w:cs="Arial" w:eastAsia="Arial" w:hAnsi="Arial"/>
          <w:sz w:val="22"/>
          <w:szCs w:val="22"/>
          <w:color w:val="auto"/>
        </w:rPr>
      </w:pPr>
      <w:r>
        <w:rPr>
          <w:rFonts w:ascii="Arial" w:cs="Arial" w:eastAsia="Arial" w:hAnsi="Arial"/>
          <w:sz w:val="22"/>
          <w:szCs w:val="22"/>
          <w:color w:val="auto"/>
        </w:rPr>
        <w:t>$6 million higher recoverable expenses that are fully offset in operation and maintenance expenses.</w:t>
      </w:r>
    </w:p>
    <w:p>
      <w:pPr>
        <w:sectPr>
          <w:pgSz w:w="11900" w:h="16838" w:orient="portrait"/>
          <w:cols w:equalWidth="0" w:num="1">
            <w:col w:w="11320"/>
          </w:cols>
          <w:pgMar w:left="240" w:top="419" w:right="339" w:bottom="1440" w:gutter="0" w:footer="0" w:header="0"/>
        </w:sectPr>
      </w:pPr>
    </w:p>
    <w:bookmarkStart w:id="69" w:name="page70"/>
    <w:bookmarkEnd w:id="69"/>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5325745" cy="274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325745" cy="274320"/>
                    </a:xfrm>
                    <a:prstGeom prst="rect">
                      <a:avLst/>
                    </a:prstGeom>
                    <a:noFill/>
                  </pic:spPr>
                </pic:pic>
              </a:graphicData>
            </a:graphic>
          </wp:anchor>
        </w:drawing>
        <w:t>ELECTRIC DISTRIBUTION AND TRANSMISSION</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(Volumes in millions of kilowatt-hours, dollars in millions)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880" w:type="dxa"/>
            <w:vAlign w:val="bottom"/>
          </w:tcPr>
          <w:p>
            <w:pPr>
              <w:spacing w:after="0"/>
              <w:rPr>
                <w:sz w:val="15"/>
                <w:szCs w:val="15"/>
                <w:color w:val="auto"/>
              </w:rPr>
            </w:pPr>
          </w:p>
        </w:tc>
        <w:tc>
          <w:tcPr>
            <w:tcW w:w="1340" w:type="dxa"/>
            <w:vAlign w:val="bottom"/>
            <w:tcBorders>
              <w:bottom w:val="single" w:sz="8" w:color="auto"/>
            </w:tcBorders>
            <w:gridSpan w:val="2"/>
          </w:tcPr>
          <w:p>
            <w:pPr>
              <w:jc w:val="center"/>
              <w:ind w:left="860"/>
              <w:spacing w:after="0"/>
              <w:rPr>
                <w:sz w:val="20"/>
                <w:szCs w:val="20"/>
                <w:color w:val="auto"/>
              </w:rPr>
            </w:pPr>
            <w:r>
              <w:rPr>
                <w:rFonts w:ascii="Arial" w:cs="Arial" w:eastAsia="Arial" w:hAnsi="Arial"/>
                <w:sz w:val="14"/>
                <w:szCs w:val="14"/>
                <w:color w:val="auto"/>
              </w:rPr>
              <w:t>2009</w:t>
            </w:r>
          </w:p>
        </w:tc>
        <w:tc>
          <w:tcPr>
            <w:tcW w:w="10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left="700"/>
              <w:spacing w:after="0"/>
              <w:rPr>
                <w:sz w:val="20"/>
                <w:szCs w:val="20"/>
                <w:color w:val="auto"/>
              </w:rPr>
            </w:pPr>
            <w:r>
              <w:rPr>
                <w:rFonts w:ascii="Arial" w:cs="Arial" w:eastAsia="Arial" w:hAnsi="Arial"/>
                <w:sz w:val="14"/>
                <w:szCs w:val="14"/>
                <w:color w:val="auto"/>
              </w:rPr>
              <w:t>2008</w:t>
            </w:r>
          </w:p>
        </w:tc>
        <w:tc>
          <w:tcPr>
            <w:tcW w:w="920" w:type="dxa"/>
            <w:vAlign w:val="bottom"/>
            <w:tcBorders>
              <w:bottom w:val="single" w:sz="8" w:color="auto"/>
            </w:tcBorders>
          </w:tcPr>
          <w:p>
            <w:pPr>
              <w:spacing w:after="0"/>
              <w:rPr>
                <w:sz w:val="15"/>
                <w:szCs w:val="15"/>
                <w:color w:val="auto"/>
              </w:rPr>
            </w:pPr>
          </w:p>
        </w:tc>
      </w:tr>
      <w:tr>
        <w:trPr>
          <w:trHeight w:val="196"/>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Customer class</w:t>
            </w:r>
          </w:p>
        </w:tc>
        <w:tc>
          <w:tcPr>
            <w:tcW w:w="10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Volumes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Revenue</w:t>
            </w:r>
          </w:p>
        </w:tc>
        <w:tc>
          <w:tcPr>
            <w:tcW w:w="9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Volumes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color w:val="auto"/>
              </w:rPr>
              <w:t>Revenue</w:t>
            </w:r>
          </w:p>
        </w:tc>
      </w:tr>
      <w:tr>
        <w:trPr>
          <w:trHeight w:val="214"/>
        </w:trPr>
        <w:tc>
          <w:tcPr>
            <w:tcW w:w="3880" w:type="dxa"/>
            <w:vAlign w:val="bottom"/>
          </w:tcPr>
          <w:p>
            <w:pPr>
              <w:ind w:left="20"/>
              <w:spacing w:after="0"/>
              <w:rPr>
                <w:sz w:val="20"/>
                <w:szCs w:val="20"/>
                <w:color w:val="auto"/>
              </w:rPr>
            </w:pPr>
            <w:r>
              <w:rPr>
                <w:rFonts w:ascii="Arial" w:cs="Arial" w:eastAsia="Arial" w:hAnsi="Arial"/>
                <w:sz w:val="16"/>
                <w:szCs w:val="16"/>
                <w:b w:val="1"/>
                <w:bCs w:val="1"/>
                <w:color w:val="auto"/>
              </w:rPr>
              <w:t>Sempra Energy Consolidated:</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1"/>
        </w:trPr>
        <w:tc>
          <w:tcPr>
            <w:tcW w:w="3880" w:type="dxa"/>
            <w:vAlign w:val="bottom"/>
          </w:tcPr>
          <w:p>
            <w:pPr>
              <w:ind w:left="20"/>
              <w:spacing w:after="0"/>
              <w:rPr>
                <w:sz w:val="20"/>
                <w:szCs w:val="20"/>
                <w:color w:val="auto"/>
              </w:rPr>
            </w:pPr>
            <w:r>
              <w:rPr>
                <w:rFonts w:ascii="Arial" w:cs="Arial" w:eastAsia="Arial" w:hAnsi="Arial"/>
                <w:sz w:val="16"/>
                <w:szCs w:val="16"/>
                <w:color w:val="auto"/>
              </w:rPr>
              <w:t>Residential</w:t>
            </w:r>
          </w:p>
        </w:tc>
        <w:tc>
          <w:tcPr>
            <w:tcW w:w="1060" w:type="dxa"/>
            <w:vAlign w:val="bottom"/>
          </w:tcPr>
          <w:p>
            <w:pPr>
              <w:jc w:val="right"/>
              <w:spacing w:after="0"/>
              <w:rPr>
                <w:sz w:val="20"/>
                <w:szCs w:val="20"/>
                <w:color w:val="auto"/>
              </w:rPr>
            </w:pPr>
            <w:r>
              <w:rPr>
                <w:rFonts w:ascii="Arial" w:cs="Arial" w:eastAsia="Arial" w:hAnsi="Arial"/>
                <w:sz w:val="16"/>
                <w:szCs w:val="16"/>
                <w:color w:val="auto"/>
              </w:rPr>
              <w:t>1,927</w:t>
            </w:r>
          </w:p>
        </w:tc>
        <w:tc>
          <w:tcPr>
            <w:tcW w:w="280" w:type="dxa"/>
            <w:vAlign w:val="bottom"/>
          </w:tcPr>
          <w:p>
            <w:pPr>
              <w:jc w:val="center"/>
              <w:ind w:right="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269</w:t>
            </w:r>
          </w:p>
        </w:tc>
        <w:tc>
          <w:tcPr>
            <w:tcW w:w="940" w:type="dxa"/>
            <w:vAlign w:val="bottom"/>
          </w:tcPr>
          <w:p>
            <w:pPr>
              <w:jc w:val="right"/>
              <w:spacing w:after="0"/>
              <w:rPr>
                <w:sz w:val="20"/>
                <w:szCs w:val="20"/>
                <w:color w:val="auto"/>
              </w:rPr>
            </w:pPr>
            <w:r>
              <w:rPr>
                <w:rFonts w:ascii="Arial" w:cs="Arial" w:eastAsia="Arial" w:hAnsi="Arial"/>
                <w:sz w:val="16"/>
                <w:szCs w:val="16"/>
                <w:color w:val="auto"/>
              </w:rPr>
              <w:t>2,009</w:t>
            </w:r>
          </w:p>
        </w:tc>
        <w:tc>
          <w:tcPr>
            <w:tcW w:w="280" w:type="dxa"/>
            <w:vAlign w:val="bottom"/>
          </w:tcPr>
          <w:p>
            <w:pPr>
              <w:jc w:val="center"/>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Commercial</w:t>
            </w:r>
          </w:p>
        </w:tc>
        <w:tc>
          <w:tcPr>
            <w:tcW w:w="1060" w:type="dxa"/>
            <w:vAlign w:val="bottom"/>
          </w:tcPr>
          <w:p>
            <w:pPr>
              <w:jc w:val="right"/>
              <w:spacing w:after="0"/>
              <w:rPr>
                <w:sz w:val="20"/>
                <w:szCs w:val="20"/>
                <w:color w:val="auto"/>
              </w:rPr>
            </w:pPr>
            <w:r>
              <w:rPr>
                <w:rFonts w:ascii="Arial" w:cs="Arial" w:eastAsia="Arial" w:hAnsi="Arial"/>
                <w:sz w:val="16"/>
                <w:szCs w:val="16"/>
                <w:color w:val="auto"/>
              </w:rPr>
              <w:t>1,665</w:t>
            </w:r>
          </w:p>
        </w:tc>
        <w:tc>
          <w:tcPr>
            <w:tcW w:w="280" w:type="dxa"/>
            <w:vAlign w:val="bottom"/>
          </w:tcPr>
          <w:p>
            <w:pPr>
              <w:spacing w:after="0"/>
              <w:rPr>
                <w:sz w:val="18"/>
                <w:szCs w:val="18"/>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204</w:t>
            </w:r>
          </w:p>
        </w:tc>
        <w:tc>
          <w:tcPr>
            <w:tcW w:w="940" w:type="dxa"/>
            <w:vAlign w:val="bottom"/>
          </w:tcPr>
          <w:p>
            <w:pPr>
              <w:jc w:val="right"/>
              <w:spacing w:after="0"/>
              <w:rPr>
                <w:sz w:val="20"/>
                <w:szCs w:val="20"/>
                <w:color w:val="auto"/>
              </w:rPr>
            </w:pPr>
            <w:r>
              <w:rPr>
                <w:rFonts w:ascii="Arial" w:cs="Arial" w:eastAsia="Arial" w:hAnsi="Arial"/>
                <w:sz w:val="16"/>
                <w:szCs w:val="16"/>
                <w:color w:val="auto"/>
              </w:rPr>
              <w:t>1,687</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Industrial</w:t>
            </w:r>
          </w:p>
        </w:tc>
        <w:tc>
          <w:tcPr>
            <w:tcW w:w="1060" w:type="dxa"/>
            <w:vAlign w:val="bottom"/>
          </w:tcPr>
          <w:p>
            <w:pPr>
              <w:jc w:val="right"/>
              <w:spacing w:after="0"/>
              <w:rPr>
                <w:sz w:val="20"/>
                <w:szCs w:val="20"/>
                <w:color w:val="auto"/>
              </w:rPr>
            </w:pPr>
            <w:r>
              <w:rPr>
                <w:rFonts w:ascii="Arial" w:cs="Arial" w:eastAsia="Arial" w:hAnsi="Arial"/>
                <w:sz w:val="16"/>
                <w:szCs w:val="16"/>
                <w:color w:val="auto"/>
              </w:rPr>
              <w:t>545</w:t>
            </w:r>
          </w:p>
        </w:tc>
        <w:tc>
          <w:tcPr>
            <w:tcW w:w="280" w:type="dxa"/>
            <w:vAlign w:val="bottom"/>
          </w:tcPr>
          <w:p>
            <w:pPr>
              <w:spacing w:after="0"/>
              <w:rPr>
                <w:sz w:val="18"/>
                <w:szCs w:val="18"/>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58</w:t>
            </w:r>
          </w:p>
        </w:tc>
        <w:tc>
          <w:tcPr>
            <w:tcW w:w="940" w:type="dxa"/>
            <w:vAlign w:val="bottom"/>
          </w:tcPr>
          <w:p>
            <w:pPr>
              <w:jc w:val="right"/>
              <w:spacing w:after="0"/>
              <w:rPr>
                <w:sz w:val="20"/>
                <w:szCs w:val="20"/>
                <w:color w:val="auto"/>
              </w:rPr>
            </w:pPr>
            <w:r>
              <w:rPr>
                <w:rFonts w:ascii="Arial" w:cs="Arial" w:eastAsia="Arial" w:hAnsi="Arial"/>
                <w:sz w:val="16"/>
                <w:szCs w:val="16"/>
                <w:color w:val="auto"/>
              </w:rPr>
              <w:t>553</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Direct access</w:t>
            </w:r>
          </w:p>
        </w:tc>
        <w:tc>
          <w:tcPr>
            <w:tcW w:w="1060" w:type="dxa"/>
            <w:vAlign w:val="bottom"/>
          </w:tcPr>
          <w:p>
            <w:pPr>
              <w:jc w:val="right"/>
              <w:spacing w:after="0"/>
              <w:rPr>
                <w:sz w:val="20"/>
                <w:szCs w:val="20"/>
                <w:color w:val="auto"/>
              </w:rPr>
            </w:pPr>
            <w:r>
              <w:rPr>
                <w:rFonts w:ascii="Arial" w:cs="Arial" w:eastAsia="Arial" w:hAnsi="Arial"/>
                <w:sz w:val="16"/>
                <w:szCs w:val="16"/>
                <w:color w:val="auto"/>
              </w:rPr>
              <w:t>740</w:t>
            </w:r>
          </w:p>
        </w:tc>
        <w:tc>
          <w:tcPr>
            <w:tcW w:w="280" w:type="dxa"/>
            <w:vAlign w:val="bottom"/>
          </w:tcPr>
          <w:p>
            <w:pPr>
              <w:spacing w:after="0"/>
              <w:rPr>
                <w:sz w:val="18"/>
                <w:szCs w:val="18"/>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25</w:t>
            </w:r>
          </w:p>
        </w:tc>
        <w:tc>
          <w:tcPr>
            <w:tcW w:w="940" w:type="dxa"/>
            <w:vAlign w:val="bottom"/>
          </w:tcPr>
          <w:p>
            <w:pPr>
              <w:jc w:val="right"/>
              <w:spacing w:after="0"/>
              <w:rPr>
                <w:sz w:val="20"/>
                <w:szCs w:val="20"/>
                <w:color w:val="auto"/>
              </w:rPr>
            </w:pPr>
            <w:r>
              <w:rPr>
                <w:rFonts w:ascii="Arial" w:cs="Arial" w:eastAsia="Arial" w:hAnsi="Arial"/>
                <w:sz w:val="16"/>
                <w:szCs w:val="16"/>
                <w:color w:val="auto"/>
              </w:rPr>
              <w:t>765</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22"/>
        </w:trPr>
        <w:tc>
          <w:tcPr>
            <w:tcW w:w="3880" w:type="dxa"/>
            <w:vAlign w:val="bottom"/>
          </w:tcPr>
          <w:p>
            <w:pPr>
              <w:ind w:left="20"/>
              <w:spacing w:after="0"/>
              <w:rPr>
                <w:sz w:val="20"/>
                <w:szCs w:val="20"/>
                <w:color w:val="auto"/>
              </w:rPr>
            </w:pPr>
            <w:r>
              <w:rPr>
                <w:rFonts w:ascii="Arial" w:cs="Arial" w:eastAsia="Arial" w:hAnsi="Arial"/>
                <w:sz w:val="16"/>
                <w:szCs w:val="16"/>
                <w:color w:val="auto"/>
              </w:rPr>
              <w:t>Street and highway lighting</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4"/>
        </w:trPr>
        <w:tc>
          <w:tcPr>
            <w:tcW w:w="38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4,904</w:t>
            </w:r>
          </w:p>
        </w:tc>
        <w:tc>
          <w:tcPr>
            <w:tcW w:w="280" w:type="dxa"/>
            <w:vAlign w:val="bottom"/>
          </w:tcPr>
          <w:p>
            <w:pPr>
              <w:spacing w:after="0"/>
              <w:rPr>
                <w:sz w:val="17"/>
                <w:szCs w:val="17"/>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559</w:t>
            </w:r>
          </w:p>
        </w:tc>
        <w:tc>
          <w:tcPr>
            <w:tcW w:w="940" w:type="dxa"/>
            <w:vAlign w:val="bottom"/>
          </w:tcPr>
          <w:p>
            <w:pPr>
              <w:jc w:val="right"/>
              <w:spacing w:after="0"/>
              <w:rPr>
                <w:sz w:val="20"/>
                <w:szCs w:val="20"/>
                <w:color w:val="auto"/>
              </w:rPr>
            </w:pPr>
            <w:r>
              <w:rPr>
                <w:rFonts w:ascii="Arial" w:cs="Arial" w:eastAsia="Arial" w:hAnsi="Arial"/>
                <w:sz w:val="16"/>
                <w:szCs w:val="16"/>
                <w:color w:val="auto"/>
              </w:rPr>
              <w:t>5,040</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448</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Other revenues</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36</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22"/>
        </w:trPr>
        <w:tc>
          <w:tcPr>
            <w:tcW w:w="3880" w:type="dxa"/>
            <w:vAlign w:val="bottom"/>
          </w:tcPr>
          <w:p>
            <w:pPr>
              <w:ind w:left="20"/>
              <w:spacing w:after="0"/>
              <w:rPr>
                <w:sz w:val="20"/>
                <w:szCs w:val="20"/>
                <w:color w:val="auto"/>
              </w:rPr>
            </w:pPr>
            <w:r>
              <w:rPr>
                <w:rFonts w:ascii="Arial" w:cs="Arial" w:eastAsia="Arial" w:hAnsi="Arial"/>
                <w:sz w:val="16"/>
                <w:szCs w:val="16"/>
                <w:color w:val="auto"/>
              </w:rPr>
              <w:t>Balancing accounts</w:t>
            </w:r>
          </w:p>
        </w:tc>
        <w:tc>
          <w:tcPr>
            <w:tcW w:w="10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(44)</w:t>
            </w:r>
          </w:p>
        </w:tc>
        <w:tc>
          <w:tcPr>
            <w:tcW w:w="9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07"/>
        </w:trPr>
        <w:tc>
          <w:tcPr>
            <w:tcW w:w="3880" w:type="dxa"/>
            <w:vAlign w:val="bottom"/>
          </w:tcPr>
          <w:p>
            <w:pPr>
              <w:ind w:left="200"/>
              <w:spacing w:after="0"/>
              <w:rPr>
                <w:sz w:val="20"/>
                <w:szCs w:val="20"/>
                <w:color w:val="auto"/>
              </w:rPr>
            </w:pPr>
            <w:r>
              <w:rPr>
                <w:rFonts w:ascii="Arial" w:cs="Arial" w:eastAsia="Arial" w:hAnsi="Arial"/>
                <w:sz w:val="16"/>
                <w:szCs w:val="16"/>
                <w:color w:val="auto"/>
              </w:rPr>
              <w:t>Total</w:t>
            </w:r>
          </w:p>
        </w:tc>
        <w:tc>
          <w:tcPr>
            <w:tcW w:w="1060" w:type="dxa"/>
            <w:vAlign w:val="bottom"/>
          </w:tcPr>
          <w:p>
            <w:pPr>
              <w:spacing w:after="0"/>
              <w:rPr>
                <w:sz w:val="17"/>
                <w:szCs w:val="17"/>
                <w:color w:val="auto"/>
              </w:rPr>
            </w:pPr>
          </w:p>
        </w:tc>
        <w:tc>
          <w:tcPr>
            <w:tcW w:w="280" w:type="dxa"/>
            <w:vAlign w:val="bottom"/>
          </w:tcPr>
          <w:p>
            <w:pPr>
              <w:jc w:val="center"/>
              <w:ind w:right="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551</w:t>
            </w:r>
          </w:p>
        </w:tc>
        <w:tc>
          <w:tcPr>
            <w:tcW w:w="940" w:type="dxa"/>
            <w:vAlign w:val="bottom"/>
          </w:tcPr>
          <w:p>
            <w:pPr>
              <w:spacing w:after="0"/>
              <w:rPr>
                <w:sz w:val="17"/>
                <w:szCs w:val="17"/>
                <w:color w:val="auto"/>
              </w:rPr>
            </w:pPr>
          </w:p>
        </w:tc>
        <w:tc>
          <w:tcPr>
            <w:tcW w:w="280" w:type="dxa"/>
            <w:vAlign w:val="bottom"/>
          </w:tcPr>
          <w:p>
            <w:pPr>
              <w:jc w:val="center"/>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498</w:t>
            </w:r>
          </w:p>
        </w:tc>
      </w:tr>
      <w:tr>
        <w:trPr>
          <w:trHeight w:val="84"/>
        </w:trPr>
        <w:tc>
          <w:tcPr>
            <w:tcW w:w="3880" w:type="dxa"/>
            <w:vAlign w:val="bottom"/>
            <w:shd w:val="clear" w:color="auto" w:fill="000000"/>
          </w:tcPr>
          <w:p>
            <w:pPr>
              <w:spacing w:after="0"/>
              <w:rPr>
                <w:sz w:val="7"/>
                <w:szCs w:val="7"/>
                <w:color w:val="auto"/>
              </w:rPr>
            </w:pPr>
          </w:p>
        </w:tc>
        <w:tc>
          <w:tcPr>
            <w:tcW w:w="106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104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r>
      <w:tr>
        <w:trPr>
          <w:trHeight w:val="215"/>
        </w:trPr>
        <w:tc>
          <w:tcPr>
            <w:tcW w:w="388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1"/>
        </w:trPr>
        <w:tc>
          <w:tcPr>
            <w:tcW w:w="3880" w:type="dxa"/>
            <w:vAlign w:val="bottom"/>
          </w:tcPr>
          <w:p>
            <w:pPr>
              <w:ind w:left="20"/>
              <w:spacing w:after="0"/>
              <w:rPr>
                <w:sz w:val="20"/>
                <w:szCs w:val="20"/>
                <w:color w:val="auto"/>
              </w:rPr>
            </w:pPr>
            <w:r>
              <w:rPr>
                <w:rFonts w:ascii="Arial" w:cs="Arial" w:eastAsia="Arial" w:hAnsi="Arial"/>
                <w:sz w:val="16"/>
                <w:szCs w:val="16"/>
                <w:color w:val="auto"/>
              </w:rPr>
              <w:t>Residential</w:t>
            </w:r>
          </w:p>
        </w:tc>
        <w:tc>
          <w:tcPr>
            <w:tcW w:w="1060" w:type="dxa"/>
            <w:vAlign w:val="bottom"/>
          </w:tcPr>
          <w:p>
            <w:pPr>
              <w:jc w:val="right"/>
              <w:spacing w:after="0"/>
              <w:rPr>
                <w:sz w:val="20"/>
                <w:szCs w:val="20"/>
                <w:color w:val="auto"/>
              </w:rPr>
            </w:pPr>
            <w:r>
              <w:rPr>
                <w:rFonts w:ascii="Arial" w:cs="Arial" w:eastAsia="Arial" w:hAnsi="Arial"/>
                <w:sz w:val="16"/>
                <w:szCs w:val="16"/>
                <w:color w:val="auto"/>
              </w:rPr>
              <w:t>1,927</w:t>
            </w:r>
          </w:p>
        </w:tc>
        <w:tc>
          <w:tcPr>
            <w:tcW w:w="280" w:type="dxa"/>
            <w:vAlign w:val="bottom"/>
          </w:tcPr>
          <w:p>
            <w:pPr>
              <w:jc w:val="center"/>
              <w:ind w:right="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269</w:t>
            </w:r>
          </w:p>
        </w:tc>
        <w:tc>
          <w:tcPr>
            <w:tcW w:w="940" w:type="dxa"/>
            <w:vAlign w:val="bottom"/>
          </w:tcPr>
          <w:p>
            <w:pPr>
              <w:jc w:val="right"/>
              <w:spacing w:after="0"/>
              <w:rPr>
                <w:sz w:val="20"/>
                <w:szCs w:val="20"/>
                <w:color w:val="auto"/>
              </w:rPr>
            </w:pPr>
            <w:r>
              <w:rPr>
                <w:rFonts w:ascii="Arial" w:cs="Arial" w:eastAsia="Arial" w:hAnsi="Arial"/>
                <w:sz w:val="16"/>
                <w:szCs w:val="16"/>
                <w:color w:val="auto"/>
              </w:rPr>
              <w:t>2,009</w:t>
            </w:r>
          </w:p>
        </w:tc>
        <w:tc>
          <w:tcPr>
            <w:tcW w:w="280" w:type="dxa"/>
            <w:vAlign w:val="bottom"/>
          </w:tcPr>
          <w:p>
            <w:pPr>
              <w:jc w:val="center"/>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Commercial</w:t>
            </w:r>
          </w:p>
        </w:tc>
        <w:tc>
          <w:tcPr>
            <w:tcW w:w="1060" w:type="dxa"/>
            <w:vAlign w:val="bottom"/>
          </w:tcPr>
          <w:p>
            <w:pPr>
              <w:jc w:val="right"/>
              <w:spacing w:after="0"/>
              <w:rPr>
                <w:sz w:val="20"/>
                <w:szCs w:val="20"/>
                <w:color w:val="auto"/>
              </w:rPr>
            </w:pPr>
            <w:r>
              <w:rPr>
                <w:rFonts w:ascii="Arial" w:cs="Arial" w:eastAsia="Arial" w:hAnsi="Arial"/>
                <w:sz w:val="16"/>
                <w:szCs w:val="16"/>
                <w:color w:val="auto"/>
              </w:rPr>
              <w:t>1,665</w:t>
            </w:r>
          </w:p>
        </w:tc>
        <w:tc>
          <w:tcPr>
            <w:tcW w:w="280" w:type="dxa"/>
            <w:vAlign w:val="bottom"/>
          </w:tcPr>
          <w:p>
            <w:pPr>
              <w:spacing w:after="0"/>
              <w:rPr>
                <w:sz w:val="18"/>
                <w:szCs w:val="18"/>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204</w:t>
            </w:r>
          </w:p>
        </w:tc>
        <w:tc>
          <w:tcPr>
            <w:tcW w:w="940" w:type="dxa"/>
            <w:vAlign w:val="bottom"/>
          </w:tcPr>
          <w:p>
            <w:pPr>
              <w:jc w:val="right"/>
              <w:spacing w:after="0"/>
              <w:rPr>
                <w:sz w:val="20"/>
                <w:szCs w:val="20"/>
                <w:color w:val="auto"/>
              </w:rPr>
            </w:pPr>
            <w:r>
              <w:rPr>
                <w:rFonts w:ascii="Arial" w:cs="Arial" w:eastAsia="Arial" w:hAnsi="Arial"/>
                <w:sz w:val="16"/>
                <w:szCs w:val="16"/>
                <w:color w:val="auto"/>
              </w:rPr>
              <w:t>1,687</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Industrial</w:t>
            </w:r>
          </w:p>
        </w:tc>
        <w:tc>
          <w:tcPr>
            <w:tcW w:w="1060" w:type="dxa"/>
            <w:vAlign w:val="bottom"/>
          </w:tcPr>
          <w:p>
            <w:pPr>
              <w:jc w:val="right"/>
              <w:spacing w:after="0"/>
              <w:rPr>
                <w:sz w:val="20"/>
                <w:szCs w:val="20"/>
                <w:color w:val="auto"/>
              </w:rPr>
            </w:pPr>
            <w:r>
              <w:rPr>
                <w:rFonts w:ascii="Arial" w:cs="Arial" w:eastAsia="Arial" w:hAnsi="Arial"/>
                <w:sz w:val="16"/>
                <w:szCs w:val="16"/>
                <w:color w:val="auto"/>
              </w:rPr>
              <w:t>548</w:t>
            </w:r>
          </w:p>
        </w:tc>
        <w:tc>
          <w:tcPr>
            <w:tcW w:w="280" w:type="dxa"/>
            <w:vAlign w:val="bottom"/>
          </w:tcPr>
          <w:p>
            <w:pPr>
              <w:spacing w:after="0"/>
              <w:rPr>
                <w:sz w:val="18"/>
                <w:szCs w:val="18"/>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58</w:t>
            </w:r>
          </w:p>
        </w:tc>
        <w:tc>
          <w:tcPr>
            <w:tcW w:w="940" w:type="dxa"/>
            <w:vAlign w:val="bottom"/>
          </w:tcPr>
          <w:p>
            <w:pPr>
              <w:jc w:val="right"/>
              <w:spacing w:after="0"/>
              <w:rPr>
                <w:sz w:val="20"/>
                <w:szCs w:val="20"/>
                <w:color w:val="auto"/>
              </w:rPr>
            </w:pPr>
            <w:r>
              <w:rPr>
                <w:rFonts w:ascii="Arial" w:cs="Arial" w:eastAsia="Arial" w:hAnsi="Arial"/>
                <w:sz w:val="16"/>
                <w:szCs w:val="16"/>
                <w:color w:val="auto"/>
              </w:rPr>
              <w:t>556</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Direct access</w:t>
            </w:r>
          </w:p>
        </w:tc>
        <w:tc>
          <w:tcPr>
            <w:tcW w:w="1060" w:type="dxa"/>
            <w:vAlign w:val="bottom"/>
          </w:tcPr>
          <w:p>
            <w:pPr>
              <w:jc w:val="right"/>
              <w:spacing w:after="0"/>
              <w:rPr>
                <w:sz w:val="20"/>
                <w:szCs w:val="20"/>
                <w:color w:val="auto"/>
              </w:rPr>
            </w:pPr>
            <w:r>
              <w:rPr>
                <w:rFonts w:ascii="Arial" w:cs="Arial" w:eastAsia="Arial" w:hAnsi="Arial"/>
                <w:sz w:val="16"/>
                <w:szCs w:val="16"/>
                <w:color w:val="auto"/>
              </w:rPr>
              <w:t>740</w:t>
            </w:r>
          </w:p>
        </w:tc>
        <w:tc>
          <w:tcPr>
            <w:tcW w:w="280" w:type="dxa"/>
            <w:vAlign w:val="bottom"/>
          </w:tcPr>
          <w:p>
            <w:pPr>
              <w:spacing w:after="0"/>
              <w:rPr>
                <w:sz w:val="18"/>
                <w:szCs w:val="18"/>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25</w:t>
            </w:r>
          </w:p>
        </w:tc>
        <w:tc>
          <w:tcPr>
            <w:tcW w:w="940" w:type="dxa"/>
            <w:vAlign w:val="bottom"/>
          </w:tcPr>
          <w:p>
            <w:pPr>
              <w:jc w:val="right"/>
              <w:spacing w:after="0"/>
              <w:rPr>
                <w:sz w:val="20"/>
                <w:szCs w:val="20"/>
                <w:color w:val="auto"/>
              </w:rPr>
            </w:pPr>
            <w:r>
              <w:rPr>
                <w:rFonts w:ascii="Arial" w:cs="Arial" w:eastAsia="Arial" w:hAnsi="Arial"/>
                <w:sz w:val="16"/>
                <w:szCs w:val="16"/>
                <w:color w:val="auto"/>
              </w:rPr>
              <w:t>765</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22"/>
        </w:trPr>
        <w:tc>
          <w:tcPr>
            <w:tcW w:w="3880" w:type="dxa"/>
            <w:vAlign w:val="bottom"/>
          </w:tcPr>
          <w:p>
            <w:pPr>
              <w:ind w:left="20"/>
              <w:spacing w:after="0"/>
              <w:rPr>
                <w:sz w:val="20"/>
                <w:szCs w:val="20"/>
                <w:color w:val="auto"/>
              </w:rPr>
            </w:pPr>
            <w:r>
              <w:rPr>
                <w:rFonts w:ascii="Arial" w:cs="Arial" w:eastAsia="Arial" w:hAnsi="Arial"/>
                <w:sz w:val="16"/>
                <w:szCs w:val="16"/>
                <w:color w:val="auto"/>
              </w:rPr>
              <w:t>Street and highway lighting</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4"/>
        </w:trPr>
        <w:tc>
          <w:tcPr>
            <w:tcW w:w="38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4,907</w:t>
            </w:r>
          </w:p>
        </w:tc>
        <w:tc>
          <w:tcPr>
            <w:tcW w:w="280" w:type="dxa"/>
            <w:vAlign w:val="bottom"/>
          </w:tcPr>
          <w:p>
            <w:pPr>
              <w:spacing w:after="0"/>
              <w:rPr>
                <w:sz w:val="17"/>
                <w:szCs w:val="17"/>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559</w:t>
            </w:r>
          </w:p>
        </w:tc>
        <w:tc>
          <w:tcPr>
            <w:tcW w:w="940" w:type="dxa"/>
            <w:vAlign w:val="bottom"/>
          </w:tcPr>
          <w:p>
            <w:pPr>
              <w:jc w:val="right"/>
              <w:spacing w:after="0"/>
              <w:rPr>
                <w:sz w:val="20"/>
                <w:szCs w:val="20"/>
                <w:color w:val="auto"/>
              </w:rPr>
            </w:pPr>
            <w:r>
              <w:rPr>
                <w:rFonts w:ascii="Arial" w:cs="Arial" w:eastAsia="Arial" w:hAnsi="Arial"/>
                <w:sz w:val="16"/>
                <w:szCs w:val="16"/>
                <w:color w:val="auto"/>
              </w:rPr>
              <w:t>5,043</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449</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Other revenues</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38</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22"/>
        </w:trPr>
        <w:tc>
          <w:tcPr>
            <w:tcW w:w="3880" w:type="dxa"/>
            <w:vAlign w:val="bottom"/>
          </w:tcPr>
          <w:p>
            <w:pPr>
              <w:ind w:left="20"/>
              <w:spacing w:after="0"/>
              <w:rPr>
                <w:sz w:val="20"/>
                <w:szCs w:val="20"/>
                <w:color w:val="auto"/>
              </w:rPr>
            </w:pPr>
            <w:r>
              <w:rPr>
                <w:rFonts w:ascii="Arial" w:cs="Arial" w:eastAsia="Arial" w:hAnsi="Arial"/>
                <w:sz w:val="16"/>
                <w:szCs w:val="16"/>
                <w:color w:val="auto"/>
              </w:rPr>
              <w:t>Balancing accounts</w:t>
            </w:r>
          </w:p>
        </w:tc>
        <w:tc>
          <w:tcPr>
            <w:tcW w:w="10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(44)</w:t>
            </w:r>
          </w:p>
        </w:tc>
        <w:tc>
          <w:tcPr>
            <w:tcW w:w="9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07"/>
        </w:trPr>
        <w:tc>
          <w:tcPr>
            <w:tcW w:w="3880" w:type="dxa"/>
            <w:vAlign w:val="bottom"/>
          </w:tcPr>
          <w:p>
            <w:pPr>
              <w:ind w:left="200"/>
              <w:spacing w:after="0"/>
              <w:rPr>
                <w:sz w:val="20"/>
                <w:szCs w:val="20"/>
                <w:color w:val="auto"/>
              </w:rPr>
            </w:pPr>
            <w:r>
              <w:rPr>
                <w:rFonts w:ascii="Arial" w:cs="Arial" w:eastAsia="Arial" w:hAnsi="Arial"/>
                <w:sz w:val="16"/>
                <w:szCs w:val="16"/>
                <w:color w:val="auto"/>
              </w:rPr>
              <w:t>Total*</w:t>
            </w:r>
          </w:p>
        </w:tc>
        <w:tc>
          <w:tcPr>
            <w:tcW w:w="1060" w:type="dxa"/>
            <w:vAlign w:val="bottom"/>
          </w:tcPr>
          <w:p>
            <w:pPr>
              <w:spacing w:after="0"/>
              <w:rPr>
                <w:sz w:val="17"/>
                <w:szCs w:val="17"/>
                <w:color w:val="auto"/>
              </w:rPr>
            </w:pPr>
          </w:p>
        </w:tc>
        <w:tc>
          <w:tcPr>
            <w:tcW w:w="280" w:type="dxa"/>
            <w:vAlign w:val="bottom"/>
          </w:tcPr>
          <w:p>
            <w:pPr>
              <w:jc w:val="center"/>
              <w:ind w:right="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553</w:t>
            </w:r>
          </w:p>
        </w:tc>
        <w:tc>
          <w:tcPr>
            <w:tcW w:w="940" w:type="dxa"/>
            <w:vAlign w:val="bottom"/>
          </w:tcPr>
          <w:p>
            <w:pPr>
              <w:spacing w:after="0"/>
              <w:rPr>
                <w:sz w:val="17"/>
                <w:szCs w:val="17"/>
                <w:color w:val="auto"/>
              </w:rPr>
            </w:pPr>
          </w:p>
        </w:tc>
        <w:tc>
          <w:tcPr>
            <w:tcW w:w="280" w:type="dxa"/>
            <w:vAlign w:val="bottom"/>
          </w:tcPr>
          <w:p>
            <w:pPr>
              <w:jc w:val="center"/>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501</w:t>
            </w:r>
          </w:p>
        </w:tc>
      </w:tr>
      <w:tr>
        <w:trPr>
          <w:trHeight w:val="84"/>
        </w:trPr>
        <w:tc>
          <w:tcPr>
            <w:tcW w:w="3880" w:type="dxa"/>
            <w:vAlign w:val="bottom"/>
            <w:shd w:val="clear" w:color="auto" w:fill="000000"/>
          </w:tcPr>
          <w:p>
            <w:pPr>
              <w:spacing w:after="0"/>
              <w:rPr>
                <w:sz w:val="7"/>
                <w:szCs w:val="7"/>
                <w:color w:val="auto"/>
              </w:rPr>
            </w:pPr>
          </w:p>
        </w:tc>
        <w:tc>
          <w:tcPr>
            <w:tcW w:w="106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104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Includes sales to affiliates of $2 million in 2009 and $3 million in 2008.</w:t>
      </w:r>
    </w:p>
    <w:p>
      <w:pPr>
        <w:spacing w:after="0" w:line="259" w:lineRule="exact"/>
        <w:rPr>
          <w:sz w:val="20"/>
          <w:szCs w:val="20"/>
          <w:color w:val="auto"/>
        </w:rPr>
      </w:pPr>
    </w:p>
    <w:p>
      <w:pPr>
        <w:ind w:right="380"/>
        <w:spacing w:after="0" w:line="287" w:lineRule="auto"/>
        <w:rPr>
          <w:sz w:val="20"/>
          <w:szCs w:val="20"/>
          <w:color w:val="auto"/>
        </w:rPr>
      </w:pPr>
      <w:r>
        <w:rPr>
          <w:rFonts w:ascii="Arial" w:cs="Arial" w:eastAsia="Arial" w:hAnsi="Arial"/>
          <w:sz w:val="19"/>
          <w:szCs w:val="19"/>
          <w:color w:val="auto"/>
        </w:rPr>
        <w:t>We do not include in the Condensed Consolidated Statements of Operations the commodity costs (and the revenues to recover those costs) associated with long-term contracts that are allocated to SDG&amp;E by the California Department of Water Resources (DWR). However, we do include the associated volumes and distribution revenues in the table above. We provide further discussion of these contracts in Note 1 of the Notes to Consolidated Financial Statements in the Annual Report.</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Global and Parent Revenues and Cost of Sales</w:t>
      </w:r>
    </w:p>
    <w:p>
      <w:pPr>
        <w:spacing w:after="0" w:line="36" w:lineRule="exact"/>
        <w:rPr>
          <w:sz w:val="20"/>
          <w:szCs w:val="20"/>
          <w:color w:val="auto"/>
        </w:rPr>
      </w:pPr>
    </w:p>
    <w:p>
      <w:pPr>
        <w:ind w:right="100"/>
        <w:spacing w:after="0" w:line="249" w:lineRule="auto"/>
        <w:rPr>
          <w:sz w:val="20"/>
          <w:szCs w:val="20"/>
          <w:color w:val="auto"/>
        </w:rPr>
      </w:pPr>
      <w:r>
        <w:rPr>
          <w:rFonts w:ascii="Arial" w:cs="Arial" w:eastAsia="Arial" w:hAnsi="Arial"/>
          <w:sz w:val="22"/>
          <w:szCs w:val="22"/>
          <w:color w:val="auto"/>
        </w:rPr>
        <w:t>During the three months ended March 31, 2009, our Sempra Global and Parent revenues decreased by $514 million (52%) to $466 million. The decrease included</w:t>
      </w:r>
    </w:p>
    <w:p>
      <w:pPr>
        <w:spacing w:after="0" w:line="2" w:lineRule="exact"/>
        <w:rPr>
          <w:sz w:val="20"/>
          <w:szCs w:val="20"/>
          <w:color w:val="auto"/>
        </w:rPr>
      </w:pPr>
    </w:p>
    <w:p>
      <w:pPr>
        <w:ind w:left="180" w:right="1360" w:hanging="172"/>
        <w:spacing w:after="0" w:line="247" w:lineRule="auto"/>
        <w:tabs>
          <w:tab w:leader="none" w:pos="180" w:val="left"/>
        </w:tabs>
        <w:numPr>
          <w:ilvl w:val="0"/>
          <w:numId w:val="78"/>
        </w:numPr>
        <w:rPr>
          <w:rFonts w:ascii="Arial" w:cs="Arial" w:eastAsia="Arial" w:hAnsi="Arial"/>
          <w:sz w:val="22"/>
          <w:szCs w:val="22"/>
          <w:color w:val="auto"/>
        </w:rPr>
      </w:pPr>
      <w:r>
        <w:rPr>
          <w:rFonts w:ascii="Arial" w:cs="Arial" w:eastAsia="Arial" w:hAnsi="Arial"/>
          <w:sz w:val="22"/>
          <w:szCs w:val="22"/>
          <w:color w:val="auto"/>
        </w:rPr>
        <w:t>$444 million lower revenues from Sempra Commodities due to the sale of the commodities-marketing businesses to our joint venture, RBS Sempra Commodities, on April 1, 2008; and</w:t>
      </w:r>
    </w:p>
    <w:p>
      <w:pPr>
        <w:ind w:left="180" w:hanging="172"/>
        <w:spacing w:after="0"/>
        <w:tabs>
          <w:tab w:leader="none" w:pos="180" w:val="left"/>
        </w:tabs>
        <w:numPr>
          <w:ilvl w:val="0"/>
          <w:numId w:val="78"/>
        </w:numPr>
        <w:rPr>
          <w:rFonts w:ascii="Arial" w:cs="Arial" w:eastAsia="Arial" w:hAnsi="Arial"/>
          <w:sz w:val="22"/>
          <w:szCs w:val="22"/>
          <w:color w:val="auto"/>
        </w:rPr>
      </w:pPr>
      <w:r>
        <w:rPr>
          <w:rFonts w:ascii="Arial" w:cs="Arial" w:eastAsia="Arial" w:hAnsi="Arial"/>
          <w:sz w:val="22"/>
          <w:szCs w:val="22"/>
          <w:color w:val="auto"/>
        </w:rPr>
        <w:t xml:space="preserve">$149 million lower revenues at Sempra Generation, primarily due to lower natural gas and power prices; </w:t>
      </w:r>
      <w:r>
        <w:rPr>
          <w:rFonts w:ascii="Arial" w:cs="Arial" w:eastAsia="Arial" w:hAnsi="Arial"/>
          <w:sz w:val="22"/>
          <w:szCs w:val="22"/>
          <w:b w:val="1"/>
          <w:bCs w:val="1"/>
          <w:color w:val="auto"/>
        </w:rPr>
        <w:t>offset by</w:t>
      </w:r>
    </w:p>
    <w:p>
      <w:pPr>
        <w:spacing w:after="0" w:line="27" w:lineRule="exact"/>
        <w:rPr>
          <w:rFonts w:ascii="Arial" w:cs="Arial" w:eastAsia="Arial" w:hAnsi="Arial"/>
          <w:sz w:val="22"/>
          <w:szCs w:val="22"/>
          <w:color w:val="auto"/>
        </w:rPr>
      </w:pPr>
    </w:p>
    <w:p>
      <w:pPr>
        <w:ind w:left="180" w:right="1280" w:hanging="172"/>
        <w:spacing w:after="0" w:line="246" w:lineRule="auto"/>
        <w:tabs>
          <w:tab w:leader="none" w:pos="180" w:val="left"/>
        </w:tabs>
        <w:numPr>
          <w:ilvl w:val="0"/>
          <w:numId w:val="78"/>
        </w:numPr>
        <w:rPr>
          <w:rFonts w:ascii="Arial" w:cs="Arial" w:eastAsia="Arial" w:hAnsi="Arial"/>
          <w:sz w:val="22"/>
          <w:szCs w:val="22"/>
          <w:color w:val="auto"/>
        </w:rPr>
      </w:pPr>
      <w:r>
        <w:rPr>
          <w:rFonts w:ascii="Arial" w:cs="Arial" w:eastAsia="Arial" w:hAnsi="Arial"/>
          <w:sz w:val="22"/>
          <w:szCs w:val="22"/>
          <w:color w:val="auto"/>
        </w:rPr>
        <w:t>increased revenues at Sempra Pipelines &amp; Storage and Sempra LNG, primarily from completed projects going into service in 2008.</w:t>
      </w:r>
    </w:p>
    <w:p>
      <w:pPr>
        <w:spacing w:after="0" w:line="98"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During the three months ended March 31, 2009, our cost of natural gas, electric fuel and purchased power decreased by $141 million (34%) to $268 million. The decrease was primarily associated with the lower revenues at Sempra Commodities and Sempra Generation. Other cost of sales for Sempra Global and Parent decreased by $119 million (88%) to $17 million primarily due to the sale of the commodities-marketing businesses in the second quarter of 2008.</w:t>
      </w:r>
    </w:p>
    <w:p>
      <w:pPr>
        <w:sectPr>
          <w:pgSz w:w="11900" w:h="16838" w:orient="portrait"/>
          <w:cols w:equalWidth="0" w:num="1">
            <w:col w:w="11400"/>
          </w:cols>
          <w:pgMar w:left="240" w:top="418" w:right="259" w:bottom="1440" w:gutter="0" w:footer="0" w:header="0"/>
        </w:sectPr>
      </w:pPr>
    </w:p>
    <w:bookmarkStart w:id="70" w:name="page71"/>
    <w:bookmarkEnd w:id="70"/>
    <w:p>
      <w:pPr>
        <w:spacing w:after="0"/>
        <w:rPr>
          <w:sz w:val="20"/>
          <w:szCs w:val="20"/>
          <w:color w:val="auto"/>
        </w:rPr>
      </w:pPr>
      <w:r>
        <w:rPr>
          <w:rFonts w:ascii="Arial" w:cs="Arial" w:eastAsia="Arial" w:hAnsi="Arial"/>
          <w:sz w:val="20"/>
          <w:szCs w:val="20"/>
          <w:b w:val="1"/>
          <w:bCs w:val="1"/>
          <w:i w:val="1"/>
          <w:iCs w:val="1"/>
          <w:color w:val="auto"/>
        </w:rPr>
        <w:t>Operation and Maintenance</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w:t>
      </w:r>
    </w:p>
    <w:p>
      <w:pPr>
        <w:spacing w:after="0" w:line="103" w:lineRule="exact"/>
        <w:rPr>
          <w:sz w:val="20"/>
          <w:szCs w:val="20"/>
          <w:color w:val="auto"/>
        </w:rPr>
      </w:pPr>
    </w:p>
    <w:p>
      <w:pPr>
        <w:ind w:right="160"/>
        <w:spacing w:after="0" w:line="274" w:lineRule="auto"/>
        <w:rPr>
          <w:sz w:val="20"/>
          <w:szCs w:val="20"/>
          <w:color w:val="auto"/>
        </w:rPr>
      </w:pPr>
      <w:r>
        <w:rPr>
          <w:rFonts w:ascii="Arial" w:cs="Arial" w:eastAsia="Arial" w:hAnsi="Arial"/>
          <w:sz w:val="21"/>
          <w:szCs w:val="21"/>
          <w:color w:val="auto"/>
        </w:rPr>
        <w:t>For the three months ended March 31, 2009, our operation and maintenance expenses decreased by $182 million (26%) to $516 million. The expenses in 2008 included $214 million at our commodities-marketing businesses.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Earnings (Losses) Before Income Taxes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w:t>
      </w:r>
    </w:p>
    <w:p>
      <w:pPr>
        <w:spacing w:after="0" w:line="90" w:lineRule="exact"/>
        <w:rPr>
          <w:sz w:val="20"/>
          <w:szCs w:val="20"/>
          <w:color w:val="auto"/>
        </w:rPr>
      </w:pPr>
    </w:p>
    <w:p>
      <w:pPr>
        <w:ind w:right="40"/>
        <w:spacing w:after="0"/>
        <w:rPr>
          <w:sz w:val="20"/>
          <w:szCs w:val="20"/>
          <w:color w:val="auto"/>
        </w:rPr>
      </w:pPr>
      <w:r>
        <w:rPr>
          <w:rFonts w:ascii="Arial" w:cs="Arial" w:eastAsia="Arial" w:hAnsi="Arial"/>
          <w:sz w:val="22"/>
          <w:szCs w:val="22"/>
          <w:color w:val="auto"/>
        </w:rPr>
        <w:t>In the first three months of 2009, the pretax equity earnings from our investment in the newly-formed RBS Sempra Commodities were $153 million. We provide additional information about this investment's earnings in Note 4 of the Notes to Condensed Consolidated Financial Statements herein.</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Income, Net</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w:t>
      </w:r>
    </w:p>
    <w:p>
      <w:pPr>
        <w:spacing w:after="0" w:line="90"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color w:val="auto"/>
        </w:rPr>
        <w:t>For the three months ended March 31, 2009, other income, net, decreased by $16 million (84%) to $3 million. The decrease was due to $13 million higher investment losses on dedicated assets in support of our executive retirement and deferred compensation plans. In addition, our 2008 other income included a $16 million cash payment received for the early termination of a capacity agreement for the Cameron LNG receipt terminal. These decreases were offset by $10 million of interest-rate swap gain for Otay Mesa VIE at SDG&amp;E in 2009. The gain is offset in Earnings Attributable to Noncontrolling Interests on the Condensed Consolidated Statements of Operations for Sempra Energy and SDG&amp;E.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Expense</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w:t>
      </w:r>
    </w:p>
    <w:p>
      <w:pPr>
        <w:spacing w:after="0" w:line="10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During the three months ended March 31, 2009, our interest expense increased by $22 million (37%) to $82 million. The increase was primarily due to long-term debt issued at Parent and Other in 2008.</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auto"/>
        </w:rPr>
        <w:t>The table below shows the income tax expense and effective income tax rates for Sempra Energy, SDG&amp;E, 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4991100" cy="274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991100" cy="274320"/>
                    </a:xfrm>
                    <a:prstGeom prst="rect">
                      <a:avLst/>
                    </a:prstGeom>
                    <a:noFill/>
                  </pic:spPr>
                </pic:pic>
              </a:graphicData>
            </a:graphic>
          </wp:anchor>
        </w:drawing>
      </w:r>
    </w:p>
    <w:p>
      <w:pPr>
        <w:spacing w:after="0" w:line="3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INCOME TAX EXPENSE AND EFFECTIVE INCOME TAX RATES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4"/>
                <w:szCs w:val="14"/>
                <w:color w:val="auto"/>
              </w:rPr>
              <w:t>Three months ended March 31,</w:t>
            </w:r>
          </w:p>
        </w:tc>
        <w:tc>
          <w:tcPr>
            <w:tcW w:w="1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color w:val="auto"/>
              </w:rPr>
              <w:t>2009</w:t>
            </w:r>
          </w:p>
        </w:tc>
        <w:tc>
          <w:tcPr>
            <w:tcW w:w="4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43"/>
              <w:spacing w:after="0"/>
              <w:rPr>
                <w:sz w:val="20"/>
                <w:szCs w:val="20"/>
                <w:color w:val="auto"/>
              </w:rPr>
            </w:pPr>
            <w:r>
              <w:rPr>
                <w:rFonts w:ascii="Arial" w:cs="Arial" w:eastAsia="Arial" w:hAnsi="Arial"/>
                <w:sz w:val="14"/>
                <w:szCs w:val="14"/>
                <w:color w:val="auto"/>
              </w:rPr>
              <w:t>2008</w:t>
            </w:r>
          </w:p>
        </w:tc>
        <w:tc>
          <w:tcPr>
            <w:tcW w:w="320" w:type="dxa"/>
            <w:vAlign w:val="bottom"/>
            <w:tcBorders>
              <w:bottom w:val="single" w:sz="8" w:color="auto"/>
            </w:tcBorders>
          </w:tcPr>
          <w:p>
            <w:pPr>
              <w:spacing w:after="0"/>
              <w:rPr>
                <w:sz w:val="17"/>
                <w:szCs w:val="17"/>
                <w:color w:val="auto"/>
              </w:rPr>
            </w:pPr>
          </w:p>
        </w:tc>
      </w:tr>
      <w:tr>
        <w:trPr>
          <w:trHeight w:val="190"/>
        </w:trPr>
        <w:tc>
          <w:tcPr>
            <w:tcW w:w="2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62"/>
              <w:spacing w:after="0"/>
              <w:rPr>
                <w:sz w:val="20"/>
                <w:szCs w:val="20"/>
                <w:color w:val="auto"/>
              </w:rPr>
            </w:pPr>
            <w:r>
              <w:rPr>
                <w:rFonts w:ascii="Arial" w:cs="Arial" w:eastAsia="Arial" w:hAnsi="Arial"/>
                <w:sz w:val="14"/>
                <w:szCs w:val="14"/>
                <w:color w:val="auto"/>
              </w:rPr>
              <w:t>Income Tax</w:t>
            </w:r>
          </w:p>
        </w:tc>
        <w:tc>
          <w:tcPr>
            <w:tcW w:w="1080" w:type="dxa"/>
            <w:vAlign w:val="bottom"/>
          </w:tcPr>
          <w:p>
            <w:pPr>
              <w:jc w:val="right"/>
              <w:ind w:right="63"/>
              <w:spacing w:after="0"/>
              <w:rPr>
                <w:sz w:val="20"/>
                <w:szCs w:val="20"/>
                <w:color w:val="auto"/>
              </w:rPr>
            </w:pPr>
            <w:r>
              <w:rPr>
                <w:rFonts w:ascii="Arial" w:cs="Arial" w:eastAsia="Arial" w:hAnsi="Arial"/>
                <w:sz w:val="14"/>
                <w:szCs w:val="14"/>
                <w:color w:val="auto"/>
              </w:rPr>
              <w:t>Effective</w:t>
            </w: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ind w:right="22"/>
              <w:spacing w:after="0"/>
              <w:rPr>
                <w:sz w:val="20"/>
                <w:szCs w:val="20"/>
                <w:color w:val="auto"/>
              </w:rPr>
            </w:pPr>
            <w:r>
              <w:rPr>
                <w:rFonts w:ascii="Arial" w:cs="Arial" w:eastAsia="Arial" w:hAnsi="Arial"/>
                <w:sz w:val="14"/>
                <w:szCs w:val="14"/>
                <w:color w:val="auto"/>
              </w:rPr>
              <w:t>Income Tax</w:t>
            </w:r>
          </w:p>
        </w:tc>
        <w:tc>
          <w:tcPr>
            <w:tcW w:w="1140" w:type="dxa"/>
            <w:vAlign w:val="bottom"/>
          </w:tcPr>
          <w:p>
            <w:pPr>
              <w:jc w:val="right"/>
              <w:ind w:right="83"/>
              <w:spacing w:after="0"/>
              <w:rPr>
                <w:sz w:val="20"/>
                <w:szCs w:val="20"/>
                <w:color w:val="auto"/>
              </w:rPr>
            </w:pPr>
            <w:r>
              <w:rPr>
                <w:rFonts w:ascii="Arial" w:cs="Arial" w:eastAsia="Arial" w:hAnsi="Arial"/>
                <w:sz w:val="14"/>
                <w:szCs w:val="14"/>
                <w:color w:val="auto"/>
              </w:rPr>
              <w:t>Effective</w:t>
            </w:r>
          </w:p>
        </w:tc>
        <w:tc>
          <w:tcPr>
            <w:tcW w:w="320" w:type="dxa"/>
            <w:vAlign w:val="bottom"/>
          </w:tcPr>
          <w:p>
            <w:pPr>
              <w:spacing w:after="0"/>
              <w:rPr>
                <w:sz w:val="16"/>
                <w:szCs w:val="16"/>
                <w:color w:val="auto"/>
              </w:rPr>
            </w:pPr>
          </w:p>
        </w:tc>
      </w:tr>
      <w:tr>
        <w:trPr>
          <w:trHeight w:val="209"/>
        </w:trPr>
        <w:tc>
          <w:tcPr>
            <w:tcW w:w="23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rPr>
              <w:t>Expense</w:t>
            </w:r>
          </w:p>
        </w:tc>
        <w:tc>
          <w:tcPr>
            <w:tcW w:w="108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color w:val="auto"/>
              </w:rPr>
              <w:t>Tax Rate</w:t>
            </w:r>
          </w:p>
        </w:tc>
        <w:tc>
          <w:tcPr>
            <w:tcW w:w="4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color w:val="auto"/>
              </w:rPr>
              <w:t>Expense</w:t>
            </w:r>
          </w:p>
        </w:tc>
        <w:tc>
          <w:tcPr>
            <w:tcW w:w="114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color w:val="auto"/>
              </w:rPr>
              <w:t>Tax Rate</w:t>
            </w:r>
          </w:p>
        </w:tc>
        <w:tc>
          <w:tcPr>
            <w:tcW w:w="320" w:type="dxa"/>
            <w:vAlign w:val="bottom"/>
            <w:tcBorders>
              <w:bottom w:val="single" w:sz="8" w:color="auto"/>
            </w:tcBorders>
          </w:tcPr>
          <w:p>
            <w:pPr>
              <w:spacing w:after="0"/>
              <w:rPr>
                <w:sz w:val="18"/>
                <w:szCs w:val="18"/>
                <w:color w:val="auto"/>
              </w:rPr>
            </w:pPr>
          </w:p>
        </w:tc>
      </w:tr>
      <w:tr>
        <w:trPr>
          <w:trHeight w:val="210"/>
        </w:trPr>
        <w:tc>
          <w:tcPr>
            <w:tcW w:w="2360" w:type="dxa"/>
            <w:vAlign w:val="bottom"/>
          </w:tcPr>
          <w:p>
            <w:pPr>
              <w:ind w:left="20"/>
              <w:spacing w:after="0"/>
              <w:rPr>
                <w:sz w:val="20"/>
                <w:szCs w:val="20"/>
                <w:color w:val="auto"/>
              </w:rPr>
            </w:pPr>
            <w:r>
              <w:rPr>
                <w:rFonts w:ascii="Arial" w:cs="Arial" w:eastAsia="Arial" w:hAnsi="Arial"/>
                <w:sz w:val="16"/>
                <w:szCs w:val="16"/>
                <w:color w:val="auto"/>
              </w:rPr>
              <w:t>Sempra Energy Consolidated</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109</w:t>
            </w:r>
          </w:p>
        </w:tc>
        <w:tc>
          <w:tcPr>
            <w:tcW w:w="1080" w:type="dxa"/>
            <w:vAlign w:val="bottom"/>
          </w:tcPr>
          <w:p>
            <w:pPr>
              <w:jc w:val="right"/>
              <w:spacing w:after="0"/>
              <w:rPr>
                <w:sz w:val="20"/>
                <w:szCs w:val="20"/>
                <w:color w:val="auto"/>
              </w:rPr>
            </w:pPr>
            <w:r>
              <w:rPr>
                <w:rFonts w:ascii="Arial" w:cs="Arial" w:eastAsia="Arial" w:hAnsi="Arial"/>
                <w:sz w:val="16"/>
                <w:szCs w:val="16"/>
                <w:color w:val="auto"/>
              </w:rPr>
              <w:t>26</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127</w:t>
            </w:r>
          </w:p>
        </w:tc>
        <w:tc>
          <w:tcPr>
            <w:tcW w:w="1140" w:type="dxa"/>
            <w:vAlign w:val="bottom"/>
          </w:tcPr>
          <w:p>
            <w:pPr>
              <w:jc w:val="right"/>
              <w:spacing w:after="0"/>
              <w:rPr>
                <w:sz w:val="20"/>
                <w:szCs w:val="20"/>
                <w:color w:val="auto"/>
              </w:rPr>
            </w:pPr>
            <w:r>
              <w:rPr>
                <w:rFonts w:ascii="Arial" w:cs="Arial" w:eastAsia="Arial" w:hAnsi="Arial"/>
                <w:sz w:val="16"/>
                <w:szCs w:val="16"/>
                <w:color w:val="auto"/>
              </w:rPr>
              <w:t>36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16"/>
        </w:trPr>
        <w:tc>
          <w:tcPr>
            <w:tcW w:w="2360" w:type="dxa"/>
            <w:vAlign w:val="bottom"/>
          </w:tcPr>
          <w:p>
            <w:pPr>
              <w:ind w:left="20"/>
              <w:spacing w:after="0"/>
              <w:rPr>
                <w:sz w:val="20"/>
                <w:szCs w:val="20"/>
                <w:color w:val="auto"/>
              </w:rPr>
            </w:pPr>
            <w:r>
              <w:rPr>
                <w:rFonts w:ascii="Arial" w:cs="Arial" w:eastAsia="Arial" w:hAnsi="Arial"/>
                <w:sz w:val="16"/>
                <w:szCs w:val="16"/>
                <w:color w:val="auto"/>
              </w:rPr>
              <w:t>SDG&amp;E</w:t>
            </w:r>
          </w:p>
        </w:tc>
        <w:tc>
          <w:tcPr>
            <w:tcW w:w="320" w:type="dxa"/>
            <w:vAlign w:val="bottom"/>
          </w:tcPr>
          <w:p>
            <w:pPr>
              <w:spacing w:after="0"/>
              <w:rPr>
                <w:sz w:val="18"/>
                <w:szCs w:val="18"/>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60</w:t>
            </w:r>
          </w:p>
        </w:tc>
        <w:tc>
          <w:tcPr>
            <w:tcW w:w="1080" w:type="dxa"/>
            <w:vAlign w:val="bottom"/>
          </w:tcPr>
          <w:p>
            <w:pPr>
              <w:jc w:val="right"/>
              <w:spacing w:after="0"/>
              <w:rPr>
                <w:sz w:val="20"/>
                <w:szCs w:val="20"/>
                <w:color w:val="auto"/>
              </w:rPr>
            </w:pPr>
            <w:r>
              <w:rPr>
                <w:rFonts w:ascii="Arial" w:cs="Arial" w:eastAsia="Arial" w:hAnsi="Arial"/>
                <w:sz w:val="16"/>
                <w:szCs w:val="16"/>
                <w:color w:val="auto"/>
              </w:rPr>
              <w:t>36</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32</w:t>
            </w:r>
          </w:p>
        </w:tc>
        <w:tc>
          <w:tcPr>
            <w:tcW w:w="1140" w:type="dxa"/>
            <w:vAlign w:val="bottom"/>
          </w:tcPr>
          <w:p>
            <w:pPr>
              <w:jc w:val="right"/>
              <w:spacing w:after="0"/>
              <w:rPr>
                <w:sz w:val="20"/>
                <w:szCs w:val="20"/>
                <w:color w:val="auto"/>
              </w:rPr>
            </w:pPr>
            <w:r>
              <w:rPr>
                <w:rFonts w:ascii="Arial" w:cs="Arial" w:eastAsia="Arial" w:hAnsi="Arial"/>
                <w:sz w:val="16"/>
                <w:szCs w:val="16"/>
                <w:color w:val="auto"/>
              </w:rPr>
              <w:t>30</w:t>
            </w:r>
          </w:p>
        </w:tc>
        <w:tc>
          <w:tcPr>
            <w:tcW w:w="320" w:type="dxa"/>
            <w:vAlign w:val="bottom"/>
          </w:tcPr>
          <w:p>
            <w:pPr>
              <w:spacing w:after="0"/>
              <w:rPr>
                <w:sz w:val="18"/>
                <w:szCs w:val="18"/>
                <w:color w:val="auto"/>
              </w:rPr>
            </w:pPr>
          </w:p>
        </w:tc>
      </w:tr>
      <w:tr>
        <w:trPr>
          <w:trHeight w:val="216"/>
        </w:trPr>
        <w:tc>
          <w:tcPr>
            <w:tcW w:w="2360" w:type="dxa"/>
            <w:vAlign w:val="bottom"/>
          </w:tcPr>
          <w:p>
            <w:pPr>
              <w:ind w:left="20"/>
              <w:spacing w:after="0"/>
              <w:rPr>
                <w:sz w:val="20"/>
                <w:szCs w:val="20"/>
                <w:color w:val="auto"/>
              </w:rPr>
            </w:pPr>
            <w:r>
              <w:rPr>
                <w:rFonts w:ascii="Arial" w:cs="Arial" w:eastAsia="Arial" w:hAnsi="Arial"/>
                <w:sz w:val="16"/>
                <w:szCs w:val="16"/>
                <w:color w:val="auto"/>
              </w:rPr>
              <w:t>PE</w:t>
            </w:r>
          </w:p>
        </w:tc>
        <w:tc>
          <w:tcPr>
            <w:tcW w:w="320" w:type="dxa"/>
            <w:vAlign w:val="bottom"/>
          </w:tcPr>
          <w:p>
            <w:pPr>
              <w:spacing w:after="0"/>
              <w:rPr>
                <w:sz w:val="18"/>
                <w:szCs w:val="18"/>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36</w:t>
            </w:r>
          </w:p>
        </w:tc>
        <w:tc>
          <w:tcPr>
            <w:tcW w:w="1080" w:type="dxa"/>
            <w:vAlign w:val="bottom"/>
          </w:tcPr>
          <w:p>
            <w:pPr>
              <w:jc w:val="right"/>
              <w:spacing w:after="0"/>
              <w:rPr>
                <w:sz w:val="20"/>
                <w:szCs w:val="20"/>
                <w:color w:val="auto"/>
              </w:rPr>
            </w:pPr>
            <w:r>
              <w:rPr>
                <w:rFonts w:ascii="Arial" w:cs="Arial" w:eastAsia="Arial" w:hAnsi="Arial"/>
                <w:sz w:val="16"/>
                <w:szCs w:val="16"/>
                <w:color w:val="auto"/>
              </w:rPr>
              <w:t>38</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41</w:t>
            </w:r>
          </w:p>
        </w:tc>
        <w:tc>
          <w:tcPr>
            <w:tcW w:w="1140" w:type="dxa"/>
            <w:vAlign w:val="bottom"/>
          </w:tcPr>
          <w:p>
            <w:pPr>
              <w:jc w:val="right"/>
              <w:spacing w:after="0"/>
              <w:rPr>
                <w:sz w:val="20"/>
                <w:szCs w:val="20"/>
                <w:color w:val="auto"/>
              </w:rPr>
            </w:pPr>
            <w:r>
              <w:rPr>
                <w:rFonts w:ascii="Arial" w:cs="Arial" w:eastAsia="Arial" w:hAnsi="Arial"/>
                <w:sz w:val="16"/>
                <w:szCs w:val="16"/>
                <w:color w:val="auto"/>
              </w:rPr>
              <w:t>41</w:t>
            </w:r>
          </w:p>
        </w:tc>
        <w:tc>
          <w:tcPr>
            <w:tcW w:w="320" w:type="dxa"/>
            <w:vAlign w:val="bottom"/>
          </w:tcPr>
          <w:p>
            <w:pPr>
              <w:spacing w:after="0"/>
              <w:rPr>
                <w:sz w:val="18"/>
                <w:szCs w:val="18"/>
                <w:color w:val="auto"/>
              </w:rPr>
            </w:pPr>
          </w:p>
        </w:tc>
      </w:tr>
      <w:tr>
        <w:trPr>
          <w:trHeight w:val="219"/>
        </w:trPr>
        <w:tc>
          <w:tcPr>
            <w:tcW w:w="2360" w:type="dxa"/>
            <w:vAlign w:val="bottom"/>
          </w:tcPr>
          <w:p>
            <w:pPr>
              <w:ind w:left="20"/>
              <w:spacing w:after="0"/>
              <w:rPr>
                <w:sz w:val="20"/>
                <w:szCs w:val="20"/>
                <w:color w:val="auto"/>
              </w:rPr>
            </w:pPr>
            <w:r>
              <w:rPr>
                <w:rFonts w:ascii="Arial" w:cs="Arial" w:eastAsia="Arial" w:hAnsi="Arial"/>
                <w:sz w:val="16"/>
                <w:szCs w:val="16"/>
                <w:color w:val="auto"/>
              </w:rPr>
              <w:t>SoCalGas</w:t>
            </w:r>
          </w:p>
        </w:tc>
        <w:tc>
          <w:tcPr>
            <w:tcW w:w="320" w:type="dxa"/>
            <w:vAlign w:val="bottom"/>
          </w:tcPr>
          <w:p>
            <w:pPr>
              <w:spacing w:after="0"/>
              <w:rPr>
                <w:sz w:val="19"/>
                <w:szCs w:val="19"/>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36</w:t>
            </w:r>
          </w:p>
        </w:tc>
        <w:tc>
          <w:tcPr>
            <w:tcW w:w="1080" w:type="dxa"/>
            <w:vAlign w:val="bottom"/>
          </w:tcPr>
          <w:p>
            <w:pPr>
              <w:jc w:val="right"/>
              <w:spacing w:after="0"/>
              <w:rPr>
                <w:sz w:val="20"/>
                <w:szCs w:val="20"/>
                <w:color w:val="auto"/>
              </w:rPr>
            </w:pPr>
            <w:r>
              <w:rPr>
                <w:rFonts w:ascii="Arial" w:cs="Arial" w:eastAsia="Arial" w:hAnsi="Arial"/>
                <w:sz w:val="16"/>
                <w:szCs w:val="16"/>
                <w:color w:val="auto"/>
              </w:rPr>
              <w:t>38</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40</w:t>
            </w:r>
          </w:p>
        </w:tc>
        <w:tc>
          <w:tcPr>
            <w:tcW w:w="1140" w:type="dxa"/>
            <w:vAlign w:val="bottom"/>
          </w:tcPr>
          <w:p>
            <w:pPr>
              <w:jc w:val="right"/>
              <w:spacing w:after="0"/>
              <w:rPr>
                <w:sz w:val="20"/>
                <w:szCs w:val="20"/>
                <w:color w:val="auto"/>
              </w:rPr>
            </w:pPr>
            <w:r>
              <w:rPr>
                <w:rFonts w:ascii="Arial" w:cs="Arial" w:eastAsia="Arial" w:hAnsi="Arial"/>
                <w:sz w:val="16"/>
                <w:szCs w:val="16"/>
                <w:color w:val="auto"/>
              </w:rPr>
              <w:t>41</w:t>
            </w:r>
          </w:p>
        </w:tc>
        <w:tc>
          <w:tcPr>
            <w:tcW w:w="320" w:type="dxa"/>
            <w:vAlign w:val="bottom"/>
          </w:tcPr>
          <w:p>
            <w:pPr>
              <w:spacing w:after="0"/>
              <w:rPr>
                <w:sz w:val="19"/>
                <w:szCs w:val="19"/>
                <w:color w:val="auto"/>
              </w:rPr>
            </w:pPr>
          </w:p>
        </w:tc>
      </w:tr>
      <w:tr>
        <w:trPr>
          <w:trHeight w:val="84"/>
        </w:trPr>
        <w:tc>
          <w:tcPr>
            <w:tcW w:w="2360" w:type="dxa"/>
            <w:vAlign w:val="bottom"/>
            <w:shd w:val="clear" w:color="auto" w:fill="DFDFDF"/>
          </w:tcPr>
          <w:p>
            <w:pPr>
              <w:spacing w:after="0"/>
              <w:rPr>
                <w:sz w:val="7"/>
                <w:szCs w:val="7"/>
                <w:color w:val="auto"/>
              </w:rPr>
            </w:pPr>
          </w:p>
        </w:tc>
        <w:tc>
          <w:tcPr>
            <w:tcW w:w="320" w:type="dxa"/>
            <w:vAlign w:val="bottom"/>
            <w:shd w:val="clear" w:color="auto" w:fill="DFDFDF"/>
          </w:tcPr>
          <w:p>
            <w:pPr>
              <w:spacing w:after="0"/>
              <w:rPr>
                <w:sz w:val="7"/>
                <w:szCs w:val="7"/>
                <w:color w:val="auto"/>
              </w:rPr>
            </w:pPr>
          </w:p>
        </w:tc>
        <w:tc>
          <w:tcPr>
            <w:tcW w:w="960" w:type="dxa"/>
            <w:vAlign w:val="bottom"/>
            <w:shd w:val="clear" w:color="auto" w:fill="DFDFDF"/>
          </w:tcPr>
          <w:p>
            <w:pPr>
              <w:spacing w:after="0"/>
              <w:rPr>
                <w:sz w:val="7"/>
                <w:szCs w:val="7"/>
                <w:color w:val="auto"/>
              </w:rPr>
            </w:pPr>
          </w:p>
        </w:tc>
        <w:tc>
          <w:tcPr>
            <w:tcW w:w="1080" w:type="dxa"/>
            <w:vAlign w:val="bottom"/>
            <w:shd w:val="clear" w:color="auto" w:fill="DFDFDF"/>
          </w:tcPr>
          <w:p>
            <w:pPr>
              <w:spacing w:after="0"/>
              <w:rPr>
                <w:sz w:val="7"/>
                <w:szCs w:val="7"/>
                <w:color w:val="auto"/>
              </w:rPr>
            </w:pPr>
          </w:p>
        </w:tc>
        <w:tc>
          <w:tcPr>
            <w:tcW w:w="420" w:type="dxa"/>
            <w:vAlign w:val="bottom"/>
            <w:shd w:val="clear" w:color="auto" w:fill="DFDFDF"/>
          </w:tcPr>
          <w:p>
            <w:pPr>
              <w:spacing w:after="0"/>
              <w:rPr>
                <w:sz w:val="7"/>
                <w:szCs w:val="7"/>
                <w:color w:val="auto"/>
              </w:rPr>
            </w:pPr>
          </w:p>
        </w:tc>
        <w:tc>
          <w:tcPr>
            <w:tcW w:w="360" w:type="dxa"/>
            <w:vAlign w:val="bottom"/>
            <w:shd w:val="clear" w:color="auto" w:fill="DFDFDF"/>
          </w:tcPr>
          <w:p>
            <w:pPr>
              <w:spacing w:after="0"/>
              <w:rPr>
                <w:sz w:val="7"/>
                <w:szCs w:val="7"/>
                <w:color w:val="auto"/>
              </w:rPr>
            </w:pPr>
          </w:p>
        </w:tc>
        <w:tc>
          <w:tcPr>
            <w:tcW w:w="900" w:type="dxa"/>
            <w:vAlign w:val="bottom"/>
            <w:shd w:val="clear" w:color="auto" w:fill="DFDFDF"/>
          </w:tcPr>
          <w:p>
            <w:pPr>
              <w:spacing w:after="0"/>
              <w:rPr>
                <w:sz w:val="7"/>
                <w:szCs w:val="7"/>
                <w:color w:val="auto"/>
              </w:rPr>
            </w:pPr>
          </w:p>
        </w:tc>
        <w:tc>
          <w:tcPr>
            <w:tcW w:w="1140" w:type="dxa"/>
            <w:vAlign w:val="bottom"/>
            <w:shd w:val="clear" w:color="auto" w:fill="DFDFDF"/>
          </w:tcPr>
          <w:p>
            <w:pPr>
              <w:spacing w:after="0"/>
              <w:rPr>
                <w:sz w:val="7"/>
                <w:szCs w:val="7"/>
                <w:color w:val="auto"/>
              </w:rPr>
            </w:pPr>
          </w:p>
        </w:tc>
        <w:tc>
          <w:tcPr>
            <w:tcW w:w="320" w:type="dxa"/>
            <w:vAlign w:val="bottom"/>
            <w:shd w:val="clear" w:color="auto" w:fill="DFDFDF"/>
          </w:tcPr>
          <w:p>
            <w:pPr>
              <w:spacing w:after="0"/>
              <w:rPr>
                <w:sz w:val="7"/>
                <w:szCs w:val="7"/>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w:t>
      </w:r>
    </w:p>
    <w:p>
      <w:pPr>
        <w:spacing w:after="0" w:line="103" w:lineRule="exact"/>
        <w:rPr>
          <w:sz w:val="20"/>
          <w:szCs w:val="20"/>
          <w:color w:val="auto"/>
        </w:rPr>
      </w:pPr>
    </w:p>
    <w:p>
      <w:pPr>
        <w:ind w:right="180"/>
        <w:spacing w:after="0" w:line="245" w:lineRule="auto"/>
        <w:rPr>
          <w:sz w:val="20"/>
          <w:szCs w:val="20"/>
          <w:color w:val="auto"/>
        </w:rPr>
      </w:pPr>
      <w:r>
        <w:rPr>
          <w:rFonts w:ascii="Arial" w:cs="Arial" w:eastAsia="Arial" w:hAnsi="Arial"/>
          <w:sz w:val="22"/>
          <w:szCs w:val="22"/>
          <w:color w:val="auto"/>
        </w:rPr>
        <w:t>In the first three months of 2009, Sempra Energy's income tax expense decreased by $18 million (14%) due to a lower effective income tax rate resulting from:</w:t>
      </w:r>
    </w:p>
    <w:p>
      <w:pPr>
        <w:spacing w:after="0" w:line="1" w:lineRule="exact"/>
        <w:rPr>
          <w:sz w:val="20"/>
          <w:szCs w:val="20"/>
          <w:color w:val="auto"/>
        </w:rPr>
      </w:pPr>
    </w:p>
    <w:p>
      <w:pPr>
        <w:ind w:left="180" w:right="1540" w:hanging="172"/>
        <w:spacing w:after="0" w:line="246" w:lineRule="auto"/>
        <w:tabs>
          <w:tab w:leader="none" w:pos="180" w:val="left"/>
        </w:tabs>
        <w:numPr>
          <w:ilvl w:val="0"/>
          <w:numId w:val="79"/>
        </w:numPr>
        <w:rPr>
          <w:rFonts w:ascii="Arial" w:cs="Arial" w:eastAsia="Arial" w:hAnsi="Arial"/>
          <w:sz w:val="22"/>
          <w:szCs w:val="22"/>
          <w:color w:val="auto"/>
        </w:rPr>
      </w:pPr>
      <w:r>
        <w:rPr>
          <w:rFonts w:ascii="Arial" w:cs="Arial" w:eastAsia="Arial" w:hAnsi="Arial"/>
          <w:sz w:val="22"/>
          <w:szCs w:val="22"/>
          <w:color w:val="auto"/>
        </w:rPr>
        <w:t>a $9 million tax benefit in 2009 and a $7 million tax expense in 2008 due to Mexican currency translation and inflation adjustments;</w:t>
      </w:r>
    </w:p>
    <w:p>
      <w:pPr>
        <w:spacing w:after="0" w:line="3" w:lineRule="exact"/>
        <w:rPr>
          <w:rFonts w:ascii="Arial" w:cs="Arial" w:eastAsia="Arial" w:hAnsi="Arial"/>
          <w:sz w:val="22"/>
          <w:szCs w:val="22"/>
          <w:color w:val="auto"/>
        </w:rPr>
      </w:pPr>
    </w:p>
    <w:p>
      <w:pPr>
        <w:ind w:left="180" w:hanging="172"/>
        <w:spacing w:after="0"/>
        <w:tabs>
          <w:tab w:leader="none" w:pos="180" w:val="left"/>
        </w:tabs>
        <w:numPr>
          <w:ilvl w:val="0"/>
          <w:numId w:val="79"/>
        </w:numPr>
        <w:rPr>
          <w:rFonts w:ascii="Arial" w:cs="Arial" w:eastAsia="Arial" w:hAnsi="Arial"/>
          <w:sz w:val="22"/>
          <w:szCs w:val="22"/>
          <w:color w:val="auto"/>
        </w:rPr>
      </w:pPr>
      <w:r>
        <w:rPr>
          <w:rFonts w:ascii="Arial" w:cs="Arial" w:eastAsia="Arial" w:hAnsi="Arial"/>
          <w:sz w:val="22"/>
          <w:szCs w:val="22"/>
          <w:color w:val="auto"/>
        </w:rPr>
        <w:t>higher tax deductions at the Sempra Utilities, as discussed below;</w:t>
      </w:r>
    </w:p>
    <w:p>
      <w:pPr>
        <w:sectPr>
          <w:pgSz w:w="11900" w:h="16838" w:orient="portrait"/>
          <w:cols w:equalWidth="0" w:num="1">
            <w:col w:w="11220"/>
          </w:cols>
          <w:pgMar w:left="240" w:top="325" w:right="439" w:bottom="1440" w:gutter="0" w:footer="0" w:header="0"/>
        </w:sectPr>
      </w:pPr>
    </w:p>
    <w:bookmarkStart w:id="71" w:name="page72"/>
    <w:bookmarkEnd w:id="71"/>
    <w:p>
      <w:pPr>
        <w:ind w:left="180" w:hanging="172"/>
        <w:spacing w:after="0"/>
        <w:tabs>
          <w:tab w:leader="none" w:pos="180" w:val="left"/>
        </w:tabs>
        <w:numPr>
          <w:ilvl w:val="0"/>
          <w:numId w:val="80"/>
        </w:numPr>
        <w:rPr>
          <w:rFonts w:ascii="Arial" w:cs="Arial" w:eastAsia="Arial" w:hAnsi="Arial"/>
          <w:sz w:val="22"/>
          <w:szCs w:val="22"/>
          <w:color w:val="auto"/>
        </w:rPr>
      </w:pPr>
      <w:r>
        <w:rPr>
          <w:rFonts w:ascii="Arial" w:cs="Arial" w:eastAsia="Arial" w:hAnsi="Arial"/>
          <w:sz w:val="22"/>
          <w:szCs w:val="22"/>
          <w:color w:val="auto"/>
        </w:rPr>
        <w:t>higher pretax income in countries with lower statutory rates; and</w:t>
      </w:r>
    </w:p>
    <w:p>
      <w:pPr>
        <w:spacing w:after="0" w:line="31" w:lineRule="exact"/>
        <w:rPr>
          <w:rFonts w:ascii="Arial" w:cs="Arial" w:eastAsia="Arial" w:hAnsi="Arial"/>
          <w:sz w:val="22"/>
          <w:szCs w:val="22"/>
          <w:color w:val="auto"/>
        </w:rPr>
      </w:pPr>
    </w:p>
    <w:p>
      <w:pPr>
        <w:ind w:left="180" w:hanging="172"/>
        <w:spacing w:after="0"/>
        <w:tabs>
          <w:tab w:leader="none" w:pos="180" w:val="left"/>
        </w:tabs>
        <w:numPr>
          <w:ilvl w:val="0"/>
          <w:numId w:val="80"/>
        </w:numPr>
        <w:rPr>
          <w:rFonts w:ascii="Arial" w:cs="Arial" w:eastAsia="Arial" w:hAnsi="Arial"/>
          <w:sz w:val="22"/>
          <w:szCs w:val="22"/>
          <w:color w:val="auto"/>
        </w:rPr>
      </w:pPr>
      <w:r>
        <w:rPr>
          <w:rFonts w:ascii="Arial" w:cs="Arial" w:eastAsia="Arial" w:hAnsi="Arial"/>
          <w:sz w:val="22"/>
          <w:szCs w:val="22"/>
          <w:color w:val="auto"/>
        </w:rPr>
        <w:t>planned solar investments at Sempra Generation.</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The impact of the lower effective tax rate was partially offset by higher pretax income.</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103" w:lineRule="exact"/>
        <w:rPr>
          <w:sz w:val="20"/>
          <w:szCs w:val="20"/>
          <w:color w:val="auto"/>
        </w:rPr>
      </w:pPr>
    </w:p>
    <w:p>
      <w:pPr>
        <w:ind w:right="360"/>
        <w:spacing w:after="0" w:line="245" w:lineRule="auto"/>
        <w:rPr>
          <w:sz w:val="20"/>
          <w:szCs w:val="20"/>
          <w:color w:val="auto"/>
        </w:rPr>
      </w:pPr>
      <w:r>
        <w:rPr>
          <w:rFonts w:ascii="Arial" w:cs="Arial" w:eastAsia="Arial" w:hAnsi="Arial"/>
          <w:sz w:val="22"/>
          <w:szCs w:val="22"/>
          <w:color w:val="auto"/>
        </w:rPr>
        <w:t>In the first three months of 2009, SDG&amp;E's income tax expense increased by $28 million (88%) primarily due to higher pretax income and an increase in the effective tax rate resulting from:</w:t>
      </w:r>
    </w:p>
    <w:p>
      <w:pPr>
        <w:spacing w:after="0" w:line="1" w:lineRule="exact"/>
        <w:rPr>
          <w:sz w:val="20"/>
          <w:szCs w:val="20"/>
          <w:color w:val="auto"/>
        </w:rPr>
      </w:pPr>
    </w:p>
    <w:p>
      <w:pPr>
        <w:ind w:left="180" w:hanging="172"/>
        <w:spacing w:after="0"/>
        <w:tabs>
          <w:tab w:leader="none" w:pos="180" w:val="left"/>
        </w:tabs>
        <w:numPr>
          <w:ilvl w:val="0"/>
          <w:numId w:val="81"/>
        </w:numPr>
        <w:rPr>
          <w:rFonts w:ascii="Arial" w:cs="Arial" w:eastAsia="Arial" w:hAnsi="Arial"/>
          <w:sz w:val="22"/>
          <w:szCs w:val="22"/>
          <w:color w:val="auto"/>
        </w:rPr>
      </w:pPr>
      <w:r>
        <w:rPr>
          <w:rFonts w:ascii="Arial" w:cs="Arial" w:eastAsia="Arial" w:hAnsi="Arial"/>
          <w:sz w:val="22"/>
          <w:szCs w:val="22"/>
          <w:color w:val="auto"/>
        </w:rPr>
        <w:t xml:space="preserve">$9 million favorable resolution in 2008 of prior years' income tax issues; </w:t>
      </w:r>
      <w:r>
        <w:rPr>
          <w:rFonts w:ascii="Arial" w:cs="Arial" w:eastAsia="Arial" w:hAnsi="Arial"/>
          <w:sz w:val="22"/>
          <w:szCs w:val="22"/>
          <w:b w:val="1"/>
          <w:bCs w:val="1"/>
          <w:color w:val="auto"/>
        </w:rPr>
        <w:t>offset by</w:t>
      </w:r>
    </w:p>
    <w:p>
      <w:pPr>
        <w:spacing w:after="0" w:line="30" w:lineRule="exact"/>
        <w:rPr>
          <w:rFonts w:ascii="Arial" w:cs="Arial" w:eastAsia="Arial" w:hAnsi="Arial"/>
          <w:sz w:val="22"/>
          <w:szCs w:val="22"/>
          <w:color w:val="auto"/>
        </w:rPr>
      </w:pPr>
    </w:p>
    <w:p>
      <w:pPr>
        <w:ind w:left="180" w:right="1600" w:hanging="172"/>
        <w:spacing w:after="0" w:line="246" w:lineRule="auto"/>
        <w:tabs>
          <w:tab w:leader="none" w:pos="180" w:val="left"/>
        </w:tabs>
        <w:numPr>
          <w:ilvl w:val="0"/>
          <w:numId w:val="81"/>
        </w:numPr>
        <w:rPr>
          <w:rFonts w:ascii="Arial" w:cs="Arial" w:eastAsia="Arial" w:hAnsi="Arial"/>
          <w:sz w:val="22"/>
          <w:szCs w:val="22"/>
          <w:color w:val="auto"/>
        </w:rPr>
      </w:pPr>
      <w:r>
        <w:rPr>
          <w:rFonts w:ascii="Arial" w:cs="Arial" w:eastAsia="Arial" w:hAnsi="Arial"/>
          <w:sz w:val="22"/>
          <w:szCs w:val="22"/>
          <w:color w:val="auto"/>
        </w:rPr>
        <w:t>larger exclusions from taxable income in 2009 related to the equity portion of allowance for funds used during construction.</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 and SoCalGas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color w:val="auto"/>
        </w:rPr>
        <w:t>In the first three months of 2009, income tax expense decreased by $5 million (12%) at PE and by $4 million (10%) at SoCalGas due to lower effective tax rates. The decrease in the effective tax rates was due to larger tax deductions for self-developed software costs.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Earnings</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We discuss variations in Sempra Energy's earnings by business unit above in "Business Unit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CAPITAL RESOURCES AND LIQUIDITY</w:t>
      </w:r>
    </w:p>
    <w:p>
      <w:pPr>
        <w:spacing w:after="0" w:line="63" w:lineRule="exact"/>
        <w:rPr>
          <w:sz w:val="20"/>
          <w:szCs w:val="20"/>
          <w:color w:val="auto"/>
        </w:rPr>
      </w:pPr>
    </w:p>
    <w:p>
      <w:pPr>
        <w:ind w:right="100"/>
        <w:spacing w:after="0" w:line="274" w:lineRule="auto"/>
        <w:rPr>
          <w:sz w:val="20"/>
          <w:szCs w:val="20"/>
          <w:color w:val="auto"/>
        </w:rPr>
      </w:pPr>
      <w:r>
        <w:rPr>
          <w:rFonts w:ascii="Arial" w:cs="Arial" w:eastAsia="Arial" w:hAnsi="Arial"/>
          <w:sz w:val="21"/>
          <w:szCs w:val="21"/>
          <w:color w:val="auto"/>
        </w:rPr>
        <w:t>We expect our cash flows from operations to fund a substantial portion of our capital expenditures and dividends. In addition, we expect to meet a portion of our cash requirements through the issuance of short-term and long-term debt.</w:t>
      </w:r>
    </w:p>
    <w:p>
      <w:pPr>
        <w:spacing w:after="0" w:line="29" w:lineRule="exact"/>
        <w:rPr>
          <w:sz w:val="20"/>
          <w:szCs w:val="20"/>
          <w:color w:val="auto"/>
        </w:rPr>
      </w:pPr>
    </w:p>
    <w:p>
      <w:pPr>
        <w:jc w:val="both"/>
        <w:ind w:right="180"/>
        <w:spacing w:after="0"/>
        <w:rPr>
          <w:sz w:val="20"/>
          <w:szCs w:val="20"/>
          <w:color w:val="auto"/>
        </w:rPr>
      </w:pPr>
      <w:r>
        <w:rPr>
          <w:rFonts w:ascii="Arial" w:cs="Arial" w:eastAsia="Arial" w:hAnsi="Arial"/>
          <w:sz w:val="22"/>
          <w:szCs w:val="22"/>
          <w:color w:val="auto"/>
        </w:rPr>
        <w:t>Our committed lines of credit provide liquidity and support commercial paper. They expire in August 2011. At Sempra Energy, they are syndicated broadly among 20 different banks and at the Sempra Utilities, among 17 different banks. No single bank has greater than a 10.7 percent share in any single facility.</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color w:val="auto"/>
        </w:rPr>
        <w:t>The table below shows the amount of available funds at March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5042535" cy="274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042535" cy="274320"/>
                    </a:xfrm>
                    <a:prstGeom prst="rect">
                      <a:avLst/>
                    </a:prstGeom>
                    <a:noFill/>
                  </pic:spPr>
                </pic:pic>
              </a:graphicData>
            </a:graphic>
          </wp:anchor>
        </w:drawing>
      </w:r>
    </w:p>
    <w:p>
      <w:pPr>
        <w:spacing w:after="0" w:line="36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AVAILABLE FUNDS AT MARCH 31, 2009</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jc w:val="right"/>
              <w:ind w:right="123"/>
              <w:spacing w:after="0"/>
              <w:rPr>
                <w:sz w:val="20"/>
                <w:szCs w:val="20"/>
                <w:color w:val="auto"/>
              </w:rPr>
            </w:pPr>
            <w:r>
              <w:rPr>
                <w:rFonts w:ascii="Arial" w:cs="Arial" w:eastAsia="Arial" w:hAnsi="Arial"/>
                <w:sz w:val="14"/>
                <w:szCs w:val="14"/>
                <w:color w:val="auto"/>
              </w:rPr>
              <w:t>Sempra Energy</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22"/>
        </w:trPr>
        <w:tc>
          <w:tcPr>
            <w:tcW w:w="3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color w:val="auto"/>
              </w:rPr>
              <w:t>Consolidated</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color w:val="auto"/>
              </w:rPr>
              <w:t>SDG&amp;E</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color w:val="auto"/>
              </w:rPr>
              <w:t>PE/SoCalGas</w:t>
            </w:r>
          </w:p>
        </w:tc>
      </w:tr>
      <w:tr>
        <w:trPr>
          <w:trHeight w:val="210"/>
        </w:trPr>
        <w:tc>
          <w:tcPr>
            <w:tcW w:w="3280" w:type="dxa"/>
            <w:vAlign w:val="bottom"/>
          </w:tcPr>
          <w:p>
            <w:pPr>
              <w:ind w:left="20"/>
              <w:spacing w:after="0"/>
              <w:rPr>
                <w:sz w:val="20"/>
                <w:szCs w:val="20"/>
                <w:color w:val="auto"/>
              </w:rPr>
            </w:pPr>
            <w:r>
              <w:rPr>
                <w:rFonts w:ascii="Arial" w:cs="Arial" w:eastAsia="Arial" w:hAnsi="Arial"/>
                <w:sz w:val="16"/>
                <w:szCs w:val="16"/>
                <w:color w:val="auto"/>
              </w:rPr>
              <w:t>Unrestricted cash and cash equivalents</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720</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593</w:t>
            </w:r>
          </w:p>
        </w:tc>
      </w:tr>
      <w:tr>
        <w:trPr>
          <w:trHeight w:val="219"/>
        </w:trPr>
        <w:tc>
          <w:tcPr>
            <w:tcW w:w="3280" w:type="dxa"/>
            <w:vAlign w:val="bottom"/>
          </w:tcPr>
          <w:p>
            <w:pPr>
              <w:ind w:left="20"/>
              <w:spacing w:after="0"/>
              <w:rPr>
                <w:sz w:val="20"/>
                <w:szCs w:val="20"/>
                <w:color w:val="auto"/>
              </w:rPr>
            </w:pPr>
            <w:r>
              <w:rPr>
                <w:rFonts w:ascii="Arial" w:cs="Arial" w:eastAsia="Arial" w:hAnsi="Arial"/>
                <w:sz w:val="16"/>
                <w:szCs w:val="16"/>
                <w:color w:val="auto"/>
              </w:rPr>
              <w:t>Available unused credit*</w:t>
            </w: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2,942</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155</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355</w:t>
            </w:r>
          </w:p>
        </w:tc>
      </w:tr>
      <w:tr>
        <w:trPr>
          <w:trHeight w:val="84"/>
        </w:trPr>
        <w:tc>
          <w:tcPr>
            <w:tcW w:w="3280" w:type="dxa"/>
            <w:vAlign w:val="bottom"/>
            <w:shd w:val="clear" w:color="auto" w:fill="DFDFDF"/>
          </w:tcPr>
          <w:p>
            <w:pPr>
              <w:spacing w:after="0"/>
              <w:rPr>
                <w:sz w:val="7"/>
                <w:szCs w:val="7"/>
                <w:color w:val="auto"/>
              </w:rPr>
            </w:pPr>
          </w:p>
        </w:tc>
        <w:tc>
          <w:tcPr>
            <w:tcW w:w="580" w:type="dxa"/>
            <w:vAlign w:val="bottom"/>
            <w:shd w:val="clear" w:color="auto" w:fill="DFDFDF"/>
          </w:tcPr>
          <w:p>
            <w:pPr>
              <w:spacing w:after="0"/>
              <w:rPr>
                <w:sz w:val="7"/>
                <w:szCs w:val="7"/>
                <w:color w:val="auto"/>
              </w:rPr>
            </w:pPr>
          </w:p>
        </w:tc>
        <w:tc>
          <w:tcPr>
            <w:tcW w:w="1240" w:type="dxa"/>
            <w:vAlign w:val="bottom"/>
            <w:shd w:val="clear" w:color="auto" w:fill="DFDFDF"/>
          </w:tcPr>
          <w:p>
            <w:pPr>
              <w:spacing w:after="0"/>
              <w:rPr>
                <w:sz w:val="7"/>
                <w:szCs w:val="7"/>
                <w:color w:val="auto"/>
              </w:rPr>
            </w:pPr>
          </w:p>
        </w:tc>
        <w:tc>
          <w:tcPr>
            <w:tcW w:w="300" w:type="dxa"/>
            <w:vAlign w:val="bottom"/>
            <w:shd w:val="clear" w:color="auto" w:fill="DFDFDF"/>
          </w:tcPr>
          <w:p>
            <w:pPr>
              <w:spacing w:after="0"/>
              <w:rPr>
                <w:sz w:val="7"/>
                <w:szCs w:val="7"/>
                <w:color w:val="auto"/>
              </w:rPr>
            </w:pPr>
          </w:p>
        </w:tc>
        <w:tc>
          <w:tcPr>
            <w:tcW w:w="1100" w:type="dxa"/>
            <w:vAlign w:val="bottom"/>
            <w:shd w:val="clear" w:color="auto" w:fill="DFDFDF"/>
          </w:tcPr>
          <w:p>
            <w:pPr>
              <w:spacing w:after="0"/>
              <w:rPr>
                <w:sz w:val="7"/>
                <w:szCs w:val="7"/>
                <w:color w:val="auto"/>
              </w:rPr>
            </w:pPr>
          </w:p>
        </w:tc>
        <w:tc>
          <w:tcPr>
            <w:tcW w:w="220" w:type="dxa"/>
            <w:vAlign w:val="bottom"/>
            <w:shd w:val="clear" w:color="auto" w:fill="DFDFDF"/>
          </w:tcPr>
          <w:p>
            <w:pPr>
              <w:spacing w:after="0"/>
              <w:rPr>
                <w:sz w:val="7"/>
                <w:szCs w:val="7"/>
                <w:color w:val="auto"/>
              </w:rPr>
            </w:pPr>
          </w:p>
        </w:tc>
        <w:tc>
          <w:tcPr>
            <w:tcW w:w="1220" w:type="dxa"/>
            <w:vAlign w:val="bottom"/>
            <w:shd w:val="clear" w:color="auto" w:fill="DFDFDF"/>
          </w:tcPr>
          <w:p>
            <w:pPr>
              <w:spacing w:after="0"/>
              <w:rPr>
                <w:sz w:val="7"/>
                <w:szCs w:val="7"/>
                <w:color w:val="auto"/>
              </w:rPr>
            </w:pPr>
          </w:p>
        </w:tc>
      </w:tr>
    </w:tbl>
    <w:p>
      <w:pPr>
        <w:spacing w:after="0" w:line="4" w:lineRule="exact"/>
        <w:rPr>
          <w:sz w:val="20"/>
          <w:szCs w:val="20"/>
          <w:color w:val="auto"/>
        </w:rPr>
      </w:pPr>
    </w:p>
    <w:p>
      <w:pPr>
        <w:ind w:left="300" w:right="3400" w:hanging="178"/>
        <w:spacing w:after="0" w:line="274" w:lineRule="auto"/>
        <w:tabs>
          <w:tab w:leader="none" w:pos="300" w:val="left"/>
        </w:tabs>
        <w:numPr>
          <w:ilvl w:val="0"/>
          <w:numId w:val="82"/>
        </w:numPr>
        <w:rPr>
          <w:rFonts w:ascii="Arial" w:cs="Arial" w:eastAsia="Arial" w:hAnsi="Arial"/>
          <w:sz w:val="14"/>
          <w:szCs w:val="14"/>
          <w:color w:val="auto"/>
        </w:rPr>
      </w:pPr>
      <w:r>
        <w:rPr>
          <w:rFonts w:ascii="Arial" w:cs="Arial" w:eastAsia="Arial" w:hAnsi="Arial"/>
          <w:sz w:val="14"/>
          <w:szCs w:val="14"/>
          <w:i w:val="1"/>
          <w:iCs w:val="1"/>
          <w:color w:val="auto"/>
        </w:rPr>
        <w:t>Borrowings on the shared line of credit at SDG&amp;E and PE/SoCalGas are limited to $600 million for each utility and $800 million in total. SDG&amp;E's available funds reflect letters of credit outstanding of $110 million, $98 million of commercial paper and variable-rate demand notes outstanding of $237 million supported by the line. SoCalGas' availability reflects the impact of SDG&amp;E's use of the combined credit available on the line.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36" w:lineRule="exact"/>
        <w:rPr>
          <w:sz w:val="20"/>
          <w:szCs w:val="20"/>
          <w:color w:val="auto"/>
        </w:rPr>
      </w:pPr>
    </w:p>
    <w:p>
      <w:pPr>
        <w:ind w:right="200"/>
        <w:spacing w:after="0" w:line="249" w:lineRule="auto"/>
        <w:rPr>
          <w:sz w:val="20"/>
          <w:szCs w:val="20"/>
          <w:color w:val="auto"/>
        </w:rPr>
      </w:pPr>
      <w:r>
        <w:rPr>
          <w:rFonts w:ascii="Arial" w:cs="Arial" w:eastAsia="Arial" w:hAnsi="Arial"/>
          <w:sz w:val="22"/>
          <w:szCs w:val="22"/>
          <w:color w:val="auto"/>
        </w:rPr>
        <w:t>We believe that these available funds and cash flows from operations, distributions from equity method investments and security issuances, combined with current cash balances, will be adequate to:</w:t>
      </w:r>
    </w:p>
    <w:p>
      <w:pPr>
        <w:spacing w:after="0" w:line="2" w:lineRule="exact"/>
        <w:rPr>
          <w:sz w:val="20"/>
          <w:szCs w:val="20"/>
          <w:color w:val="auto"/>
        </w:rPr>
      </w:pPr>
    </w:p>
    <w:p>
      <w:pPr>
        <w:ind w:left="180" w:hanging="172"/>
        <w:spacing w:after="0"/>
        <w:tabs>
          <w:tab w:leader="none" w:pos="180" w:val="left"/>
        </w:tabs>
        <w:numPr>
          <w:ilvl w:val="0"/>
          <w:numId w:val="83"/>
        </w:numPr>
        <w:rPr>
          <w:rFonts w:ascii="Arial" w:cs="Arial" w:eastAsia="Arial" w:hAnsi="Arial"/>
          <w:sz w:val="22"/>
          <w:szCs w:val="22"/>
          <w:color w:val="auto"/>
        </w:rPr>
      </w:pPr>
      <w:r>
        <w:rPr>
          <w:rFonts w:ascii="Arial" w:cs="Arial" w:eastAsia="Arial" w:hAnsi="Arial"/>
          <w:sz w:val="22"/>
          <w:szCs w:val="22"/>
          <w:color w:val="auto"/>
        </w:rPr>
        <w:t>finance capital expenditures</w:t>
      </w:r>
    </w:p>
    <w:p>
      <w:pPr>
        <w:spacing w:after="0" w:line="35" w:lineRule="exact"/>
        <w:rPr>
          <w:rFonts w:ascii="Arial" w:cs="Arial" w:eastAsia="Arial" w:hAnsi="Arial"/>
          <w:sz w:val="22"/>
          <w:szCs w:val="22"/>
          <w:color w:val="auto"/>
        </w:rPr>
      </w:pPr>
    </w:p>
    <w:p>
      <w:pPr>
        <w:ind w:left="180" w:hanging="172"/>
        <w:spacing w:after="0"/>
        <w:tabs>
          <w:tab w:leader="none" w:pos="180" w:val="left"/>
        </w:tabs>
        <w:numPr>
          <w:ilvl w:val="0"/>
          <w:numId w:val="83"/>
        </w:numPr>
        <w:rPr>
          <w:rFonts w:ascii="Arial" w:cs="Arial" w:eastAsia="Arial" w:hAnsi="Arial"/>
          <w:sz w:val="22"/>
          <w:szCs w:val="22"/>
          <w:color w:val="auto"/>
        </w:rPr>
      </w:pPr>
      <w:r>
        <w:rPr>
          <w:rFonts w:ascii="Arial" w:cs="Arial" w:eastAsia="Arial" w:hAnsi="Arial"/>
          <w:sz w:val="22"/>
          <w:szCs w:val="22"/>
          <w:color w:val="auto"/>
        </w:rPr>
        <w:t>meet liquidity requirements</w:t>
      </w:r>
    </w:p>
    <w:p>
      <w:pPr>
        <w:spacing w:after="0" w:line="17" w:lineRule="exact"/>
        <w:rPr>
          <w:rFonts w:ascii="Arial" w:cs="Arial" w:eastAsia="Arial" w:hAnsi="Arial"/>
          <w:sz w:val="22"/>
          <w:szCs w:val="22"/>
          <w:color w:val="auto"/>
        </w:rPr>
      </w:pPr>
    </w:p>
    <w:p>
      <w:pPr>
        <w:ind w:left="180" w:hanging="172"/>
        <w:spacing w:after="0"/>
        <w:tabs>
          <w:tab w:leader="none" w:pos="180" w:val="left"/>
        </w:tabs>
        <w:numPr>
          <w:ilvl w:val="0"/>
          <w:numId w:val="83"/>
        </w:numPr>
        <w:rPr>
          <w:rFonts w:ascii="Arial" w:cs="Arial" w:eastAsia="Arial" w:hAnsi="Arial"/>
          <w:sz w:val="22"/>
          <w:szCs w:val="22"/>
          <w:color w:val="auto"/>
        </w:rPr>
      </w:pPr>
      <w:r>
        <w:rPr>
          <w:rFonts w:ascii="Arial" w:cs="Arial" w:eastAsia="Arial" w:hAnsi="Arial"/>
          <w:sz w:val="22"/>
          <w:szCs w:val="22"/>
          <w:color w:val="auto"/>
        </w:rPr>
        <w:t>fund shareholder dividends</w:t>
      </w:r>
    </w:p>
    <w:p>
      <w:pPr>
        <w:sectPr>
          <w:pgSz w:w="11900" w:h="16838" w:orient="portrait"/>
          <w:cols w:equalWidth="0" w:num="1">
            <w:col w:w="11320"/>
          </w:cols>
          <w:pgMar w:left="240" w:top="118" w:right="339" w:bottom="1440" w:gutter="0" w:footer="0" w:header="0"/>
        </w:sectPr>
      </w:pPr>
    </w:p>
    <w:bookmarkStart w:id="72" w:name="page73"/>
    <w:bookmarkEnd w:id="72"/>
    <w:p>
      <w:pPr>
        <w:spacing w:after="0"/>
        <w:rPr>
          <w:sz w:val="20"/>
          <w:szCs w:val="20"/>
          <w:color w:val="auto"/>
        </w:rPr>
      </w:pPr>
      <w:r>
        <w:rPr>
          <w:rFonts w:ascii="Arial" w:cs="Arial" w:eastAsia="Arial" w:hAnsi="Arial"/>
          <w:sz w:val="22"/>
          <w:szCs w:val="22"/>
          <w:color w:val="auto"/>
        </w:rPr>
        <w:t>§ fund any new business acquisitions or start-ups</w:t>
      </w:r>
    </w:p>
    <w:p>
      <w:pPr>
        <w:spacing w:after="0" w:line="126" w:lineRule="exact"/>
        <w:rPr>
          <w:sz w:val="20"/>
          <w:szCs w:val="20"/>
          <w:color w:val="auto"/>
        </w:rPr>
      </w:pPr>
    </w:p>
    <w:p>
      <w:pPr>
        <w:ind w:right="40"/>
        <w:spacing w:after="0" w:line="246" w:lineRule="auto"/>
        <w:rPr>
          <w:sz w:val="20"/>
          <w:szCs w:val="20"/>
          <w:color w:val="auto"/>
        </w:rPr>
      </w:pPr>
      <w:r>
        <w:rPr>
          <w:rFonts w:ascii="Arial" w:cs="Arial" w:eastAsia="Arial" w:hAnsi="Arial"/>
          <w:sz w:val="21"/>
          <w:szCs w:val="21"/>
          <w:color w:val="auto"/>
        </w:rPr>
        <w:t>However, the recent global credit crisis has severely affected the availability and cost of both short-term and long-term financing. If cash flows from operations were to be significantly reduced or we were to be unable to borrow under acceptable terms, we would reduce or postpone discretionary capital expenditures and investments in new businesses. If these measures were necessary, they would primarily impact our Sempra Global businesses, as credit availability for the Sempra Utilities has not been significantly impacted by the credit crisis. Discretionary expenditures at Sempra Global would include projects that we have not yet made firm commitments to build, primarily renewable generation facilities. We continuously monitor our ability to finance the needs of our operating, investing and financing activities in a manner consistent with our intention to maintain strong, investment-quality ratings.</w:t>
      </w:r>
    </w:p>
    <w:p>
      <w:pPr>
        <w:spacing w:after="0" w:line="59" w:lineRule="exact"/>
        <w:rPr>
          <w:sz w:val="20"/>
          <w:szCs w:val="20"/>
          <w:color w:val="auto"/>
        </w:rPr>
      </w:pPr>
    </w:p>
    <w:p>
      <w:pPr>
        <w:ind w:right="300"/>
        <w:spacing w:after="0" w:line="235" w:lineRule="auto"/>
        <w:rPr>
          <w:sz w:val="20"/>
          <w:szCs w:val="20"/>
          <w:color w:val="auto"/>
        </w:rPr>
      </w:pPr>
      <w:r>
        <w:rPr>
          <w:rFonts w:ascii="Arial" w:cs="Arial" w:eastAsia="Arial" w:hAnsi="Arial"/>
          <w:sz w:val="22"/>
          <w:szCs w:val="22"/>
          <w:color w:val="auto"/>
        </w:rPr>
        <w:t>We have significant investments in several trusts to provide for future payments of pensions and other retirement benefits, and nuclear decommissioning. Although all of our trust funds’ investments are diversified and managed in compliance with all laws and regulations, the value of the investments in these trusts continued to decline in the first quarter of 2009, as they did in 2008. This decrease in asset values has not affected the funds’ abilities to make their required payments, however we expect funding requirements for pension and other postretirement benefit plans to increase. At the Sempra Utilities, funding requirements are generally recoverable in rates.</w:t>
      </w:r>
    </w:p>
    <w:p>
      <w:pPr>
        <w:spacing w:after="0" w:line="53" w:lineRule="exact"/>
        <w:rPr>
          <w:sz w:val="20"/>
          <w:szCs w:val="20"/>
          <w:color w:val="auto"/>
        </w:rPr>
      </w:pPr>
    </w:p>
    <w:p>
      <w:pPr>
        <w:jc w:val="both"/>
        <w:ind w:right="460"/>
        <w:spacing w:after="0"/>
        <w:rPr>
          <w:sz w:val="20"/>
          <w:szCs w:val="20"/>
          <w:color w:val="auto"/>
        </w:rPr>
      </w:pPr>
      <w:r>
        <w:rPr>
          <w:rFonts w:ascii="Arial" w:cs="Arial" w:eastAsia="Arial" w:hAnsi="Arial"/>
          <w:sz w:val="22"/>
          <w:szCs w:val="22"/>
          <w:color w:val="auto"/>
        </w:rPr>
        <w:t>On February 20, 2009, our board of directors approved an increase to our quarterly common stock dividend to $0.39 per share ($1.56 annually), an increase of $0.04 per share ($0.16 annually) or 11 percent. Our target annual dividend payment ratio is 35 percent to 40 percent of earnings.</w:t>
      </w:r>
    </w:p>
    <w:p>
      <w:pPr>
        <w:spacing w:after="0" w:line="65" w:lineRule="exact"/>
        <w:rPr>
          <w:sz w:val="20"/>
          <w:szCs w:val="20"/>
          <w:color w:val="auto"/>
        </w:rPr>
      </w:pPr>
    </w:p>
    <w:p>
      <w:pPr>
        <w:jc w:val="both"/>
        <w:ind w:right="460"/>
        <w:spacing w:after="0" w:line="274" w:lineRule="auto"/>
        <w:rPr>
          <w:sz w:val="20"/>
          <w:szCs w:val="20"/>
          <w:color w:val="auto"/>
        </w:rPr>
      </w:pPr>
      <w:r>
        <w:rPr>
          <w:rFonts w:ascii="Arial" w:cs="Arial" w:eastAsia="Arial" w:hAnsi="Arial"/>
          <w:sz w:val="21"/>
          <w:szCs w:val="21"/>
          <w:color w:val="auto"/>
        </w:rPr>
        <w:t>We discuss our principal credit agreements more fully in Note 6 of the Notes to Condensed Consolidated Financial Statements herein and in Note 6 of the Notes to Consolidated Financial Statements in the Annual Report.</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Utilities</w:t>
      </w:r>
    </w:p>
    <w:p>
      <w:pPr>
        <w:spacing w:after="0" w:line="36" w:lineRule="exact"/>
        <w:rPr>
          <w:sz w:val="20"/>
          <w:szCs w:val="20"/>
          <w:color w:val="auto"/>
        </w:rPr>
      </w:pPr>
    </w:p>
    <w:p>
      <w:pPr>
        <w:ind w:right="140"/>
        <w:spacing w:after="0" w:line="247" w:lineRule="auto"/>
        <w:rPr>
          <w:sz w:val="20"/>
          <w:szCs w:val="20"/>
          <w:color w:val="auto"/>
        </w:rPr>
      </w:pPr>
      <w:r>
        <w:rPr>
          <w:rFonts w:ascii="Arial" w:cs="Arial" w:eastAsia="Arial" w:hAnsi="Arial"/>
          <w:sz w:val="21"/>
          <w:szCs w:val="21"/>
          <w:color w:val="auto"/>
        </w:rPr>
        <w:t>The Sempra Utilities expect that cash flows from operations and security issuances will continue to be adequate to meet utility capital expenditure requirements. Due to the extended review period associated with the Sunrise Powerlink project and the resultant delay in initiating construction activities, SDG&amp;E declared and paid a $150 million common dividend to Sempra Energy in the first quarter of 2009. However, the level of future common dividends from SDG&amp;E and SoCalGas may be affected during periods of increased capital expenditures. The level of future common dividends from PE is dependent upon common dividends paid by SoCalGas. Sempra Energy may make additional equity contributions to SDG&amp;E or SoCalGas to support the Sempra Utilities' capital expenditure programs.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Commodities</w:t>
      </w:r>
    </w:p>
    <w:p>
      <w:pPr>
        <w:spacing w:after="0" w:line="49" w:lineRule="exact"/>
        <w:rPr>
          <w:sz w:val="20"/>
          <w:szCs w:val="20"/>
          <w:color w:val="auto"/>
        </w:rPr>
      </w:pPr>
    </w:p>
    <w:p>
      <w:pPr>
        <w:ind w:right="300"/>
        <w:spacing w:after="0" w:line="249" w:lineRule="auto"/>
        <w:rPr>
          <w:sz w:val="20"/>
          <w:szCs w:val="20"/>
          <w:color w:val="auto"/>
        </w:rPr>
      </w:pPr>
      <w:r>
        <w:rPr>
          <w:rFonts w:ascii="Arial" w:cs="Arial" w:eastAsia="Arial" w:hAnsi="Arial"/>
          <w:sz w:val="21"/>
          <w:szCs w:val="21"/>
          <w:color w:val="auto"/>
        </w:rPr>
        <w:t>On April 1, 2008, we completed the formation of RBS Sempra Commodities, a partnership to own and operate Sempra Energy's commodities-marketing businesses, which generally comprised the Sempra Commodities business unit. RBS is obligated to provide the joint venture with all growth capital, working-capital requirements and credit support. However, we are providing transitional back-up guarantees and credit support, some of which may continue for a prolonged period of time. RBS has fully indemnified us for any claims or losses in connection with these arrangements.</w:t>
      </w:r>
    </w:p>
    <w:p>
      <w:pPr>
        <w:spacing w:after="0" w:line="44"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We account for our investment in the partnership under the equity method. RBS Sempra Commodities intends to distribute all of its net income on an annual basis, although the distributions are within the discretion of the board of directors of the partnership. In limited cases, the partnership may retain earnings allocable to the partners to replenish capital depleted through losses. In March 2009, we received $305 million from the partnership, representing our remaining share of 2008 partnership income after 2008 distributions. We provide additional information about RBS Sempra Commodities in Notes 4 and 6 of the Notes to Condensed Consolidated Financial Statements herein and in Notes 4 and 6 of the Notes to Consolidated Financial Statements in the Annual Report.</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Generation</w:t>
      </w:r>
    </w:p>
    <w:p>
      <w:pPr>
        <w:spacing w:after="0" w:line="49"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Projects at Sempra Generation have been financed through a combination of operating cash flow, project financing, funds from the parent and external borrowings.</w:t>
      </w:r>
    </w:p>
    <w:p>
      <w:pPr>
        <w:sectPr>
          <w:pgSz w:w="11900" w:h="16838" w:orient="portrait"/>
          <w:cols w:equalWidth="0" w:num="1">
            <w:col w:w="11400"/>
          </w:cols>
          <w:pgMar w:left="240" w:top="118" w:right="259" w:bottom="1440" w:gutter="0" w:footer="0" w:header="0"/>
        </w:sectPr>
      </w:pPr>
    </w:p>
    <w:bookmarkStart w:id="73" w:name="page74"/>
    <w:bookmarkEnd w:id="73"/>
    <w:p>
      <w:pPr>
        <w:ind w:right="20"/>
        <w:spacing w:after="0" w:line="235" w:lineRule="auto"/>
        <w:rPr>
          <w:sz w:val="20"/>
          <w:szCs w:val="20"/>
          <w:color w:val="auto"/>
        </w:rPr>
      </w:pPr>
      <w:r>
        <w:rPr>
          <w:rFonts w:ascii="Arial" w:cs="Arial" w:eastAsia="Arial" w:hAnsi="Arial"/>
          <w:sz w:val="22"/>
          <w:szCs w:val="22"/>
          <w:color w:val="auto"/>
        </w:rPr>
        <w:t>Sempra Generation's long-term power sale contracts may contain collateral requirements. The DWR contract does not contain such requirements. The collateral arrangements require Sempra Generation and/or the counterparty to post cash, guarantees or letters of credit to the other party for exposure in excess of established thresholds. Sempra Generation may be required to provide collateral when market price movements adversely affect the counterparty's cost of replacement energy supplies if Sempra Generation fails to deliver the contracted amounts. Sempra Generation had no outstanding collateral requirements under such contracts at March 31, 2009.</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Pipelines &amp; Storage</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Sempra Pipelines &amp; Storage is expected to require funding from the parent or from external sources to fund projects, including:</w:t>
      </w:r>
    </w:p>
    <w:p>
      <w:pPr>
        <w:spacing w:after="0" w:line="65" w:lineRule="exact"/>
        <w:rPr>
          <w:sz w:val="20"/>
          <w:szCs w:val="20"/>
          <w:color w:val="auto"/>
        </w:rPr>
      </w:pPr>
    </w:p>
    <w:p>
      <w:pPr>
        <w:ind w:left="180" w:hanging="172"/>
        <w:spacing w:after="0"/>
        <w:tabs>
          <w:tab w:leader="none" w:pos="180" w:val="left"/>
        </w:tabs>
        <w:numPr>
          <w:ilvl w:val="0"/>
          <w:numId w:val="84"/>
        </w:numPr>
        <w:rPr>
          <w:rFonts w:ascii="Arial" w:cs="Arial" w:eastAsia="Arial" w:hAnsi="Arial"/>
          <w:sz w:val="22"/>
          <w:szCs w:val="22"/>
          <w:color w:val="auto"/>
        </w:rPr>
      </w:pPr>
      <w:r>
        <w:rPr>
          <w:rFonts w:ascii="Arial" w:cs="Arial" w:eastAsia="Arial" w:hAnsi="Arial"/>
          <w:sz w:val="22"/>
          <w:szCs w:val="22"/>
          <w:color w:val="auto"/>
        </w:rPr>
        <w:t>development and expansion of its natural gas storage projects</w:t>
      </w:r>
    </w:p>
    <w:p>
      <w:pPr>
        <w:spacing w:after="0" w:line="35" w:lineRule="exact"/>
        <w:rPr>
          <w:rFonts w:ascii="Arial" w:cs="Arial" w:eastAsia="Arial" w:hAnsi="Arial"/>
          <w:sz w:val="22"/>
          <w:szCs w:val="22"/>
          <w:color w:val="auto"/>
        </w:rPr>
      </w:pPr>
    </w:p>
    <w:p>
      <w:pPr>
        <w:ind w:left="180" w:hanging="172"/>
        <w:spacing w:after="0"/>
        <w:tabs>
          <w:tab w:leader="none" w:pos="180" w:val="left"/>
        </w:tabs>
        <w:numPr>
          <w:ilvl w:val="0"/>
          <w:numId w:val="84"/>
        </w:numPr>
        <w:rPr>
          <w:rFonts w:ascii="Arial" w:cs="Arial" w:eastAsia="Arial" w:hAnsi="Arial"/>
          <w:sz w:val="22"/>
          <w:szCs w:val="22"/>
          <w:color w:val="auto"/>
        </w:rPr>
      </w:pPr>
      <w:r>
        <w:rPr>
          <w:rFonts w:ascii="Arial" w:cs="Arial" w:eastAsia="Arial" w:hAnsi="Arial"/>
          <w:sz w:val="22"/>
          <w:szCs w:val="22"/>
          <w:color w:val="auto"/>
        </w:rPr>
        <w:t>participation in the development of the Rockies Express natural gas pipeline</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LNG</w:t>
      </w:r>
    </w:p>
    <w:p>
      <w:pPr>
        <w:spacing w:after="0" w:line="144"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Sempra LNG requires funding for its development of LNG receiving facilities. While our credit facilities and other Sempra Energy sources are expected to be adequate for these requirements, we may decide to use project financing if there is an advantage in doing so. As projects under construction are put in service, Sempra LNG is expected to provide operating cash flow for further development within Sempra Global.</w:t>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5462905" cy="274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462905" cy="274320"/>
                    </a:xfrm>
                    <a:prstGeom prst="rect">
                      <a:avLst/>
                    </a:prstGeom>
                    <a:noFill/>
                  </pic:spPr>
                </pic:pic>
              </a:graphicData>
            </a:graphic>
          </wp:anchor>
        </w:drawing>
      </w:r>
    </w:p>
    <w:p>
      <w:pPr>
        <w:spacing w:after="0" w:line="34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PROVIDED BY OPERATING ACTIVITIES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0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jc w:val="right"/>
              <w:ind w:right="361"/>
              <w:spacing w:after="0"/>
              <w:rPr>
                <w:sz w:val="20"/>
                <w:szCs w:val="20"/>
                <w:color w:val="auto"/>
              </w:rPr>
            </w:pPr>
            <w:r>
              <w:rPr>
                <w:rFonts w:ascii="Arial" w:cs="Arial" w:eastAsia="Arial" w:hAnsi="Arial"/>
                <w:sz w:val="14"/>
                <w:szCs w:val="14"/>
                <w:color w:val="auto"/>
              </w:rPr>
              <w:t>2009</w:t>
            </w: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 Change</w:t>
            </w:r>
          </w:p>
        </w:tc>
        <w:tc>
          <w:tcPr>
            <w:tcW w:w="70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2008</w:t>
            </w:r>
          </w:p>
        </w:tc>
      </w:tr>
      <w:tr>
        <w:trPr>
          <w:trHeight w:val="210"/>
        </w:trPr>
        <w:tc>
          <w:tcPr>
            <w:tcW w:w="3020" w:type="dxa"/>
            <w:vAlign w:val="bottom"/>
          </w:tcPr>
          <w:p>
            <w:pPr>
              <w:ind w:left="20"/>
              <w:spacing w:after="0"/>
              <w:rPr>
                <w:sz w:val="20"/>
                <w:szCs w:val="20"/>
                <w:color w:val="auto"/>
              </w:rPr>
            </w:pPr>
            <w:r>
              <w:rPr>
                <w:rFonts w:ascii="Arial" w:cs="Arial" w:eastAsia="Arial" w:hAnsi="Arial"/>
                <w:sz w:val="16"/>
                <w:szCs w:val="16"/>
                <w:color w:val="auto"/>
              </w:rPr>
              <w:t>Sempra Energy Consolidated</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1"/>
              <w:spacing w:after="0"/>
              <w:rPr>
                <w:sz w:val="20"/>
                <w:szCs w:val="20"/>
                <w:color w:val="auto"/>
              </w:rPr>
            </w:pPr>
            <w:r>
              <w:rPr>
                <w:rFonts w:ascii="Arial" w:cs="Arial" w:eastAsia="Arial" w:hAnsi="Arial"/>
                <w:sz w:val="16"/>
                <w:szCs w:val="16"/>
                <w:color w:val="auto"/>
              </w:rPr>
              <w:t>1,139</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81"/>
              <w:spacing w:after="0"/>
              <w:rPr>
                <w:sz w:val="20"/>
                <w:szCs w:val="20"/>
                <w:color w:val="auto"/>
              </w:rPr>
            </w:pPr>
            <w:r>
              <w:rPr>
                <w:rFonts w:ascii="Arial" w:cs="Arial" w:eastAsia="Arial" w:hAnsi="Arial"/>
                <w:sz w:val="16"/>
                <w:szCs w:val="16"/>
                <w:color w:val="auto"/>
              </w:rPr>
              <w:t>408</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56   %</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731</w:t>
            </w:r>
          </w:p>
        </w:tc>
      </w:tr>
      <w:tr>
        <w:trPr>
          <w:trHeight w:val="216"/>
        </w:trPr>
        <w:tc>
          <w:tcPr>
            <w:tcW w:w="3020" w:type="dxa"/>
            <w:vAlign w:val="bottom"/>
          </w:tcPr>
          <w:p>
            <w:pPr>
              <w:ind w:left="20"/>
              <w:spacing w:after="0"/>
              <w:rPr>
                <w:sz w:val="20"/>
                <w:szCs w:val="20"/>
                <w:color w:val="auto"/>
              </w:rPr>
            </w:pPr>
            <w:r>
              <w:rPr>
                <w:rFonts w:ascii="Arial" w:cs="Arial" w:eastAsia="Arial" w:hAnsi="Arial"/>
                <w:sz w:val="16"/>
                <w:szCs w:val="16"/>
                <w:color w:val="auto"/>
              </w:rPr>
              <w:t>SDG&amp;E</w:t>
            </w:r>
          </w:p>
        </w:tc>
        <w:tc>
          <w:tcPr>
            <w:tcW w:w="1120" w:type="dxa"/>
            <w:vAlign w:val="bottom"/>
          </w:tcPr>
          <w:p>
            <w:pPr>
              <w:spacing w:after="0"/>
              <w:rPr>
                <w:sz w:val="18"/>
                <w:szCs w:val="18"/>
                <w:color w:val="auto"/>
              </w:rPr>
            </w:pPr>
          </w:p>
        </w:tc>
        <w:tc>
          <w:tcPr>
            <w:tcW w:w="940" w:type="dxa"/>
            <w:vAlign w:val="bottom"/>
            <w:tcBorders>
              <w:right w:val="single" w:sz="8" w:color="auto"/>
            </w:tcBorders>
          </w:tcPr>
          <w:p>
            <w:pPr>
              <w:jc w:val="right"/>
              <w:ind w:right="1"/>
              <w:spacing w:after="0"/>
              <w:rPr>
                <w:sz w:val="20"/>
                <w:szCs w:val="20"/>
                <w:color w:val="auto"/>
              </w:rPr>
            </w:pPr>
            <w:r>
              <w:rPr>
                <w:rFonts w:ascii="Arial" w:cs="Arial" w:eastAsia="Arial" w:hAnsi="Arial"/>
                <w:sz w:val="16"/>
                <w:szCs w:val="16"/>
                <w:color w:val="auto"/>
              </w:rPr>
              <w:t>245</w:t>
            </w:r>
          </w:p>
        </w:tc>
        <w:tc>
          <w:tcPr>
            <w:tcW w:w="420" w:type="dxa"/>
            <w:vAlign w:val="bottom"/>
          </w:tcPr>
          <w:p>
            <w:pPr>
              <w:spacing w:after="0"/>
              <w:rPr>
                <w:sz w:val="18"/>
                <w:szCs w:val="18"/>
                <w:color w:val="auto"/>
              </w:rPr>
            </w:pPr>
          </w:p>
        </w:tc>
        <w:tc>
          <w:tcPr>
            <w:tcW w:w="1240" w:type="dxa"/>
            <w:vAlign w:val="bottom"/>
          </w:tcPr>
          <w:p>
            <w:pPr>
              <w:jc w:val="right"/>
              <w:ind w:right="421"/>
              <w:spacing w:after="0"/>
              <w:rPr>
                <w:sz w:val="20"/>
                <w:szCs w:val="20"/>
                <w:color w:val="auto"/>
              </w:rPr>
            </w:pPr>
            <w:r>
              <w:rPr>
                <w:rFonts w:ascii="Arial" w:cs="Arial" w:eastAsia="Arial" w:hAnsi="Arial"/>
                <w:sz w:val="16"/>
                <w:szCs w:val="16"/>
                <w:color w:val="auto"/>
              </w:rPr>
              <w:t>(33)</w:t>
            </w:r>
          </w:p>
        </w:tc>
        <w:tc>
          <w:tcPr>
            <w:tcW w:w="70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222"/>
        </w:trPr>
        <w:tc>
          <w:tcPr>
            <w:tcW w:w="3020" w:type="dxa"/>
            <w:vAlign w:val="bottom"/>
          </w:tcPr>
          <w:p>
            <w:pPr>
              <w:ind w:left="20"/>
              <w:spacing w:after="0"/>
              <w:rPr>
                <w:sz w:val="20"/>
                <w:szCs w:val="20"/>
                <w:color w:val="auto"/>
              </w:rPr>
            </w:pPr>
            <w:r>
              <w:rPr>
                <w:rFonts w:ascii="Arial" w:cs="Arial" w:eastAsia="Arial" w:hAnsi="Arial"/>
                <w:sz w:val="16"/>
                <w:szCs w:val="16"/>
                <w:color w:val="auto"/>
              </w:rPr>
              <w:t>PE</w:t>
            </w:r>
          </w:p>
        </w:tc>
        <w:tc>
          <w:tcPr>
            <w:tcW w:w="1120" w:type="dxa"/>
            <w:vAlign w:val="bottom"/>
          </w:tcPr>
          <w:p>
            <w:pPr>
              <w:spacing w:after="0"/>
              <w:rPr>
                <w:sz w:val="19"/>
                <w:szCs w:val="19"/>
                <w:color w:val="auto"/>
              </w:rPr>
            </w:pPr>
          </w:p>
        </w:tc>
        <w:tc>
          <w:tcPr>
            <w:tcW w:w="940" w:type="dxa"/>
            <w:vAlign w:val="bottom"/>
            <w:tcBorders>
              <w:right w:val="single" w:sz="8" w:color="auto"/>
            </w:tcBorders>
          </w:tcPr>
          <w:p>
            <w:pPr>
              <w:jc w:val="right"/>
              <w:ind w:right="1"/>
              <w:spacing w:after="0"/>
              <w:rPr>
                <w:sz w:val="20"/>
                <w:szCs w:val="20"/>
                <w:color w:val="auto"/>
              </w:rPr>
            </w:pPr>
            <w:r>
              <w:rPr>
                <w:rFonts w:ascii="Arial" w:cs="Arial" w:eastAsia="Arial" w:hAnsi="Arial"/>
                <w:sz w:val="16"/>
                <w:szCs w:val="16"/>
                <w:color w:val="auto"/>
              </w:rPr>
              <w:t>497</w:t>
            </w:r>
          </w:p>
        </w:tc>
        <w:tc>
          <w:tcPr>
            <w:tcW w:w="420" w:type="dxa"/>
            <w:vAlign w:val="bottom"/>
          </w:tcPr>
          <w:p>
            <w:pPr>
              <w:spacing w:after="0"/>
              <w:rPr>
                <w:sz w:val="19"/>
                <w:szCs w:val="19"/>
                <w:color w:val="auto"/>
              </w:rPr>
            </w:pPr>
          </w:p>
        </w:tc>
        <w:tc>
          <w:tcPr>
            <w:tcW w:w="1240" w:type="dxa"/>
            <w:vAlign w:val="bottom"/>
          </w:tcPr>
          <w:p>
            <w:pPr>
              <w:jc w:val="right"/>
              <w:ind w:right="421"/>
              <w:spacing w:after="0"/>
              <w:rPr>
                <w:sz w:val="20"/>
                <w:szCs w:val="20"/>
                <w:color w:val="auto"/>
              </w:rPr>
            </w:pPr>
            <w:r>
              <w:rPr>
                <w:rFonts w:ascii="Arial" w:cs="Arial" w:eastAsia="Arial" w:hAnsi="Arial"/>
                <w:sz w:val="16"/>
                <w:szCs w:val="16"/>
                <w:color w:val="auto"/>
              </w:rPr>
              <w:t>(75)</w:t>
            </w:r>
          </w:p>
        </w:tc>
        <w:tc>
          <w:tcPr>
            <w:tcW w:w="70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572</w:t>
            </w:r>
          </w:p>
        </w:tc>
      </w:tr>
      <w:tr>
        <w:trPr>
          <w:trHeight w:val="213"/>
        </w:trPr>
        <w:tc>
          <w:tcPr>
            <w:tcW w:w="3020" w:type="dxa"/>
            <w:vAlign w:val="bottom"/>
          </w:tcPr>
          <w:p>
            <w:pPr>
              <w:ind w:left="20"/>
              <w:spacing w:after="0"/>
              <w:rPr>
                <w:sz w:val="20"/>
                <w:szCs w:val="20"/>
                <w:color w:val="auto"/>
              </w:rPr>
            </w:pPr>
            <w:r>
              <w:rPr>
                <w:rFonts w:ascii="Arial" w:cs="Arial" w:eastAsia="Arial" w:hAnsi="Arial"/>
                <w:sz w:val="16"/>
                <w:szCs w:val="16"/>
                <w:color w:val="auto"/>
              </w:rPr>
              <w:t>SoCalGas</w:t>
            </w:r>
          </w:p>
        </w:tc>
        <w:tc>
          <w:tcPr>
            <w:tcW w:w="112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499</w:t>
            </w:r>
          </w:p>
        </w:tc>
        <w:tc>
          <w:tcPr>
            <w:tcW w:w="420" w:type="dxa"/>
            <w:vAlign w:val="bottom"/>
          </w:tcPr>
          <w:p>
            <w:pPr>
              <w:spacing w:after="0"/>
              <w:rPr>
                <w:sz w:val="18"/>
                <w:szCs w:val="18"/>
                <w:color w:val="auto"/>
              </w:rPr>
            </w:pPr>
          </w:p>
        </w:tc>
        <w:tc>
          <w:tcPr>
            <w:tcW w:w="1240" w:type="dxa"/>
            <w:vAlign w:val="bottom"/>
          </w:tcPr>
          <w:p>
            <w:pPr>
              <w:jc w:val="right"/>
              <w:ind w:right="421"/>
              <w:spacing w:after="0"/>
              <w:rPr>
                <w:sz w:val="20"/>
                <w:szCs w:val="20"/>
                <w:color w:val="auto"/>
              </w:rPr>
            </w:pPr>
            <w:r>
              <w:rPr>
                <w:rFonts w:ascii="Arial" w:cs="Arial" w:eastAsia="Arial" w:hAnsi="Arial"/>
                <w:sz w:val="16"/>
                <w:szCs w:val="16"/>
                <w:color w:val="auto"/>
              </w:rPr>
              <w:t>(70)</w:t>
            </w:r>
          </w:p>
        </w:tc>
        <w:tc>
          <w:tcPr>
            <w:tcW w:w="700" w:type="dxa"/>
            <w:vAlign w:val="bottom"/>
          </w:tcPr>
          <w:p>
            <w:pPr>
              <w:jc w:val="right"/>
              <w:ind w:right="279"/>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569</w:t>
            </w:r>
          </w:p>
        </w:tc>
      </w:tr>
      <w:tr>
        <w:trPr>
          <w:trHeight w:val="84"/>
        </w:trPr>
        <w:tc>
          <w:tcPr>
            <w:tcW w:w="3020" w:type="dxa"/>
            <w:vAlign w:val="bottom"/>
            <w:shd w:val="clear" w:color="auto" w:fill="DFDFDF"/>
          </w:tcPr>
          <w:p>
            <w:pPr>
              <w:spacing w:after="0"/>
              <w:rPr>
                <w:sz w:val="7"/>
                <w:szCs w:val="7"/>
                <w:color w:val="auto"/>
              </w:rPr>
            </w:pPr>
          </w:p>
        </w:tc>
        <w:tc>
          <w:tcPr>
            <w:tcW w:w="1120" w:type="dxa"/>
            <w:vAlign w:val="bottom"/>
            <w:shd w:val="clear" w:color="auto" w:fill="DFDFDF"/>
          </w:tcPr>
          <w:p>
            <w:pPr>
              <w:spacing w:after="0"/>
              <w:rPr>
                <w:sz w:val="7"/>
                <w:szCs w:val="7"/>
                <w:color w:val="auto"/>
              </w:rPr>
            </w:pPr>
          </w:p>
        </w:tc>
        <w:tc>
          <w:tcPr>
            <w:tcW w:w="940" w:type="dxa"/>
            <w:vAlign w:val="bottom"/>
            <w:tcBorders>
              <w:right w:val="single" w:sz="8" w:color="DFDFDF"/>
            </w:tcBorders>
            <w:shd w:val="clear" w:color="auto" w:fill="DFDFDF"/>
          </w:tcPr>
          <w:p>
            <w:pPr>
              <w:spacing w:after="0"/>
              <w:rPr>
                <w:sz w:val="7"/>
                <w:szCs w:val="7"/>
                <w:color w:val="auto"/>
              </w:rPr>
            </w:pPr>
          </w:p>
        </w:tc>
        <w:tc>
          <w:tcPr>
            <w:tcW w:w="420" w:type="dxa"/>
            <w:vAlign w:val="bottom"/>
            <w:shd w:val="clear" w:color="auto" w:fill="DFDFDF"/>
          </w:tcPr>
          <w:p>
            <w:pPr>
              <w:spacing w:after="0"/>
              <w:rPr>
                <w:sz w:val="7"/>
                <w:szCs w:val="7"/>
                <w:color w:val="auto"/>
              </w:rPr>
            </w:pPr>
          </w:p>
        </w:tc>
        <w:tc>
          <w:tcPr>
            <w:tcW w:w="1240" w:type="dxa"/>
            <w:vAlign w:val="bottom"/>
            <w:shd w:val="clear" w:color="auto" w:fill="DFDFDF"/>
          </w:tcPr>
          <w:p>
            <w:pPr>
              <w:spacing w:after="0"/>
              <w:rPr>
                <w:sz w:val="7"/>
                <w:szCs w:val="7"/>
                <w:color w:val="auto"/>
              </w:rPr>
            </w:pPr>
          </w:p>
        </w:tc>
        <w:tc>
          <w:tcPr>
            <w:tcW w:w="700" w:type="dxa"/>
            <w:vAlign w:val="bottom"/>
            <w:tcBorders>
              <w:right w:val="single" w:sz="8" w:color="DFDFDF"/>
            </w:tcBorders>
            <w:shd w:val="clear" w:color="auto" w:fill="DFDFDF"/>
          </w:tcPr>
          <w:p>
            <w:pPr>
              <w:spacing w:after="0"/>
              <w:rPr>
                <w:sz w:val="7"/>
                <w:szCs w:val="7"/>
                <w:color w:val="auto"/>
              </w:rPr>
            </w:pPr>
          </w:p>
        </w:tc>
        <w:tc>
          <w:tcPr>
            <w:tcW w:w="260" w:type="dxa"/>
            <w:vAlign w:val="bottom"/>
            <w:shd w:val="clear" w:color="auto" w:fill="DFDFDF"/>
          </w:tcPr>
          <w:p>
            <w:pPr>
              <w:spacing w:after="0"/>
              <w:rPr>
                <w:sz w:val="7"/>
                <w:szCs w:val="7"/>
                <w:color w:val="auto"/>
              </w:rPr>
            </w:pPr>
          </w:p>
        </w:tc>
        <w:tc>
          <w:tcPr>
            <w:tcW w:w="920" w:type="dxa"/>
            <w:vAlign w:val="bottom"/>
            <w:shd w:val="clear" w:color="auto" w:fill="DFDFDF"/>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3199765</wp:posOffset>
            </wp:positionH>
            <wp:positionV relativeFrom="paragraph">
              <wp:posOffset>-200660</wp:posOffset>
            </wp:positionV>
            <wp:extent cx="227330" cy="2139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27330" cy="21399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-200660</wp:posOffset>
            </wp:positionV>
            <wp:extent cx="227330" cy="2139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27330" cy="21399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Cash provided by operating activities at Sempra Energy increased in 2009 due to:</w:t>
      </w:r>
    </w:p>
    <w:p>
      <w:pPr>
        <w:spacing w:after="0" w:line="22" w:lineRule="exact"/>
        <w:rPr>
          <w:sz w:val="20"/>
          <w:szCs w:val="20"/>
          <w:color w:val="auto"/>
        </w:rPr>
      </w:pPr>
    </w:p>
    <w:p>
      <w:pPr>
        <w:ind w:left="180" w:right="1480" w:hanging="172"/>
        <w:spacing w:after="0" w:line="246" w:lineRule="auto"/>
        <w:tabs>
          <w:tab w:leader="none" w:pos="180" w:val="left"/>
        </w:tabs>
        <w:numPr>
          <w:ilvl w:val="0"/>
          <w:numId w:val="85"/>
        </w:numPr>
        <w:rPr>
          <w:rFonts w:ascii="Arial" w:cs="Arial" w:eastAsia="Arial" w:hAnsi="Arial"/>
          <w:sz w:val="22"/>
          <w:szCs w:val="22"/>
          <w:color w:val="auto"/>
        </w:rPr>
      </w:pPr>
      <w:r>
        <w:rPr>
          <w:rFonts w:ascii="Arial" w:cs="Arial" w:eastAsia="Arial" w:hAnsi="Arial"/>
          <w:sz w:val="22"/>
          <w:szCs w:val="22"/>
          <w:color w:val="auto"/>
        </w:rPr>
        <w:t>a $305 million distribution from RBS Sempra Commodities LLP for the remaining share of our 2008 partnership income;</w:t>
      </w:r>
    </w:p>
    <w:p>
      <w:pPr>
        <w:spacing w:after="0" w:line="3" w:lineRule="exact"/>
        <w:rPr>
          <w:rFonts w:ascii="Arial" w:cs="Arial" w:eastAsia="Arial" w:hAnsi="Arial"/>
          <w:sz w:val="22"/>
          <w:szCs w:val="22"/>
          <w:color w:val="auto"/>
        </w:rPr>
      </w:pPr>
    </w:p>
    <w:p>
      <w:pPr>
        <w:ind w:left="180" w:right="1440" w:hanging="172"/>
        <w:spacing w:after="0" w:line="261" w:lineRule="auto"/>
        <w:tabs>
          <w:tab w:leader="none" w:pos="180" w:val="left"/>
        </w:tabs>
        <w:numPr>
          <w:ilvl w:val="0"/>
          <w:numId w:val="85"/>
        </w:numPr>
        <w:rPr>
          <w:rFonts w:ascii="Arial" w:cs="Arial" w:eastAsia="Arial" w:hAnsi="Arial"/>
          <w:sz w:val="21"/>
          <w:szCs w:val="21"/>
          <w:color w:val="auto"/>
        </w:rPr>
      </w:pPr>
      <w:r>
        <w:rPr>
          <w:rFonts w:ascii="Arial" w:cs="Arial" w:eastAsia="Arial" w:hAnsi="Arial"/>
          <w:sz w:val="21"/>
          <w:szCs w:val="21"/>
          <w:color w:val="auto"/>
        </w:rPr>
        <w:t>a $210 million lower decrease in accounts payable, (the large 2008 decrease was at Sempra Commodities prior to the sale of the commodities-marketing businesses to RBS Sempra Commodities);</w:t>
      </w:r>
    </w:p>
    <w:p>
      <w:pPr>
        <w:spacing w:after="0" w:line="1" w:lineRule="exact"/>
        <w:rPr>
          <w:rFonts w:ascii="Arial" w:cs="Arial" w:eastAsia="Arial" w:hAnsi="Arial"/>
          <w:sz w:val="21"/>
          <w:szCs w:val="21"/>
          <w:color w:val="auto"/>
        </w:rPr>
      </w:pPr>
    </w:p>
    <w:p>
      <w:pPr>
        <w:ind w:left="180" w:right="1300" w:hanging="172"/>
        <w:spacing w:after="0" w:line="245" w:lineRule="auto"/>
        <w:tabs>
          <w:tab w:leader="none" w:pos="180" w:val="left"/>
        </w:tabs>
        <w:numPr>
          <w:ilvl w:val="0"/>
          <w:numId w:val="85"/>
        </w:numPr>
        <w:rPr>
          <w:rFonts w:ascii="Arial" w:cs="Arial" w:eastAsia="Arial" w:hAnsi="Arial"/>
          <w:sz w:val="22"/>
          <w:szCs w:val="22"/>
          <w:color w:val="auto"/>
        </w:rPr>
      </w:pPr>
      <w:r>
        <w:rPr>
          <w:rFonts w:ascii="Arial" w:cs="Arial" w:eastAsia="Arial" w:hAnsi="Arial"/>
          <w:sz w:val="22"/>
          <w:szCs w:val="22"/>
          <w:color w:val="auto"/>
        </w:rPr>
        <w:t xml:space="preserve">a $76 million decrease in accounts receivable in 2009 compared to a $72 million increase in 2008, primarily due to lower natural gas prices in 2009; </w:t>
      </w:r>
      <w:r>
        <w:rPr>
          <w:rFonts w:ascii="Arial" w:cs="Arial" w:eastAsia="Arial" w:hAnsi="Arial"/>
          <w:sz w:val="22"/>
          <w:szCs w:val="22"/>
          <w:b w:val="1"/>
          <w:bCs w:val="1"/>
          <w:color w:val="auto"/>
        </w:rPr>
        <w:t>offset by</w:t>
      </w:r>
    </w:p>
    <w:p>
      <w:pPr>
        <w:spacing w:after="0" w:line="1" w:lineRule="exact"/>
        <w:rPr>
          <w:rFonts w:ascii="Arial" w:cs="Arial" w:eastAsia="Arial" w:hAnsi="Arial"/>
          <w:sz w:val="22"/>
          <w:szCs w:val="22"/>
          <w:color w:val="auto"/>
        </w:rPr>
      </w:pPr>
    </w:p>
    <w:p>
      <w:pPr>
        <w:ind w:left="180" w:hanging="172"/>
        <w:spacing w:after="0"/>
        <w:tabs>
          <w:tab w:leader="none" w:pos="180" w:val="left"/>
        </w:tabs>
        <w:numPr>
          <w:ilvl w:val="0"/>
          <w:numId w:val="85"/>
        </w:numPr>
        <w:rPr>
          <w:rFonts w:ascii="Arial" w:cs="Arial" w:eastAsia="Arial" w:hAnsi="Arial"/>
          <w:sz w:val="22"/>
          <w:szCs w:val="22"/>
          <w:color w:val="auto"/>
        </w:rPr>
      </w:pPr>
      <w:r>
        <w:rPr>
          <w:rFonts w:ascii="Arial" w:cs="Arial" w:eastAsia="Arial" w:hAnsi="Arial"/>
          <w:sz w:val="22"/>
          <w:szCs w:val="22"/>
          <w:color w:val="auto"/>
        </w:rPr>
        <w:t>a $296 million working capital change related to inventory decreases at SoCalGas, as discussed below.</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49"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Cash provided by operating activities at SDG&amp;E decreased in 2009 primarily due to an increase of $2 million in inventory in 2009 compared to a $51 million decrease in 2008. Effective April 2008, SoCalGas assumed responsibility for the procurement of natural gas, including inventory management, for SDG&amp;E’s core natural gas customers. As a result, SDG&amp;E depleted its natural gas inventory at the end of the first quarter 2008. Remaining inventory, comprised primarily of materials and supplies, stayed relatively unchanged in 2009. The change related to inventory was offset by a $25 million higher increase in overcollected regulatory balancing accounts.</w:t>
      </w:r>
    </w:p>
    <w:p>
      <w:pPr>
        <w:sectPr>
          <w:pgSz w:w="11900" w:h="16838" w:orient="portrait"/>
          <w:cols w:equalWidth="0" w:num="1">
            <w:col w:w="11420"/>
          </w:cols>
          <w:pgMar w:left="240" w:top="118" w:right="239" w:bottom="1440" w:gutter="0" w:footer="0" w:header="0"/>
        </w:sectPr>
      </w:pPr>
    </w:p>
    <w:bookmarkStart w:id="74" w:name="page75"/>
    <w:bookmarkEnd w:id="74"/>
    <w:p>
      <w:pPr>
        <w:spacing w:after="0"/>
        <w:rPr>
          <w:sz w:val="20"/>
          <w:szCs w:val="20"/>
          <w:color w:val="auto"/>
        </w:rPr>
      </w:pPr>
      <w:r>
        <w:rPr>
          <w:rFonts w:ascii="Arial" w:cs="Arial" w:eastAsia="Arial" w:hAnsi="Arial"/>
          <w:sz w:val="20"/>
          <w:szCs w:val="20"/>
          <w:b w:val="1"/>
          <w:bCs w:val="1"/>
          <w:i w:val="1"/>
          <w:iCs w:val="1"/>
          <w:color w:val="auto"/>
        </w:rPr>
        <w:t>PE and SoCalGas</w:t>
      </w:r>
    </w:p>
    <w:p>
      <w:pPr>
        <w:spacing w:after="0" w:line="36"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Cash provided by operating activities at PE decreased in 2009 primarily due to the effect on working capital balances of lower natural gas prices in 2009 compared to 2008. Lower natural gas prices in 2009 produced a $33 million asset for temporary LIFO liquidation compared to a $263 million liability in 2008. Temporary LIFO liquidation represents the difference between the carrying value of natural gas inventory withdrawn during the period (valued by the last-in, first-out method) for delivery to customers and the projected cost of the replacement of that inventory during summer months.</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color w:val="auto"/>
        </w:rPr>
        <w:t>The change from temporary LIFO liquidation was offset by:</w:t>
      </w:r>
    </w:p>
    <w:p>
      <w:pPr>
        <w:spacing w:after="0" w:line="71" w:lineRule="exact"/>
        <w:rPr>
          <w:sz w:val="20"/>
          <w:szCs w:val="20"/>
          <w:color w:val="auto"/>
        </w:rPr>
      </w:pPr>
    </w:p>
    <w:p>
      <w:pPr>
        <w:ind w:left="180" w:hanging="172"/>
        <w:spacing w:after="0"/>
        <w:tabs>
          <w:tab w:leader="none" w:pos="180" w:val="left"/>
        </w:tabs>
        <w:numPr>
          <w:ilvl w:val="0"/>
          <w:numId w:val="86"/>
        </w:numPr>
        <w:rPr>
          <w:rFonts w:ascii="Arial" w:cs="Arial" w:eastAsia="Arial" w:hAnsi="Arial"/>
          <w:sz w:val="22"/>
          <w:szCs w:val="22"/>
          <w:color w:val="auto"/>
        </w:rPr>
      </w:pPr>
      <w:r>
        <w:rPr>
          <w:rFonts w:ascii="Arial" w:cs="Arial" w:eastAsia="Arial" w:hAnsi="Arial"/>
          <w:sz w:val="22"/>
          <w:szCs w:val="22"/>
          <w:color w:val="auto"/>
        </w:rPr>
        <w:t>a $56 million higher decrease in inventory in 2009; and</w:t>
      </w:r>
    </w:p>
    <w:p>
      <w:pPr>
        <w:spacing w:after="0" w:line="35" w:lineRule="exact"/>
        <w:rPr>
          <w:rFonts w:ascii="Arial" w:cs="Arial" w:eastAsia="Arial" w:hAnsi="Arial"/>
          <w:sz w:val="22"/>
          <w:szCs w:val="22"/>
          <w:color w:val="auto"/>
        </w:rPr>
      </w:pPr>
    </w:p>
    <w:p>
      <w:pPr>
        <w:ind w:left="180" w:right="1240" w:hanging="172"/>
        <w:spacing w:after="0" w:line="246" w:lineRule="auto"/>
        <w:tabs>
          <w:tab w:leader="none" w:pos="180" w:val="left"/>
        </w:tabs>
        <w:numPr>
          <w:ilvl w:val="0"/>
          <w:numId w:val="86"/>
        </w:numPr>
        <w:rPr>
          <w:rFonts w:ascii="Arial" w:cs="Arial" w:eastAsia="Arial" w:hAnsi="Arial"/>
          <w:sz w:val="22"/>
          <w:szCs w:val="22"/>
          <w:color w:val="auto"/>
        </w:rPr>
      </w:pPr>
      <w:r>
        <w:rPr>
          <w:rFonts w:ascii="Arial" w:cs="Arial" w:eastAsia="Arial" w:hAnsi="Arial"/>
          <w:sz w:val="22"/>
          <w:szCs w:val="22"/>
          <w:color w:val="auto"/>
        </w:rPr>
        <w:t>a $103 million accounts receivable decrease in 2009 compared to an increase of $30 million in 2008 due to lower natural gas prices being charged to customers in 2009.</w:t>
      </w:r>
    </w:p>
    <w:p>
      <w:pPr>
        <w:spacing w:after="0" w:line="4"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The table below shows the contributions to pension and other postretirement benefit plans for the three months ended March 31, 2009.</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63"/>
              <w:spacing w:after="0"/>
              <w:rPr>
                <w:sz w:val="20"/>
                <w:szCs w:val="20"/>
                <w:color w:val="auto"/>
              </w:rPr>
            </w:pPr>
            <w:r>
              <w:rPr>
                <w:rFonts w:ascii="Arial" w:cs="Arial" w:eastAsia="Arial" w:hAnsi="Arial"/>
                <w:sz w:val="14"/>
                <w:szCs w:val="14"/>
                <w:color w:val="auto"/>
              </w:rPr>
              <w:t>Other</w:t>
            </w:r>
          </w:p>
        </w:tc>
      </w:tr>
      <w:tr>
        <w:trPr>
          <w:trHeight w:val="216"/>
        </w:trPr>
        <w:tc>
          <w:tcPr>
            <w:tcW w:w="2540" w:type="dxa"/>
            <w:vAlign w:val="bottom"/>
          </w:tcPr>
          <w:p>
            <w:pPr>
              <w:spacing w:after="0"/>
              <w:rPr>
                <w:sz w:val="18"/>
                <w:szCs w:val="18"/>
                <w:color w:val="auto"/>
              </w:rPr>
            </w:pPr>
          </w:p>
        </w:tc>
        <w:tc>
          <w:tcPr>
            <w:tcW w:w="1340" w:type="dxa"/>
            <w:vAlign w:val="bottom"/>
          </w:tcPr>
          <w:p>
            <w:pPr>
              <w:ind w:left="760"/>
              <w:spacing w:after="0"/>
              <w:rPr>
                <w:sz w:val="20"/>
                <w:szCs w:val="20"/>
                <w:color w:val="auto"/>
              </w:rPr>
            </w:pPr>
            <w:r>
              <w:rPr>
                <w:rFonts w:ascii="Arial" w:cs="Arial" w:eastAsia="Arial" w:hAnsi="Arial"/>
                <w:sz w:val="14"/>
                <w:szCs w:val="14"/>
                <w:color w:val="auto"/>
              </w:rPr>
              <w:t>Pension</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43"/>
              <w:spacing w:after="0"/>
              <w:rPr>
                <w:sz w:val="20"/>
                <w:szCs w:val="20"/>
                <w:color w:val="auto"/>
              </w:rPr>
            </w:pPr>
            <w:r>
              <w:rPr>
                <w:rFonts w:ascii="Arial" w:cs="Arial" w:eastAsia="Arial" w:hAnsi="Arial"/>
                <w:sz w:val="14"/>
                <w:szCs w:val="14"/>
                <w:color w:val="auto"/>
              </w:rPr>
              <w:t>Postretirement</w:t>
            </w:r>
          </w:p>
        </w:tc>
      </w:tr>
      <w:tr>
        <w:trPr>
          <w:trHeight w:val="209"/>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34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Benefits</w:t>
            </w: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color w:val="auto"/>
              </w:rPr>
              <w:t>Benefits</w:t>
            </w:r>
          </w:p>
        </w:tc>
      </w:tr>
      <w:tr>
        <w:trPr>
          <w:trHeight w:val="210"/>
        </w:trPr>
        <w:tc>
          <w:tcPr>
            <w:tcW w:w="2540" w:type="dxa"/>
            <w:vAlign w:val="bottom"/>
          </w:tcPr>
          <w:p>
            <w:pPr>
              <w:ind w:left="20"/>
              <w:spacing w:after="0"/>
              <w:rPr>
                <w:sz w:val="20"/>
                <w:szCs w:val="20"/>
                <w:color w:val="auto"/>
              </w:rPr>
            </w:pPr>
            <w:r>
              <w:rPr>
                <w:rFonts w:ascii="Arial" w:cs="Arial" w:eastAsia="Arial" w:hAnsi="Arial"/>
                <w:sz w:val="16"/>
                <w:szCs w:val="16"/>
                <w:color w:val="auto"/>
              </w:rPr>
              <w:t>Sempra Energy Consolidated</w:t>
            </w:r>
          </w:p>
        </w:tc>
        <w:tc>
          <w:tcPr>
            <w:tcW w:w="1340" w:type="dxa"/>
            <w:vAlign w:val="bottom"/>
          </w:tcPr>
          <w:p>
            <w:pPr>
              <w:jc w:val="right"/>
              <w:ind w:right="765"/>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2540" w:type="dxa"/>
            <w:vAlign w:val="bottom"/>
          </w:tcPr>
          <w:p>
            <w:pPr>
              <w:ind w:left="20"/>
              <w:spacing w:after="0"/>
              <w:rPr>
                <w:sz w:val="20"/>
                <w:szCs w:val="20"/>
                <w:color w:val="auto"/>
              </w:rPr>
            </w:pPr>
            <w:r>
              <w:rPr>
                <w:rFonts w:ascii="Arial" w:cs="Arial" w:eastAsia="Arial" w:hAnsi="Arial"/>
                <w:sz w:val="16"/>
                <w:szCs w:val="16"/>
                <w:color w:val="auto"/>
              </w:rPr>
              <w:t>SDG&amp;E</w:t>
            </w:r>
          </w:p>
        </w:tc>
        <w:tc>
          <w:tcPr>
            <w:tcW w:w="13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9"/>
        </w:trPr>
        <w:tc>
          <w:tcPr>
            <w:tcW w:w="2540" w:type="dxa"/>
            <w:vAlign w:val="bottom"/>
          </w:tcPr>
          <w:p>
            <w:pPr>
              <w:ind w:left="20"/>
              <w:spacing w:after="0"/>
              <w:rPr>
                <w:sz w:val="20"/>
                <w:szCs w:val="20"/>
                <w:color w:val="auto"/>
              </w:rPr>
            </w:pPr>
            <w:r>
              <w:rPr>
                <w:rFonts w:ascii="Arial" w:cs="Arial" w:eastAsia="Arial" w:hAnsi="Arial"/>
                <w:sz w:val="16"/>
                <w:szCs w:val="16"/>
                <w:color w:val="auto"/>
              </w:rPr>
              <w:t>PE/SoCalGas</w:t>
            </w:r>
          </w:p>
        </w:tc>
        <w:tc>
          <w:tcPr>
            <w:tcW w:w="13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84"/>
        </w:trPr>
        <w:tc>
          <w:tcPr>
            <w:tcW w:w="2540" w:type="dxa"/>
            <w:vAlign w:val="bottom"/>
            <w:shd w:val="clear" w:color="auto" w:fill="DFDFDF"/>
          </w:tcPr>
          <w:p>
            <w:pPr>
              <w:spacing w:after="0"/>
              <w:rPr>
                <w:sz w:val="7"/>
                <w:szCs w:val="7"/>
                <w:color w:val="auto"/>
              </w:rPr>
            </w:pPr>
          </w:p>
        </w:tc>
        <w:tc>
          <w:tcPr>
            <w:tcW w:w="1340" w:type="dxa"/>
            <w:vAlign w:val="bottom"/>
            <w:shd w:val="clear" w:color="auto" w:fill="DFDFDF"/>
          </w:tcPr>
          <w:p>
            <w:pPr>
              <w:spacing w:after="0"/>
              <w:rPr>
                <w:sz w:val="7"/>
                <w:szCs w:val="7"/>
                <w:color w:val="auto"/>
              </w:rPr>
            </w:pPr>
          </w:p>
        </w:tc>
        <w:tc>
          <w:tcPr>
            <w:tcW w:w="28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1100" w:type="dxa"/>
            <w:vAlign w:val="bottom"/>
            <w:shd w:val="clear" w:color="auto" w:fill="DFDFDF"/>
          </w:tcPr>
          <w:p>
            <w:pPr>
              <w:spacing w:after="0"/>
              <w:rPr>
                <w:sz w:val="7"/>
                <w:szCs w:val="7"/>
                <w:color w:val="auto"/>
              </w:rPr>
            </w:pPr>
          </w:p>
        </w:tc>
      </w:tr>
    </w:tbl>
    <w:p>
      <w:pPr>
        <w:spacing w:after="0" w:line="388"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5462905" cy="274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462905" cy="274320"/>
                    </a:xfrm>
                    <a:prstGeom prst="rect">
                      <a:avLst/>
                    </a:prstGeom>
                    <a:noFill/>
                  </pic:spPr>
                </pic:pic>
              </a:graphicData>
            </a:graphic>
          </wp:anchor>
        </w:drawing>
      </w:r>
    </w:p>
    <w:p>
      <w:pPr>
        <w:spacing w:after="0" w:line="34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USED IN INVESTING ACTIVITIES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0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44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 Change</w:t>
            </w:r>
          </w:p>
        </w:tc>
        <w:tc>
          <w:tcPr>
            <w:tcW w:w="440" w:type="dxa"/>
            <w:vAlign w:val="bottom"/>
            <w:tcBorders>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2008</w:t>
            </w:r>
          </w:p>
        </w:tc>
      </w:tr>
      <w:tr>
        <w:trPr>
          <w:trHeight w:val="210"/>
        </w:trPr>
        <w:tc>
          <w:tcPr>
            <w:tcW w:w="3020" w:type="dxa"/>
            <w:vAlign w:val="bottom"/>
          </w:tcPr>
          <w:p>
            <w:pPr>
              <w:ind w:left="20"/>
              <w:spacing w:after="0"/>
              <w:rPr>
                <w:sz w:val="20"/>
                <w:szCs w:val="20"/>
                <w:color w:val="auto"/>
              </w:rPr>
            </w:pPr>
            <w:r>
              <w:rPr>
                <w:rFonts w:ascii="Arial" w:cs="Arial" w:eastAsia="Arial" w:hAnsi="Arial"/>
                <w:sz w:val="16"/>
                <w:szCs w:val="16"/>
                <w:color w:val="auto"/>
              </w:rPr>
              <w:t>Sempra Energy Consolidated</w:t>
            </w:r>
          </w:p>
        </w:tc>
        <w:tc>
          <w:tcPr>
            <w:tcW w:w="1620" w:type="dxa"/>
            <w:vAlign w:val="bottom"/>
          </w:tcPr>
          <w:p>
            <w:pPr>
              <w:jc w:val="right"/>
              <w:ind w:right="583"/>
              <w:spacing w:after="0"/>
              <w:rPr>
                <w:sz w:val="20"/>
                <w:szCs w:val="20"/>
                <w:color w:val="auto"/>
              </w:rPr>
            </w:pPr>
            <w:r>
              <w:rPr>
                <w:rFonts w:ascii="Arial" w:cs="Arial" w:eastAsia="Arial" w:hAnsi="Arial"/>
                <w:sz w:val="16"/>
                <w:szCs w:val="16"/>
                <w:color w:val="auto"/>
              </w:rPr>
              <w:t>$</w:t>
            </w: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(522)</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21"/>
              <w:spacing w:after="0"/>
              <w:rPr>
                <w:sz w:val="20"/>
                <w:szCs w:val="20"/>
                <w:color w:val="auto"/>
              </w:rPr>
            </w:pPr>
            <w:r>
              <w:rPr>
                <w:rFonts w:ascii="Arial" w:cs="Arial" w:eastAsia="Arial" w:hAnsi="Arial"/>
                <w:sz w:val="16"/>
                <w:szCs w:val="16"/>
                <w:color w:val="auto"/>
              </w:rPr>
              <w:t>(587)</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(1,109)</w:t>
            </w:r>
          </w:p>
        </w:tc>
      </w:tr>
      <w:tr>
        <w:trPr>
          <w:trHeight w:val="216"/>
        </w:trPr>
        <w:tc>
          <w:tcPr>
            <w:tcW w:w="3020" w:type="dxa"/>
            <w:vAlign w:val="bottom"/>
          </w:tcPr>
          <w:p>
            <w:pPr>
              <w:ind w:left="20"/>
              <w:spacing w:after="0"/>
              <w:rPr>
                <w:sz w:val="20"/>
                <w:szCs w:val="20"/>
                <w:color w:val="auto"/>
              </w:rPr>
            </w:pPr>
            <w:r>
              <w:rPr>
                <w:rFonts w:ascii="Arial" w:cs="Arial" w:eastAsia="Arial" w:hAnsi="Arial"/>
                <w:sz w:val="16"/>
                <w:szCs w:val="16"/>
                <w:color w:val="auto"/>
              </w:rPr>
              <w:t>SDG&amp;E</w:t>
            </w:r>
          </w:p>
        </w:tc>
        <w:tc>
          <w:tcPr>
            <w:tcW w:w="1620" w:type="dxa"/>
            <w:vAlign w:val="bottom"/>
          </w:tcPr>
          <w:p>
            <w:pPr>
              <w:spacing w:after="0"/>
              <w:rPr>
                <w:sz w:val="18"/>
                <w:szCs w:val="18"/>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420" w:type="dxa"/>
            <w:vAlign w:val="bottom"/>
          </w:tcPr>
          <w:p>
            <w:pPr>
              <w:spacing w:after="0"/>
              <w:rPr>
                <w:sz w:val="18"/>
                <w:szCs w:val="18"/>
                <w:color w:val="auto"/>
              </w:rPr>
            </w:pPr>
          </w:p>
        </w:tc>
        <w:tc>
          <w:tcPr>
            <w:tcW w:w="1240" w:type="dxa"/>
            <w:vAlign w:val="bottom"/>
          </w:tcPr>
          <w:p>
            <w:pPr>
              <w:jc w:val="right"/>
              <w:ind w:right="421"/>
              <w:spacing w:after="0"/>
              <w:rPr>
                <w:sz w:val="20"/>
                <w:szCs w:val="20"/>
                <w:color w:val="auto"/>
              </w:rPr>
            </w:pPr>
            <w:r>
              <w:rPr>
                <w:rFonts w:ascii="Arial" w:cs="Arial" w:eastAsia="Arial" w:hAnsi="Arial"/>
                <w:sz w:val="16"/>
                <w:szCs w:val="16"/>
                <w:color w:val="auto"/>
              </w:rPr>
              <w:t>(273)</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2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(470)</w:t>
            </w:r>
          </w:p>
        </w:tc>
      </w:tr>
      <w:tr>
        <w:trPr>
          <w:trHeight w:val="222"/>
        </w:trPr>
        <w:tc>
          <w:tcPr>
            <w:tcW w:w="3020" w:type="dxa"/>
            <w:vAlign w:val="bottom"/>
          </w:tcPr>
          <w:p>
            <w:pPr>
              <w:ind w:left="20"/>
              <w:spacing w:after="0"/>
              <w:rPr>
                <w:sz w:val="20"/>
                <w:szCs w:val="20"/>
                <w:color w:val="auto"/>
              </w:rPr>
            </w:pPr>
            <w:r>
              <w:rPr>
                <w:rFonts w:ascii="Arial" w:cs="Arial" w:eastAsia="Arial" w:hAnsi="Arial"/>
                <w:sz w:val="16"/>
                <w:szCs w:val="16"/>
                <w:color w:val="auto"/>
              </w:rPr>
              <w:t>PE</w:t>
            </w:r>
          </w:p>
        </w:tc>
        <w:tc>
          <w:tcPr>
            <w:tcW w:w="1620" w:type="dxa"/>
            <w:vAlign w:val="bottom"/>
          </w:tcPr>
          <w:p>
            <w:pPr>
              <w:spacing w:after="0"/>
              <w:rPr>
                <w:sz w:val="19"/>
                <w:szCs w:val="19"/>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420" w:type="dxa"/>
            <w:vAlign w:val="bottom"/>
          </w:tcPr>
          <w:p>
            <w:pPr>
              <w:spacing w:after="0"/>
              <w:rPr>
                <w:sz w:val="19"/>
                <w:szCs w:val="19"/>
                <w:color w:val="auto"/>
              </w:rPr>
            </w:pPr>
          </w:p>
        </w:tc>
        <w:tc>
          <w:tcPr>
            <w:tcW w:w="1240" w:type="dxa"/>
            <w:vAlign w:val="bottom"/>
          </w:tcPr>
          <w:p>
            <w:pPr>
              <w:jc w:val="right"/>
              <w:ind w:right="421"/>
              <w:spacing w:after="0"/>
              <w:rPr>
                <w:sz w:val="20"/>
                <w:szCs w:val="20"/>
                <w:color w:val="auto"/>
              </w:rPr>
            </w:pPr>
            <w:r>
              <w:rPr>
                <w:rFonts w:ascii="Arial" w:cs="Arial" w:eastAsia="Arial" w:hAnsi="Arial"/>
                <w:sz w:val="16"/>
                <w:szCs w:val="16"/>
                <w:color w:val="auto"/>
              </w:rPr>
              <w:t>(20)</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26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213"/>
        </w:trPr>
        <w:tc>
          <w:tcPr>
            <w:tcW w:w="3020" w:type="dxa"/>
            <w:vAlign w:val="bottom"/>
          </w:tcPr>
          <w:p>
            <w:pPr>
              <w:ind w:left="20"/>
              <w:spacing w:after="0"/>
              <w:rPr>
                <w:sz w:val="20"/>
                <w:szCs w:val="20"/>
                <w:color w:val="auto"/>
              </w:rPr>
            </w:pPr>
            <w:r>
              <w:rPr>
                <w:rFonts w:ascii="Arial" w:cs="Arial" w:eastAsia="Arial" w:hAnsi="Arial"/>
                <w:sz w:val="16"/>
                <w:szCs w:val="16"/>
                <w:color w:val="auto"/>
              </w:rPr>
              <w:t>SoCalGas</w:t>
            </w:r>
          </w:p>
        </w:tc>
        <w:tc>
          <w:tcPr>
            <w:tcW w:w="16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(112)</w:t>
            </w:r>
          </w:p>
        </w:tc>
        <w:tc>
          <w:tcPr>
            <w:tcW w:w="420" w:type="dxa"/>
            <w:vAlign w:val="bottom"/>
          </w:tcPr>
          <w:p>
            <w:pPr>
              <w:spacing w:after="0"/>
              <w:rPr>
                <w:sz w:val="18"/>
                <w:szCs w:val="18"/>
                <w:color w:val="auto"/>
              </w:rPr>
            </w:pPr>
          </w:p>
        </w:tc>
        <w:tc>
          <w:tcPr>
            <w:tcW w:w="1240" w:type="dxa"/>
            <w:vAlign w:val="bottom"/>
          </w:tcPr>
          <w:p>
            <w:pPr>
              <w:jc w:val="right"/>
              <w:ind w:right="421"/>
              <w:spacing w:after="0"/>
              <w:rPr>
                <w:sz w:val="20"/>
                <w:szCs w:val="20"/>
                <w:color w:val="auto"/>
              </w:rPr>
            </w:pPr>
            <w:r>
              <w:rPr>
                <w:rFonts w:ascii="Arial" w:cs="Arial" w:eastAsia="Arial" w:hAnsi="Arial"/>
                <w:sz w:val="16"/>
                <w:szCs w:val="16"/>
                <w:color w:val="auto"/>
              </w:rPr>
              <w:t>(15)</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84"/>
        </w:trPr>
        <w:tc>
          <w:tcPr>
            <w:tcW w:w="3020" w:type="dxa"/>
            <w:vAlign w:val="bottom"/>
            <w:shd w:val="clear" w:color="auto" w:fill="DFDFDF"/>
          </w:tcPr>
          <w:p>
            <w:pPr>
              <w:spacing w:after="0"/>
              <w:rPr>
                <w:sz w:val="7"/>
                <w:szCs w:val="7"/>
                <w:color w:val="auto"/>
              </w:rPr>
            </w:pPr>
          </w:p>
        </w:tc>
        <w:tc>
          <w:tcPr>
            <w:tcW w:w="1620" w:type="dxa"/>
            <w:vAlign w:val="bottom"/>
            <w:shd w:val="clear" w:color="auto" w:fill="DFDFDF"/>
          </w:tcPr>
          <w:p>
            <w:pPr>
              <w:spacing w:after="0"/>
              <w:rPr>
                <w:sz w:val="7"/>
                <w:szCs w:val="7"/>
                <w:color w:val="auto"/>
              </w:rPr>
            </w:pPr>
          </w:p>
        </w:tc>
        <w:tc>
          <w:tcPr>
            <w:tcW w:w="440" w:type="dxa"/>
            <w:vAlign w:val="bottom"/>
            <w:tcBorders>
              <w:right w:val="single" w:sz="8" w:color="DFDFDF"/>
            </w:tcBorders>
            <w:shd w:val="clear" w:color="auto" w:fill="DFDFDF"/>
          </w:tcPr>
          <w:p>
            <w:pPr>
              <w:spacing w:after="0"/>
              <w:rPr>
                <w:sz w:val="7"/>
                <w:szCs w:val="7"/>
                <w:color w:val="auto"/>
              </w:rPr>
            </w:pPr>
          </w:p>
        </w:tc>
        <w:tc>
          <w:tcPr>
            <w:tcW w:w="420" w:type="dxa"/>
            <w:vAlign w:val="bottom"/>
            <w:shd w:val="clear" w:color="auto" w:fill="DFDFDF"/>
          </w:tcPr>
          <w:p>
            <w:pPr>
              <w:spacing w:after="0"/>
              <w:rPr>
                <w:sz w:val="7"/>
                <w:szCs w:val="7"/>
                <w:color w:val="auto"/>
              </w:rPr>
            </w:pPr>
          </w:p>
        </w:tc>
        <w:tc>
          <w:tcPr>
            <w:tcW w:w="1240" w:type="dxa"/>
            <w:vAlign w:val="bottom"/>
            <w:shd w:val="clear" w:color="auto" w:fill="DFDFDF"/>
          </w:tcPr>
          <w:p>
            <w:pPr>
              <w:spacing w:after="0"/>
              <w:rPr>
                <w:sz w:val="7"/>
                <w:szCs w:val="7"/>
                <w:color w:val="auto"/>
              </w:rPr>
            </w:pPr>
          </w:p>
        </w:tc>
        <w:tc>
          <w:tcPr>
            <w:tcW w:w="440" w:type="dxa"/>
            <w:vAlign w:val="bottom"/>
            <w:shd w:val="clear" w:color="auto" w:fill="DFDFDF"/>
          </w:tcPr>
          <w:p>
            <w:pPr>
              <w:spacing w:after="0"/>
              <w:rPr>
                <w:sz w:val="7"/>
                <w:szCs w:val="7"/>
                <w:color w:val="auto"/>
              </w:rPr>
            </w:pPr>
          </w:p>
        </w:tc>
        <w:tc>
          <w:tcPr>
            <w:tcW w:w="260" w:type="dxa"/>
            <w:vAlign w:val="bottom"/>
            <w:tcBorders>
              <w:right w:val="single" w:sz="8" w:color="DFDFDF"/>
            </w:tcBorders>
            <w:shd w:val="clear" w:color="auto" w:fill="DFDFDF"/>
          </w:tcPr>
          <w:p>
            <w:pPr>
              <w:spacing w:after="0"/>
              <w:rPr>
                <w:sz w:val="7"/>
                <w:szCs w:val="7"/>
                <w:color w:val="auto"/>
              </w:rPr>
            </w:pPr>
          </w:p>
        </w:tc>
        <w:tc>
          <w:tcPr>
            <w:tcW w:w="260" w:type="dxa"/>
            <w:vAlign w:val="bottom"/>
            <w:shd w:val="clear" w:color="auto" w:fill="DFDFDF"/>
          </w:tcPr>
          <w:p>
            <w:pPr>
              <w:spacing w:after="0"/>
              <w:rPr>
                <w:sz w:val="7"/>
                <w:szCs w:val="7"/>
                <w:color w:val="auto"/>
              </w:rPr>
            </w:pPr>
          </w:p>
        </w:tc>
        <w:tc>
          <w:tcPr>
            <w:tcW w:w="920" w:type="dxa"/>
            <w:vAlign w:val="bottom"/>
            <w:shd w:val="clear" w:color="auto" w:fill="DFDFDF"/>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3199765</wp:posOffset>
            </wp:positionH>
            <wp:positionV relativeFrom="paragraph">
              <wp:posOffset>-200660</wp:posOffset>
            </wp:positionV>
            <wp:extent cx="227330" cy="2139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27330" cy="21399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-200660</wp:posOffset>
            </wp:positionV>
            <wp:extent cx="227330" cy="2139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27330" cy="21399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Cash used in investing activities at Sempra Energy decreased in 2009 primarily due to:</w:t>
      </w:r>
    </w:p>
    <w:p>
      <w:pPr>
        <w:spacing w:after="0" w:line="22" w:lineRule="exact"/>
        <w:rPr>
          <w:sz w:val="20"/>
          <w:szCs w:val="20"/>
          <w:color w:val="auto"/>
        </w:rPr>
      </w:pPr>
    </w:p>
    <w:p>
      <w:pPr>
        <w:ind w:left="180" w:hanging="172"/>
        <w:spacing w:after="0"/>
        <w:tabs>
          <w:tab w:leader="none" w:pos="180" w:val="left"/>
        </w:tabs>
        <w:numPr>
          <w:ilvl w:val="0"/>
          <w:numId w:val="87"/>
        </w:numPr>
        <w:rPr>
          <w:rFonts w:ascii="Arial" w:cs="Arial" w:eastAsia="Arial" w:hAnsi="Arial"/>
          <w:sz w:val="22"/>
          <w:szCs w:val="22"/>
          <w:color w:val="auto"/>
        </w:rPr>
      </w:pPr>
      <w:r>
        <w:rPr>
          <w:rFonts w:ascii="Arial" w:cs="Arial" w:eastAsia="Arial" w:hAnsi="Arial"/>
          <w:sz w:val="22"/>
          <w:szCs w:val="22"/>
          <w:color w:val="auto"/>
        </w:rPr>
        <w:t>$125 million lower contributions to Rockies Express ($25 million in 2009 compared to $150 million in 2008) and;</w:t>
      </w:r>
    </w:p>
    <w:p>
      <w:pPr>
        <w:spacing w:after="0" w:line="30" w:lineRule="exact"/>
        <w:rPr>
          <w:rFonts w:ascii="Arial" w:cs="Arial" w:eastAsia="Arial" w:hAnsi="Arial"/>
          <w:sz w:val="22"/>
          <w:szCs w:val="22"/>
          <w:color w:val="auto"/>
        </w:rPr>
      </w:pPr>
    </w:p>
    <w:p>
      <w:pPr>
        <w:ind w:left="180" w:hanging="172"/>
        <w:spacing w:after="0"/>
        <w:tabs>
          <w:tab w:leader="none" w:pos="180" w:val="left"/>
        </w:tabs>
        <w:numPr>
          <w:ilvl w:val="0"/>
          <w:numId w:val="87"/>
        </w:numPr>
        <w:rPr>
          <w:rFonts w:ascii="Arial" w:cs="Arial" w:eastAsia="Arial" w:hAnsi="Arial"/>
          <w:sz w:val="22"/>
          <w:szCs w:val="22"/>
          <w:color w:val="auto"/>
        </w:rPr>
      </w:pPr>
      <w:r>
        <w:rPr>
          <w:rFonts w:ascii="Arial" w:cs="Arial" w:eastAsia="Arial" w:hAnsi="Arial"/>
          <w:sz w:val="22"/>
          <w:szCs w:val="22"/>
          <w:color w:val="auto"/>
        </w:rPr>
        <w:t>$413 million purchase of industrial development bonds in 2008.</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49"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The decrease in cash used in investing activities at SDG&amp;E in 2009 was primarily due to the $236 million purchase of industrial development bonds in 2008.</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PE and SoCalGas</w:t>
      </w:r>
    </w:p>
    <w:p>
      <w:pPr>
        <w:spacing w:after="0" w:line="36" w:lineRule="exact"/>
        <w:rPr>
          <w:sz w:val="20"/>
          <w:szCs w:val="20"/>
          <w:color w:val="auto"/>
        </w:rPr>
      </w:pPr>
    </w:p>
    <w:p>
      <w:pPr>
        <w:ind w:right="440"/>
        <w:spacing w:after="0" w:line="251" w:lineRule="auto"/>
        <w:rPr>
          <w:sz w:val="20"/>
          <w:szCs w:val="20"/>
          <w:color w:val="auto"/>
        </w:rPr>
      </w:pPr>
      <w:r>
        <w:rPr>
          <w:rFonts w:ascii="Arial" w:cs="Arial" w:eastAsia="Arial" w:hAnsi="Arial"/>
          <w:sz w:val="22"/>
          <w:szCs w:val="22"/>
          <w:color w:val="auto"/>
        </w:rPr>
        <w:t>Cash used in investing activities at PE decreased in 2009 primarily due to an increase in advances from SoCalGas to Sempra Energy of $11 million in 2008.</w:t>
      </w:r>
    </w:p>
    <w:p>
      <w:pPr>
        <w:sectPr>
          <w:pgSz w:w="11900" w:h="16838" w:orient="portrait"/>
          <w:cols w:equalWidth="0" w:num="1">
            <w:col w:w="11220"/>
          </w:cols>
          <w:pgMar w:left="240" w:top="325" w:right="439" w:bottom="1440" w:gutter="0" w:footer="0" w:header="0"/>
        </w:sectPr>
      </w:pPr>
    </w:p>
    <w:bookmarkStart w:id="75" w:name="page76"/>
    <w:bookmarkEnd w:id="75"/>
    <w:p>
      <w:pPr>
        <w:spacing w:after="0"/>
        <w:rPr>
          <w:sz w:val="20"/>
          <w:szCs w:val="20"/>
          <w:color w:val="auto"/>
        </w:rPr>
      </w:pPr>
      <w:r>
        <w:rPr>
          <w:rFonts w:ascii="Arial" w:cs="Arial" w:eastAsia="Arial" w:hAnsi="Arial"/>
          <w:sz w:val="22"/>
          <w:szCs w:val="22"/>
          <w:b w:val="1"/>
          <w:bCs w:val="1"/>
          <w:color w:val="auto"/>
        </w:rPr>
        <w:t>FUTURE CONSTRUCTION EXPENDITURES AND INVESTMENTS</w:t>
      </w:r>
    </w:p>
    <w:p>
      <w:pPr>
        <w:spacing w:after="0" w:line="9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The amounts and timing of capital expenditures are generally subject to approvals by the California Public Utilities Commission (CPUC), the Federal Energy Regulatory Commission (FERC) and other regulatory bodies. However, in 2009, we expect to make capital expenditures and investments of $2.5 billion, including:</w:t>
      </w:r>
    </w:p>
    <w:p>
      <w:pPr>
        <w:spacing w:after="0" w:line="11" w:lineRule="exact"/>
        <w:rPr>
          <w:sz w:val="20"/>
          <w:szCs w:val="20"/>
          <w:color w:val="auto"/>
        </w:rPr>
      </w:pPr>
    </w:p>
    <w:p>
      <w:pPr>
        <w:ind w:left="180" w:right="1200" w:hanging="172"/>
        <w:spacing w:after="0" w:line="245" w:lineRule="auto"/>
        <w:tabs>
          <w:tab w:leader="none" w:pos="180" w:val="left"/>
        </w:tabs>
        <w:numPr>
          <w:ilvl w:val="0"/>
          <w:numId w:val="88"/>
        </w:numPr>
        <w:rPr>
          <w:rFonts w:ascii="Arial" w:cs="Arial" w:eastAsia="Arial" w:hAnsi="Arial"/>
          <w:sz w:val="22"/>
          <w:szCs w:val="22"/>
          <w:color w:val="auto"/>
        </w:rPr>
      </w:pPr>
      <w:r>
        <w:rPr>
          <w:rFonts w:ascii="Arial" w:cs="Arial" w:eastAsia="Arial" w:hAnsi="Arial"/>
          <w:sz w:val="22"/>
          <w:szCs w:val="22"/>
          <w:color w:val="auto"/>
        </w:rPr>
        <w:t>$1.3 billion at the Sempra Utilities for capital projects and plant improvements ($800 million at SDG&amp;E and $500 million at SoCalGas)</w:t>
      </w:r>
    </w:p>
    <w:p>
      <w:pPr>
        <w:spacing w:after="0" w:line="1" w:lineRule="exact"/>
        <w:rPr>
          <w:rFonts w:ascii="Arial" w:cs="Arial" w:eastAsia="Arial" w:hAnsi="Arial"/>
          <w:sz w:val="22"/>
          <w:szCs w:val="22"/>
          <w:color w:val="auto"/>
        </w:rPr>
      </w:pPr>
    </w:p>
    <w:p>
      <w:pPr>
        <w:ind w:left="180" w:right="1740" w:hanging="172"/>
        <w:spacing w:after="0" w:line="246" w:lineRule="auto"/>
        <w:tabs>
          <w:tab w:leader="none" w:pos="180" w:val="left"/>
        </w:tabs>
        <w:numPr>
          <w:ilvl w:val="0"/>
          <w:numId w:val="88"/>
        </w:numPr>
        <w:rPr>
          <w:rFonts w:ascii="Arial" w:cs="Arial" w:eastAsia="Arial" w:hAnsi="Arial"/>
          <w:sz w:val="22"/>
          <w:szCs w:val="22"/>
          <w:color w:val="auto"/>
        </w:rPr>
      </w:pPr>
      <w:r>
        <w:rPr>
          <w:rFonts w:ascii="Arial" w:cs="Arial" w:eastAsia="Arial" w:hAnsi="Arial"/>
          <w:sz w:val="22"/>
          <w:szCs w:val="22"/>
          <w:color w:val="auto"/>
        </w:rPr>
        <w:t>$1.2 billion at our other subsidiaries for the development of LNG facilities, natural gas storage facilities and pipelines, and renewable generation projects</w:t>
      </w:r>
    </w:p>
    <w:p>
      <w:pPr>
        <w:spacing w:after="0" w:line="98" w:lineRule="exact"/>
        <w:rPr>
          <w:sz w:val="20"/>
          <w:szCs w:val="20"/>
          <w:color w:val="auto"/>
        </w:rPr>
      </w:pPr>
    </w:p>
    <w:p>
      <w:pPr>
        <w:ind w:right="400"/>
        <w:spacing w:after="0" w:line="251" w:lineRule="auto"/>
        <w:rPr>
          <w:sz w:val="20"/>
          <w:szCs w:val="20"/>
          <w:color w:val="auto"/>
        </w:rPr>
      </w:pPr>
      <w:r>
        <w:rPr>
          <w:rFonts w:ascii="Arial" w:cs="Arial" w:eastAsia="Arial" w:hAnsi="Arial"/>
          <w:sz w:val="22"/>
          <w:szCs w:val="22"/>
          <w:color w:val="auto"/>
        </w:rPr>
        <w:t>The expected capital expenditures of $1.2 billion at our other subsidiaries include an expected contribution of $450 million to Rockies Express.</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The Sempra Utilities expect the capital expenditures to include</w:t>
      </w:r>
    </w:p>
    <w:p>
      <w:pPr>
        <w:spacing w:after="0" w:line="31" w:lineRule="exact"/>
        <w:rPr>
          <w:sz w:val="20"/>
          <w:szCs w:val="20"/>
          <w:color w:val="auto"/>
        </w:rPr>
      </w:pPr>
    </w:p>
    <w:p>
      <w:pPr>
        <w:ind w:left="180" w:right="1580" w:hanging="172"/>
        <w:spacing w:after="0" w:line="245" w:lineRule="auto"/>
        <w:tabs>
          <w:tab w:leader="none" w:pos="180" w:val="left"/>
        </w:tabs>
        <w:numPr>
          <w:ilvl w:val="0"/>
          <w:numId w:val="89"/>
        </w:numPr>
        <w:rPr>
          <w:rFonts w:ascii="Arial" w:cs="Arial" w:eastAsia="Arial" w:hAnsi="Arial"/>
          <w:sz w:val="22"/>
          <w:szCs w:val="22"/>
          <w:color w:val="auto"/>
        </w:rPr>
      </w:pPr>
      <w:r>
        <w:rPr>
          <w:rFonts w:ascii="Arial" w:cs="Arial" w:eastAsia="Arial" w:hAnsi="Arial"/>
          <w:sz w:val="22"/>
          <w:szCs w:val="22"/>
          <w:color w:val="auto"/>
        </w:rPr>
        <w:t>$500 million for additions to SDG&amp;E’s natural gas and electric distribution generation systems, and advanced metering infrastructure</w:t>
      </w:r>
    </w:p>
    <w:p>
      <w:pPr>
        <w:spacing w:after="0" w:line="1" w:lineRule="exact"/>
        <w:rPr>
          <w:rFonts w:ascii="Arial" w:cs="Arial" w:eastAsia="Arial" w:hAnsi="Arial"/>
          <w:sz w:val="22"/>
          <w:szCs w:val="22"/>
          <w:color w:val="auto"/>
        </w:rPr>
      </w:pPr>
    </w:p>
    <w:p>
      <w:pPr>
        <w:ind w:left="180" w:right="1300" w:hanging="172"/>
        <w:spacing w:after="0" w:line="246" w:lineRule="auto"/>
        <w:tabs>
          <w:tab w:leader="none" w:pos="180" w:val="left"/>
        </w:tabs>
        <w:numPr>
          <w:ilvl w:val="0"/>
          <w:numId w:val="89"/>
        </w:numPr>
        <w:rPr>
          <w:rFonts w:ascii="Arial" w:cs="Arial" w:eastAsia="Arial" w:hAnsi="Arial"/>
          <w:sz w:val="22"/>
          <w:szCs w:val="22"/>
          <w:color w:val="auto"/>
        </w:rPr>
      </w:pPr>
      <w:r>
        <w:rPr>
          <w:rFonts w:ascii="Arial" w:cs="Arial" w:eastAsia="Arial" w:hAnsi="Arial"/>
          <w:sz w:val="22"/>
          <w:szCs w:val="22"/>
          <w:color w:val="auto"/>
        </w:rPr>
        <w:t>$500 million at SoCalGas for improvements to distribution and transmission systems, and for advanced metering infrastructure</w:t>
      </w:r>
    </w:p>
    <w:p>
      <w:pPr>
        <w:spacing w:after="0" w:line="3" w:lineRule="exact"/>
        <w:rPr>
          <w:rFonts w:ascii="Arial" w:cs="Arial" w:eastAsia="Arial" w:hAnsi="Arial"/>
          <w:sz w:val="22"/>
          <w:szCs w:val="22"/>
          <w:color w:val="auto"/>
        </w:rPr>
      </w:pPr>
    </w:p>
    <w:p>
      <w:pPr>
        <w:ind w:left="180" w:hanging="172"/>
        <w:spacing w:after="0"/>
        <w:tabs>
          <w:tab w:leader="none" w:pos="180" w:val="left"/>
        </w:tabs>
        <w:numPr>
          <w:ilvl w:val="0"/>
          <w:numId w:val="89"/>
        </w:numPr>
        <w:rPr>
          <w:rFonts w:ascii="Arial" w:cs="Arial" w:eastAsia="Arial" w:hAnsi="Arial"/>
          <w:sz w:val="22"/>
          <w:szCs w:val="22"/>
          <w:color w:val="auto"/>
        </w:rPr>
      </w:pPr>
      <w:r>
        <w:rPr>
          <w:rFonts w:ascii="Arial" w:cs="Arial" w:eastAsia="Arial" w:hAnsi="Arial"/>
          <w:sz w:val="22"/>
          <w:szCs w:val="22"/>
          <w:color w:val="auto"/>
        </w:rPr>
        <w:t>$200 million for improvements to SDG&amp;E’s electric transmission infrastructure</w:t>
      </w:r>
    </w:p>
    <w:p>
      <w:pPr>
        <w:spacing w:after="0" w:line="35" w:lineRule="exact"/>
        <w:rPr>
          <w:rFonts w:ascii="Arial" w:cs="Arial" w:eastAsia="Arial" w:hAnsi="Arial"/>
          <w:sz w:val="22"/>
          <w:szCs w:val="22"/>
          <w:color w:val="auto"/>
        </w:rPr>
      </w:pPr>
    </w:p>
    <w:p>
      <w:pPr>
        <w:ind w:left="180" w:hanging="172"/>
        <w:spacing w:after="0"/>
        <w:tabs>
          <w:tab w:leader="none" w:pos="180" w:val="left"/>
        </w:tabs>
        <w:numPr>
          <w:ilvl w:val="0"/>
          <w:numId w:val="89"/>
        </w:numPr>
        <w:rPr>
          <w:rFonts w:ascii="Arial" w:cs="Arial" w:eastAsia="Arial" w:hAnsi="Arial"/>
          <w:sz w:val="22"/>
          <w:szCs w:val="22"/>
          <w:color w:val="auto"/>
        </w:rPr>
      </w:pPr>
      <w:r>
        <w:rPr>
          <w:rFonts w:ascii="Arial" w:cs="Arial" w:eastAsia="Arial" w:hAnsi="Arial"/>
          <w:sz w:val="22"/>
          <w:szCs w:val="22"/>
          <w:color w:val="auto"/>
        </w:rPr>
        <w:t>$100 million at SDG&amp;E for the Sunrise Powerlink transmission line</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Our level of capital expenditures and investments in the next few years may vary substantially and will depend on the cost and availability of financing, regulatory approvals and business opportunities providing desirable rates of return. We intend to finance our capital expenditures in a manner that will maintain our strong investment-grade ratings and capital structure.</w:t>
      </w: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5462905" cy="2743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462905" cy="274320"/>
                    </a:xfrm>
                    <a:prstGeom prst="rect">
                      <a:avLst/>
                    </a:prstGeom>
                    <a:noFill/>
                  </pic:spPr>
                </pic:pic>
              </a:graphicData>
            </a:graphic>
          </wp:anchor>
        </w:drawing>
      </w:r>
    </w:p>
    <w:p>
      <w:pPr>
        <w:spacing w:after="0" w:line="34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FLOWS FROM FINANCING ACTIVITIES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0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44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 Change</w:t>
            </w:r>
          </w:p>
        </w:tc>
        <w:tc>
          <w:tcPr>
            <w:tcW w:w="480" w:type="dxa"/>
            <w:vAlign w:val="bottom"/>
            <w:tcBorders>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2008</w:t>
            </w:r>
          </w:p>
        </w:tc>
      </w:tr>
      <w:tr>
        <w:trPr>
          <w:trHeight w:val="210"/>
        </w:trPr>
        <w:tc>
          <w:tcPr>
            <w:tcW w:w="3020" w:type="dxa"/>
            <w:vAlign w:val="bottom"/>
          </w:tcPr>
          <w:p>
            <w:pPr>
              <w:ind w:left="20"/>
              <w:spacing w:after="0"/>
              <w:rPr>
                <w:sz w:val="20"/>
                <w:szCs w:val="20"/>
                <w:color w:val="auto"/>
              </w:rPr>
            </w:pPr>
            <w:r>
              <w:rPr>
                <w:rFonts w:ascii="Arial" w:cs="Arial" w:eastAsia="Arial" w:hAnsi="Arial"/>
                <w:sz w:val="16"/>
                <w:szCs w:val="16"/>
                <w:color w:val="auto"/>
              </w:rPr>
              <w:t>Sempra Energy Consolidated</w:t>
            </w:r>
          </w:p>
        </w:tc>
        <w:tc>
          <w:tcPr>
            <w:tcW w:w="1620" w:type="dxa"/>
            <w:vAlign w:val="bottom"/>
          </w:tcPr>
          <w:p>
            <w:pPr>
              <w:jc w:val="right"/>
              <w:ind w:right="583"/>
              <w:spacing w:after="0"/>
              <w:rPr>
                <w:sz w:val="20"/>
                <w:szCs w:val="20"/>
                <w:color w:val="auto"/>
              </w:rPr>
            </w:pPr>
            <w:r>
              <w:rPr>
                <w:rFonts w:ascii="Arial" w:cs="Arial" w:eastAsia="Arial" w:hAnsi="Arial"/>
                <w:sz w:val="16"/>
                <w:szCs w:val="16"/>
                <w:color w:val="auto"/>
              </w:rPr>
              <w:t>$</w:t>
            </w: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81"/>
              <w:spacing w:after="0"/>
              <w:rPr>
                <w:sz w:val="20"/>
                <w:szCs w:val="20"/>
                <w:color w:val="auto"/>
              </w:rPr>
            </w:pPr>
            <w:r>
              <w:rPr>
                <w:rFonts w:ascii="Arial" w:cs="Arial" w:eastAsia="Arial" w:hAnsi="Arial"/>
                <w:sz w:val="16"/>
                <w:szCs w:val="16"/>
                <w:color w:val="auto"/>
              </w:rPr>
              <w:t>(744)</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w w:val="96"/>
              </w:rPr>
              <w:t>(144)</w:t>
            </w:r>
          </w:p>
        </w:tc>
        <w:tc>
          <w:tcPr>
            <w:tcW w:w="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516</w:t>
            </w:r>
          </w:p>
        </w:tc>
      </w:tr>
      <w:tr>
        <w:trPr>
          <w:trHeight w:val="216"/>
        </w:trPr>
        <w:tc>
          <w:tcPr>
            <w:tcW w:w="3020" w:type="dxa"/>
            <w:vAlign w:val="bottom"/>
          </w:tcPr>
          <w:p>
            <w:pPr>
              <w:ind w:left="20"/>
              <w:spacing w:after="0"/>
              <w:rPr>
                <w:sz w:val="20"/>
                <w:szCs w:val="20"/>
                <w:color w:val="auto"/>
              </w:rPr>
            </w:pPr>
            <w:r>
              <w:rPr>
                <w:rFonts w:ascii="Arial" w:cs="Arial" w:eastAsia="Arial" w:hAnsi="Arial"/>
                <w:sz w:val="16"/>
                <w:szCs w:val="16"/>
                <w:color w:val="auto"/>
              </w:rPr>
              <w:t>SDG&amp;E</w:t>
            </w:r>
          </w:p>
        </w:tc>
        <w:tc>
          <w:tcPr>
            <w:tcW w:w="1620" w:type="dxa"/>
            <w:vAlign w:val="bottom"/>
          </w:tcPr>
          <w:p>
            <w:pPr>
              <w:spacing w:after="0"/>
              <w:rPr>
                <w:sz w:val="18"/>
                <w:szCs w:val="18"/>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420" w:type="dxa"/>
            <w:vAlign w:val="bottom"/>
          </w:tcPr>
          <w:p>
            <w:pPr>
              <w:spacing w:after="0"/>
              <w:rPr>
                <w:sz w:val="18"/>
                <w:szCs w:val="18"/>
                <w:color w:val="auto"/>
              </w:rPr>
            </w:pPr>
          </w:p>
        </w:tc>
        <w:tc>
          <w:tcPr>
            <w:tcW w:w="1200" w:type="dxa"/>
            <w:vAlign w:val="bottom"/>
          </w:tcPr>
          <w:p>
            <w:pPr>
              <w:jc w:val="right"/>
              <w:ind w:right="381"/>
              <w:spacing w:after="0"/>
              <w:rPr>
                <w:sz w:val="20"/>
                <w:szCs w:val="20"/>
                <w:color w:val="auto"/>
              </w:rPr>
            </w:pPr>
            <w:r>
              <w:rPr>
                <w:rFonts w:ascii="Arial" w:cs="Arial" w:eastAsia="Arial" w:hAnsi="Arial"/>
                <w:sz w:val="16"/>
                <w:szCs w:val="16"/>
                <w:color w:val="auto"/>
              </w:rPr>
              <w:t>(92)</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w w:val="96"/>
              </w:rPr>
              <w:t>(142)</w:t>
            </w:r>
          </w:p>
        </w:tc>
        <w:tc>
          <w:tcPr>
            <w:tcW w:w="2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22"/>
        </w:trPr>
        <w:tc>
          <w:tcPr>
            <w:tcW w:w="3020" w:type="dxa"/>
            <w:vAlign w:val="bottom"/>
          </w:tcPr>
          <w:p>
            <w:pPr>
              <w:ind w:left="20"/>
              <w:spacing w:after="0"/>
              <w:rPr>
                <w:sz w:val="20"/>
                <w:szCs w:val="20"/>
                <w:color w:val="auto"/>
              </w:rPr>
            </w:pPr>
            <w:r>
              <w:rPr>
                <w:rFonts w:ascii="Arial" w:cs="Arial" w:eastAsia="Arial" w:hAnsi="Arial"/>
                <w:sz w:val="16"/>
                <w:szCs w:val="16"/>
                <w:color w:val="auto"/>
              </w:rPr>
              <w:t>PE</w:t>
            </w:r>
          </w:p>
        </w:tc>
        <w:tc>
          <w:tcPr>
            <w:tcW w:w="1620" w:type="dxa"/>
            <w:vAlign w:val="bottom"/>
          </w:tcPr>
          <w:p>
            <w:pPr>
              <w:spacing w:after="0"/>
              <w:rPr>
                <w:sz w:val="19"/>
                <w:szCs w:val="19"/>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20" w:type="dxa"/>
            <w:vAlign w:val="bottom"/>
          </w:tcPr>
          <w:p>
            <w:pPr>
              <w:spacing w:after="0"/>
              <w:rPr>
                <w:sz w:val="19"/>
                <w:szCs w:val="19"/>
                <w:color w:val="auto"/>
              </w:rPr>
            </w:pPr>
          </w:p>
        </w:tc>
        <w:tc>
          <w:tcPr>
            <w:tcW w:w="1200" w:type="dxa"/>
            <w:vAlign w:val="bottom"/>
          </w:tcPr>
          <w:p>
            <w:pPr>
              <w:jc w:val="right"/>
              <w:ind w:right="441"/>
              <w:spacing w:after="0"/>
              <w:rPr>
                <w:sz w:val="20"/>
                <w:szCs w:val="20"/>
                <w:color w:val="auto"/>
              </w:rPr>
            </w:pPr>
            <w:r>
              <w:rPr>
                <w:rFonts w:ascii="Arial" w:cs="Arial" w:eastAsia="Arial" w:hAnsi="Arial"/>
                <w:sz w:val="16"/>
                <w:szCs w:val="16"/>
                <w:color w:val="auto"/>
              </w:rPr>
              <w:t>150</w:t>
            </w:r>
          </w:p>
        </w:tc>
        <w:tc>
          <w:tcPr>
            <w:tcW w:w="480" w:type="dxa"/>
            <w:vAlign w:val="bottom"/>
          </w:tcPr>
          <w:p>
            <w:pPr>
              <w:jc w:val="right"/>
              <w:ind w:right="59"/>
              <w:spacing w:after="0"/>
              <w:rPr>
                <w:sz w:val="20"/>
                <w:szCs w:val="20"/>
                <w:color w:val="auto"/>
              </w:rPr>
            </w:pPr>
            <w:r>
              <w:rPr>
                <w:rFonts w:ascii="Arial" w:cs="Arial" w:eastAsia="Arial" w:hAnsi="Arial"/>
                <w:sz w:val="16"/>
                <w:szCs w:val="16"/>
                <w:color w:val="auto"/>
              </w:rPr>
              <w:t>99</w:t>
            </w:r>
          </w:p>
        </w:tc>
        <w:tc>
          <w:tcPr>
            <w:tcW w:w="26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213"/>
        </w:trPr>
        <w:tc>
          <w:tcPr>
            <w:tcW w:w="3020" w:type="dxa"/>
            <w:vAlign w:val="bottom"/>
          </w:tcPr>
          <w:p>
            <w:pPr>
              <w:ind w:left="20"/>
              <w:spacing w:after="0"/>
              <w:rPr>
                <w:sz w:val="20"/>
                <w:szCs w:val="20"/>
                <w:color w:val="auto"/>
              </w:rPr>
            </w:pPr>
            <w:r>
              <w:rPr>
                <w:rFonts w:ascii="Arial" w:cs="Arial" w:eastAsia="Arial" w:hAnsi="Arial"/>
                <w:sz w:val="16"/>
                <w:szCs w:val="16"/>
                <w:color w:val="auto"/>
              </w:rPr>
              <w:t>SoCalGas</w:t>
            </w:r>
          </w:p>
        </w:tc>
        <w:tc>
          <w:tcPr>
            <w:tcW w:w="16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200" w:type="dxa"/>
            <w:vAlign w:val="bottom"/>
          </w:tcPr>
          <w:p>
            <w:pPr>
              <w:jc w:val="right"/>
              <w:ind w:right="441"/>
              <w:spacing w:after="0"/>
              <w:rPr>
                <w:sz w:val="20"/>
                <w:szCs w:val="20"/>
                <w:color w:val="auto"/>
              </w:rPr>
            </w:pPr>
            <w:r>
              <w:rPr>
                <w:rFonts w:ascii="Arial" w:cs="Arial" w:eastAsia="Arial" w:hAnsi="Arial"/>
                <w:sz w:val="16"/>
                <w:szCs w:val="16"/>
                <w:color w:val="auto"/>
              </w:rPr>
              <w:t>150</w:t>
            </w:r>
          </w:p>
        </w:tc>
        <w:tc>
          <w:tcPr>
            <w:tcW w:w="480" w:type="dxa"/>
            <w:vAlign w:val="bottom"/>
          </w:tcPr>
          <w:p>
            <w:pPr>
              <w:jc w:val="right"/>
              <w:ind w:right="59"/>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84"/>
        </w:trPr>
        <w:tc>
          <w:tcPr>
            <w:tcW w:w="3020" w:type="dxa"/>
            <w:vAlign w:val="bottom"/>
            <w:shd w:val="clear" w:color="auto" w:fill="DFDFDF"/>
          </w:tcPr>
          <w:p>
            <w:pPr>
              <w:spacing w:after="0"/>
              <w:rPr>
                <w:sz w:val="7"/>
                <w:szCs w:val="7"/>
                <w:color w:val="auto"/>
              </w:rPr>
            </w:pPr>
          </w:p>
        </w:tc>
        <w:tc>
          <w:tcPr>
            <w:tcW w:w="1620" w:type="dxa"/>
            <w:vAlign w:val="bottom"/>
            <w:shd w:val="clear" w:color="auto" w:fill="DFDFDF"/>
          </w:tcPr>
          <w:p>
            <w:pPr>
              <w:spacing w:after="0"/>
              <w:rPr>
                <w:sz w:val="7"/>
                <w:szCs w:val="7"/>
                <w:color w:val="auto"/>
              </w:rPr>
            </w:pPr>
          </w:p>
        </w:tc>
        <w:tc>
          <w:tcPr>
            <w:tcW w:w="440" w:type="dxa"/>
            <w:vAlign w:val="bottom"/>
            <w:tcBorders>
              <w:right w:val="single" w:sz="8" w:color="DFDFDF"/>
            </w:tcBorders>
            <w:shd w:val="clear" w:color="auto" w:fill="DFDFDF"/>
          </w:tcPr>
          <w:p>
            <w:pPr>
              <w:spacing w:after="0"/>
              <w:rPr>
                <w:sz w:val="7"/>
                <w:szCs w:val="7"/>
                <w:color w:val="auto"/>
              </w:rPr>
            </w:pPr>
          </w:p>
        </w:tc>
        <w:tc>
          <w:tcPr>
            <w:tcW w:w="420" w:type="dxa"/>
            <w:vAlign w:val="bottom"/>
            <w:shd w:val="clear" w:color="auto" w:fill="DFDFDF"/>
          </w:tcPr>
          <w:p>
            <w:pPr>
              <w:spacing w:after="0"/>
              <w:rPr>
                <w:sz w:val="7"/>
                <w:szCs w:val="7"/>
                <w:color w:val="auto"/>
              </w:rPr>
            </w:pPr>
          </w:p>
        </w:tc>
        <w:tc>
          <w:tcPr>
            <w:tcW w:w="1200" w:type="dxa"/>
            <w:vAlign w:val="bottom"/>
            <w:shd w:val="clear" w:color="auto" w:fill="DFDFDF"/>
          </w:tcPr>
          <w:p>
            <w:pPr>
              <w:spacing w:after="0"/>
              <w:rPr>
                <w:sz w:val="7"/>
                <w:szCs w:val="7"/>
                <w:color w:val="auto"/>
              </w:rPr>
            </w:pPr>
          </w:p>
        </w:tc>
        <w:tc>
          <w:tcPr>
            <w:tcW w:w="480" w:type="dxa"/>
            <w:vAlign w:val="bottom"/>
            <w:shd w:val="clear" w:color="auto" w:fill="DFDFDF"/>
          </w:tcPr>
          <w:p>
            <w:pPr>
              <w:spacing w:after="0"/>
              <w:rPr>
                <w:sz w:val="7"/>
                <w:szCs w:val="7"/>
                <w:color w:val="auto"/>
              </w:rPr>
            </w:pPr>
          </w:p>
        </w:tc>
        <w:tc>
          <w:tcPr>
            <w:tcW w:w="260" w:type="dxa"/>
            <w:vAlign w:val="bottom"/>
            <w:tcBorders>
              <w:right w:val="single" w:sz="8" w:color="DFDFDF"/>
            </w:tcBorders>
            <w:shd w:val="clear" w:color="auto" w:fill="DFDFDF"/>
          </w:tcPr>
          <w:p>
            <w:pPr>
              <w:spacing w:after="0"/>
              <w:rPr>
                <w:sz w:val="7"/>
                <w:szCs w:val="7"/>
                <w:color w:val="auto"/>
              </w:rPr>
            </w:pPr>
          </w:p>
        </w:tc>
        <w:tc>
          <w:tcPr>
            <w:tcW w:w="260" w:type="dxa"/>
            <w:vAlign w:val="bottom"/>
            <w:shd w:val="clear" w:color="auto" w:fill="DFDFDF"/>
          </w:tcPr>
          <w:p>
            <w:pPr>
              <w:spacing w:after="0"/>
              <w:rPr>
                <w:sz w:val="7"/>
                <w:szCs w:val="7"/>
                <w:color w:val="auto"/>
              </w:rPr>
            </w:pPr>
          </w:p>
        </w:tc>
        <w:tc>
          <w:tcPr>
            <w:tcW w:w="920" w:type="dxa"/>
            <w:vAlign w:val="bottom"/>
            <w:shd w:val="clear" w:color="auto" w:fill="DFDFDF"/>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3199765</wp:posOffset>
            </wp:positionH>
            <wp:positionV relativeFrom="paragraph">
              <wp:posOffset>-200660</wp:posOffset>
            </wp:positionV>
            <wp:extent cx="227330" cy="2139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27330" cy="21399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-200660</wp:posOffset>
            </wp:positionV>
            <wp:extent cx="227330" cy="2139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27330" cy="21399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Cash used in financing activities at Sempra Energy in 2009 increased primarily due to:</w:t>
      </w:r>
    </w:p>
    <w:p>
      <w:pPr>
        <w:spacing w:after="0" w:line="22" w:lineRule="exact"/>
        <w:rPr>
          <w:sz w:val="20"/>
          <w:szCs w:val="20"/>
          <w:color w:val="auto"/>
        </w:rPr>
      </w:pPr>
    </w:p>
    <w:p>
      <w:pPr>
        <w:ind w:left="180" w:hanging="172"/>
        <w:spacing w:after="0"/>
        <w:tabs>
          <w:tab w:leader="none" w:pos="180" w:val="left"/>
        </w:tabs>
        <w:numPr>
          <w:ilvl w:val="0"/>
          <w:numId w:val="90"/>
        </w:numPr>
        <w:rPr>
          <w:rFonts w:ascii="Arial" w:cs="Arial" w:eastAsia="Arial" w:hAnsi="Arial"/>
          <w:sz w:val="22"/>
          <w:szCs w:val="22"/>
          <w:color w:val="auto"/>
        </w:rPr>
      </w:pPr>
      <w:r>
        <w:rPr>
          <w:rFonts w:ascii="Arial" w:cs="Arial" w:eastAsia="Arial" w:hAnsi="Arial"/>
          <w:sz w:val="22"/>
          <w:szCs w:val="22"/>
          <w:color w:val="auto"/>
        </w:rPr>
        <w:t>a $77 million decrease in short-term debt in 2009 compared to a $566 million increase in 2008; and</w:t>
      </w:r>
    </w:p>
    <w:p>
      <w:pPr>
        <w:spacing w:after="0" w:line="30" w:lineRule="exact"/>
        <w:rPr>
          <w:rFonts w:ascii="Arial" w:cs="Arial" w:eastAsia="Arial" w:hAnsi="Arial"/>
          <w:sz w:val="22"/>
          <w:szCs w:val="22"/>
          <w:color w:val="auto"/>
        </w:rPr>
      </w:pPr>
    </w:p>
    <w:p>
      <w:pPr>
        <w:ind w:left="180" w:hanging="172"/>
        <w:spacing w:after="0"/>
        <w:tabs>
          <w:tab w:leader="none" w:pos="180" w:val="left"/>
        </w:tabs>
        <w:numPr>
          <w:ilvl w:val="0"/>
          <w:numId w:val="90"/>
        </w:numPr>
        <w:rPr>
          <w:rFonts w:ascii="Arial" w:cs="Arial" w:eastAsia="Arial" w:hAnsi="Arial"/>
          <w:sz w:val="22"/>
          <w:szCs w:val="22"/>
          <w:color w:val="auto"/>
        </w:rPr>
      </w:pPr>
      <w:r>
        <w:rPr>
          <w:rFonts w:ascii="Arial" w:cs="Arial" w:eastAsia="Arial" w:hAnsi="Arial"/>
          <w:sz w:val="22"/>
          <w:szCs w:val="22"/>
          <w:color w:val="auto"/>
        </w:rPr>
        <w:t>$94 million for the purchase of the remaining 40-percent ownership interest in Mississippi Hub.</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color w:val="auto"/>
        </w:rPr>
        <w:t>Cash used in financing activities at SDG&amp;E increased primarily due to:</w:t>
      </w:r>
    </w:p>
    <w:p>
      <w:pPr>
        <w:spacing w:after="0" w:line="31" w:lineRule="exact"/>
        <w:rPr>
          <w:sz w:val="20"/>
          <w:szCs w:val="20"/>
          <w:color w:val="auto"/>
        </w:rPr>
      </w:pPr>
    </w:p>
    <w:p>
      <w:pPr>
        <w:ind w:left="180" w:hanging="172"/>
        <w:spacing w:after="0"/>
        <w:tabs>
          <w:tab w:leader="none" w:pos="180" w:val="left"/>
        </w:tabs>
        <w:numPr>
          <w:ilvl w:val="0"/>
          <w:numId w:val="91"/>
        </w:numPr>
        <w:rPr>
          <w:rFonts w:ascii="Arial" w:cs="Arial" w:eastAsia="Arial" w:hAnsi="Arial"/>
          <w:sz w:val="22"/>
          <w:szCs w:val="22"/>
          <w:color w:val="auto"/>
        </w:rPr>
      </w:pPr>
      <w:r>
        <w:rPr>
          <w:rFonts w:ascii="Arial" w:cs="Arial" w:eastAsia="Arial" w:hAnsi="Arial"/>
          <w:sz w:val="22"/>
          <w:szCs w:val="22"/>
          <w:color w:val="auto"/>
        </w:rPr>
        <w:t>a $150 million dividend paid to Sempra Energy and</w:t>
      </w:r>
    </w:p>
    <w:p>
      <w:pPr>
        <w:spacing w:after="0" w:line="35" w:lineRule="exact"/>
        <w:rPr>
          <w:rFonts w:ascii="Arial" w:cs="Arial" w:eastAsia="Arial" w:hAnsi="Arial"/>
          <w:sz w:val="22"/>
          <w:szCs w:val="22"/>
          <w:color w:val="auto"/>
        </w:rPr>
      </w:pPr>
    </w:p>
    <w:p>
      <w:pPr>
        <w:ind w:left="180" w:hanging="172"/>
        <w:spacing w:after="0"/>
        <w:tabs>
          <w:tab w:leader="none" w:pos="180" w:val="left"/>
        </w:tabs>
        <w:numPr>
          <w:ilvl w:val="0"/>
          <w:numId w:val="91"/>
        </w:numPr>
        <w:rPr>
          <w:rFonts w:ascii="Arial" w:cs="Arial" w:eastAsia="Arial" w:hAnsi="Arial"/>
          <w:sz w:val="22"/>
          <w:szCs w:val="22"/>
          <w:color w:val="auto"/>
        </w:rPr>
      </w:pPr>
      <w:r>
        <w:rPr>
          <w:rFonts w:ascii="Arial" w:cs="Arial" w:eastAsia="Arial" w:hAnsi="Arial"/>
          <w:sz w:val="22"/>
          <w:szCs w:val="22"/>
          <w:color w:val="auto"/>
        </w:rPr>
        <w:t xml:space="preserve">a $25 million decrease in the issuance of long-term debt; </w:t>
      </w:r>
      <w:r>
        <w:rPr>
          <w:rFonts w:ascii="Arial" w:cs="Arial" w:eastAsia="Arial" w:hAnsi="Arial"/>
          <w:sz w:val="22"/>
          <w:szCs w:val="22"/>
          <w:b w:val="1"/>
          <w:bCs w:val="1"/>
          <w:color w:val="auto"/>
        </w:rPr>
        <w:t>offset by</w:t>
      </w:r>
    </w:p>
    <w:p>
      <w:pPr>
        <w:spacing w:after="0" w:line="17" w:lineRule="exact"/>
        <w:rPr>
          <w:rFonts w:ascii="Arial" w:cs="Arial" w:eastAsia="Arial" w:hAnsi="Arial"/>
          <w:sz w:val="22"/>
          <w:szCs w:val="22"/>
          <w:color w:val="auto"/>
        </w:rPr>
      </w:pPr>
    </w:p>
    <w:p>
      <w:pPr>
        <w:ind w:left="180" w:hanging="172"/>
        <w:spacing w:after="0"/>
        <w:tabs>
          <w:tab w:leader="none" w:pos="180" w:val="left"/>
        </w:tabs>
        <w:numPr>
          <w:ilvl w:val="0"/>
          <w:numId w:val="91"/>
        </w:numPr>
        <w:rPr>
          <w:rFonts w:ascii="Arial" w:cs="Arial" w:eastAsia="Arial" w:hAnsi="Arial"/>
          <w:sz w:val="22"/>
          <w:szCs w:val="22"/>
          <w:color w:val="auto"/>
        </w:rPr>
      </w:pPr>
      <w:r>
        <w:rPr>
          <w:rFonts w:ascii="Arial" w:cs="Arial" w:eastAsia="Arial" w:hAnsi="Arial"/>
          <w:sz w:val="22"/>
          <w:szCs w:val="22"/>
          <w:color w:val="auto"/>
        </w:rPr>
        <w:t>a $65 million higher increase in short-term debt.</w:t>
      </w:r>
    </w:p>
    <w:p>
      <w:pPr>
        <w:sectPr>
          <w:pgSz w:w="11900" w:h="16838" w:orient="portrait"/>
          <w:cols w:equalWidth="0" w:num="1">
            <w:col w:w="11260"/>
          </w:cols>
          <w:pgMar w:left="240" w:top="418" w:right="399" w:bottom="1440" w:gutter="0" w:footer="0" w:header="0"/>
        </w:sectPr>
      </w:pPr>
    </w:p>
    <w:bookmarkStart w:id="76" w:name="page77"/>
    <w:bookmarkEnd w:id="76"/>
    <w:p>
      <w:pPr>
        <w:spacing w:after="0"/>
        <w:rPr>
          <w:sz w:val="20"/>
          <w:szCs w:val="20"/>
          <w:color w:val="auto"/>
        </w:rPr>
      </w:pPr>
      <w:r>
        <w:rPr>
          <w:rFonts w:ascii="Arial" w:cs="Arial" w:eastAsia="Arial" w:hAnsi="Arial"/>
          <w:sz w:val="20"/>
          <w:szCs w:val="20"/>
          <w:b w:val="1"/>
          <w:bCs w:val="1"/>
          <w:i w:val="1"/>
          <w:iCs w:val="1"/>
          <w:color w:val="auto"/>
        </w:rPr>
        <w:t>PE and SoCalGas</w:t>
      </w:r>
    </w:p>
    <w:p>
      <w:pPr>
        <w:spacing w:after="0" w:line="36"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Cash used in financing activities at PE and SoCalGas in 2009 decreased due to a $150 million decrease in common dividends paid to Sempra Energy and PE,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COMMITMENTS</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w:t>
      </w:r>
    </w:p>
    <w:p>
      <w:pPr>
        <w:spacing w:after="0" w:line="103"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At March 31, 2009, there were no significant changes to the commitments that were disclosed for Sempra Energy in the Annual Report, except for increases of $110 million related to commitments for new construction and infrastructure improvements for gas transmission and distribution operations at SoCalGas, and new construction commitments of $73 million at Sempra Pipelines &amp; Storage and $26 million at Sempra LNG. The future payments under these contractual commitments are expected to be $177 million for 2009 and $32 million for 2010.</w:t>
      </w:r>
    </w:p>
    <w:p>
      <w:pPr>
        <w:spacing w:after="0" w:line="53"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Due to decreases in natural gas forward prices, Sempra Energy’s commitment under the natural gas purchase agreement with Tangguh PSC Contractors, which is discussed in Note 16 of the Notes to Consolidated Financial Statements in the Annual Report, has decreased by $664 million. Future payments are therefore expected to decrease by $135 million for 2009, $212 million for 2010, $113 million for 2011, $54 million for 2012, $12 million for 2013 and $138 million thereafter.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Decreases to SoCalGas’ natural gas contracts are discussed below.</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90" w:lineRule="exact"/>
        <w:rPr>
          <w:sz w:val="20"/>
          <w:szCs w:val="20"/>
          <w:color w:val="auto"/>
        </w:rPr>
      </w:pPr>
    </w:p>
    <w:p>
      <w:pPr>
        <w:spacing w:after="0"/>
        <w:rPr>
          <w:sz w:val="20"/>
          <w:szCs w:val="20"/>
          <w:color w:val="auto"/>
        </w:rPr>
      </w:pPr>
      <w:r>
        <w:rPr>
          <w:rFonts w:ascii="Arial" w:cs="Arial" w:eastAsia="Arial" w:hAnsi="Arial"/>
          <w:sz w:val="19"/>
          <w:szCs w:val="19"/>
          <w:color w:val="auto"/>
        </w:rPr>
        <w:t>At March 31, 2009, there were no significant changes to the commitments that were disclosed for SDG&amp;E in the Annual Report.</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SoCalGas</w:t>
      </w:r>
    </w:p>
    <w:p>
      <w:pPr>
        <w:spacing w:after="0" w:line="90" w:lineRule="exact"/>
        <w:rPr>
          <w:sz w:val="20"/>
          <w:szCs w:val="20"/>
          <w:color w:val="auto"/>
        </w:rPr>
      </w:pPr>
    </w:p>
    <w:p>
      <w:pPr>
        <w:ind w:right="20"/>
        <w:spacing w:after="0"/>
        <w:rPr>
          <w:sz w:val="20"/>
          <w:szCs w:val="20"/>
          <w:color w:val="auto"/>
        </w:rPr>
      </w:pPr>
      <w:r>
        <w:rPr>
          <w:rFonts w:ascii="Arial" w:cs="Arial" w:eastAsia="Arial" w:hAnsi="Arial"/>
          <w:sz w:val="22"/>
          <w:szCs w:val="22"/>
          <w:color w:val="auto"/>
        </w:rPr>
        <w:t>At March 31, 2009, there were no significant changes to the commitments that were disclosed for SoCalGas in the Annual Report, except for the increase of $110 million related to commitments discussed above. The future payments under these contractual commitments are expected to be $80 million for 2009 and $30 million for 2010.</w:t>
      </w:r>
    </w:p>
    <w:p>
      <w:pPr>
        <w:spacing w:after="0" w:line="6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SoCalGas’ natural gas purchase commitments decreased by $590 million. The decrease was primarily due to decreases in natural gas forward prices of $662 million, offset by new natural gas contracts of $72 million. Net future payments are therefore expected to decrease by $486 million for 2009, $63 million for 2010, $32 million for 2011, $1 million for 2012, $1 million for 2013 and $7 million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FACTORS INFLUENCING FUTURE PERFORMANCE</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SEMPRA ENERGY OVERVIEW</w:t>
      </w:r>
    </w:p>
    <w:p>
      <w:pPr>
        <w:spacing w:after="0" w:line="96" w:lineRule="exact"/>
        <w:rPr>
          <w:sz w:val="20"/>
          <w:szCs w:val="20"/>
          <w:color w:val="auto"/>
        </w:rPr>
      </w:pPr>
    </w:p>
    <w:p>
      <w:pPr>
        <w:ind w:right="280"/>
        <w:spacing w:after="0" w:line="282" w:lineRule="auto"/>
        <w:rPr>
          <w:sz w:val="20"/>
          <w:szCs w:val="20"/>
          <w:color w:val="auto"/>
        </w:rPr>
      </w:pPr>
      <w:r>
        <w:rPr>
          <w:rFonts w:ascii="Arial" w:cs="Arial" w:eastAsia="Arial" w:hAnsi="Arial"/>
          <w:sz w:val="19"/>
          <w:szCs w:val="19"/>
          <w:color w:val="auto"/>
        </w:rPr>
        <w:t>The Sempra Utilities' operations and Sempra Generation's long-term contracts generally provide relatively stable earnings and liquidity. However, for the next few years SDG&amp;E will limit its common stock dividends to reinvest a portion of its earnings in significant capital projects. Also, Sempra Generation’s contract with the DWR, which provides a significant portion of Sempra Generation's revenues, ends in late 2011. Because it is unable to forecast with certainty future electricity prices and the cost of natural gas, contracts it enters into to replace this capacity may provide substantially lower earnings.</w:t>
      </w:r>
    </w:p>
    <w:p>
      <w:pPr>
        <w:spacing w:after="0" w:line="26" w:lineRule="exact"/>
        <w:rPr>
          <w:sz w:val="20"/>
          <w:szCs w:val="20"/>
          <w:color w:val="auto"/>
        </w:rPr>
      </w:pPr>
    </w:p>
    <w:p>
      <w:pPr>
        <w:ind w:right="200"/>
        <w:spacing w:after="0" w:line="236" w:lineRule="auto"/>
        <w:rPr>
          <w:sz w:val="20"/>
          <w:szCs w:val="20"/>
          <w:color w:val="auto"/>
        </w:rPr>
      </w:pPr>
      <w:r>
        <w:rPr>
          <w:rFonts w:ascii="Arial" w:cs="Arial" w:eastAsia="Arial" w:hAnsi="Arial"/>
          <w:sz w:val="22"/>
          <w:szCs w:val="22"/>
          <w:color w:val="auto"/>
        </w:rPr>
        <w:t>We expect that Sempra LNG and Sempra Pipelines &amp; Storage will provide relatively stable earnings and liquidity from their current operations and construction programs when completed, but will require substantial funding for these programs. Sempra Pipelines &amp; Storage's earnings at Sempra Midstream may be negatively impacted by the ultimate resolution of construction problems at Liberty Gas Storage as we discuss in "Sempra Global Investments" below. In addition, until there are firm supply or capacity contracts for 100% of Sempra LNG’s Cameron facility</w:t>
      </w:r>
    </w:p>
    <w:p>
      <w:pPr>
        <w:sectPr>
          <w:pgSz w:w="11900" w:h="16838" w:orient="portrait"/>
          <w:cols w:equalWidth="0" w:num="1">
            <w:col w:w="11300"/>
          </w:cols>
          <w:pgMar w:left="240" w:top="325" w:right="359" w:bottom="1440" w:gutter="0" w:footer="0" w:header="0"/>
        </w:sectPr>
      </w:pPr>
    </w:p>
    <w:bookmarkStart w:id="77" w:name="page78"/>
    <w:bookmarkEnd w:id="77"/>
    <w:p>
      <w:pPr>
        <w:ind w:right="120"/>
        <w:spacing w:after="0" w:line="241" w:lineRule="auto"/>
        <w:rPr>
          <w:sz w:val="20"/>
          <w:szCs w:val="20"/>
          <w:color w:val="auto"/>
        </w:rPr>
      </w:pPr>
      <w:r>
        <w:rPr>
          <w:rFonts w:ascii="Arial" w:cs="Arial" w:eastAsia="Arial" w:hAnsi="Arial"/>
          <w:sz w:val="22"/>
          <w:szCs w:val="22"/>
          <w:color w:val="auto"/>
        </w:rPr>
        <w:t>and until firm supply contracts become effective for the Energía Costa Azul facility, Sempra LNG will seek to obtain interim LNG supplies, which may result in greater variability in revenues and earnings. Sempra LNG may also enter into short-term service contracts to utilize capacity.</w:t>
      </w:r>
    </w:p>
    <w:p>
      <w:pPr>
        <w:spacing w:after="0" w:line="62"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The Sempra Utilities' performance will depend primarily on the ratemaking and regulatory process, electric and natural gas industry restructuring, environmental regulations, and the changing energy marketplace. Their performance will also depend on the successful completion of capital projects that we discuss in various sections of this report. As the 2008 General Rate Case provides for fixed annual increases rather than for adjustments based on inflation indices as in the past, performance will depend on the Sempra Utilities' ability to manage the effects of rising costs, including bad debts. The Sempra Utilities will also incur substantially higher liability and wildfire insurance premiums starting in the third quarter of 2009. In addition to the increased insurance premiums, the Sempra Utilities will also have substantially lower insurance coverage, particularly with respect to any future wildfire liabilities. The Sempra Utilities plan to request recovery o f these additional costs, but without such recovery, our financial results could be adversely impacted.</w:t>
      </w:r>
    </w:p>
    <w:p>
      <w:pPr>
        <w:spacing w:after="0" w:line="50" w:lineRule="exact"/>
        <w:rPr>
          <w:sz w:val="20"/>
          <w:szCs w:val="20"/>
          <w:color w:val="auto"/>
        </w:rPr>
      </w:pPr>
    </w:p>
    <w:p>
      <w:pPr>
        <w:ind w:right="60"/>
        <w:spacing w:after="0" w:line="235" w:lineRule="auto"/>
        <w:rPr>
          <w:sz w:val="20"/>
          <w:szCs w:val="20"/>
          <w:color w:val="auto"/>
        </w:rPr>
      </w:pPr>
      <w:r>
        <w:rPr>
          <w:rFonts w:ascii="Arial" w:cs="Arial" w:eastAsia="Arial" w:hAnsi="Arial"/>
          <w:sz w:val="22"/>
          <w:szCs w:val="22"/>
          <w:color w:val="auto"/>
        </w:rPr>
        <w:t>In regard to the 2007 wildfires litigation, if SDG&amp;E's ultimate liability, net of amounts recoverable from other defendants, were to exceed its $1.1 billion recoverable from its insurers, SDG&amp;E would request authorization from the FERC and the CPUC to recover the excess amounts in utility rates. SDG&amp;E is unable to reasonably predict the degree of success it may have in pursuing such requests or the timing of any recovery. Without recovery of any such excess costs, SDG&amp;E's financial results could be adversely impacted. We provide additional information concerning these matters in Notes 9 and 10 of the Notes to Condensed Consolidated Financial Statements herein.</w:t>
      </w:r>
    </w:p>
    <w:p>
      <w:pPr>
        <w:spacing w:after="0" w:line="67"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As we discuss in Note 4 of the Notes to Condensed Consolidated Financial Statements herein, on April 1, 2008, we completed the formation of a partnership, RBS Sempra Commodities, to own and operate our commodities-marketing businesses, which generally comprised our Sempra Commodities segment. Our joint venture partner, RBS, is obligated to provide the partnership with all growth capital, working-capital requirements and credit support, as we discuss above in "Capital Resources and Liquidity – Sempra Commodities." Future earnings and distributions from the partnership will depend on profitability and growth achieved in the joint venture and the continued ability of RBS to provide capital and credit support for the partnership. RBS has been greatly affected by the world-wide turmoil in banking and became indirectly controlled by the government of the United Kingdom in December 2008.</w:t>
      </w:r>
    </w:p>
    <w:p>
      <w:pPr>
        <w:spacing w:after="0" w:line="31" w:lineRule="exact"/>
        <w:rPr>
          <w:sz w:val="20"/>
          <w:szCs w:val="20"/>
          <w:color w:val="auto"/>
        </w:rPr>
      </w:pPr>
    </w:p>
    <w:p>
      <w:pPr>
        <w:ind w:right="80"/>
        <w:spacing w:after="0" w:line="247" w:lineRule="auto"/>
        <w:rPr>
          <w:sz w:val="20"/>
          <w:szCs w:val="20"/>
          <w:color w:val="auto"/>
        </w:rPr>
      </w:pPr>
      <w:r>
        <w:rPr>
          <w:rFonts w:ascii="Arial" w:cs="Arial" w:eastAsia="Arial" w:hAnsi="Arial"/>
          <w:sz w:val="21"/>
          <w:szCs w:val="21"/>
          <w:color w:val="auto"/>
        </w:rPr>
        <w:t>We may be further impacted by the current world-wide economic crisis and rapidly changing economic conditions. The impacts of the global credit market crisis on our credit availability and cost are discussed in "Capital Resources and Liquidity" in this report. Moreover, the dollar has strengthened significantly against some foreign currencies, especially in Mexico and South America where we have significant operations. These factors, coupled with very low natural gas prices which affect profitability at Sempra Generation and Sempra LNG, could, if they remain unchanged, adversely affect profitability. Additionally, given the uncertainty of commodity markets and the lack of debt financing for energy infrastructure, which impact related hedging activity, growth at RBS Sempra Commodities could be dampened.</w:t>
      </w:r>
    </w:p>
    <w:p>
      <w:pPr>
        <w:spacing w:after="0" w:line="43" w:lineRule="exact"/>
        <w:rPr>
          <w:sz w:val="20"/>
          <w:szCs w:val="20"/>
          <w:color w:val="auto"/>
        </w:rPr>
      </w:pPr>
    </w:p>
    <w:p>
      <w:pPr>
        <w:ind w:right="220"/>
        <w:spacing w:after="0" w:line="328" w:lineRule="auto"/>
        <w:rPr>
          <w:sz w:val="20"/>
          <w:szCs w:val="20"/>
          <w:color w:val="auto"/>
        </w:rPr>
      </w:pPr>
      <w:r>
        <w:rPr>
          <w:rFonts w:ascii="Arial" w:cs="Arial" w:eastAsia="Arial" w:hAnsi="Arial"/>
          <w:sz w:val="19"/>
          <w:szCs w:val="19"/>
          <w:color w:val="auto"/>
        </w:rPr>
        <w:t>We discuss additional matters that could affect our future performance in Notes 9 and 10 of the Notes to Condensed Consolidated Financial Statements herein and in Notes 14, 15 and 16 of the Notes to Consolidated Financial Statements in the Annual Report.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LITIGATION</w:t>
      </w:r>
    </w:p>
    <w:p>
      <w:pPr>
        <w:spacing w:after="0" w:line="82" w:lineRule="exact"/>
        <w:rPr>
          <w:sz w:val="20"/>
          <w:szCs w:val="20"/>
          <w:color w:val="auto"/>
        </w:rPr>
      </w:pPr>
    </w:p>
    <w:p>
      <w:pPr>
        <w:ind w:right="880"/>
        <w:spacing w:after="0" w:line="251" w:lineRule="auto"/>
        <w:rPr>
          <w:sz w:val="20"/>
          <w:szCs w:val="20"/>
          <w:color w:val="auto"/>
        </w:rPr>
      </w:pPr>
      <w:r>
        <w:rPr>
          <w:rFonts w:ascii="Arial" w:cs="Arial" w:eastAsia="Arial" w:hAnsi="Arial"/>
          <w:sz w:val="22"/>
          <w:szCs w:val="22"/>
          <w:color w:val="auto"/>
        </w:rPr>
        <w:t>We describe legal proceedings which could adversely affect our future performance in Note 10 of the Notes to Condensed Consolidated Financial Statements herein.</w:t>
      </w: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SEMPRA UTILITIES -- INDUSTRY DEVELOPMENTS AND CAPITAL PROJECTS</w:t>
      </w:r>
    </w:p>
    <w:p>
      <w:pPr>
        <w:spacing w:after="0" w:line="82" w:lineRule="exact"/>
        <w:rPr>
          <w:sz w:val="20"/>
          <w:szCs w:val="20"/>
          <w:color w:val="auto"/>
        </w:rPr>
      </w:pPr>
    </w:p>
    <w:p>
      <w:pPr>
        <w:jc w:val="both"/>
        <w:ind w:right="340"/>
        <w:spacing w:after="0"/>
        <w:rPr>
          <w:sz w:val="20"/>
          <w:szCs w:val="20"/>
          <w:color w:val="auto"/>
        </w:rPr>
      </w:pPr>
      <w:r>
        <w:rPr>
          <w:rFonts w:ascii="Arial" w:cs="Arial" w:eastAsia="Arial" w:hAnsi="Arial"/>
          <w:sz w:val="22"/>
          <w:szCs w:val="22"/>
          <w:color w:val="auto"/>
        </w:rPr>
        <w:t>We describe capital projects, electric and natural gas regulation and rates, and other pending proceedings and investigations that affect our business in Note 9 of the Notes to Condensed Consolidated Financial Statements herein and in Notes 14 and 15 of the Notes to Consolidated Financial Statements in the Annual Report.</w:t>
      </w:r>
    </w:p>
    <w:p>
      <w:pPr>
        <w:sectPr>
          <w:pgSz w:w="11900" w:h="16838" w:orient="portrait"/>
          <w:cols w:equalWidth="0" w:num="1">
            <w:col w:w="11420"/>
          </w:cols>
          <w:pgMar w:left="240" w:top="118" w:right="239" w:bottom="1440" w:gutter="0" w:footer="0" w:header="0"/>
        </w:sectPr>
      </w:pPr>
    </w:p>
    <w:bookmarkStart w:id="78" w:name="page79"/>
    <w:bookmarkEnd w:id="78"/>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SEMPRA GLOBAL INVESTMENTS</w:t>
      </w:r>
    </w:p>
    <w:p>
      <w:pPr>
        <w:spacing w:after="0" w:line="96" w:lineRule="exact"/>
        <w:rPr>
          <w:sz w:val="20"/>
          <w:szCs w:val="20"/>
          <w:color w:val="auto"/>
        </w:rPr>
      </w:pPr>
    </w:p>
    <w:p>
      <w:pPr>
        <w:ind w:right="180"/>
        <w:spacing w:after="0" w:line="258" w:lineRule="auto"/>
        <w:rPr>
          <w:sz w:val="20"/>
          <w:szCs w:val="20"/>
          <w:color w:val="auto"/>
        </w:rPr>
      </w:pPr>
      <w:r>
        <w:rPr>
          <w:rFonts w:ascii="Arial" w:cs="Arial" w:eastAsia="Arial" w:hAnsi="Arial"/>
          <w:sz w:val="21"/>
          <w:szCs w:val="21"/>
          <w:color w:val="auto"/>
        </w:rPr>
        <w:t>As we discuss in "Cash Flows From Investing Activities," our investments will significantly impact our future performance. In addition to the discussion below, we provide information about these investments in "Capital Resources and Liquidity" herein and “Capital Resources and Liquidity” and “Factors Influencing Future Performance” in the Annual Report.</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Pipelines &amp; Storage</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Rockies Express Pipeline</w:t>
      </w:r>
    </w:p>
    <w:p>
      <w:pPr>
        <w:spacing w:after="0" w:line="103" w:lineRule="exact"/>
        <w:rPr>
          <w:sz w:val="20"/>
          <w:szCs w:val="20"/>
          <w:color w:val="auto"/>
        </w:rPr>
      </w:pPr>
    </w:p>
    <w:p>
      <w:pPr>
        <w:jc w:val="both"/>
        <w:ind w:right="220"/>
        <w:spacing w:after="0"/>
        <w:rPr>
          <w:sz w:val="20"/>
          <w:szCs w:val="20"/>
          <w:color w:val="auto"/>
        </w:rPr>
      </w:pPr>
      <w:r>
        <w:rPr>
          <w:rFonts w:ascii="Arial" w:cs="Arial" w:eastAsia="Arial" w:hAnsi="Arial"/>
          <w:sz w:val="22"/>
          <w:szCs w:val="22"/>
          <w:color w:val="auto"/>
        </w:rPr>
        <w:t>REX-East, the eastern segment of the Rockies Express Pipeline and the last of the project’s three segments, is under construction. We expect REX-East, which will run 638 miles from Missouri to Clarington, Ohio, to be fully operational in late 2009 subject to timely receipt of regulatory approvals.</w:t>
      </w:r>
    </w:p>
    <w:p>
      <w:pPr>
        <w:spacing w:after="0" w:line="51" w:lineRule="exact"/>
        <w:rPr>
          <w:sz w:val="20"/>
          <w:szCs w:val="20"/>
          <w:color w:val="auto"/>
        </w:rPr>
      </w:pPr>
    </w:p>
    <w:p>
      <w:pPr>
        <w:jc w:val="both"/>
        <w:ind w:right="100"/>
        <w:spacing w:after="0" w:line="238" w:lineRule="auto"/>
        <w:rPr>
          <w:sz w:val="20"/>
          <w:szCs w:val="20"/>
          <w:color w:val="auto"/>
        </w:rPr>
      </w:pPr>
      <w:r>
        <w:rPr>
          <w:rFonts w:ascii="Arial" w:cs="Arial" w:eastAsia="Arial" w:hAnsi="Arial"/>
          <w:sz w:val="22"/>
          <w:szCs w:val="22"/>
          <w:color w:val="auto"/>
        </w:rPr>
        <w:t>The total project cost is estimated to be approximately $6.6 billion. This amount includes costs incurred for the Entrega Pipeline and REX-West, the first two segments currently in service, and for the completion of REX-East. Construction cost estimates have increased significantly from original projections, and additional increases or other changes related to the investment could result in an impairment to the carrying value of our investment.</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Liberty Gas Storage (Liberty)</w:t>
      </w:r>
    </w:p>
    <w:p>
      <w:pPr>
        <w:spacing w:after="0" w:line="90"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Liberty, as currently permitted, is a 17 billion cubic feet (Bcf) salt-cavern natural gas storage facility located in Calcasieu Parish, Louisiana and related pipelines. The facilities are under construction by Sempra Pipelines &amp; Storage and its 25-percent partner Proliance Transportation and Storage, LLC. The Liberty pipeline system is currently connected with several interstate pipelines, including the Cameron Interstate Pipeline operated by Sempra Pipelines &amp; Storage, and will connect area LNG regasification terminals to an interstate natural gas transmission system and storage facilities. We estimate the total project cost to be approximately $250 million, and we have expended $208 million through March 31, 2009. Completion of the project has been delayed by subsurface and well-completion problems. Our corrective measures thus far have been unsuccessful. The partnership is considering all of its options on the bes t next steps. It is possible that the salt-caverns may not go into service, or may have reduced capacity when placed in service. In the event the partnership determines to abandon the salt-caverns, we would be required to take a charge to earnings of up to $65 million after tax.</w:t>
      </w:r>
    </w:p>
    <w:p>
      <w:pPr>
        <w:spacing w:after="0" w:line="60"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We are continuing to pursue the development of an additional property acquired in 2006 with 11 Bcf of existing salt dome caverns and the capability to add significant additional capacity by mining new caverns. Total project costs for Liberty, including this expansion, are expected to be approximately $450 million to $500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CRITICAL ACCOUNTING POLICIES AND ESTIMATES</w:t>
      </w:r>
    </w:p>
    <w:p>
      <w:pPr>
        <w:spacing w:after="0" w:line="76" w:lineRule="exact"/>
        <w:rPr>
          <w:sz w:val="20"/>
          <w:szCs w:val="20"/>
          <w:color w:val="auto"/>
        </w:rPr>
      </w:pPr>
    </w:p>
    <w:p>
      <w:pPr>
        <w:ind w:right="340"/>
        <w:spacing w:after="0" w:line="238" w:lineRule="auto"/>
        <w:rPr>
          <w:sz w:val="20"/>
          <w:szCs w:val="20"/>
          <w:color w:val="auto"/>
        </w:rPr>
      </w:pPr>
      <w:r>
        <w:rPr>
          <w:rFonts w:ascii="Arial" w:cs="Arial" w:eastAsia="Arial" w:hAnsi="Arial"/>
          <w:sz w:val="22"/>
          <w:szCs w:val="22"/>
          <w:color w:val="auto"/>
        </w:rPr>
        <w:t>We view certain accounting policies as critical because their application is the most relevant, judgmental and/or material to our financial position and results of operations, and/or because they require the use of material judgments and estimates. We discuss these accounting policies in "Management's Discussion and Analysis of Financial Condition and Results of Operations" in the Annual Report.</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We describe our significant accounting policies in Note 1 of the Notes to Consolidated Financial Statements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NEW ACCOUNTING STANDARDS</w:t>
      </w:r>
    </w:p>
    <w:p>
      <w:pPr>
        <w:spacing w:after="0" w:line="63"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We discuss the relevant pronouncements that have recently become effective and have had or may have an impact on our financial statements in Note 2 of the Notes to Condensed Consolidated Financial Statements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ITEM 3. QUANTITATIVE AND QUALITATIVE DISCLOSURES ABOUT MARKET RISK</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color w:val="auto"/>
        </w:rPr>
        <w:t>As of March 31, 2009, the total Value at Risk (VaR) of the Sempra Utilities' commodity positions was not material.</w:t>
      </w:r>
    </w:p>
    <w:p>
      <w:pPr>
        <w:spacing w:after="0" w:line="71" w:lineRule="exact"/>
        <w:rPr>
          <w:sz w:val="20"/>
          <w:szCs w:val="20"/>
          <w:color w:val="auto"/>
        </w:rPr>
      </w:pPr>
    </w:p>
    <w:p>
      <w:pPr>
        <w:ind w:right="480"/>
        <w:spacing w:after="0" w:line="251" w:lineRule="auto"/>
        <w:rPr>
          <w:sz w:val="20"/>
          <w:szCs w:val="20"/>
          <w:color w:val="auto"/>
        </w:rPr>
      </w:pPr>
      <w:r>
        <w:rPr>
          <w:rFonts w:ascii="Arial" w:cs="Arial" w:eastAsia="Arial" w:hAnsi="Arial"/>
          <w:sz w:val="22"/>
          <w:szCs w:val="22"/>
          <w:color w:val="auto"/>
        </w:rPr>
        <w:t>See additional disclosure regarding derivative activity in Note 7 of the Notes to Condensed Consolidated Financial Statements herein.</w:t>
      </w:r>
    </w:p>
    <w:p>
      <w:pPr>
        <w:spacing w:after="0" w:line="52" w:lineRule="exact"/>
        <w:rPr>
          <w:sz w:val="20"/>
          <w:szCs w:val="20"/>
          <w:color w:val="auto"/>
        </w:rPr>
      </w:pPr>
    </w:p>
    <w:p>
      <w:pPr>
        <w:ind w:right="780"/>
        <w:spacing w:after="0" w:line="251" w:lineRule="auto"/>
        <w:rPr>
          <w:sz w:val="20"/>
          <w:szCs w:val="20"/>
          <w:color w:val="auto"/>
        </w:rPr>
      </w:pPr>
      <w:r>
        <w:rPr>
          <w:rFonts w:ascii="Arial" w:cs="Arial" w:eastAsia="Arial" w:hAnsi="Arial"/>
          <w:sz w:val="22"/>
          <w:szCs w:val="22"/>
          <w:color w:val="auto"/>
        </w:rPr>
        <w:t>As of March 31, 2009, the one-year VaR for long-term debt, excluding commercial paper, has not materially changed since December 31, 2008.</w:t>
      </w:r>
    </w:p>
    <w:p>
      <w:pPr>
        <w:spacing w:after="0" w:line="52" w:lineRule="exact"/>
        <w:rPr>
          <w:sz w:val="20"/>
          <w:szCs w:val="20"/>
          <w:color w:val="auto"/>
        </w:rPr>
      </w:pPr>
    </w:p>
    <w:p>
      <w:pPr>
        <w:ind w:right="680"/>
        <w:spacing w:after="0" w:line="251" w:lineRule="auto"/>
        <w:rPr>
          <w:sz w:val="20"/>
          <w:szCs w:val="20"/>
          <w:color w:val="auto"/>
        </w:rPr>
      </w:pPr>
      <w:r>
        <w:rPr>
          <w:rFonts w:ascii="Arial" w:cs="Arial" w:eastAsia="Arial" w:hAnsi="Arial"/>
          <w:sz w:val="22"/>
          <w:szCs w:val="22"/>
          <w:color w:val="auto"/>
        </w:rPr>
        <w:t>We discuss our market risk and risk policies in detail in "Management's Discussion and Analysis of Financial Condition and Results of Operations"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ITEM 4. CONTROLS AND PROCEDURES</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EVALUATION OF DISCLOSURE CONTROLS AND PROCEDURES</w:t>
      </w:r>
    </w:p>
    <w:p>
      <w:pPr>
        <w:spacing w:after="0" w:line="96" w:lineRule="exact"/>
        <w:rPr>
          <w:sz w:val="20"/>
          <w:szCs w:val="20"/>
          <w:color w:val="auto"/>
        </w:rPr>
      </w:pPr>
    </w:p>
    <w:p>
      <w:pPr>
        <w:ind w:right="180"/>
        <w:spacing w:after="0" w:line="279" w:lineRule="auto"/>
        <w:rPr>
          <w:sz w:val="20"/>
          <w:szCs w:val="20"/>
          <w:color w:val="auto"/>
        </w:rPr>
      </w:pPr>
      <w:r>
        <w:rPr>
          <w:rFonts w:ascii="Arial" w:cs="Arial" w:eastAsia="Arial" w:hAnsi="Arial"/>
          <w:sz w:val="19"/>
          <w:szCs w:val="19"/>
          <w:color w:val="auto"/>
        </w:rPr>
        <w:t>Sempra Energy, SDG&amp;E, PE and SoCalGas have designed and maintain disclosure controls and procedures to ensure that information required to be disclosed in their respective reports is recorded, processed, summarized and reported within the time periods specified in the rules and forms of the Securities and Exchange Commission and is accumulated and communicated to the management of each company, including each respective Chief Executive Officer and Chief Financial Officer, to allow timely decisions regarding required disclosure. In designing and evaluating these controls and procedures, the management of each company recognizes that any system of controls and procedures, no matter how well designed and operated, can provide only</w:t>
      </w:r>
    </w:p>
    <w:p>
      <w:pPr>
        <w:sectPr>
          <w:pgSz w:w="11900" w:h="16914" w:orient="portrait"/>
          <w:cols w:equalWidth="0" w:num="1">
            <w:col w:w="11420"/>
          </w:cols>
          <w:pgMar w:left="240" w:top="418" w:right="239" w:bottom="0" w:gutter="0" w:footer="0" w:header="0"/>
        </w:sectPr>
      </w:pPr>
    </w:p>
    <w:bookmarkStart w:id="79" w:name="page80"/>
    <w:bookmarkEnd w:id="79"/>
    <w:p>
      <w:pPr>
        <w:spacing w:after="0" w:line="251" w:lineRule="auto"/>
        <w:rPr>
          <w:sz w:val="20"/>
          <w:szCs w:val="20"/>
          <w:color w:val="auto"/>
        </w:rPr>
      </w:pPr>
      <w:r>
        <w:rPr>
          <w:rFonts w:ascii="Arial" w:cs="Arial" w:eastAsia="Arial" w:hAnsi="Arial"/>
          <w:sz w:val="22"/>
          <w:szCs w:val="22"/>
          <w:color w:val="auto"/>
        </w:rPr>
        <w:t>reasonable assurance of achieving the desired control objectives; therefore, the management of each company applies judgment in evaluating the cost-benefit relationship of other possible controls and procedures.</w:t>
      </w:r>
    </w:p>
    <w:p>
      <w:pPr>
        <w:spacing w:after="0" w:line="52"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Under the supervision and with the participation of management, including the Chief Executive Officers and Chief Financial Officers of Sempra Energy, SDG&amp;E, PE and SoCalGas, each company evaluated the effectiveness of the design and operation of its disclosure controls and procedures as of March 31, 2009, the end of the period covered by this report. Based on these evaluations, the Chief Executive Officers and Chief Financial Officers of Sempra Energy, SDG&amp;E, PE and SoCalGas concluded that their respective company's disclosure controls and procedures were effective at the reasonable assurance level.</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INTERNAL CONTROL OVER FINANCIAL REPORTING</w:t>
      </w:r>
    </w:p>
    <w:p>
      <w:pPr>
        <w:spacing w:after="0" w:line="96" w:lineRule="exact"/>
        <w:rPr>
          <w:sz w:val="20"/>
          <w:szCs w:val="20"/>
          <w:color w:val="auto"/>
        </w:rPr>
      </w:pPr>
    </w:p>
    <w:p>
      <w:pPr>
        <w:ind w:right="220"/>
        <w:spacing w:after="0" w:line="328" w:lineRule="auto"/>
        <w:rPr>
          <w:sz w:val="20"/>
          <w:szCs w:val="20"/>
          <w:color w:val="auto"/>
        </w:rPr>
      </w:pPr>
      <w:r>
        <w:rPr>
          <w:rFonts w:ascii="Arial" w:cs="Arial" w:eastAsia="Arial" w:hAnsi="Arial"/>
          <w:sz w:val="19"/>
          <w:szCs w:val="19"/>
          <w:color w:val="auto"/>
        </w:rPr>
        <w:t>There have been no changes in the companies' internal control over financial reporting during the most recent fiscal quarter that have materially affected, or are reasonably likely to materially affect, the companies' internal control over financial reporting.</w:t>
      </w:r>
    </w:p>
    <w:p>
      <w:pPr>
        <w:sectPr>
          <w:pgSz w:w="11900" w:h="16838" w:orient="portrait"/>
          <w:cols w:equalWidth="0" w:num="1">
            <w:col w:w="11260"/>
          </w:cols>
          <w:pgMar w:left="240" w:top="118" w:right="399" w:bottom="1440" w:gutter="0" w:footer="0" w:header="0"/>
        </w:sectPr>
      </w:pPr>
    </w:p>
    <w:bookmarkStart w:id="80" w:name="page81"/>
    <w:bookmarkEnd w:id="80"/>
    <w:p>
      <w:pPr>
        <w:spacing w:after="0"/>
        <w:rPr>
          <w:sz w:val="20"/>
          <w:szCs w:val="20"/>
          <w:color w:val="auto"/>
        </w:rPr>
      </w:pPr>
      <w:r>
        <w:rPr>
          <w:rFonts w:ascii="Arial" w:cs="Arial" w:eastAsia="Arial" w:hAnsi="Arial"/>
          <w:sz w:val="23"/>
          <w:szCs w:val="23"/>
          <w:color w:val="auto"/>
        </w:rPr>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color w:val="auto"/>
        </w:rPr>
        <w:t>ITEM 1. LEGAL PROCEEDINGS</w:t>
      </w:r>
    </w:p>
    <w:p>
      <w:pPr>
        <w:spacing w:after="0" w:line="63"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We are not party to, and our property is not the subject of, any material pending legal proceedings (other than ordinary routine litigation incidental to our businesses) except for the matters 1) described in Notes 9 and 10 of the Notes to Condensed Consolidated Financial Statements herein, or 2) referred to in "Management's Discussion and Analysis of Financial Condition and Results of Operations" herein and in the Annual Report.</w:t>
      </w:r>
    </w:p>
    <w:p>
      <w:pPr>
        <w:spacing w:after="0" w:line="63" w:lineRule="exact"/>
        <w:rPr>
          <w:sz w:val="20"/>
          <w:szCs w:val="20"/>
          <w:color w:val="auto"/>
        </w:rPr>
      </w:pPr>
    </w:p>
    <w:p>
      <w:pPr>
        <w:ind w:right="500"/>
        <w:spacing w:after="0" w:line="287" w:lineRule="auto"/>
        <w:rPr>
          <w:sz w:val="20"/>
          <w:szCs w:val="20"/>
          <w:color w:val="auto"/>
        </w:rPr>
      </w:pPr>
      <w:r>
        <w:rPr>
          <w:rFonts w:ascii="Arial" w:cs="Arial" w:eastAsia="Arial" w:hAnsi="Arial"/>
          <w:sz w:val="19"/>
          <w:szCs w:val="19"/>
          <w:color w:val="auto"/>
        </w:rPr>
        <w:t>The Los Angeles Regional Water Quality Control Board has asserted that SoCalGas violated the California Water Code in connection with certain maintenance activities in Los Angeles County's Sullivan Canyon. In June 2008, the board dismissed without prejudice a related lawsuit to provide an opportunity for the parties to resolve this matter without litigation. SoCalGas believes that any resolution will impose upon it fines and penalties of no more than $525,000.</w:t>
      </w:r>
    </w:p>
    <w:p>
      <w:pPr>
        <w:spacing w:after="0" w:line="8"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In July 2007, SDG&amp;E, one of its employees, and an SDG&amp;E contractor were convicted in a federal jury trial on criminal charges of environmental violations in connection with the 2000 – 2001 dismantlement of a natural gas storage facility. SDG&amp;E was also convicted of a related charge of making a false statement to a governmental agency. In December 2007, the trial court set aside all of the convictions and granted all of the defendants a new trial on all counts. On March 17, 2009, the Ninth Circuit Court of Appeals affirmed the new trial grant following a government appeal of the trial court's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ITEM 1A. RISK FACTORS</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color w:val="auto"/>
        </w:rPr>
        <w:t>There have been no material changes in risk factors as previously reported in our 2008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ITEM 2. UNREGISTERED SALES OF EQUITY SECURITIES AND USE OF PROCEEDS</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PURCHASES OF EQUITY SECURITIES BY THE ISSUER AND AFFILIATED PURCHASERS</w:t>
      </w:r>
    </w:p>
    <w:p>
      <w:pPr>
        <w:spacing w:after="0" w:line="82"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During the quarter ended March 31, 2009, Sempra Energy did not repurchase any of its common stock except for 956 shares purchased from holders of our restricted stock in amounts sufficient to meet minimum statutory tax withholding requirements upon vesting. In addition to such repurchases from employees to meet statutory tax withholding requirements on vesting restricted shares, the board of directors has authorized the company to repurchase up to $1 billion in common shares. This is the amount remaining from a program authorized in September 2007. We do not expect to repurchase any shares under this authorization during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44" w:right="259" w:bottom="1440" w:gutter="0" w:footer="0" w:header="0"/>
        </w:sectPr>
      </w:pPr>
    </w:p>
    <w:bookmarkStart w:id="81" w:name="page82"/>
    <w:bookmarkEnd w:id="81"/>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t>ITEM 4. SUBMISSION OF MATTERS TO A VOTE OF SECURITY HOLDERS</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SEMPRA ENERGY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Proposal 1: Election of Directors:</w:t>
      </w:r>
    </w:p>
    <w:p>
      <w:pPr>
        <w:spacing w:after="0" w:line="4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At the annual meeting of shareholders on April 30, 2009, the shareholders elected the following 12 directors for one-year terms expiring in 2010.</w:t>
      </w:r>
    </w:p>
    <w:p>
      <w:pPr>
        <w:spacing w:after="0" w:line="364" w:lineRule="exact"/>
        <w:rPr>
          <w:sz w:val="20"/>
          <w:szCs w:val="20"/>
          <w:color w:val="auto"/>
        </w:rPr>
      </w:pPr>
    </w:p>
    <w:tbl>
      <w:tblPr>
        <w:tblLayout w:type="fixed"/>
        <w:tblInd w:w="2600" w:type="dxa"/>
        <w:tblCellMar>
          <w:top w:w="0" w:type="dxa"/>
          <w:left w:w="0" w:type="dxa"/>
          <w:bottom w:w="0" w:type="dxa"/>
          <w:right w:w="0" w:type="dxa"/>
        </w:tblCellMar>
      </w:tblPr>
      <w:tr>
        <w:trPr>
          <w:trHeight w:val="152"/>
        </w:trPr>
        <w:tc>
          <w:tcPr>
            <w:tcW w:w="23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40" w:type="dxa"/>
            <w:vAlign w:val="bottom"/>
          </w:tcPr>
          <w:p>
            <w:pPr>
              <w:jc w:val="right"/>
              <w:ind w:right="502"/>
              <w:spacing w:after="0"/>
              <w:rPr>
                <w:sz w:val="20"/>
                <w:szCs w:val="20"/>
                <w:color w:val="auto"/>
              </w:rPr>
            </w:pPr>
            <w:r>
              <w:rPr>
                <w:rFonts w:ascii="Arial" w:cs="Arial" w:eastAsia="Arial" w:hAnsi="Arial"/>
                <w:sz w:val="13"/>
                <w:szCs w:val="13"/>
                <w:color w:val="auto"/>
              </w:rPr>
              <w:t>Votes</w:t>
            </w:r>
          </w:p>
        </w:tc>
        <w:tc>
          <w:tcPr>
            <w:tcW w:w="1200" w:type="dxa"/>
            <w:vAlign w:val="bottom"/>
          </w:tcPr>
          <w:p>
            <w:pPr>
              <w:spacing w:after="0"/>
              <w:rPr>
                <w:sz w:val="13"/>
                <w:szCs w:val="13"/>
                <w:color w:val="auto"/>
              </w:rPr>
            </w:pPr>
          </w:p>
        </w:tc>
      </w:tr>
      <w:tr>
        <w:trPr>
          <w:trHeight w:val="172"/>
        </w:trPr>
        <w:tc>
          <w:tcPr>
            <w:tcW w:w="2320" w:type="dxa"/>
            <w:vAlign w:val="bottom"/>
            <w:tcBorders>
              <w:bottom w:val="single" w:sz="8" w:color="auto"/>
            </w:tcBorders>
          </w:tcPr>
          <w:p>
            <w:pPr>
              <w:ind w:left="940"/>
              <w:spacing w:after="0"/>
              <w:rPr>
                <w:sz w:val="20"/>
                <w:szCs w:val="20"/>
                <w:color w:val="auto"/>
              </w:rPr>
            </w:pPr>
            <w:r>
              <w:rPr>
                <w:rFonts w:ascii="Arial" w:cs="Arial" w:eastAsia="Arial" w:hAnsi="Arial"/>
                <w:sz w:val="13"/>
                <w:szCs w:val="13"/>
                <w:color w:val="auto"/>
              </w:rPr>
              <w:t>Nominees</w:t>
            </w:r>
          </w:p>
        </w:tc>
        <w:tc>
          <w:tcPr>
            <w:tcW w:w="158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rPr>
              <w:t>Votes For</w:t>
            </w:r>
          </w:p>
        </w:tc>
        <w:tc>
          <w:tcPr>
            <w:tcW w:w="1140" w:type="dxa"/>
            <w:vAlign w:val="bottom"/>
            <w:tcBorders>
              <w:bottom w:val="single" w:sz="8" w:color="auto"/>
            </w:tcBorders>
          </w:tcPr>
          <w:p>
            <w:pPr>
              <w:jc w:val="right"/>
              <w:ind w:right="422"/>
              <w:spacing w:after="0"/>
              <w:rPr>
                <w:sz w:val="20"/>
                <w:szCs w:val="20"/>
                <w:color w:val="auto"/>
              </w:rPr>
            </w:pPr>
            <w:r>
              <w:rPr>
                <w:rFonts w:ascii="Arial" w:cs="Arial" w:eastAsia="Arial" w:hAnsi="Arial"/>
                <w:sz w:val="13"/>
                <w:szCs w:val="13"/>
                <w:color w:val="auto"/>
              </w:rPr>
              <w:t>Against</w:t>
            </w:r>
          </w:p>
        </w:tc>
        <w:tc>
          <w:tcPr>
            <w:tcW w:w="120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color w:val="auto"/>
              </w:rPr>
              <w:t>Abstentions</w:t>
            </w:r>
          </w:p>
        </w:tc>
      </w:tr>
      <w:tr>
        <w:trPr>
          <w:trHeight w:val="210"/>
        </w:trPr>
        <w:tc>
          <w:tcPr>
            <w:tcW w:w="2320" w:type="dxa"/>
            <w:vAlign w:val="bottom"/>
          </w:tcPr>
          <w:p>
            <w:pPr>
              <w:spacing w:after="0"/>
              <w:rPr>
                <w:sz w:val="20"/>
                <w:szCs w:val="20"/>
                <w:color w:val="auto"/>
              </w:rPr>
            </w:pPr>
            <w:r>
              <w:rPr>
                <w:rFonts w:ascii="Arial" w:cs="Arial" w:eastAsia="Arial" w:hAnsi="Arial"/>
                <w:sz w:val="16"/>
                <w:szCs w:val="16"/>
                <w:color w:val="auto"/>
              </w:rPr>
              <w:t>James G. Brocksmith, Jr.</w:t>
            </w:r>
          </w:p>
        </w:tc>
        <w:tc>
          <w:tcPr>
            <w:tcW w:w="1580" w:type="dxa"/>
            <w:vAlign w:val="bottom"/>
          </w:tcPr>
          <w:p>
            <w:pPr>
              <w:ind w:left="520"/>
              <w:spacing w:after="0"/>
              <w:rPr>
                <w:sz w:val="20"/>
                <w:szCs w:val="20"/>
                <w:color w:val="auto"/>
              </w:rPr>
            </w:pPr>
            <w:r>
              <w:rPr>
                <w:rFonts w:ascii="Arial" w:cs="Arial" w:eastAsia="Arial" w:hAnsi="Arial"/>
                <w:sz w:val="16"/>
                <w:szCs w:val="16"/>
                <w:color w:val="auto"/>
              </w:rPr>
              <w:t>199,251,776</w:t>
            </w:r>
          </w:p>
        </w:tc>
        <w:tc>
          <w:tcPr>
            <w:tcW w:w="1140" w:type="dxa"/>
            <w:vAlign w:val="bottom"/>
          </w:tcPr>
          <w:p>
            <w:pPr>
              <w:jc w:val="right"/>
              <w:ind w:right="102"/>
              <w:spacing w:after="0"/>
              <w:rPr>
                <w:sz w:val="20"/>
                <w:szCs w:val="20"/>
                <w:color w:val="auto"/>
              </w:rPr>
            </w:pPr>
            <w:r>
              <w:rPr>
                <w:rFonts w:ascii="Arial" w:cs="Arial" w:eastAsia="Arial" w:hAnsi="Arial"/>
                <w:sz w:val="16"/>
                <w:szCs w:val="16"/>
                <w:color w:val="auto"/>
              </w:rPr>
              <w:t>4,482,046</w:t>
            </w:r>
          </w:p>
        </w:tc>
        <w:tc>
          <w:tcPr>
            <w:tcW w:w="1200" w:type="dxa"/>
            <w:vAlign w:val="bottom"/>
          </w:tcPr>
          <w:p>
            <w:pPr>
              <w:jc w:val="right"/>
              <w:spacing w:after="0"/>
              <w:rPr>
                <w:sz w:val="20"/>
                <w:szCs w:val="20"/>
                <w:color w:val="auto"/>
              </w:rPr>
            </w:pPr>
            <w:r>
              <w:rPr>
                <w:rFonts w:ascii="Arial" w:cs="Arial" w:eastAsia="Arial" w:hAnsi="Arial"/>
                <w:sz w:val="16"/>
                <w:szCs w:val="16"/>
                <w:color w:val="auto"/>
              </w:rPr>
              <w:t>1,924,094</w:t>
            </w:r>
          </w:p>
        </w:tc>
      </w:tr>
      <w:tr>
        <w:trPr>
          <w:trHeight w:val="216"/>
        </w:trPr>
        <w:tc>
          <w:tcPr>
            <w:tcW w:w="2320" w:type="dxa"/>
            <w:vAlign w:val="bottom"/>
          </w:tcPr>
          <w:p>
            <w:pPr>
              <w:spacing w:after="0"/>
              <w:rPr>
                <w:sz w:val="20"/>
                <w:szCs w:val="20"/>
                <w:color w:val="auto"/>
              </w:rPr>
            </w:pPr>
            <w:r>
              <w:rPr>
                <w:rFonts w:ascii="Arial" w:cs="Arial" w:eastAsia="Arial" w:hAnsi="Arial"/>
                <w:sz w:val="16"/>
                <w:szCs w:val="16"/>
                <w:color w:val="auto"/>
              </w:rPr>
              <w:t>Richard A. Collato</w:t>
            </w:r>
          </w:p>
        </w:tc>
        <w:tc>
          <w:tcPr>
            <w:tcW w:w="1580" w:type="dxa"/>
            <w:vAlign w:val="bottom"/>
          </w:tcPr>
          <w:p>
            <w:pPr>
              <w:ind w:left="520"/>
              <w:spacing w:after="0"/>
              <w:rPr>
                <w:sz w:val="20"/>
                <w:szCs w:val="20"/>
                <w:color w:val="auto"/>
              </w:rPr>
            </w:pPr>
            <w:r>
              <w:rPr>
                <w:rFonts w:ascii="Arial" w:cs="Arial" w:eastAsia="Arial" w:hAnsi="Arial"/>
                <w:sz w:val="16"/>
                <w:szCs w:val="16"/>
                <w:color w:val="auto"/>
              </w:rPr>
              <w:t>189,245,344</w:t>
            </w:r>
          </w:p>
        </w:tc>
        <w:tc>
          <w:tcPr>
            <w:tcW w:w="1140" w:type="dxa"/>
            <w:vAlign w:val="bottom"/>
          </w:tcPr>
          <w:p>
            <w:pPr>
              <w:jc w:val="right"/>
              <w:ind w:right="102"/>
              <w:spacing w:after="0"/>
              <w:rPr>
                <w:sz w:val="20"/>
                <w:szCs w:val="20"/>
                <w:color w:val="auto"/>
              </w:rPr>
            </w:pPr>
            <w:r>
              <w:rPr>
                <w:rFonts w:ascii="Arial" w:cs="Arial" w:eastAsia="Arial" w:hAnsi="Arial"/>
                <w:sz w:val="16"/>
                <w:szCs w:val="16"/>
                <w:color w:val="auto"/>
              </w:rPr>
              <w:t>14,481,009</w:t>
            </w:r>
          </w:p>
        </w:tc>
        <w:tc>
          <w:tcPr>
            <w:tcW w:w="1200" w:type="dxa"/>
            <w:vAlign w:val="bottom"/>
          </w:tcPr>
          <w:p>
            <w:pPr>
              <w:jc w:val="right"/>
              <w:spacing w:after="0"/>
              <w:rPr>
                <w:sz w:val="20"/>
                <w:szCs w:val="20"/>
                <w:color w:val="auto"/>
              </w:rPr>
            </w:pPr>
            <w:r>
              <w:rPr>
                <w:rFonts w:ascii="Arial" w:cs="Arial" w:eastAsia="Arial" w:hAnsi="Arial"/>
                <w:sz w:val="16"/>
                <w:szCs w:val="16"/>
                <w:color w:val="auto"/>
              </w:rPr>
              <w:t>1,931,563</w:t>
            </w:r>
          </w:p>
        </w:tc>
      </w:tr>
      <w:tr>
        <w:trPr>
          <w:trHeight w:val="216"/>
        </w:trPr>
        <w:tc>
          <w:tcPr>
            <w:tcW w:w="2320" w:type="dxa"/>
            <w:vAlign w:val="bottom"/>
          </w:tcPr>
          <w:p>
            <w:pPr>
              <w:spacing w:after="0"/>
              <w:rPr>
                <w:sz w:val="20"/>
                <w:szCs w:val="20"/>
                <w:color w:val="auto"/>
              </w:rPr>
            </w:pPr>
            <w:r>
              <w:rPr>
                <w:rFonts w:ascii="Arial" w:cs="Arial" w:eastAsia="Arial" w:hAnsi="Arial"/>
                <w:sz w:val="16"/>
                <w:szCs w:val="16"/>
                <w:color w:val="auto"/>
              </w:rPr>
              <w:t>Donald E. Felsinger</w:t>
            </w:r>
          </w:p>
        </w:tc>
        <w:tc>
          <w:tcPr>
            <w:tcW w:w="1580" w:type="dxa"/>
            <w:vAlign w:val="bottom"/>
          </w:tcPr>
          <w:p>
            <w:pPr>
              <w:ind w:left="520"/>
              <w:spacing w:after="0"/>
              <w:rPr>
                <w:sz w:val="20"/>
                <w:szCs w:val="20"/>
                <w:color w:val="auto"/>
              </w:rPr>
            </w:pPr>
            <w:r>
              <w:rPr>
                <w:rFonts w:ascii="Arial" w:cs="Arial" w:eastAsia="Arial" w:hAnsi="Arial"/>
                <w:sz w:val="16"/>
                <w:szCs w:val="16"/>
                <w:color w:val="auto"/>
              </w:rPr>
              <w:t>197,674,736</w:t>
            </w:r>
          </w:p>
        </w:tc>
        <w:tc>
          <w:tcPr>
            <w:tcW w:w="1140" w:type="dxa"/>
            <w:vAlign w:val="bottom"/>
          </w:tcPr>
          <w:p>
            <w:pPr>
              <w:jc w:val="right"/>
              <w:ind w:right="102"/>
              <w:spacing w:after="0"/>
              <w:rPr>
                <w:sz w:val="20"/>
                <w:szCs w:val="20"/>
                <w:color w:val="auto"/>
              </w:rPr>
            </w:pPr>
            <w:r>
              <w:rPr>
                <w:rFonts w:ascii="Arial" w:cs="Arial" w:eastAsia="Arial" w:hAnsi="Arial"/>
                <w:sz w:val="16"/>
                <w:szCs w:val="16"/>
                <w:color w:val="auto"/>
              </w:rPr>
              <w:t>6,672,204</w:t>
            </w:r>
          </w:p>
        </w:tc>
        <w:tc>
          <w:tcPr>
            <w:tcW w:w="1200" w:type="dxa"/>
            <w:vAlign w:val="bottom"/>
          </w:tcPr>
          <w:p>
            <w:pPr>
              <w:jc w:val="right"/>
              <w:spacing w:after="0"/>
              <w:rPr>
                <w:sz w:val="20"/>
                <w:szCs w:val="20"/>
                <w:color w:val="auto"/>
              </w:rPr>
            </w:pPr>
            <w:r>
              <w:rPr>
                <w:rFonts w:ascii="Arial" w:cs="Arial" w:eastAsia="Arial" w:hAnsi="Arial"/>
                <w:sz w:val="16"/>
                <w:szCs w:val="16"/>
                <w:color w:val="auto"/>
              </w:rPr>
              <w:t>1,310,976</w:t>
            </w:r>
          </w:p>
        </w:tc>
      </w:tr>
      <w:tr>
        <w:trPr>
          <w:trHeight w:val="216"/>
        </w:trPr>
        <w:tc>
          <w:tcPr>
            <w:tcW w:w="2320" w:type="dxa"/>
            <w:vAlign w:val="bottom"/>
          </w:tcPr>
          <w:p>
            <w:pPr>
              <w:spacing w:after="0"/>
              <w:rPr>
                <w:sz w:val="20"/>
                <w:szCs w:val="20"/>
                <w:color w:val="auto"/>
              </w:rPr>
            </w:pPr>
            <w:r>
              <w:rPr>
                <w:rFonts w:ascii="Arial" w:cs="Arial" w:eastAsia="Arial" w:hAnsi="Arial"/>
                <w:sz w:val="16"/>
                <w:szCs w:val="16"/>
                <w:color w:val="auto"/>
              </w:rPr>
              <w:t>Wilford D. Godbold, Jr.</w:t>
            </w:r>
          </w:p>
        </w:tc>
        <w:tc>
          <w:tcPr>
            <w:tcW w:w="1580" w:type="dxa"/>
            <w:vAlign w:val="bottom"/>
          </w:tcPr>
          <w:p>
            <w:pPr>
              <w:ind w:left="520"/>
              <w:spacing w:after="0"/>
              <w:rPr>
                <w:sz w:val="20"/>
                <w:szCs w:val="20"/>
                <w:color w:val="auto"/>
              </w:rPr>
            </w:pPr>
            <w:r>
              <w:rPr>
                <w:rFonts w:ascii="Arial" w:cs="Arial" w:eastAsia="Arial" w:hAnsi="Arial"/>
                <w:sz w:val="16"/>
                <w:szCs w:val="16"/>
                <w:color w:val="auto"/>
              </w:rPr>
              <w:t>198,281,724</w:t>
            </w:r>
          </w:p>
        </w:tc>
        <w:tc>
          <w:tcPr>
            <w:tcW w:w="1140" w:type="dxa"/>
            <w:vAlign w:val="bottom"/>
          </w:tcPr>
          <w:p>
            <w:pPr>
              <w:jc w:val="right"/>
              <w:ind w:right="102"/>
              <w:spacing w:after="0"/>
              <w:rPr>
                <w:sz w:val="20"/>
                <w:szCs w:val="20"/>
                <w:color w:val="auto"/>
              </w:rPr>
            </w:pPr>
            <w:r>
              <w:rPr>
                <w:rFonts w:ascii="Arial" w:cs="Arial" w:eastAsia="Arial" w:hAnsi="Arial"/>
                <w:sz w:val="16"/>
                <w:szCs w:val="16"/>
                <w:color w:val="auto"/>
              </w:rPr>
              <w:t>5,475,059</w:t>
            </w:r>
          </w:p>
        </w:tc>
        <w:tc>
          <w:tcPr>
            <w:tcW w:w="1200" w:type="dxa"/>
            <w:vAlign w:val="bottom"/>
          </w:tcPr>
          <w:p>
            <w:pPr>
              <w:jc w:val="right"/>
              <w:spacing w:after="0"/>
              <w:rPr>
                <w:sz w:val="20"/>
                <w:szCs w:val="20"/>
                <w:color w:val="auto"/>
              </w:rPr>
            </w:pPr>
            <w:r>
              <w:rPr>
                <w:rFonts w:ascii="Arial" w:cs="Arial" w:eastAsia="Arial" w:hAnsi="Arial"/>
                <w:sz w:val="16"/>
                <w:szCs w:val="16"/>
                <w:color w:val="auto"/>
              </w:rPr>
              <w:t>1,901,133</w:t>
            </w:r>
          </w:p>
        </w:tc>
      </w:tr>
      <w:tr>
        <w:trPr>
          <w:trHeight w:val="216"/>
        </w:trPr>
        <w:tc>
          <w:tcPr>
            <w:tcW w:w="2320" w:type="dxa"/>
            <w:vAlign w:val="bottom"/>
          </w:tcPr>
          <w:p>
            <w:pPr>
              <w:spacing w:after="0"/>
              <w:rPr>
                <w:sz w:val="20"/>
                <w:szCs w:val="20"/>
                <w:color w:val="auto"/>
              </w:rPr>
            </w:pPr>
            <w:r>
              <w:rPr>
                <w:rFonts w:ascii="Arial" w:cs="Arial" w:eastAsia="Arial" w:hAnsi="Arial"/>
                <w:sz w:val="16"/>
                <w:szCs w:val="16"/>
                <w:color w:val="auto"/>
              </w:rPr>
              <w:t>William D. Jones</w:t>
            </w:r>
          </w:p>
        </w:tc>
        <w:tc>
          <w:tcPr>
            <w:tcW w:w="1580" w:type="dxa"/>
            <w:vAlign w:val="bottom"/>
          </w:tcPr>
          <w:p>
            <w:pPr>
              <w:ind w:left="520"/>
              <w:spacing w:after="0"/>
              <w:rPr>
                <w:sz w:val="20"/>
                <w:szCs w:val="20"/>
                <w:color w:val="auto"/>
              </w:rPr>
            </w:pPr>
            <w:r>
              <w:rPr>
                <w:rFonts w:ascii="Arial" w:cs="Arial" w:eastAsia="Arial" w:hAnsi="Arial"/>
                <w:sz w:val="16"/>
                <w:szCs w:val="16"/>
                <w:color w:val="auto"/>
              </w:rPr>
              <w:t>198,485,620</w:t>
            </w:r>
          </w:p>
        </w:tc>
        <w:tc>
          <w:tcPr>
            <w:tcW w:w="1140" w:type="dxa"/>
            <w:vAlign w:val="bottom"/>
          </w:tcPr>
          <w:p>
            <w:pPr>
              <w:jc w:val="right"/>
              <w:ind w:right="102"/>
              <w:spacing w:after="0"/>
              <w:rPr>
                <w:sz w:val="20"/>
                <w:szCs w:val="20"/>
                <w:color w:val="auto"/>
              </w:rPr>
            </w:pPr>
            <w:r>
              <w:rPr>
                <w:rFonts w:ascii="Arial" w:cs="Arial" w:eastAsia="Arial" w:hAnsi="Arial"/>
                <w:sz w:val="16"/>
                <w:szCs w:val="16"/>
                <w:color w:val="auto"/>
              </w:rPr>
              <w:t>5,218,771</w:t>
            </w:r>
          </w:p>
        </w:tc>
        <w:tc>
          <w:tcPr>
            <w:tcW w:w="1200" w:type="dxa"/>
            <w:vAlign w:val="bottom"/>
          </w:tcPr>
          <w:p>
            <w:pPr>
              <w:jc w:val="right"/>
              <w:spacing w:after="0"/>
              <w:rPr>
                <w:sz w:val="20"/>
                <w:szCs w:val="20"/>
                <w:color w:val="auto"/>
              </w:rPr>
            </w:pPr>
            <w:r>
              <w:rPr>
                <w:rFonts w:ascii="Arial" w:cs="Arial" w:eastAsia="Arial" w:hAnsi="Arial"/>
                <w:sz w:val="16"/>
                <w:szCs w:val="16"/>
                <w:color w:val="auto"/>
              </w:rPr>
              <w:t>1,953,525</w:t>
            </w:r>
          </w:p>
        </w:tc>
      </w:tr>
      <w:tr>
        <w:trPr>
          <w:trHeight w:val="216"/>
        </w:trPr>
        <w:tc>
          <w:tcPr>
            <w:tcW w:w="2320" w:type="dxa"/>
            <w:vAlign w:val="bottom"/>
          </w:tcPr>
          <w:p>
            <w:pPr>
              <w:spacing w:after="0"/>
              <w:rPr>
                <w:sz w:val="20"/>
                <w:szCs w:val="20"/>
                <w:color w:val="auto"/>
              </w:rPr>
            </w:pPr>
            <w:r>
              <w:rPr>
                <w:rFonts w:ascii="Arial" w:cs="Arial" w:eastAsia="Arial" w:hAnsi="Arial"/>
                <w:sz w:val="16"/>
                <w:szCs w:val="16"/>
                <w:color w:val="auto"/>
              </w:rPr>
              <w:t>Richard G. Newman</w:t>
            </w:r>
          </w:p>
        </w:tc>
        <w:tc>
          <w:tcPr>
            <w:tcW w:w="1580" w:type="dxa"/>
            <w:vAlign w:val="bottom"/>
          </w:tcPr>
          <w:p>
            <w:pPr>
              <w:ind w:left="520"/>
              <w:spacing w:after="0"/>
              <w:rPr>
                <w:sz w:val="20"/>
                <w:szCs w:val="20"/>
                <w:color w:val="auto"/>
              </w:rPr>
            </w:pPr>
            <w:r>
              <w:rPr>
                <w:rFonts w:ascii="Arial" w:cs="Arial" w:eastAsia="Arial" w:hAnsi="Arial"/>
                <w:sz w:val="16"/>
                <w:szCs w:val="16"/>
                <w:color w:val="auto"/>
              </w:rPr>
              <w:t>185,062,171</w:t>
            </w:r>
          </w:p>
        </w:tc>
        <w:tc>
          <w:tcPr>
            <w:tcW w:w="1140" w:type="dxa"/>
            <w:vAlign w:val="bottom"/>
          </w:tcPr>
          <w:p>
            <w:pPr>
              <w:jc w:val="right"/>
              <w:ind w:right="102"/>
              <w:spacing w:after="0"/>
              <w:rPr>
                <w:sz w:val="20"/>
                <w:szCs w:val="20"/>
                <w:color w:val="auto"/>
              </w:rPr>
            </w:pPr>
            <w:r>
              <w:rPr>
                <w:rFonts w:ascii="Arial" w:cs="Arial" w:eastAsia="Arial" w:hAnsi="Arial"/>
                <w:sz w:val="16"/>
                <w:szCs w:val="16"/>
                <w:color w:val="auto"/>
              </w:rPr>
              <w:t>18,711,617</w:t>
            </w:r>
          </w:p>
        </w:tc>
        <w:tc>
          <w:tcPr>
            <w:tcW w:w="1200" w:type="dxa"/>
            <w:vAlign w:val="bottom"/>
          </w:tcPr>
          <w:p>
            <w:pPr>
              <w:jc w:val="right"/>
              <w:spacing w:after="0"/>
              <w:rPr>
                <w:sz w:val="20"/>
                <w:szCs w:val="20"/>
                <w:color w:val="auto"/>
              </w:rPr>
            </w:pPr>
            <w:r>
              <w:rPr>
                <w:rFonts w:ascii="Arial" w:cs="Arial" w:eastAsia="Arial" w:hAnsi="Arial"/>
                <w:sz w:val="16"/>
                <w:szCs w:val="16"/>
                <w:color w:val="auto"/>
              </w:rPr>
              <w:t>1,884,128</w:t>
            </w:r>
          </w:p>
        </w:tc>
      </w:tr>
      <w:tr>
        <w:trPr>
          <w:trHeight w:val="216"/>
        </w:trPr>
        <w:tc>
          <w:tcPr>
            <w:tcW w:w="2320" w:type="dxa"/>
            <w:vAlign w:val="bottom"/>
          </w:tcPr>
          <w:p>
            <w:pPr>
              <w:spacing w:after="0"/>
              <w:rPr>
                <w:sz w:val="20"/>
                <w:szCs w:val="20"/>
                <w:color w:val="auto"/>
              </w:rPr>
            </w:pPr>
            <w:r>
              <w:rPr>
                <w:rFonts w:ascii="Arial" w:cs="Arial" w:eastAsia="Arial" w:hAnsi="Arial"/>
                <w:sz w:val="16"/>
                <w:szCs w:val="16"/>
                <w:color w:val="auto"/>
              </w:rPr>
              <w:t>William G. Ouchi</w:t>
            </w:r>
          </w:p>
        </w:tc>
        <w:tc>
          <w:tcPr>
            <w:tcW w:w="1580" w:type="dxa"/>
            <w:vAlign w:val="bottom"/>
          </w:tcPr>
          <w:p>
            <w:pPr>
              <w:ind w:left="520"/>
              <w:spacing w:after="0"/>
              <w:rPr>
                <w:sz w:val="20"/>
                <w:szCs w:val="20"/>
                <w:color w:val="auto"/>
              </w:rPr>
            </w:pPr>
            <w:r>
              <w:rPr>
                <w:rFonts w:ascii="Arial" w:cs="Arial" w:eastAsia="Arial" w:hAnsi="Arial"/>
                <w:sz w:val="16"/>
                <w:szCs w:val="16"/>
                <w:color w:val="auto"/>
              </w:rPr>
              <w:t>198,087,598</w:t>
            </w:r>
          </w:p>
        </w:tc>
        <w:tc>
          <w:tcPr>
            <w:tcW w:w="1140" w:type="dxa"/>
            <w:vAlign w:val="bottom"/>
          </w:tcPr>
          <w:p>
            <w:pPr>
              <w:jc w:val="right"/>
              <w:ind w:right="102"/>
              <w:spacing w:after="0"/>
              <w:rPr>
                <w:sz w:val="20"/>
                <w:szCs w:val="20"/>
                <w:color w:val="auto"/>
              </w:rPr>
            </w:pPr>
            <w:r>
              <w:rPr>
                <w:rFonts w:ascii="Arial" w:cs="Arial" w:eastAsia="Arial" w:hAnsi="Arial"/>
                <w:sz w:val="16"/>
                <w:szCs w:val="16"/>
                <w:color w:val="auto"/>
              </w:rPr>
              <w:t>5,821,211</w:t>
            </w:r>
          </w:p>
        </w:tc>
        <w:tc>
          <w:tcPr>
            <w:tcW w:w="1200" w:type="dxa"/>
            <w:vAlign w:val="bottom"/>
          </w:tcPr>
          <w:p>
            <w:pPr>
              <w:jc w:val="right"/>
              <w:spacing w:after="0"/>
              <w:rPr>
                <w:sz w:val="20"/>
                <w:szCs w:val="20"/>
                <w:color w:val="auto"/>
              </w:rPr>
            </w:pPr>
            <w:r>
              <w:rPr>
                <w:rFonts w:ascii="Arial" w:cs="Arial" w:eastAsia="Arial" w:hAnsi="Arial"/>
                <w:sz w:val="16"/>
                <w:szCs w:val="16"/>
                <w:color w:val="auto"/>
              </w:rPr>
              <w:t>1,749,107</w:t>
            </w:r>
          </w:p>
        </w:tc>
      </w:tr>
      <w:tr>
        <w:trPr>
          <w:trHeight w:val="216"/>
        </w:trPr>
        <w:tc>
          <w:tcPr>
            <w:tcW w:w="2320" w:type="dxa"/>
            <w:vAlign w:val="bottom"/>
          </w:tcPr>
          <w:p>
            <w:pPr>
              <w:spacing w:after="0"/>
              <w:rPr>
                <w:sz w:val="20"/>
                <w:szCs w:val="20"/>
                <w:color w:val="auto"/>
              </w:rPr>
            </w:pPr>
            <w:r>
              <w:rPr>
                <w:rFonts w:ascii="Arial" w:cs="Arial" w:eastAsia="Arial" w:hAnsi="Arial"/>
                <w:sz w:val="16"/>
                <w:szCs w:val="16"/>
                <w:color w:val="auto"/>
              </w:rPr>
              <w:t>Carlos Ruiz</w:t>
            </w:r>
          </w:p>
        </w:tc>
        <w:tc>
          <w:tcPr>
            <w:tcW w:w="1580" w:type="dxa"/>
            <w:vAlign w:val="bottom"/>
          </w:tcPr>
          <w:p>
            <w:pPr>
              <w:ind w:left="520"/>
              <w:spacing w:after="0"/>
              <w:rPr>
                <w:sz w:val="20"/>
                <w:szCs w:val="20"/>
                <w:color w:val="auto"/>
              </w:rPr>
            </w:pPr>
            <w:r>
              <w:rPr>
                <w:rFonts w:ascii="Arial" w:cs="Arial" w:eastAsia="Arial" w:hAnsi="Arial"/>
                <w:sz w:val="16"/>
                <w:szCs w:val="16"/>
                <w:color w:val="auto"/>
              </w:rPr>
              <w:t>199,277,324</w:t>
            </w:r>
          </w:p>
        </w:tc>
        <w:tc>
          <w:tcPr>
            <w:tcW w:w="1140" w:type="dxa"/>
            <w:vAlign w:val="bottom"/>
          </w:tcPr>
          <w:p>
            <w:pPr>
              <w:jc w:val="right"/>
              <w:ind w:right="102"/>
              <w:spacing w:after="0"/>
              <w:rPr>
                <w:sz w:val="20"/>
                <w:szCs w:val="20"/>
                <w:color w:val="auto"/>
              </w:rPr>
            </w:pPr>
            <w:r>
              <w:rPr>
                <w:rFonts w:ascii="Arial" w:cs="Arial" w:eastAsia="Arial" w:hAnsi="Arial"/>
                <w:sz w:val="16"/>
                <w:szCs w:val="16"/>
                <w:color w:val="auto"/>
              </w:rPr>
              <w:t>4,539,324</w:t>
            </w:r>
          </w:p>
        </w:tc>
        <w:tc>
          <w:tcPr>
            <w:tcW w:w="1200" w:type="dxa"/>
            <w:vAlign w:val="bottom"/>
          </w:tcPr>
          <w:p>
            <w:pPr>
              <w:jc w:val="right"/>
              <w:spacing w:after="0"/>
              <w:rPr>
                <w:sz w:val="20"/>
                <w:szCs w:val="20"/>
                <w:color w:val="auto"/>
              </w:rPr>
            </w:pPr>
            <w:r>
              <w:rPr>
                <w:rFonts w:ascii="Arial" w:cs="Arial" w:eastAsia="Arial" w:hAnsi="Arial"/>
                <w:sz w:val="16"/>
                <w:szCs w:val="16"/>
                <w:color w:val="auto"/>
              </w:rPr>
              <w:t>1,841,268</w:t>
            </w:r>
          </w:p>
        </w:tc>
      </w:tr>
      <w:tr>
        <w:trPr>
          <w:trHeight w:val="216"/>
        </w:trPr>
        <w:tc>
          <w:tcPr>
            <w:tcW w:w="2320" w:type="dxa"/>
            <w:vAlign w:val="bottom"/>
          </w:tcPr>
          <w:p>
            <w:pPr>
              <w:spacing w:after="0"/>
              <w:rPr>
                <w:sz w:val="20"/>
                <w:szCs w:val="20"/>
                <w:color w:val="auto"/>
              </w:rPr>
            </w:pPr>
            <w:r>
              <w:rPr>
                <w:rFonts w:ascii="Arial" w:cs="Arial" w:eastAsia="Arial" w:hAnsi="Arial"/>
                <w:sz w:val="16"/>
                <w:szCs w:val="16"/>
                <w:color w:val="auto"/>
              </w:rPr>
              <w:t>William C. Rusnack</w:t>
            </w:r>
          </w:p>
        </w:tc>
        <w:tc>
          <w:tcPr>
            <w:tcW w:w="1580" w:type="dxa"/>
            <w:vAlign w:val="bottom"/>
          </w:tcPr>
          <w:p>
            <w:pPr>
              <w:ind w:left="520"/>
              <w:spacing w:after="0"/>
              <w:rPr>
                <w:sz w:val="20"/>
                <w:szCs w:val="20"/>
                <w:color w:val="auto"/>
              </w:rPr>
            </w:pPr>
            <w:r>
              <w:rPr>
                <w:rFonts w:ascii="Arial" w:cs="Arial" w:eastAsia="Arial" w:hAnsi="Arial"/>
                <w:sz w:val="16"/>
                <w:szCs w:val="16"/>
                <w:color w:val="auto"/>
              </w:rPr>
              <w:t>198,991,148</w:t>
            </w:r>
          </w:p>
        </w:tc>
        <w:tc>
          <w:tcPr>
            <w:tcW w:w="1140" w:type="dxa"/>
            <w:vAlign w:val="bottom"/>
          </w:tcPr>
          <w:p>
            <w:pPr>
              <w:jc w:val="right"/>
              <w:ind w:right="102"/>
              <w:spacing w:after="0"/>
              <w:rPr>
                <w:sz w:val="20"/>
                <w:szCs w:val="20"/>
                <w:color w:val="auto"/>
              </w:rPr>
            </w:pPr>
            <w:r>
              <w:rPr>
                <w:rFonts w:ascii="Arial" w:cs="Arial" w:eastAsia="Arial" w:hAnsi="Arial"/>
                <w:sz w:val="16"/>
                <w:szCs w:val="16"/>
                <w:color w:val="auto"/>
              </w:rPr>
              <w:t>4,773,521</w:t>
            </w:r>
          </w:p>
        </w:tc>
        <w:tc>
          <w:tcPr>
            <w:tcW w:w="1200" w:type="dxa"/>
            <w:vAlign w:val="bottom"/>
          </w:tcPr>
          <w:p>
            <w:pPr>
              <w:jc w:val="right"/>
              <w:spacing w:after="0"/>
              <w:rPr>
                <w:sz w:val="20"/>
                <w:szCs w:val="20"/>
                <w:color w:val="auto"/>
              </w:rPr>
            </w:pPr>
            <w:r>
              <w:rPr>
                <w:rFonts w:ascii="Arial" w:cs="Arial" w:eastAsia="Arial" w:hAnsi="Arial"/>
                <w:sz w:val="16"/>
                <w:szCs w:val="16"/>
                <w:color w:val="auto"/>
              </w:rPr>
              <w:t>1,893,247</w:t>
            </w:r>
          </w:p>
        </w:tc>
      </w:tr>
      <w:tr>
        <w:trPr>
          <w:trHeight w:val="216"/>
        </w:trPr>
        <w:tc>
          <w:tcPr>
            <w:tcW w:w="2320" w:type="dxa"/>
            <w:vAlign w:val="bottom"/>
          </w:tcPr>
          <w:p>
            <w:pPr>
              <w:spacing w:after="0"/>
              <w:rPr>
                <w:sz w:val="20"/>
                <w:szCs w:val="20"/>
                <w:color w:val="auto"/>
              </w:rPr>
            </w:pPr>
            <w:r>
              <w:rPr>
                <w:rFonts w:ascii="Arial" w:cs="Arial" w:eastAsia="Arial" w:hAnsi="Arial"/>
                <w:sz w:val="16"/>
                <w:szCs w:val="16"/>
                <w:color w:val="auto"/>
              </w:rPr>
              <w:t>William P. Rutledge</w:t>
            </w:r>
          </w:p>
        </w:tc>
        <w:tc>
          <w:tcPr>
            <w:tcW w:w="1580" w:type="dxa"/>
            <w:vAlign w:val="bottom"/>
          </w:tcPr>
          <w:p>
            <w:pPr>
              <w:ind w:left="520"/>
              <w:spacing w:after="0"/>
              <w:rPr>
                <w:sz w:val="20"/>
                <w:szCs w:val="20"/>
                <w:color w:val="auto"/>
              </w:rPr>
            </w:pPr>
            <w:r>
              <w:rPr>
                <w:rFonts w:ascii="Arial" w:cs="Arial" w:eastAsia="Arial" w:hAnsi="Arial"/>
                <w:sz w:val="16"/>
                <w:szCs w:val="16"/>
                <w:color w:val="auto"/>
              </w:rPr>
              <w:t>197,888,110</w:t>
            </w:r>
          </w:p>
        </w:tc>
        <w:tc>
          <w:tcPr>
            <w:tcW w:w="1140" w:type="dxa"/>
            <w:vAlign w:val="bottom"/>
          </w:tcPr>
          <w:p>
            <w:pPr>
              <w:jc w:val="right"/>
              <w:ind w:right="102"/>
              <w:spacing w:after="0"/>
              <w:rPr>
                <w:sz w:val="20"/>
                <w:szCs w:val="20"/>
                <w:color w:val="auto"/>
              </w:rPr>
            </w:pPr>
            <w:r>
              <w:rPr>
                <w:rFonts w:ascii="Arial" w:cs="Arial" w:eastAsia="Arial" w:hAnsi="Arial"/>
                <w:sz w:val="16"/>
                <w:szCs w:val="16"/>
                <w:color w:val="auto"/>
              </w:rPr>
              <w:t>5,850,750</w:t>
            </w:r>
          </w:p>
        </w:tc>
        <w:tc>
          <w:tcPr>
            <w:tcW w:w="1200" w:type="dxa"/>
            <w:vAlign w:val="bottom"/>
          </w:tcPr>
          <w:p>
            <w:pPr>
              <w:jc w:val="right"/>
              <w:spacing w:after="0"/>
              <w:rPr>
                <w:sz w:val="20"/>
                <w:szCs w:val="20"/>
                <w:color w:val="auto"/>
              </w:rPr>
            </w:pPr>
            <w:r>
              <w:rPr>
                <w:rFonts w:ascii="Arial" w:cs="Arial" w:eastAsia="Arial" w:hAnsi="Arial"/>
                <w:sz w:val="16"/>
                <w:szCs w:val="16"/>
                <w:color w:val="auto"/>
              </w:rPr>
              <w:t>1,919,056</w:t>
            </w:r>
          </w:p>
        </w:tc>
      </w:tr>
      <w:tr>
        <w:trPr>
          <w:trHeight w:val="216"/>
        </w:trPr>
        <w:tc>
          <w:tcPr>
            <w:tcW w:w="2320" w:type="dxa"/>
            <w:vAlign w:val="bottom"/>
          </w:tcPr>
          <w:p>
            <w:pPr>
              <w:spacing w:after="0"/>
              <w:rPr>
                <w:sz w:val="20"/>
                <w:szCs w:val="20"/>
                <w:color w:val="auto"/>
              </w:rPr>
            </w:pPr>
            <w:r>
              <w:rPr>
                <w:rFonts w:ascii="Arial" w:cs="Arial" w:eastAsia="Arial" w:hAnsi="Arial"/>
                <w:sz w:val="16"/>
                <w:szCs w:val="16"/>
                <w:color w:val="auto"/>
              </w:rPr>
              <w:t>Lynn Schenk</w:t>
            </w:r>
          </w:p>
        </w:tc>
        <w:tc>
          <w:tcPr>
            <w:tcW w:w="1580" w:type="dxa"/>
            <w:vAlign w:val="bottom"/>
          </w:tcPr>
          <w:p>
            <w:pPr>
              <w:ind w:left="520"/>
              <w:spacing w:after="0"/>
              <w:rPr>
                <w:sz w:val="20"/>
                <w:szCs w:val="20"/>
                <w:color w:val="auto"/>
              </w:rPr>
            </w:pPr>
            <w:r>
              <w:rPr>
                <w:rFonts w:ascii="Arial" w:cs="Arial" w:eastAsia="Arial" w:hAnsi="Arial"/>
                <w:sz w:val="16"/>
                <w:szCs w:val="16"/>
                <w:color w:val="auto"/>
              </w:rPr>
              <w:t>199,034,894</w:t>
            </w:r>
          </w:p>
        </w:tc>
        <w:tc>
          <w:tcPr>
            <w:tcW w:w="1140" w:type="dxa"/>
            <w:vAlign w:val="bottom"/>
          </w:tcPr>
          <w:p>
            <w:pPr>
              <w:jc w:val="right"/>
              <w:ind w:right="102"/>
              <w:spacing w:after="0"/>
              <w:rPr>
                <w:sz w:val="20"/>
                <w:szCs w:val="20"/>
                <w:color w:val="auto"/>
              </w:rPr>
            </w:pPr>
            <w:r>
              <w:rPr>
                <w:rFonts w:ascii="Arial" w:cs="Arial" w:eastAsia="Arial" w:hAnsi="Arial"/>
                <w:sz w:val="16"/>
                <w:szCs w:val="16"/>
                <w:color w:val="auto"/>
              </w:rPr>
              <w:t>4,747,461</w:t>
            </w:r>
          </w:p>
        </w:tc>
        <w:tc>
          <w:tcPr>
            <w:tcW w:w="1200" w:type="dxa"/>
            <w:vAlign w:val="bottom"/>
          </w:tcPr>
          <w:p>
            <w:pPr>
              <w:jc w:val="right"/>
              <w:spacing w:after="0"/>
              <w:rPr>
                <w:sz w:val="20"/>
                <w:szCs w:val="20"/>
                <w:color w:val="auto"/>
              </w:rPr>
            </w:pPr>
            <w:r>
              <w:rPr>
                <w:rFonts w:ascii="Arial" w:cs="Arial" w:eastAsia="Arial" w:hAnsi="Arial"/>
                <w:sz w:val="16"/>
                <w:szCs w:val="16"/>
                <w:color w:val="auto"/>
              </w:rPr>
              <w:t>1,875,561</w:t>
            </w:r>
          </w:p>
        </w:tc>
      </w:tr>
      <w:tr>
        <w:trPr>
          <w:trHeight w:val="256"/>
        </w:trPr>
        <w:tc>
          <w:tcPr>
            <w:tcW w:w="2320" w:type="dxa"/>
            <w:vAlign w:val="bottom"/>
            <w:tcBorders>
              <w:bottom w:val="single" w:sz="8" w:color="DFDFDF"/>
            </w:tcBorders>
          </w:tcPr>
          <w:p>
            <w:pPr>
              <w:spacing w:after="0"/>
              <w:rPr>
                <w:sz w:val="20"/>
                <w:szCs w:val="20"/>
                <w:color w:val="auto"/>
              </w:rPr>
            </w:pPr>
            <w:r>
              <w:rPr>
                <w:rFonts w:ascii="Arial" w:cs="Arial" w:eastAsia="Arial" w:hAnsi="Arial"/>
                <w:sz w:val="16"/>
                <w:szCs w:val="16"/>
                <w:color w:val="auto"/>
              </w:rPr>
              <w:t>Neal E. Schmale</w:t>
            </w:r>
          </w:p>
        </w:tc>
        <w:tc>
          <w:tcPr>
            <w:tcW w:w="1580" w:type="dxa"/>
            <w:vAlign w:val="bottom"/>
            <w:tcBorders>
              <w:bottom w:val="single" w:sz="8" w:color="DFDFDF"/>
            </w:tcBorders>
          </w:tcPr>
          <w:p>
            <w:pPr>
              <w:ind w:left="520"/>
              <w:spacing w:after="0"/>
              <w:rPr>
                <w:sz w:val="20"/>
                <w:szCs w:val="20"/>
                <w:color w:val="auto"/>
              </w:rPr>
            </w:pPr>
            <w:r>
              <w:rPr>
                <w:rFonts w:ascii="Arial" w:cs="Arial" w:eastAsia="Arial" w:hAnsi="Arial"/>
                <w:sz w:val="16"/>
                <w:szCs w:val="16"/>
                <w:color w:val="auto"/>
              </w:rPr>
              <w:t>198,533,954</w:t>
            </w:r>
          </w:p>
        </w:tc>
        <w:tc>
          <w:tcPr>
            <w:tcW w:w="1140" w:type="dxa"/>
            <w:vAlign w:val="bottom"/>
            <w:tcBorders>
              <w:bottom w:val="single" w:sz="8" w:color="DFDFDF"/>
            </w:tcBorders>
          </w:tcPr>
          <w:p>
            <w:pPr>
              <w:jc w:val="right"/>
              <w:ind w:right="102"/>
              <w:spacing w:after="0"/>
              <w:rPr>
                <w:sz w:val="20"/>
                <w:szCs w:val="20"/>
                <w:color w:val="auto"/>
              </w:rPr>
            </w:pPr>
            <w:r>
              <w:rPr>
                <w:rFonts w:ascii="Arial" w:cs="Arial" w:eastAsia="Arial" w:hAnsi="Arial"/>
                <w:sz w:val="16"/>
                <w:szCs w:val="16"/>
                <w:color w:val="auto"/>
              </w:rPr>
              <w:t>5,606,360</w:t>
            </w:r>
          </w:p>
        </w:tc>
        <w:tc>
          <w:tcPr>
            <w:tcW w:w="1200" w:type="dxa"/>
            <w:vAlign w:val="bottom"/>
            <w:tcBorders>
              <w:bottom w:val="single" w:sz="8" w:color="DFDFDF"/>
            </w:tcBorders>
          </w:tcPr>
          <w:p>
            <w:pPr>
              <w:jc w:val="right"/>
              <w:spacing w:after="0"/>
              <w:rPr>
                <w:sz w:val="20"/>
                <w:szCs w:val="20"/>
                <w:color w:val="auto"/>
              </w:rPr>
            </w:pPr>
            <w:r>
              <w:rPr>
                <w:rFonts w:ascii="Arial" w:cs="Arial" w:eastAsia="Arial" w:hAnsi="Arial"/>
                <w:sz w:val="16"/>
                <w:szCs w:val="16"/>
                <w:color w:val="auto"/>
              </w:rPr>
              <w:t>1,517,602</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Proposal 2: Ratification of Independent Registered Public Accounting Firm:</w:t>
      </w:r>
    </w:p>
    <w:p>
      <w:pPr>
        <w:spacing w:after="0" w:line="173" w:lineRule="exact"/>
        <w:rPr>
          <w:sz w:val="20"/>
          <w:szCs w:val="20"/>
          <w:color w:val="auto"/>
        </w:rPr>
      </w:pPr>
    </w:p>
    <w:tbl>
      <w:tblPr>
        <w:tblLayout w:type="fixed"/>
        <w:tblInd w:w="3460" w:type="dxa"/>
        <w:tblCellMar>
          <w:top w:w="0" w:type="dxa"/>
          <w:left w:w="0" w:type="dxa"/>
          <w:bottom w:w="0" w:type="dxa"/>
          <w:right w:w="0" w:type="dxa"/>
        </w:tblCellMar>
      </w:tblPr>
      <w:tr>
        <w:trPr>
          <w:trHeight w:val="162"/>
        </w:trPr>
        <w:tc>
          <w:tcPr>
            <w:tcW w:w="22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color w:val="auto"/>
              </w:rPr>
              <w:t>Votes</w:t>
            </w:r>
          </w:p>
        </w:tc>
      </w:tr>
      <w:tr>
        <w:trPr>
          <w:trHeight w:val="210"/>
        </w:trPr>
        <w:tc>
          <w:tcPr>
            <w:tcW w:w="2280" w:type="dxa"/>
            <w:vAlign w:val="bottom"/>
          </w:tcPr>
          <w:p>
            <w:pPr>
              <w:ind w:left="20"/>
              <w:spacing w:after="0"/>
              <w:rPr>
                <w:sz w:val="20"/>
                <w:szCs w:val="20"/>
                <w:color w:val="auto"/>
              </w:rPr>
            </w:pPr>
            <w:r>
              <w:rPr>
                <w:rFonts w:ascii="Arial" w:cs="Arial" w:eastAsia="Arial" w:hAnsi="Arial"/>
                <w:sz w:val="16"/>
                <w:szCs w:val="16"/>
                <w:color w:val="auto"/>
              </w:rPr>
              <w:t>Votes For</w:t>
            </w:r>
          </w:p>
        </w:tc>
        <w:tc>
          <w:tcPr>
            <w:tcW w:w="2240" w:type="dxa"/>
            <w:vAlign w:val="bottom"/>
          </w:tcPr>
          <w:p>
            <w:pPr>
              <w:jc w:val="right"/>
              <w:spacing w:after="0"/>
              <w:rPr>
                <w:sz w:val="20"/>
                <w:szCs w:val="20"/>
                <w:color w:val="auto"/>
              </w:rPr>
            </w:pPr>
            <w:r>
              <w:rPr>
                <w:rFonts w:ascii="Arial" w:cs="Arial" w:eastAsia="Arial" w:hAnsi="Arial"/>
                <w:sz w:val="16"/>
                <w:szCs w:val="16"/>
                <w:color w:val="auto"/>
              </w:rPr>
              <w:t>201,605,433</w:t>
            </w:r>
          </w:p>
        </w:tc>
      </w:tr>
      <w:tr>
        <w:trPr>
          <w:trHeight w:val="216"/>
        </w:trPr>
        <w:tc>
          <w:tcPr>
            <w:tcW w:w="2280" w:type="dxa"/>
            <w:vAlign w:val="bottom"/>
          </w:tcPr>
          <w:p>
            <w:pPr>
              <w:ind w:left="20"/>
              <w:spacing w:after="0"/>
              <w:rPr>
                <w:sz w:val="20"/>
                <w:szCs w:val="20"/>
                <w:color w:val="auto"/>
              </w:rPr>
            </w:pPr>
            <w:r>
              <w:rPr>
                <w:rFonts w:ascii="Arial" w:cs="Arial" w:eastAsia="Arial" w:hAnsi="Arial"/>
                <w:sz w:val="16"/>
                <w:szCs w:val="16"/>
                <w:color w:val="auto"/>
              </w:rPr>
              <w:t>Votes Against</w:t>
            </w:r>
          </w:p>
        </w:tc>
        <w:tc>
          <w:tcPr>
            <w:tcW w:w="2240" w:type="dxa"/>
            <w:vAlign w:val="bottom"/>
          </w:tcPr>
          <w:p>
            <w:pPr>
              <w:jc w:val="right"/>
              <w:spacing w:after="0"/>
              <w:rPr>
                <w:sz w:val="20"/>
                <w:szCs w:val="20"/>
                <w:color w:val="auto"/>
              </w:rPr>
            </w:pPr>
            <w:r>
              <w:rPr>
                <w:rFonts w:ascii="Arial" w:cs="Arial" w:eastAsia="Arial" w:hAnsi="Arial"/>
                <w:sz w:val="16"/>
                <w:szCs w:val="16"/>
                <w:color w:val="auto"/>
              </w:rPr>
              <w:t>3,046,775</w:t>
            </w:r>
          </w:p>
        </w:tc>
      </w:tr>
      <w:tr>
        <w:trPr>
          <w:trHeight w:val="256"/>
        </w:trPr>
        <w:tc>
          <w:tcPr>
            <w:tcW w:w="2280" w:type="dxa"/>
            <w:vAlign w:val="bottom"/>
            <w:tcBorders>
              <w:bottom w:val="single" w:sz="8" w:color="DFDFDF"/>
            </w:tcBorders>
          </w:tcPr>
          <w:p>
            <w:pPr>
              <w:ind w:left="20"/>
              <w:spacing w:after="0"/>
              <w:rPr>
                <w:sz w:val="20"/>
                <w:szCs w:val="20"/>
                <w:color w:val="auto"/>
              </w:rPr>
            </w:pPr>
            <w:r>
              <w:rPr>
                <w:rFonts w:ascii="Arial" w:cs="Arial" w:eastAsia="Arial" w:hAnsi="Arial"/>
                <w:sz w:val="16"/>
                <w:szCs w:val="16"/>
                <w:color w:val="auto"/>
              </w:rPr>
              <w:t>Abstentions</w:t>
            </w:r>
          </w:p>
        </w:tc>
        <w:tc>
          <w:tcPr>
            <w:tcW w:w="2240" w:type="dxa"/>
            <w:vAlign w:val="bottom"/>
            <w:tcBorders>
              <w:bottom w:val="single" w:sz="8" w:color="DFDFDF"/>
            </w:tcBorders>
          </w:tcPr>
          <w:p>
            <w:pPr>
              <w:jc w:val="right"/>
              <w:spacing w:after="0"/>
              <w:rPr>
                <w:sz w:val="20"/>
                <w:szCs w:val="20"/>
                <w:color w:val="auto"/>
              </w:rPr>
            </w:pPr>
            <w:r>
              <w:rPr>
                <w:rFonts w:ascii="Arial" w:cs="Arial" w:eastAsia="Arial" w:hAnsi="Arial"/>
                <w:sz w:val="16"/>
                <w:szCs w:val="16"/>
                <w:color w:val="auto"/>
              </w:rPr>
              <w:t>1,005,708</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Proposal 3: Shareholder Proposal for an Advisory Vote on Executive Compensation:</w:t>
      </w:r>
    </w:p>
    <w:p>
      <w:pPr>
        <w:spacing w:after="0" w:line="159" w:lineRule="exact"/>
        <w:rPr>
          <w:sz w:val="20"/>
          <w:szCs w:val="20"/>
          <w:color w:val="auto"/>
        </w:rPr>
      </w:pPr>
    </w:p>
    <w:tbl>
      <w:tblPr>
        <w:tblLayout w:type="fixed"/>
        <w:tblInd w:w="3460" w:type="dxa"/>
        <w:tblCellMar>
          <w:top w:w="0" w:type="dxa"/>
          <w:left w:w="0" w:type="dxa"/>
          <w:bottom w:w="0" w:type="dxa"/>
          <w:right w:w="0" w:type="dxa"/>
        </w:tblCellMar>
      </w:tblPr>
      <w:tr>
        <w:trPr>
          <w:trHeight w:val="162"/>
        </w:trPr>
        <w:tc>
          <w:tcPr>
            <w:tcW w:w="23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color w:val="auto"/>
              </w:rPr>
              <w:t>Votes</w:t>
            </w:r>
          </w:p>
        </w:tc>
      </w:tr>
      <w:tr>
        <w:trPr>
          <w:trHeight w:val="210"/>
        </w:trPr>
        <w:tc>
          <w:tcPr>
            <w:tcW w:w="2380" w:type="dxa"/>
            <w:vAlign w:val="bottom"/>
          </w:tcPr>
          <w:p>
            <w:pPr>
              <w:ind w:left="20"/>
              <w:spacing w:after="0"/>
              <w:rPr>
                <w:sz w:val="20"/>
                <w:szCs w:val="20"/>
                <w:color w:val="auto"/>
              </w:rPr>
            </w:pPr>
            <w:r>
              <w:rPr>
                <w:rFonts w:ascii="Arial" w:cs="Arial" w:eastAsia="Arial" w:hAnsi="Arial"/>
                <w:sz w:val="16"/>
                <w:szCs w:val="16"/>
                <w:color w:val="auto"/>
              </w:rPr>
              <w:t>Votes For</w:t>
            </w:r>
          </w:p>
        </w:tc>
        <w:tc>
          <w:tcPr>
            <w:tcW w:w="2140" w:type="dxa"/>
            <w:vAlign w:val="bottom"/>
          </w:tcPr>
          <w:p>
            <w:pPr>
              <w:jc w:val="right"/>
              <w:spacing w:after="0"/>
              <w:rPr>
                <w:sz w:val="20"/>
                <w:szCs w:val="20"/>
                <w:color w:val="auto"/>
              </w:rPr>
            </w:pPr>
            <w:r>
              <w:rPr>
                <w:rFonts w:ascii="Arial" w:cs="Arial" w:eastAsia="Arial" w:hAnsi="Arial"/>
                <w:sz w:val="16"/>
                <w:szCs w:val="16"/>
                <w:color w:val="auto"/>
              </w:rPr>
              <w:t>80,334,309</w:t>
            </w:r>
          </w:p>
        </w:tc>
      </w:tr>
      <w:tr>
        <w:trPr>
          <w:trHeight w:val="216"/>
        </w:trPr>
        <w:tc>
          <w:tcPr>
            <w:tcW w:w="2380" w:type="dxa"/>
            <w:vAlign w:val="bottom"/>
          </w:tcPr>
          <w:p>
            <w:pPr>
              <w:ind w:left="20"/>
              <w:spacing w:after="0"/>
              <w:rPr>
                <w:sz w:val="20"/>
                <w:szCs w:val="20"/>
                <w:color w:val="auto"/>
              </w:rPr>
            </w:pPr>
            <w:r>
              <w:rPr>
                <w:rFonts w:ascii="Arial" w:cs="Arial" w:eastAsia="Arial" w:hAnsi="Arial"/>
                <w:sz w:val="16"/>
                <w:szCs w:val="16"/>
                <w:color w:val="auto"/>
              </w:rPr>
              <w:t>Votes Against</w:t>
            </w:r>
          </w:p>
        </w:tc>
        <w:tc>
          <w:tcPr>
            <w:tcW w:w="2140" w:type="dxa"/>
            <w:vAlign w:val="bottom"/>
          </w:tcPr>
          <w:p>
            <w:pPr>
              <w:jc w:val="right"/>
              <w:spacing w:after="0"/>
              <w:rPr>
                <w:sz w:val="20"/>
                <w:szCs w:val="20"/>
                <w:color w:val="auto"/>
              </w:rPr>
            </w:pPr>
            <w:r>
              <w:rPr>
                <w:rFonts w:ascii="Arial" w:cs="Arial" w:eastAsia="Arial" w:hAnsi="Arial"/>
                <w:sz w:val="16"/>
                <w:szCs w:val="16"/>
                <w:color w:val="auto"/>
              </w:rPr>
              <w:t>83,494,339</w:t>
            </w:r>
          </w:p>
        </w:tc>
      </w:tr>
      <w:tr>
        <w:trPr>
          <w:trHeight w:val="216"/>
        </w:trPr>
        <w:tc>
          <w:tcPr>
            <w:tcW w:w="2380" w:type="dxa"/>
            <w:vAlign w:val="bottom"/>
          </w:tcPr>
          <w:p>
            <w:pPr>
              <w:ind w:left="20"/>
              <w:spacing w:after="0"/>
              <w:rPr>
                <w:sz w:val="20"/>
                <w:szCs w:val="20"/>
                <w:color w:val="auto"/>
              </w:rPr>
            </w:pPr>
            <w:r>
              <w:rPr>
                <w:rFonts w:ascii="Arial" w:cs="Arial" w:eastAsia="Arial" w:hAnsi="Arial"/>
                <w:sz w:val="16"/>
                <w:szCs w:val="16"/>
                <w:color w:val="auto"/>
              </w:rPr>
              <w:t>Abstentions</w:t>
            </w:r>
          </w:p>
        </w:tc>
        <w:tc>
          <w:tcPr>
            <w:tcW w:w="2140" w:type="dxa"/>
            <w:vAlign w:val="bottom"/>
          </w:tcPr>
          <w:p>
            <w:pPr>
              <w:jc w:val="right"/>
              <w:spacing w:after="0"/>
              <w:rPr>
                <w:sz w:val="20"/>
                <w:szCs w:val="20"/>
                <w:color w:val="auto"/>
              </w:rPr>
            </w:pPr>
            <w:r>
              <w:rPr>
                <w:rFonts w:ascii="Arial" w:cs="Arial" w:eastAsia="Arial" w:hAnsi="Arial"/>
                <w:sz w:val="16"/>
                <w:szCs w:val="16"/>
                <w:color w:val="auto"/>
              </w:rPr>
              <w:t>10,026,801</w:t>
            </w:r>
          </w:p>
        </w:tc>
      </w:tr>
      <w:tr>
        <w:trPr>
          <w:trHeight w:val="256"/>
        </w:trPr>
        <w:tc>
          <w:tcPr>
            <w:tcW w:w="2380" w:type="dxa"/>
            <w:vAlign w:val="bottom"/>
            <w:tcBorders>
              <w:bottom w:val="single" w:sz="8" w:color="DFDFDF"/>
            </w:tcBorders>
          </w:tcPr>
          <w:p>
            <w:pPr>
              <w:ind w:left="20"/>
              <w:spacing w:after="0"/>
              <w:rPr>
                <w:sz w:val="20"/>
                <w:szCs w:val="20"/>
                <w:color w:val="auto"/>
              </w:rPr>
            </w:pPr>
            <w:r>
              <w:rPr>
                <w:rFonts w:ascii="Arial" w:cs="Arial" w:eastAsia="Arial" w:hAnsi="Arial"/>
                <w:sz w:val="16"/>
                <w:szCs w:val="16"/>
                <w:color w:val="auto"/>
              </w:rPr>
              <w:t>Broker Non-Vote</w:t>
            </w:r>
          </w:p>
        </w:tc>
        <w:tc>
          <w:tcPr>
            <w:tcW w:w="2140" w:type="dxa"/>
            <w:vAlign w:val="bottom"/>
            <w:tcBorders>
              <w:bottom w:val="single" w:sz="8" w:color="DFDFDF"/>
            </w:tcBorders>
          </w:tcPr>
          <w:p>
            <w:pPr>
              <w:jc w:val="right"/>
              <w:spacing w:after="0"/>
              <w:rPr>
                <w:sz w:val="20"/>
                <w:szCs w:val="20"/>
                <w:color w:val="auto"/>
              </w:rPr>
            </w:pPr>
            <w:r>
              <w:rPr>
                <w:rFonts w:ascii="Arial" w:cs="Arial" w:eastAsia="Arial" w:hAnsi="Arial"/>
                <w:sz w:val="16"/>
                <w:szCs w:val="16"/>
                <w:color w:val="auto"/>
              </w:rPr>
              <w:t>31,802,467</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Proposal 4: Shareholder Proposal for North Dakota Reincorporation:</w:t>
      </w:r>
    </w:p>
    <w:p>
      <w:pPr>
        <w:spacing w:after="0" w:line="173" w:lineRule="exact"/>
        <w:rPr>
          <w:sz w:val="20"/>
          <w:szCs w:val="20"/>
          <w:color w:val="auto"/>
        </w:rPr>
      </w:pPr>
    </w:p>
    <w:tbl>
      <w:tblPr>
        <w:tblLayout w:type="fixed"/>
        <w:tblInd w:w="3460" w:type="dxa"/>
        <w:tblCellMar>
          <w:top w:w="0" w:type="dxa"/>
          <w:left w:w="0" w:type="dxa"/>
          <w:bottom w:w="0" w:type="dxa"/>
          <w:right w:w="0" w:type="dxa"/>
        </w:tblCellMar>
      </w:tblPr>
      <w:tr>
        <w:trPr>
          <w:trHeight w:val="162"/>
        </w:trPr>
        <w:tc>
          <w:tcPr>
            <w:tcW w:w="23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color w:val="auto"/>
              </w:rPr>
              <w:t>Votes</w:t>
            </w:r>
          </w:p>
        </w:tc>
      </w:tr>
      <w:tr>
        <w:trPr>
          <w:trHeight w:val="210"/>
        </w:trPr>
        <w:tc>
          <w:tcPr>
            <w:tcW w:w="2380" w:type="dxa"/>
            <w:vAlign w:val="bottom"/>
          </w:tcPr>
          <w:p>
            <w:pPr>
              <w:ind w:left="20"/>
              <w:spacing w:after="0"/>
              <w:rPr>
                <w:sz w:val="20"/>
                <w:szCs w:val="20"/>
                <w:color w:val="auto"/>
              </w:rPr>
            </w:pPr>
            <w:r>
              <w:rPr>
                <w:rFonts w:ascii="Arial" w:cs="Arial" w:eastAsia="Arial" w:hAnsi="Arial"/>
                <w:sz w:val="16"/>
                <w:szCs w:val="16"/>
                <w:color w:val="auto"/>
              </w:rPr>
              <w:t>Votes For</w:t>
            </w:r>
          </w:p>
        </w:tc>
        <w:tc>
          <w:tcPr>
            <w:tcW w:w="2140" w:type="dxa"/>
            <w:vAlign w:val="bottom"/>
          </w:tcPr>
          <w:p>
            <w:pPr>
              <w:jc w:val="right"/>
              <w:spacing w:after="0"/>
              <w:rPr>
                <w:sz w:val="20"/>
                <w:szCs w:val="20"/>
                <w:color w:val="auto"/>
              </w:rPr>
            </w:pPr>
            <w:r>
              <w:rPr>
                <w:rFonts w:ascii="Arial" w:cs="Arial" w:eastAsia="Arial" w:hAnsi="Arial"/>
                <w:sz w:val="16"/>
                <w:szCs w:val="16"/>
                <w:color w:val="auto"/>
              </w:rPr>
              <w:t>8,593,939</w:t>
            </w:r>
          </w:p>
        </w:tc>
      </w:tr>
      <w:tr>
        <w:trPr>
          <w:trHeight w:val="216"/>
        </w:trPr>
        <w:tc>
          <w:tcPr>
            <w:tcW w:w="2380" w:type="dxa"/>
            <w:vAlign w:val="bottom"/>
          </w:tcPr>
          <w:p>
            <w:pPr>
              <w:ind w:left="20"/>
              <w:spacing w:after="0"/>
              <w:rPr>
                <w:sz w:val="20"/>
                <w:szCs w:val="20"/>
                <w:color w:val="auto"/>
              </w:rPr>
            </w:pPr>
            <w:r>
              <w:rPr>
                <w:rFonts w:ascii="Arial" w:cs="Arial" w:eastAsia="Arial" w:hAnsi="Arial"/>
                <w:sz w:val="16"/>
                <w:szCs w:val="16"/>
                <w:color w:val="auto"/>
              </w:rPr>
              <w:t>Votes Against</w:t>
            </w:r>
          </w:p>
        </w:tc>
        <w:tc>
          <w:tcPr>
            <w:tcW w:w="2140" w:type="dxa"/>
            <w:vAlign w:val="bottom"/>
          </w:tcPr>
          <w:p>
            <w:pPr>
              <w:jc w:val="right"/>
              <w:spacing w:after="0"/>
              <w:rPr>
                <w:sz w:val="20"/>
                <w:szCs w:val="20"/>
                <w:color w:val="auto"/>
              </w:rPr>
            </w:pPr>
            <w:r>
              <w:rPr>
                <w:rFonts w:ascii="Arial" w:cs="Arial" w:eastAsia="Arial" w:hAnsi="Arial"/>
                <w:sz w:val="16"/>
                <w:szCs w:val="16"/>
                <w:color w:val="auto"/>
              </w:rPr>
              <w:t>162,400,645</w:t>
            </w:r>
          </w:p>
        </w:tc>
      </w:tr>
      <w:tr>
        <w:trPr>
          <w:trHeight w:val="216"/>
        </w:trPr>
        <w:tc>
          <w:tcPr>
            <w:tcW w:w="2380" w:type="dxa"/>
            <w:vAlign w:val="bottom"/>
          </w:tcPr>
          <w:p>
            <w:pPr>
              <w:ind w:left="20"/>
              <w:spacing w:after="0"/>
              <w:rPr>
                <w:sz w:val="20"/>
                <w:szCs w:val="20"/>
                <w:color w:val="auto"/>
              </w:rPr>
            </w:pPr>
            <w:r>
              <w:rPr>
                <w:rFonts w:ascii="Arial" w:cs="Arial" w:eastAsia="Arial" w:hAnsi="Arial"/>
                <w:sz w:val="16"/>
                <w:szCs w:val="16"/>
                <w:color w:val="auto"/>
              </w:rPr>
              <w:t>Abstentions</w:t>
            </w:r>
          </w:p>
        </w:tc>
        <w:tc>
          <w:tcPr>
            <w:tcW w:w="2140" w:type="dxa"/>
            <w:vAlign w:val="bottom"/>
          </w:tcPr>
          <w:p>
            <w:pPr>
              <w:jc w:val="right"/>
              <w:spacing w:after="0"/>
              <w:rPr>
                <w:sz w:val="20"/>
                <w:szCs w:val="20"/>
                <w:color w:val="auto"/>
              </w:rPr>
            </w:pPr>
            <w:r>
              <w:rPr>
                <w:rFonts w:ascii="Arial" w:cs="Arial" w:eastAsia="Arial" w:hAnsi="Arial"/>
                <w:sz w:val="16"/>
                <w:szCs w:val="16"/>
                <w:color w:val="auto"/>
              </w:rPr>
              <w:t>2,860,865</w:t>
            </w:r>
          </w:p>
        </w:tc>
      </w:tr>
      <w:tr>
        <w:trPr>
          <w:trHeight w:val="256"/>
        </w:trPr>
        <w:tc>
          <w:tcPr>
            <w:tcW w:w="2380" w:type="dxa"/>
            <w:vAlign w:val="bottom"/>
            <w:tcBorders>
              <w:bottom w:val="single" w:sz="8" w:color="DFDFDF"/>
            </w:tcBorders>
          </w:tcPr>
          <w:p>
            <w:pPr>
              <w:ind w:left="20"/>
              <w:spacing w:after="0"/>
              <w:rPr>
                <w:sz w:val="20"/>
                <w:szCs w:val="20"/>
                <w:color w:val="auto"/>
              </w:rPr>
            </w:pPr>
            <w:r>
              <w:rPr>
                <w:rFonts w:ascii="Arial" w:cs="Arial" w:eastAsia="Arial" w:hAnsi="Arial"/>
                <w:sz w:val="16"/>
                <w:szCs w:val="16"/>
                <w:color w:val="auto"/>
              </w:rPr>
              <w:t>Broker Non-Vote</w:t>
            </w:r>
          </w:p>
        </w:tc>
        <w:tc>
          <w:tcPr>
            <w:tcW w:w="2140" w:type="dxa"/>
            <w:vAlign w:val="bottom"/>
            <w:tcBorders>
              <w:bottom w:val="single" w:sz="8" w:color="DFDFDF"/>
            </w:tcBorders>
          </w:tcPr>
          <w:p>
            <w:pPr>
              <w:jc w:val="right"/>
              <w:spacing w:after="0"/>
              <w:rPr>
                <w:sz w:val="20"/>
                <w:szCs w:val="20"/>
                <w:color w:val="auto"/>
              </w:rPr>
            </w:pPr>
            <w:r>
              <w:rPr>
                <w:rFonts w:ascii="Arial" w:cs="Arial" w:eastAsia="Arial" w:hAnsi="Arial"/>
                <w:sz w:val="16"/>
                <w:szCs w:val="16"/>
                <w:color w:val="auto"/>
              </w:rPr>
              <w:t>31,802,467</w:t>
            </w:r>
          </w:p>
        </w:tc>
      </w:tr>
    </w:tbl>
    <w:p>
      <w:pPr>
        <w:sectPr>
          <w:pgSz w:w="11900" w:h="16838" w:orient="portrait"/>
          <w:cols w:equalWidth="0" w:num="1">
            <w:col w:w="11020"/>
          </w:cols>
          <w:pgMar w:left="240" w:top="595" w:right="639" w:bottom="1440" w:gutter="0" w:footer="0" w:header="0"/>
        </w:sectPr>
      </w:pPr>
    </w:p>
    <w:bookmarkStart w:id="82" w:name="page83"/>
    <w:bookmarkEnd w:id="82"/>
    <w:p>
      <w:pPr>
        <w:spacing w:after="0"/>
        <w:rPr>
          <w:sz w:val="20"/>
          <w:szCs w:val="20"/>
          <w:color w:val="auto"/>
        </w:rPr>
      </w:pPr>
      <w:r>
        <w:rPr>
          <w:rFonts w:ascii="Arial" w:cs="Arial" w:eastAsia="Arial" w:hAnsi="Arial"/>
          <w:sz w:val="22"/>
          <w:szCs w:val="22"/>
          <w:b w:val="1"/>
          <w:bCs w:val="1"/>
          <w:color w:val="auto"/>
        </w:rPr>
        <w:t>SEMPRA UTILITIES</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The annual meetings for shareholders of SDG&amp;E, PE and SoCalGas will be held on June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ITEM 5. OTHER INFORMATION</w:t>
      </w:r>
    </w:p>
    <w:p>
      <w:pPr>
        <w:spacing w:after="0" w:line="63"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 xml:space="preserve">Effective January 1, 2009, we adopted Statement of Financial Accounting Standards (SFAS) 160, </w:t>
      </w:r>
      <w:r>
        <w:rPr>
          <w:rFonts w:ascii="Arial" w:cs="Arial" w:eastAsia="Arial" w:hAnsi="Arial"/>
          <w:sz w:val="21"/>
          <w:szCs w:val="21"/>
          <w:i w:val="1"/>
          <w:iCs w:val="1"/>
          <w:color w:val="auto"/>
        </w:rPr>
        <w:t>Noncontrolling Interests in</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Consolidated Financial Statements – an amendment of ARB No. 51 </w:t>
      </w:r>
      <w:r>
        <w:rPr>
          <w:rFonts w:ascii="Arial" w:cs="Arial" w:eastAsia="Arial" w:hAnsi="Arial"/>
          <w:sz w:val="21"/>
          <w:szCs w:val="21"/>
          <w:color w:val="auto"/>
        </w:rPr>
        <w:t>(SFAS 160). SFAS 160 amends Accounting Research Bulletin</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No. 51, </w:t>
      </w:r>
      <w:r>
        <w:rPr>
          <w:rFonts w:ascii="Arial" w:cs="Arial" w:eastAsia="Arial" w:hAnsi="Arial"/>
          <w:sz w:val="21"/>
          <w:szCs w:val="21"/>
          <w:i w:val="1"/>
          <w:iCs w:val="1"/>
          <w:color w:val="auto"/>
        </w:rPr>
        <w:t>Consolidated Financial Statements</w:t>
      </w:r>
      <w:r>
        <w:rPr>
          <w:rFonts w:ascii="Arial" w:cs="Arial" w:eastAsia="Arial" w:hAnsi="Arial"/>
          <w:sz w:val="21"/>
          <w:szCs w:val="21"/>
          <w:color w:val="auto"/>
        </w:rPr>
        <w:t>, to establish accounting and reporting standards for ownership interests in subsidiaries held by parties other than the parent. The adoption of SFAS 160 did not have any material impact on our financial condition, results of operations or cash flows. However, it did impact the presentation and disclosure of noncontrolling (minority) interests in our consolidated financial statements. As a result of the retrospective presentation and disclosure requirements of SFAS 160, we will be required to reflect the change in presentation and disclosure for all periods presented in future filings. The primary impact of the adoption of SFAS 160 was at Sempra Energy and SD G&amp;E, primarily related to the noncontrolling (minority) interest in Otay Mesa VIE.</w:t>
      </w:r>
    </w:p>
    <w:p>
      <w:pPr>
        <w:spacing w:after="0" w:line="64" w:lineRule="exact"/>
        <w:rPr>
          <w:sz w:val="20"/>
          <w:szCs w:val="20"/>
          <w:color w:val="auto"/>
        </w:rPr>
      </w:pPr>
    </w:p>
    <w:p>
      <w:pPr>
        <w:jc w:val="both"/>
        <w:ind w:right="80"/>
        <w:spacing w:after="0"/>
        <w:rPr>
          <w:sz w:val="20"/>
          <w:szCs w:val="20"/>
          <w:color w:val="auto"/>
        </w:rPr>
      </w:pPr>
      <w:r>
        <w:rPr>
          <w:rFonts w:ascii="Arial" w:cs="Arial" w:eastAsia="Arial" w:hAnsi="Arial"/>
          <w:sz w:val="22"/>
          <w:szCs w:val="22"/>
          <w:color w:val="auto"/>
        </w:rPr>
        <w:t>The principal effects on our previously reported financial statements of Sempra Energy’s and SDG&amp;E’s adoption of SFAS 160 are summarized in the tables below. The correction of classification of the preferred securities at SDG&amp;E as discussed in Note 1 of the Notes to Condensed Consolidated Financial Statements is included as well.</w:t>
      </w:r>
    </w:p>
    <w:p>
      <w:pPr>
        <w:sectPr>
          <w:pgSz w:w="11900" w:h="16838" w:orient="portrait"/>
          <w:cols w:equalWidth="0" w:num="1">
            <w:col w:w="11400"/>
          </w:cols>
          <w:pgMar w:left="240" w:top="1430" w:right="259" w:bottom="1440" w:gutter="0" w:footer="0" w:header="0"/>
        </w:sectPr>
      </w:pPr>
    </w:p>
    <w:bookmarkStart w:id="83" w:name="page84"/>
    <w:bookmarkEnd w:id="83"/>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5625465" cy="2743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25465" cy="274320"/>
                    </a:xfrm>
                    <a:prstGeom prst="rect">
                      <a:avLst/>
                    </a:prstGeom>
                    <a:noFill/>
                  </pic:spPr>
                </pic:pic>
              </a:graphicData>
            </a:graphic>
          </wp:anchor>
        </w:drawing>
        <w:t>CONSOLIDATED BALANCE SHEETS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561"/>
              <w:spacing w:after="0"/>
              <w:rPr>
                <w:sz w:val="20"/>
                <w:szCs w:val="20"/>
                <w:color w:val="auto"/>
              </w:rPr>
            </w:pPr>
            <w:r>
              <w:rPr>
                <w:rFonts w:ascii="Arial" w:cs="Arial" w:eastAsia="Arial" w:hAnsi="Arial"/>
                <w:sz w:val="14"/>
                <w:szCs w:val="14"/>
                <w:color w:val="auto"/>
              </w:rPr>
              <w:t>December 31,</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210"/>
        </w:trPr>
        <w:tc>
          <w:tcPr>
            <w:tcW w:w="4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2008</w:t>
            </w:r>
          </w:p>
        </w:tc>
        <w:tc>
          <w:tcPr>
            <w:tcW w:w="8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2007</w:t>
            </w:r>
          </w:p>
        </w:tc>
        <w:tc>
          <w:tcPr>
            <w:tcW w:w="840" w:type="dxa"/>
            <w:vAlign w:val="bottom"/>
            <w:tcBorders>
              <w:bottom w:val="single" w:sz="8" w:color="auto"/>
            </w:tcBorders>
          </w:tcPr>
          <w:p>
            <w:pPr>
              <w:spacing w:after="0"/>
              <w:rPr>
                <w:sz w:val="18"/>
                <w:szCs w:val="18"/>
                <w:color w:val="auto"/>
              </w:rPr>
            </w:pPr>
          </w:p>
        </w:tc>
      </w:tr>
      <w:tr>
        <w:trPr>
          <w:trHeight w:val="217"/>
        </w:trPr>
        <w:tc>
          <w:tcPr>
            <w:tcW w:w="4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right="81"/>
              <w:spacing w:after="0"/>
              <w:rPr>
                <w:sz w:val="20"/>
                <w:szCs w:val="20"/>
                <w:color w:val="auto"/>
              </w:rPr>
            </w:pPr>
            <w:r>
              <w:rPr>
                <w:rFonts w:ascii="Arial" w:cs="Arial" w:eastAsia="Arial" w:hAnsi="Arial"/>
                <w:sz w:val="14"/>
                <w:szCs w:val="14"/>
                <w:color w:val="auto"/>
                <w:w w:val="97"/>
              </w:rPr>
              <w:t>As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right="81"/>
              <w:spacing w:after="0"/>
              <w:rPr>
                <w:sz w:val="20"/>
                <w:szCs w:val="20"/>
                <w:color w:val="auto"/>
              </w:rPr>
            </w:pPr>
            <w:r>
              <w:rPr>
                <w:rFonts w:ascii="Arial" w:cs="Arial" w:eastAsia="Arial" w:hAnsi="Arial"/>
                <w:sz w:val="14"/>
                <w:szCs w:val="14"/>
                <w:color w:val="auto"/>
              </w:rPr>
              <w:t>As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4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center"/>
              <w:ind w:right="81"/>
              <w:spacing w:after="0"/>
              <w:rPr>
                <w:sz w:val="20"/>
                <w:szCs w:val="20"/>
                <w:color w:val="auto"/>
              </w:rPr>
            </w:pPr>
            <w:r>
              <w:rPr>
                <w:rFonts w:ascii="Arial" w:cs="Arial" w:eastAsia="Arial" w:hAnsi="Arial"/>
                <w:sz w:val="14"/>
                <w:szCs w:val="14"/>
                <w:color w:val="auto"/>
              </w:rPr>
              <w:t>previously</w:t>
            </w:r>
          </w:p>
        </w:tc>
        <w:tc>
          <w:tcPr>
            <w:tcW w:w="240" w:type="dxa"/>
            <w:vAlign w:val="bottom"/>
          </w:tcPr>
          <w:p>
            <w:pPr>
              <w:spacing w:after="0"/>
              <w:rPr>
                <w:sz w:val="19"/>
                <w:szCs w:val="19"/>
                <w:color w:val="auto"/>
              </w:rPr>
            </w:pPr>
          </w:p>
        </w:tc>
        <w:tc>
          <w:tcPr>
            <w:tcW w:w="860" w:type="dxa"/>
            <w:vAlign w:val="bottom"/>
          </w:tcPr>
          <w:p>
            <w:pPr>
              <w:jc w:val="right"/>
              <w:ind w:right="380"/>
              <w:spacing w:after="0"/>
              <w:rPr>
                <w:sz w:val="20"/>
                <w:szCs w:val="20"/>
                <w:color w:val="auto"/>
              </w:rPr>
            </w:pPr>
            <w:r>
              <w:rPr>
                <w:rFonts w:ascii="Arial" w:cs="Arial" w:eastAsia="Arial" w:hAnsi="Arial"/>
                <w:sz w:val="14"/>
                <w:szCs w:val="14"/>
                <w:color w:val="auto"/>
              </w:rPr>
              <w:t>As</w:t>
            </w:r>
          </w:p>
        </w:tc>
        <w:tc>
          <w:tcPr>
            <w:tcW w:w="160" w:type="dxa"/>
            <w:vAlign w:val="bottom"/>
          </w:tcPr>
          <w:p>
            <w:pPr>
              <w:spacing w:after="0"/>
              <w:rPr>
                <w:sz w:val="19"/>
                <w:szCs w:val="19"/>
                <w:color w:val="auto"/>
              </w:rPr>
            </w:pPr>
          </w:p>
        </w:tc>
        <w:tc>
          <w:tcPr>
            <w:tcW w:w="940" w:type="dxa"/>
            <w:vAlign w:val="bottom"/>
          </w:tcPr>
          <w:p>
            <w:pPr>
              <w:jc w:val="center"/>
              <w:ind w:right="81"/>
              <w:spacing w:after="0"/>
              <w:rPr>
                <w:sz w:val="20"/>
                <w:szCs w:val="20"/>
                <w:color w:val="auto"/>
              </w:rPr>
            </w:pPr>
            <w:r>
              <w:rPr>
                <w:rFonts w:ascii="Arial" w:cs="Arial" w:eastAsia="Arial" w:hAnsi="Arial"/>
                <w:sz w:val="14"/>
                <w:szCs w:val="14"/>
                <w:color w:val="auto"/>
              </w:rPr>
              <w:t>previously</w:t>
            </w:r>
          </w:p>
        </w:tc>
        <w:tc>
          <w:tcPr>
            <w:tcW w:w="240" w:type="dxa"/>
            <w:vAlign w:val="bottom"/>
          </w:tcPr>
          <w:p>
            <w:pPr>
              <w:spacing w:after="0"/>
              <w:rPr>
                <w:sz w:val="19"/>
                <w:szCs w:val="19"/>
                <w:color w:val="auto"/>
              </w:rPr>
            </w:pPr>
          </w:p>
        </w:tc>
        <w:tc>
          <w:tcPr>
            <w:tcW w:w="840" w:type="dxa"/>
            <w:vAlign w:val="bottom"/>
          </w:tcPr>
          <w:p>
            <w:pPr>
              <w:jc w:val="right"/>
              <w:ind w:right="380"/>
              <w:spacing w:after="0"/>
              <w:rPr>
                <w:sz w:val="20"/>
                <w:szCs w:val="20"/>
                <w:color w:val="auto"/>
              </w:rPr>
            </w:pPr>
            <w:r>
              <w:rPr>
                <w:rFonts w:ascii="Arial" w:cs="Arial" w:eastAsia="Arial" w:hAnsi="Arial"/>
                <w:sz w:val="14"/>
                <w:szCs w:val="14"/>
                <w:color w:val="auto"/>
              </w:rPr>
              <w:t>As</w:t>
            </w:r>
          </w:p>
        </w:tc>
      </w:tr>
      <w:tr>
        <w:trPr>
          <w:trHeight w:val="236"/>
        </w:trPr>
        <w:tc>
          <w:tcPr>
            <w:tcW w:w="45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w w:val="99"/>
              </w:rPr>
              <w:t>reported</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revised</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reported</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revised</w:t>
            </w:r>
          </w:p>
        </w:tc>
      </w:tr>
      <w:tr>
        <w:trPr>
          <w:trHeight w:val="214"/>
        </w:trPr>
        <w:tc>
          <w:tcPr>
            <w:tcW w:w="4500" w:type="dxa"/>
            <w:vAlign w:val="bottom"/>
          </w:tcPr>
          <w:p>
            <w:pPr>
              <w:ind w:left="20"/>
              <w:spacing w:after="0"/>
              <w:rPr>
                <w:sz w:val="20"/>
                <w:szCs w:val="20"/>
                <w:color w:val="auto"/>
              </w:rPr>
            </w:pPr>
            <w:r>
              <w:rPr>
                <w:rFonts w:ascii="Arial" w:cs="Arial" w:eastAsia="Arial" w:hAnsi="Arial"/>
                <w:sz w:val="16"/>
                <w:szCs w:val="16"/>
                <w:b w:val="1"/>
                <w:bCs w:val="1"/>
                <w:color w:val="auto"/>
              </w:rPr>
              <w:t>Sempra Energy Consolidated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1"/>
        </w:trPr>
        <w:tc>
          <w:tcPr>
            <w:tcW w:w="4500" w:type="dxa"/>
            <w:vAlign w:val="bottom"/>
          </w:tcPr>
          <w:p>
            <w:pPr>
              <w:ind w:left="200"/>
              <w:spacing w:after="0"/>
              <w:rPr>
                <w:sz w:val="20"/>
                <w:szCs w:val="20"/>
                <w:color w:val="auto"/>
              </w:rPr>
            </w:pPr>
            <w:r>
              <w:rPr>
                <w:rFonts w:ascii="Arial" w:cs="Arial" w:eastAsia="Arial" w:hAnsi="Arial"/>
                <w:sz w:val="16"/>
                <w:szCs w:val="16"/>
                <w:color w:val="auto"/>
              </w:rPr>
              <w:t>Minority interests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240</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ind w:left="800"/>
              <w:spacing w:after="0"/>
              <w:rPr>
                <w:sz w:val="20"/>
                <w:szCs w:val="20"/>
                <w:color w:val="auto"/>
              </w:rPr>
            </w:pPr>
            <w:r>
              <w:rPr>
                <w:rFonts w:ascii="Arial" w:cs="Arial" w:eastAsia="Arial" w:hAnsi="Arial"/>
                <w:sz w:val="16"/>
                <w:szCs w:val="16"/>
                <w:color w:val="auto"/>
              </w:rPr>
              <w:t>- $</w:t>
            </w:r>
          </w:p>
        </w:tc>
        <w:tc>
          <w:tcPr>
            <w:tcW w:w="940" w:type="dxa"/>
            <w:vAlign w:val="bottom"/>
          </w:tcPr>
          <w:p>
            <w:pPr>
              <w:jc w:val="right"/>
              <w:spacing w:after="0"/>
              <w:rPr>
                <w:sz w:val="20"/>
                <w:szCs w:val="20"/>
                <w:color w:val="auto"/>
              </w:rPr>
            </w:pPr>
            <w:r>
              <w:rPr>
                <w:rFonts w:ascii="Arial" w:cs="Arial" w:eastAsia="Arial" w:hAnsi="Arial"/>
                <w:sz w:val="16"/>
                <w:szCs w:val="16"/>
                <w:color w:val="auto"/>
              </w:rPr>
              <w:t>148</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500" w:type="dxa"/>
            <w:vAlign w:val="bottom"/>
          </w:tcPr>
          <w:p>
            <w:pPr>
              <w:ind w:left="200"/>
              <w:spacing w:after="0"/>
              <w:rPr>
                <w:sz w:val="20"/>
                <w:szCs w:val="20"/>
                <w:color w:val="auto"/>
              </w:rPr>
            </w:pPr>
            <w:r>
              <w:rPr>
                <w:rFonts w:ascii="Arial" w:cs="Arial" w:eastAsia="Arial" w:hAnsi="Arial"/>
                <w:sz w:val="16"/>
                <w:szCs w:val="16"/>
                <w:color w:val="auto"/>
              </w:rPr>
              <w:t>Other noncontrolling interests*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240</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216"/>
        </w:trPr>
        <w:tc>
          <w:tcPr>
            <w:tcW w:w="4500" w:type="dxa"/>
            <w:vAlign w:val="bottom"/>
          </w:tcPr>
          <w:p>
            <w:pPr>
              <w:ind w:left="200"/>
              <w:spacing w:after="0"/>
              <w:rPr>
                <w:sz w:val="20"/>
                <w:szCs w:val="20"/>
                <w:color w:val="auto"/>
              </w:rPr>
            </w:pPr>
            <w:r>
              <w:rPr>
                <w:rFonts w:ascii="Arial" w:cs="Arial" w:eastAsia="Arial" w:hAnsi="Arial"/>
                <w:sz w:val="16"/>
                <w:szCs w:val="16"/>
                <w:color w:val="auto"/>
              </w:rPr>
              <w:t>Preferred stock of subsidiaries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179</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179</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6"/>
        </w:trPr>
        <w:tc>
          <w:tcPr>
            <w:tcW w:w="4500" w:type="dxa"/>
            <w:vAlign w:val="bottom"/>
          </w:tcPr>
          <w:p>
            <w:pPr>
              <w:ind w:left="200"/>
              <w:spacing w:after="0"/>
              <w:rPr>
                <w:sz w:val="20"/>
                <w:szCs w:val="20"/>
                <w:color w:val="auto"/>
              </w:rPr>
            </w:pPr>
            <w:r>
              <w:rPr>
                <w:rFonts w:ascii="Arial" w:cs="Arial" w:eastAsia="Arial" w:hAnsi="Arial"/>
                <w:sz w:val="16"/>
                <w:szCs w:val="16"/>
                <w:color w:val="auto"/>
              </w:rPr>
              <w:t>Preferred stock of subsidiary</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16"/>
        </w:trPr>
        <w:tc>
          <w:tcPr>
            <w:tcW w:w="4500" w:type="dxa"/>
            <w:vAlign w:val="bottom"/>
          </w:tcPr>
          <w:p>
            <w:pPr>
              <w:ind w:left="200"/>
              <w:spacing w:after="0"/>
              <w:rPr>
                <w:sz w:val="20"/>
                <w:szCs w:val="20"/>
                <w:color w:val="auto"/>
              </w:rPr>
            </w:pPr>
            <w:r>
              <w:rPr>
                <w:rFonts w:ascii="Arial" w:cs="Arial" w:eastAsia="Arial" w:hAnsi="Arial"/>
                <w:sz w:val="16"/>
                <w:szCs w:val="16"/>
                <w:color w:val="auto"/>
              </w:rPr>
              <w:t>Total shareholders' equity</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7,969</w:t>
            </w:r>
          </w:p>
        </w:tc>
        <w:tc>
          <w:tcPr>
            <w:tcW w:w="240" w:type="dxa"/>
            <w:vAlign w:val="bottom"/>
          </w:tcPr>
          <w:p>
            <w:pPr>
              <w:spacing w:after="0"/>
              <w:rPr>
                <w:sz w:val="18"/>
                <w:szCs w:val="18"/>
                <w:color w:val="auto"/>
              </w:rPr>
            </w:pPr>
          </w:p>
        </w:tc>
        <w:tc>
          <w:tcPr>
            <w:tcW w:w="860" w:type="dxa"/>
            <w:vAlign w:val="bottom"/>
          </w:tcPr>
          <w:p>
            <w:pPr>
              <w:ind w:left="80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8,339</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500" w:type="dxa"/>
            <w:vAlign w:val="bottom"/>
          </w:tcPr>
          <w:p>
            <w:pPr>
              <w:ind w:left="200"/>
              <w:spacing w:after="0"/>
              <w:rPr>
                <w:sz w:val="20"/>
                <w:szCs w:val="20"/>
                <w:color w:val="auto"/>
              </w:rPr>
            </w:pPr>
            <w:r>
              <w:rPr>
                <w:rFonts w:ascii="Arial" w:cs="Arial" w:eastAsia="Arial" w:hAnsi="Arial"/>
                <w:sz w:val="16"/>
                <w:szCs w:val="16"/>
                <w:color w:val="auto"/>
              </w:rPr>
              <w:t>Total Sempra Energy shareholders' equity*</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7,969</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8,339</w:t>
            </w:r>
          </w:p>
        </w:tc>
      </w:tr>
      <w:tr>
        <w:trPr>
          <w:trHeight w:val="216"/>
        </w:trPr>
        <w:tc>
          <w:tcPr>
            <w:tcW w:w="4500" w:type="dxa"/>
            <w:vAlign w:val="bottom"/>
          </w:tcPr>
          <w:p>
            <w:pPr>
              <w:ind w:left="200"/>
              <w:spacing w:after="0"/>
              <w:rPr>
                <w:sz w:val="20"/>
                <w:szCs w:val="20"/>
                <w:color w:val="auto"/>
              </w:rPr>
            </w:pPr>
            <w:r>
              <w:rPr>
                <w:rFonts w:ascii="Arial" w:cs="Arial" w:eastAsia="Arial" w:hAnsi="Arial"/>
                <w:sz w:val="16"/>
                <w:szCs w:val="16"/>
                <w:color w:val="auto"/>
              </w:rPr>
              <w:t>Total equity*</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8,309</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8,587</w:t>
            </w:r>
          </w:p>
        </w:tc>
      </w:tr>
      <w:tr>
        <w:trPr>
          <w:trHeight w:val="216"/>
        </w:trPr>
        <w:tc>
          <w:tcPr>
            <w:tcW w:w="450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500" w:type="dxa"/>
            <w:vAlign w:val="bottom"/>
          </w:tcPr>
          <w:p>
            <w:pPr>
              <w:ind w:left="200"/>
              <w:spacing w:after="0"/>
              <w:rPr>
                <w:sz w:val="20"/>
                <w:szCs w:val="20"/>
                <w:color w:val="auto"/>
              </w:rPr>
            </w:pPr>
            <w:r>
              <w:rPr>
                <w:rFonts w:ascii="Arial" w:cs="Arial" w:eastAsia="Arial" w:hAnsi="Arial"/>
                <w:sz w:val="16"/>
                <w:szCs w:val="16"/>
                <w:color w:val="auto"/>
              </w:rPr>
              <w:t>Minority interest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128</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ind w:left="800"/>
              <w:spacing w:after="0"/>
              <w:rPr>
                <w:sz w:val="20"/>
                <w:szCs w:val="20"/>
                <w:color w:val="auto"/>
              </w:rPr>
            </w:pPr>
            <w:r>
              <w:rPr>
                <w:rFonts w:ascii="Arial" w:cs="Arial" w:eastAsia="Arial" w:hAnsi="Arial"/>
                <w:sz w:val="16"/>
                <w:szCs w:val="16"/>
                <w:color w:val="auto"/>
              </w:rPr>
              <w:t>- $</w:t>
            </w:r>
          </w:p>
        </w:tc>
        <w:tc>
          <w:tcPr>
            <w:tcW w:w="940" w:type="dxa"/>
            <w:vAlign w:val="bottom"/>
          </w:tcPr>
          <w:p>
            <w:pPr>
              <w:jc w:val="right"/>
              <w:spacing w:after="0"/>
              <w:rPr>
                <w:sz w:val="20"/>
                <w:szCs w:val="20"/>
                <w:color w:val="auto"/>
              </w:rPr>
            </w:pPr>
            <w:r>
              <w:rPr>
                <w:rFonts w:ascii="Arial" w:cs="Arial" w:eastAsia="Arial" w:hAnsi="Arial"/>
                <w:sz w:val="16"/>
                <w:szCs w:val="16"/>
                <w:color w:val="auto"/>
              </w:rPr>
              <w:t>135</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500" w:type="dxa"/>
            <w:vAlign w:val="bottom"/>
          </w:tcPr>
          <w:p>
            <w:pPr>
              <w:ind w:left="200"/>
              <w:spacing w:after="0"/>
              <w:rPr>
                <w:sz w:val="20"/>
                <w:szCs w:val="20"/>
                <w:color w:val="auto"/>
              </w:rPr>
            </w:pPr>
            <w:r>
              <w:rPr>
                <w:rFonts w:ascii="Arial" w:cs="Arial" w:eastAsia="Arial" w:hAnsi="Arial"/>
                <w:sz w:val="16"/>
                <w:szCs w:val="16"/>
                <w:color w:val="auto"/>
              </w:rPr>
              <w:t>Noncontrolling interest*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128</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16"/>
        </w:trPr>
        <w:tc>
          <w:tcPr>
            <w:tcW w:w="4500" w:type="dxa"/>
            <w:vAlign w:val="bottom"/>
          </w:tcPr>
          <w:p>
            <w:pPr>
              <w:ind w:left="200"/>
              <w:spacing w:after="0"/>
              <w:rPr>
                <w:sz w:val="20"/>
                <w:szCs w:val="20"/>
                <w:color w:val="auto"/>
              </w:rPr>
            </w:pPr>
            <w:r>
              <w:rPr>
                <w:rFonts w:ascii="Arial" w:cs="Arial" w:eastAsia="Arial" w:hAnsi="Arial"/>
                <w:sz w:val="16"/>
                <w:szCs w:val="16"/>
                <w:color w:val="auto"/>
              </w:rPr>
              <w:t>Preferred stock</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w:t>
            </w:r>
          </w:p>
        </w:tc>
        <w:tc>
          <w:tcPr>
            <w:tcW w:w="240" w:type="dxa"/>
            <w:vAlign w:val="bottom"/>
          </w:tcPr>
          <w:p>
            <w:pPr>
              <w:spacing w:after="0"/>
              <w:rPr>
                <w:sz w:val="18"/>
                <w:szCs w:val="18"/>
                <w:color w:val="auto"/>
              </w:rPr>
            </w:pPr>
          </w:p>
        </w:tc>
        <w:tc>
          <w:tcPr>
            <w:tcW w:w="860" w:type="dxa"/>
            <w:vAlign w:val="bottom"/>
          </w:tcPr>
          <w:p>
            <w:pPr>
              <w:ind w:left="80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500" w:type="dxa"/>
            <w:vAlign w:val="bottom"/>
          </w:tcPr>
          <w:p>
            <w:pPr>
              <w:ind w:left="200"/>
              <w:spacing w:after="0"/>
              <w:rPr>
                <w:sz w:val="20"/>
                <w:szCs w:val="20"/>
                <w:color w:val="auto"/>
              </w:rPr>
            </w:pPr>
            <w:r>
              <w:rPr>
                <w:rFonts w:ascii="Arial" w:cs="Arial" w:eastAsia="Arial" w:hAnsi="Arial"/>
                <w:sz w:val="16"/>
                <w:szCs w:val="16"/>
                <w:color w:val="auto"/>
              </w:rPr>
              <w:t>Contingently redeemable preferred stock</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16"/>
        </w:trPr>
        <w:tc>
          <w:tcPr>
            <w:tcW w:w="4500" w:type="dxa"/>
            <w:vAlign w:val="bottom"/>
          </w:tcPr>
          <w:p>
            <w:pPr>
              <w:ind w:left="200"/>
              <w:spacing w:after="0"/>
              <w:rPr>
                <w:sz w:val="20"/>
                <w:szCs w:val="20"/>
                <w:color w:val="auto"/>
              </w:rPr>
            </w:pPr>
            <w:r>
              <w:rPr>
                <w:rFonts w:ascii="Arial" w:cs="Arial" w:eastAsia="Arial" w:hAnsi="Arial"/>
                <w:sz w:val="16"/>
                <w:szCs w:val="16"/>
                <w:color w:val="auto"/>
              </w:rPr>
              <w:t>Total shareholders' equity</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2,621</w:t>
            </w:r>
          </w:p>
        </w:tc>
        <w:tc>
          <w:tcPr>
            <w:tcW w:w="240" w:type="dxa"/>
            <w:vAlign w:val="bottom"/>
          </w:tcPr>
          <w:p>
            <w:pPr>
              <w:spacing w:after="0"/>
              <w:rPr>
                <w:sz w:val="18"/>
                <w:szCs w:val="18"/>
                <w:color w:val="auto"/>
              </w:rPr>
            </w:pPr>
          </w:p>
        </w:tc>
        <w:tc>
          <w:tcPr>
            <w:tcW w:w="860" w:type="dxa"/>
            <w:vAlign w:val="bottom"/>
          </w:tcPr>
          <w:p>
            <w:pPr>
              <w:ind w:left="80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2,279</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500" w:type="dxa"/>
            <w:vAlign w:val="bottom"/>
          </w:tcPr>
          <w:p>
            <w:pPr>
              <w:ind w:left="200"/>
              <w:spacing w:after="0"/>
              <w:rPr>
                <w:sz w:val="20"/>
                <w:szCs w:val="20"/>
                <w:color w:val="auto"/>
              </w:rPr>
            </w:pPr>
            <w:r>
              <w:rPr>
                <w:rFonts w:ascii="Arial" w:cs="Arial" w:eastAsia="Arial" w:hAnsi="Arial"/>
                <w:sz w:val="16"/>
                <w:szCs w:val="16"/>
                <w:color w:val="auto"/>
              </w:rPr>
              <w:t>Total SDG&amp;E shareholders' equity*</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2,542</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2,200</w:t>
            </w:r>
          </w:p>
        </w:tc>
      </w:tr>
      <w:tr>
        <w:trPr>
          <w:trHeight w:val="216"/>
        </w:trPr>
        <w:tc>
          <w:tcPr>
            <w:tcW w:w="4500" w:type="dxa"/>
            <w:vAlign w:val="bottom"/>
          </w:tcPr>
          <w:p>
            <w:pPr>
              <w:ind w:left="200"/>
              <w:spacing w:after="0"/>
              <w:rPr>
                <w:sz w:val="20"/>
                <w:szCs w:val="20"/>
                <w:color w:val="auto"/>
              </w:rPr>
            </w:pPr>
            <w:r>
              <w:rPr>
                <w:rFonts w:ascii="Arial" w:cs="Arial" w:eastAsia="Arial" w:hAnsi="Arial"/>
                <w:sz w:val="16"/>
                <w:szCs w:val="16"/>
                <w:color w:val="auto"/>
              </w:rPr>
              <w:t>Total equity*</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2,670</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2,335</w:t>
            </w:r>
          </w:p>
        </w:tc>
      </w:tr>
      <w:tr>
        <w:trPr>
          <w:trHeight w:val="216"/>
        </w:trPr>
        <w:tc>
          <w:tcPr>
            <w:tcW w:w="4500" w:type="dxa"/>
            <w:vAlign w:val="bottom"/>
          </w:tcPr>
          <w:p>
            <w:pPr>
              <w:ind w:left="20"/>
              <w:spacing w:after="0"/>
              <w:rPr>
                <w:sz w:val="20"/>
                <w:szCs w:val="20"/>
                <w:color w:val="auto"/>
              </w:rPr>
            </w:pPr>
            <w:r>
              <w:rPr>
                <w:rFonts w:ascii="Arial" w:cs="Arial" w:eastAsia="Arial" w:hAnsi="Arial"/>
                <w:sz w:val="16"/>
                <w:szCs w:val="16"/>
                <w:b w:val="1"/>
                <w:bCs w:val="1"/>
                <w:color w:val="auto"/>
              </w:rPr>
              <w:t>PE</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500" w:type="dxa"/>
            <w:vAlign w:val="bottom"/>
          </w:tcPr>
          <w:p>
            <w:pPr>
              <w:ind w:left="200"/>
              <w:spacing w:after="0"/>
              <w:rPr>
                <w:sz w:val="20"/>
                <w:szCs w:val="20"/>
                <w:color w:val="auto"/>
              </w:rPr>
            </w:pPr>
            <w:r>
              <w:rPr>
                <w:rFonts w:ascii="Arial" w:cs="Arial" w:eastAsia="Arial" w:hAnsi="Arial"/>
                <w:sz w:val="16"/>
                <w:szCs w:val="16"/>
                <w:color w:val="auto"/>
              </w:rPr>
              <w:t>Total deferred credits and other liabilities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3,425</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3,405</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2,635</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2,615</w:t>
            </w:r>
          </w:p>
        </w:tc>
      </w:tr>
      <w:tr>
        <w:trPr>
          <w:trHeight w:val="216"/>
        </w:trPr>
        <w:tc>
          <w:tcPr>
            <w:tcW w:w="4500" w:type="dxa"/>
            <w:vAlign w:val="bottom"/>
          </w:tcPr>
          <w:p>
            <w:pPr>
              <w:ind w:left="200"/>
              <w:spacing w:after="0"/>
              <w:rPr>
                <w:sz w:val="20"/>
                <w:szCs w:val="20"/>
                <w:color w:val="auto"/>
              </w:rPr>
            </w:pPr>
            <w:r>
              <w:rPr>
                <w:rFonts w:ascii="Arial" w:cs="Arial" w:eastAsia="Arial" w:hAnsi="Arial"/>
                <w:sz w:val="16"/>
                <w:szCs w:val="16"/>
                <w:color w:val="auto"/>
              </w:rPr>
              <w:t>Preferred stock of subsidiary</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4500" w:type="dxa"/>
            <w:vAlign w:val="bottom"/>
          </w:tcPr>
          <w:p>
            <w:pPr>
              <w:ind w:left="200"/>
              <w:spacing w:after="0"/>
              <w:rPr>
                <w:sz w:val="20"/>
                <w:szCs w:val="20"/>
                <w:color w:val="auto"/>
              </w:rPr>
            </w:pPr>
            <w:r>
              <w:rPr>
                <w:rFonts w:ascii="Arial" w:cs="Arial" w:eastAsia="Arial" w:hAnsi="Arial"/>
                <w:sz w:val="16"/>
                <w:szCs w:val="16"/>
                <w:color w:val="auto"/>
              </w:rPr>
              <w:t>Total shareholders' equity</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1,940</w:t>
            </w:r>
          </w:p>
        </w:tc>
        <w:tc>
          <w:tcPr>
            <w:tcW w:w="240" w:type="dxa"/>
            <w:vAlign w:val="bottom"/>
          </w:tcPr>
          <w:p>
            <w:pPr>
              <w:spacing w:after="0"/>
              <w:rPr>
                <w:sz w:val="18"/>
                <w:szCs w:val="18"/>
                <w:color w:val="auto"/>
              </w:rPr>
            </w:pPr>
          </w:p>
        </w:tc>
        <w:tc>
          <w:tcPr>
            <w:tcW w:w="860" w:type="dxa"/>
            <w:vAlign w:val="bottom"/>
          </w:tcPr>
          <w:p>
            <w:pPr>
              <w:ind w:left="80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1,916</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500" w:type="dxa"/>
            <w:vAlign w:val="bottom"/>
          </w:tcPr>
          <w:p>
            <w:pPr>
              <w:ind w:left="200"/>
              <w:spacing w:after="0"/>
              <w:rPr>
                <w:sz w:val="20"/>
                <w:szCs w:val="20"/>
                <w:color w:val="auto"/>
              </w:rPr>
            </w:pPr>
            <w:r>
              <w:rPr>
                <w:rFonts w:ascii="Arial" w:cs="Arial" w:eastAsia="Arial" w:hAnsi="Arial"/>
                <w:sz w:val="16"/>
                <w:szCs w:val="16"/>
                <w:color w:val="auto"/>
              </w:rPr>
              <w:t>Total Pacific Enterprises shareholders' equity*</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1,940</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1,916</w:t>
            </w:r>
          </w:p>
        </w:tc>
      </w:tr>
      <w:tr>
        <w:trPr>
          <w:trHeight w:val="219"/>
        </w:trPr>
        <w:tc>
          <w:tcPr>
            <w:tcW w:w="4500" w:type="dxa"/>
            <w:vAlign w:val="bottom"/>
          </w:tcPr>
          <w:p>
            <w:pPr>
              <w:ind w:left="200"/>
              <w:spacing w:after="0"/>
              <w:rPr>
                <w:sz w:val="20"/>
                <w:szCs w:val="20"/>
                <w:color w:val="auto"/>
              </w:rPr>
            </w:pPr>
            <w:r>
              <w:rPr>
                <w:rFonts w:ascii="Arial" w:cs="Arial" w:eastAsia="Arial" w:hAnsi="Arial"/>
                <w:sz w:val="16"/>
                <w:szCs w:val="16"/>
                <w:color w:val="auto"/>
              </w:rPr>
              <w:t>Total equity*</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1,960</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1,936</w:t>
            </w:r>
          </w:p>
        </w:tc>
      </w:tr>
      <w:tr>
        <w:trPr>
          <w:trHeight w:val="84"/>
        </w:trPr>
        <w:tc>
          <w:tcPr>
            <w:tcW w:w="4500" w:type="dxa"/>
            <w:vAlign w:val="bottom"/>
            <w:shd w:val="clear" w:color="auto" w:fill="DFDFDF"/>
          </w:tcPr>
          <w:p>
            <w:pPr>
              <w:spacing w:after="0"/>
              <w:rPr>
                <w:sz w:val="7"/>
                <w:szCs w:val="7"/>
                <w:color w:val="auto"/>
              </w:rPr>
            </w:pPr>
          </w:p>
        </w:tc>
        <w:tc>
          <w:tcPr>
            <w:tcW w:w="160" w:type="dxa"/>
            <w:vAlign w:val="bottom"/>
            <w:shd w:val="clear" w:color="auto" w:fill="DFDFDF"/>
          </w:tcPr>
          <w:p>
            <w:pPr>
              <w:spacing w:after="0"/>
              <w:rPr>
                <w:sz w:val="7"/>
                <w:szCs w:val="7"/>
                <w:color w:val="auto"/>
              </w:rPr>
            </w:pPr>
          </w:p>
        </w:tc>
        <w:tc>
          <w:tcPr>
            <w:tcW w:w="920" w:type="dxa"/>
            <w:vAlign w:val="bottom"/>
            <w:shd w:val="clear" w:color="auto" w:fill="DFDFDF"/>
          </w:tcPr>
          <w:p>
            <w:pPr>
              <w:spacing w:after="0"/>
              <w:rPr>
                <w:sz w:val="7"/>
                <w:szCs w:val="7"/>
                <w:color w:val="auto"/>
              </w:rPr>
            </w:pPr>
          </w:p>
        </w:tc>
        <w:tc>
          <w:tcPr>
            <w:tcW w:w="240" w:type="dxa"/>
            <w:vAlign w:val="bottom"/>
            <w:shd w:val="clear" w:color="auto" w:fill="DFDFDF"/>
          </w:tcPr>
          <w:p>
            <w:pPr>
              <w:spacing w:after="0"/>
              <w:rPr>
                <w:sz w:val="7"/>
                <w:szCs w:val="7"/>
                <w:color w:val="auto"/>
              </w:rPr>
            </w:pPr>
          </w:p>
        </w:tc>
        <w:tc>
          <w:tcPr>
            <w:tcW w:w="860" w:type="dxa"/>
            <w:vAlign w:val="bottom"/>
            <w:shd w:val="clear" w:color="auto" w:fill="DFDFDF"/>
          </w:tcPr>
          <w:p>
            <w:pPr>
              <w:spacing w:after="0"/>
              <w:rPr>
                <w:sz w:val="7"/>
                <w:szCs w:val="7"/>
                <w:color w:val="auto"/>
              </w:rPr>
            </w:pPr>
          </w:p>
        </w:tc>
        <w:tc>
          <w:tcPr>
            <w:tcW w:w="160" w:type="dxa"/>
            <w:vAlign w:val="bottom"/>
            <w:shd w:val="clear" w:color="auto" w:fill="DFDFDF"/>
          </w:tcPr>
          <w:p>
            <w:pPr>
              <w:spacing w:after="0"/>
              <w:rPr>
                <w:sz w:val="7"/>
                <w:szCs w:val="7"/>
                <w:color w:val="auto"/>
              </w:rPr>
            </w:pPr>
          </w:p>
        </w:tc>
        <w:tc>
          <w:tcPr>
            <w:tcW w:w="940" w:type="dxa"/>
            <w:vAlign w:val="bottom"/>
            <w:shd w:val="clear" w:color="auto" w:fill="DFDFDF"/>
          </w:tcPr>
          <w:p>
            <w:pPr>
              <w:spacing w:after="0"/>
              <w:rPr>
                <w:sz w:val="7"/>
                <w:szCs w:val="7"/>
                <w:color w:val="auto"/>
              </w:rPr>
            </w:pPr>
          </w:p>
        </w:tc>
        <w:tc>
          <w:tcPr>
            <w:tcW w:w="240" w:type="dxa"/>
            <w:vAlign w:val="bottom"/>
            <w:shd w:val="clear" w:color="auto" w:fill="DFDFDF"/>
          </w:tcPr>
          <w:p>
            <w:pPr>
              <w:spacing w:after="0"/>
              <w:rPr>
                <w:sz w:val="7"/>
                <w:szCs w:val="7"/>
                <w:color w:val="auto"/>
              </w:rPr>
            </w:pPr>
          </w:p>
        </w:tc>
        <w:tc>
          <w:tcPr>
            <w:tcW w:w="840" w:type="dxa"/>
            <w:vAlign w:val="bottom"/>
            <w:shd w:val="clear" w:color="auto" w:fill="DFDFDF"/>
          </w:tcPr>
          <w:p>
            <w:pPr>
              <w:spacing w:after="0"/>
              <w:rPr>
                <w:sz w:val="7"/>
                <w:szCs w:val="7"/>
                <w:color w:val="auto"/>
              </w:rPr>
            </w:pPr>
          </w:p>
        </w:tc>
      </w:tr>
    </w:tbl>
    <w:p>
      <w:pPr>
        <w:spacing w:after="0" w:line="18" w:lineRule="exact"/>
        <w:rPr>
          <w:sz w:val="20"/>
          <w:szCs w:val="20"/>
          <w:color w:val="auto"/>
        </w:rPr>
      </w:pPr>
    </w:p>
    <w:p>
      <w:pPr>
        <w:ind w:left="300" w:hanging="278"/>
        <w:spacing w:after="0"/>
        <w:tabs>
          <w:tab w:leader="none" w:pos="300" w:val="left"/>
        </w:tabs>
        <w:numPr>
          <w:ilvl w:val="0"/>
          <w:numId w:val="92"/>
        </w:numPr>
        <w:rPr>
          <w:rFonts w:ascii="Arial" w:cs="Arial" w:eastAsia="Arial" w:hAnsi="Arial"/>
          <w:sz w:val="16"/>
          <w:szCs w:val="16"/>
          <w:color w:val="auto"/>
        </w:rPr>
      </w:pPr>
      <w:r>
        <w:rPr>
          <w:rFonts w:ascii="Arial" w:cs="Arial" w:eastAsia="Arial" w:hAnsi="Arial"/>
          <w:sz w:val="14"/>
          <w:szCs w:val="14"/>
          <w:i w:val="1"/>
          <w:iCs w:val="1"/>
          <w:color w:val="auto"/>
        </w:rPr>
        <w:t>Represents a new financial statement line item included as a result of the retrospective adoption of SFAS 160.</w:t>
      </w:r>
    </w:p>
    <w:p>
      <w:pPr>
        <w:sectPr>
          <w:pgSz w:w="11900" w:h="16838" w:orient="portrait"/>
          <w:cols w:equalWidth="0" w:num="1">
            <w:col w:w="10219"/>
          </w:cols>
          <w:pgMar w:left="240" w:top="418" w:right="1440" w:bottom="1440" w:gutter="0" w:footer="0" w:header="0"/>
        </w:sectPr>
      </w:pPr>
    </w:p>
    <w:bookmarkStart w:id="84" w:name="page85"/>
    <w:bookmarkEnd w:id="8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5908675" cy="2743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08675" cy="274320"/>
                    </a:xfrm>
                    <a:prstGeom prst="rect">
                      <a:avLst/>
                    </a:prstGeom>
                    <a:noFill/>
                  </pic:spPr>
                </pic:pic>
              </a:graphicData>
            </a:graphic>
          </wp:anchor>
        </w:drawing>
        <w:t>CONSOLIDATED STATEMENTS OF OPERATIONS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69" w:lineRule="exact"/>
        <w:rPr>
          <w:sz w:val="20"/>
          <w:szCs w:val="20"/>
          <w:color w:val="auto"/>
        </w:rPr>
      </w:pPr>
    </w:p>
    <w:p>
      <w:pPr>
        <w:ind w:left="5140"/>
        <w:spacing w:after="0"/>
        <w:rPr>
          <w:sz w:val="20"/>
          <w:szCs w:val="20"/>
          <w:color w:val="auto"/>
        </w:rPr>
      </w:pPr>
      <w:r>
        <w:rPr>
          <w:rFonts w:ascii="Arial" w:cs="Arial" w:eastAsia="Arial" w:hAnsi="Arial"/>
          <w:sz w:val="14"/>
          <w:szCs w:val="14"/>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1733550</wp:posOffset>
            </wp:positionH>
            <wp:positionV relativeFrom="paragraph">
              <wp:posOffset>14605</wp:posOffset>
            </wp:positionV>
            <wp:extent cx="416814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168140" cy="8890"/>
                    </a:xfrm>
                    <a:prstGeom prst="rect">
                      <a:avLst/>
                    </a:prstGeom>
                    <a:noFill/>
                  </pic:spPr>
                </pic:pic>
              </a:graphicData>
            </a:graphic>
          </wp:anchor>
        </w:drawing>
      </w:r>
    </w:p>
    <w:p>
      <w:pPr>
        <w:spacing w:after="0" w:line="49" w:lineRule="exact"/>
        <w:rPr>
          <w:sz w:val="20"/>
          <w:szCs w:val="20"/>
          <w:color w:val="auto"/>
        </w:rPr>
      </w:pPr>
    </w:p>
    <w:tbl>
      <w:tblPr>
        <w:tblLayout w:type="fixed"/>
        <w:tblInd w:w="2720" w:type="dxa"/>
        <w:tblCellMar>
          <w:top w:w="0" w:type="dxa"/>
          <w:left w:w="0" w:type="dxa"/>
          <w:bottom w:w="0" w:type="dxa"/>
          <w:right w:w="0" w:type="dxa"/>
        </w:tblCellMar>
      </w:tblPr>
      <w:tr>
        <w:trPr>
          <w:trHeight w:val="178"/>
        </w:trPr>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2008</w:t>
            </w:r>
          </w:p>
        </w:tc>
        <w:tc>
          <w:tcPr>
            <w:tcW w:w="8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2007</w:t>
            </w:r>
          </w:p>
        </w:tc>
        <w:tc>
          <w:tcPr>
            <w:tcW w:w="8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2006</w:t>
            </w:r>
          </w:p>
        </w:tc>
      </w:tr>
      <w:tr>
        <w:trPr>
          <w:trHeight w:val="217"/>
        </w:trPr>
        <w:tc>
          <w:tcPr>
            <w:tcW w:w="1340" w:type="dxa"/>
            <w:vAlign w:val="bottom"/>
          </w:tcPr>
          <w:p>
            <w:pPr>
              <w:jc w:val="center"/>
              <w:ind w:right="148"/>
              <w:spacing w:after="0"/>
              <w:rPr>
                <w:sz w:val="20"/>
                <w:szCs w:val="20"/>
                <w:color w:val="auto"/>
              </w:rPr>
            </w:pPr>
            <w:r>
              <w:rPr>
                <w:rFonts w:ascii="Arial" w:cs="Arial" w:eastAsia="Arial" w:hAnsi="Arial"/>
                <w:sz w:val="14"/>
                <w:szCs w:val="14"/>
                <w:color w:val="auto"/>
                <w:w w:val="97"/>
              </w:rPr>
              <w:t>As</w:t>
            </w:r>
          </w:p>
        </w:tc>
        <w:tc>
          <w:tcPr>
            <w:tcW w:w="820" w:type="dxa"/>
            <w:vAlign w:val="bottom"/>
          </w:tcPr>
          <w:p>
            <w:pPr>
              <w:spacing w:after="0"/>
              <w:rPr>
                <w:sz w:val="18"/>
                <w:szCs w:val="18"/>
                <w:color w:val="auto"/>
              </w:rPr>
            </w:pPr>
          </w:p>
        </w:tc>
        <w:tc>
          <w:tcPr>
            <w:tcW w:w="1360" w:type="dxa"/>
            <w:vAlign w:val="bottom"/>
          </w:tcPr>
          <w:p>
            <w:pPr>
              <w:jc w:val="center"/>
              <w:ind w:right="128"/>
              <w:spacing w:after="0"/>
              <w:rPr>
                <w:sz w:val="20"/>
                <w:szCs w:val="20"/>
                <w:color w:val="auto"/>
              </w:rPr>
            </w:pPr>
            <w:r>
              <w:rPr>
                <w:rFonts w:ascii="Arial" w:cs="Arial" w:eastAsia="Arial" w:hAnsi="Arial"/>
                <w:sz w:val="14"/>
                <w:szCs w:val="14"/>
                <w:color w:val="auto"/>
                <w:w w:val="97"/>
              </w:rPr>
              <w:t>As</w:t>
            </w:r>
          </w:p>
        </w:tc>
        <w:tc>
          <w:tcPr>
            <w:tcW w:w="820" w:type="dxa"/>
            <w:vAlign w:val="bottom"/>
          </w:tcPr>
          <w:p>
            <w:pPr>
              <w:spacing w:after="0"/>
              <w:rPr>
                <w:sz w:val="18"/>
                <w:szCs w:val="18"/>
                <w:color w:val="auto"/>
              </w:rPr>
            </w:pPr>
          </w:p>
        </w:tc>
        <w:tc>
          <w:tcPr>
            <w:tcW w:w="940" w:type="dxa"/>
            <w:vAlign w:val="bottom"/>
          </w:tcPr>
          <w:p>
            <w:pPr>
              <w:jc w:val="center"/>
              <w:ind w:left="168"/>
              <w:spacing w:after="0"/>
              <w:rPr>
                <w:sz w:val="20"/>
                <w:szCs w:val="20"/>
                <w:color w:val="auto"/>
              </w:rPr>
            </w:pPr>
            <w:r>
              <w:rPr>
                <w:rFonts w:ascii="Arial" w:cs="Arial" w:eastAsia="Arial" w:hAnsi="Arial"/>
                <w:sz w:val="14"/>
                <w:szCs w:val="14"/>
                <w:color w:val="auto"/>
              </w:rPr>
              <w:t>As</w:t>
            </w:r>
          </w:p>
        </w:tc>
        <w:tc>
          <w:tcPr>
            <w:tcW w:w="1300" w:type="dxa"/>
            <w:vAlign w:val="bottom"/>
          </w:tcPr>
          <w:p>
            <w:pPr>
              <w:spacing w:after="0"/>
              <w:rPr>
                <w:sz w:val="18"/>
                <w:szCs w:val="18"/>
                <w:color w:val="auto"/>
              </w:rPr>
            </w:pPr>
          </w:p>
        </w:tc>
      </w:tr>
      <w:tr>
        <w:trPr>
          <w:trHeight w:val="230"/>
        </w:trPr>
        <w:tc>
          <w:tcPr>
            <w:tcW w:w="1340" w:type="dxa"/>
            <w:vAlign w:val="bottom"/>
          </w:tcPr>
          <w:p>
            <w:pPr>
              <w:jc w:val="center"/>
              <w:ind w:right="148"/>
              <w:spacing w:after="0"/>
              <w:rPr>
                <w:sz w:val="20"/>
                <w:szCs w:val="20"/>
                <w:color w:val="auto"/>
              </w:rPr>
            </w:pPr>
            <w:r>
              <w:rPr>
                <w:rFonts w:ascii="Arial" w:cs="Arial" w:eastAsia="Arial" w:hAnsi="Arial"/>
                <w:sz w:val="14"/>
                <w:szCs w:val="14"/>
                <w:color w:val="auto"/>
              </w:rPr>
              <w:t>previously</w:t>
            </w:r>
          </w:p>
        </w:tc>
        <w:tc>
          <w:tcPr>
            <w:tcW w:w="820" w:type="dxa"/>
            <w:vAlign w:val="bottom"/>
          </w:tcPr>
          <w:p>
            <w:pPr>
              <w:jc w:val="center"/>
              <w:ind w:right="128"/>
              <w:spacing w:after="0"/>
              <w:rPr>
                <w:sz w:val="20"/>
                <w:szCs w:val="20"/>
                <w:color w:val="auto"/>
              </w:rPr>
            </w:pPr>
            <w:r>
              <w:rPr>
                <w:rFonts w:ascii="Arial" w:cs="Arial" w:eastAsia="Arial" w:hAnsi="Arial"/>
                <w:sz w:val="14"/>
                <w:szCs w:val="14"/>
                <w:color w:val="auto"/>
              </w:rPr>
              <w:t>As</w:t>
            </w:r>
          </w:p>
        </w:tc>
        <w:tc>
          <w:tcPr>
            <w:tcW w:w="1360" w:type="dxa"/>
            <w:vAlign w:val="bottom"/>
          </w:tcPr>
          <w:p>
            <w:pPr>
              <w:jc w:val="center"/>
              <w:ind w:right="128"/>
              <w:spacing w:after="0"/>
              <w:rPr>
                <w:sz w:val="20"/>
                <w:szCs w:val="20"/>
                <w:color w:val="auto"/>
              </w:rPr>
            </w:pPr>
            <w:r>
              <w:rPr>
                <w:rFonts w:ascii="Arial" w:cs="Arial" w:eastAsia="Arial" w:hAnsi="Arial"/>
                <w:sz w:val="14"/>
                <w:szCs w:val="14"/>
                <w:color w:val="auto"/>
              </w:rPr>
              <w:t>previously</w:t>
            </w:r>
          </w:p>
        </w:tc>
        <w:tc>
          <w:tcPr>
            <w:tcW w:w="820" w:type="dxa"/>
            <w:vAlign w:val="bottom"/>
          </w:tcPr>
          <w:p>
            <w:pPr>
              <w:jc w:val="center"/>
              <w:ind w:right="108"/>
              <w:spacing w:after="0"/>
              <w:rPr>
                <w:sz w:val="20"/>
                <w:szCs w:val="20"/>
                <w:color w:val="auto"/>
              </w:rPr>
            </w:pPr>
            <w:r>
              <w:rPr>
                <w:rFonts w:ascii="Arial" w:cs="Arial" w:eastAsia="Arial" w:hAnsi="Arial"/>
                <w:sz w:val="14"/>
                <w:szCs w:val="14"/>
                <w:color w:val="auto"/>
                <w:w w:val="97"/>
              </w:rPr>
              <w:t>As</w:t>
            </w:r>
          </w:p>
        </w:tc>
        <w:tc>
          <w:tcPr>
            <w:tcW w:w="940" w:type="dxa"/>
            <w:vAlign w:val="bottom"/>
          </w:tcPr>
          <w:p>
            <w:pPr>
              <w:jc w:val="center"/>
              <w:ind w:left="168"/>
              <w:spacing w:after="0"/>
              <w:rPr>
                <w:sz w:val="20"/>
                <w:szCs w:val="20"/>
                <w:color w:val="auto"/>
              </w:rPr>
            </w:pPr>
            <w:r>
              <w:rPr>
                <w:rFonts w:ascii="Arial" w:cs="Arial" w:eastAsia="Arial" w:hAnsi="Arial"/>
                <w:sz w:val="14"/>
                <w:szCs w:val="14"/>
                <w:color w:val="auto"/>
              </w:rPr>
              <w:t>previously</w:t>
            </w:r>
          </w:p>
        </w:tc>
        <w:tc>
          <w:tcPr>
            <w:tcW w:w="1300" w:type="dxa"/>
            <w:vAlign w:val="bottom"/>
          </w:tcPr>
          <w:p>
            <w:pPr>
              <w:jc w:val="center"/>
              <w:ind w:left="128"/>
              <w:spacing w:after="0"/>
              <w:rPr>
                <w:sz w:val="20"/>
                <w:szCs w:val="20"/>
                <w:color w:val="auto"/>
              </w:rPr>
            </w:pPr>
            <w:r>
              <w:rPr>
                <w:rFonts w:ascii="Arial" w:cs="Arial" w:eastAsia="Arial" w:hAnsi="Arial"/>
                <w:sz w:val="14"/>
                <w:szCs w:val="14"/>
                <w:color w:val="auto"/>
              </w:rPr>
              <w:t>As</w:t>
            </w:r>
          </w:p>
        </w:tc>
      </w:tr>
      <w:tr>
        <w:trPr>
          <w:trHeight w:val="230"/>
        </w:trPr>
        <w:tc>
          <w:tcPr>
            <w:tcW w:w="1340" w:type="dxa"/>
            <w:vAlign w:val="bottom"/>
          </w:tcPr>
          <w:p>
            <w:pPr>
              <w:jc w:val="center"/>
              <w:ind w:right="168"/>
              <w:spacing w:after="0"/>
              <w:rPr>
                <w:sz w:val="20"/>
                <w:szCs w:val="20"/>
                <w:color w:val="auto"/>
              </w:rPr>
            </w:pPr>
            <w:r>
              <w:rPr>
                <w:rFonts w:ascii="Arial" w:cs="Arial" w:eastAsia="Arial" w:hAnsi="Arial"/>
                <w:sz w:val="14"/>
                <w:szCs w:val="14"/>
                <w:color w:val="auto"/>
              </w:rPr>
              <w:t>reported</w:t>
            </w:r>
          </w:p>
        </w:tc>
        <w:tc>
          <w:tcPr>
            <w:tcW w:w="820" w:type="dxa"/>
            <w:vAlign w:val="bottom"/>
          </w:tcPr>
          <w:p>
            <w:pPr>
              <w:jc w:val="center"/>
              <w:ind w:right="128"/>
              <w:spacing w:after="0"/>
              <w:rPr>
                <w:sz w:val="20"/>
                <w:szCs w:val="20"/>
                <w:color w:val="auto"/>
              </w:rPr>
            </w:pPr>
            <w:r>
              <w:rPr>
                <w:rFonts w:ascii="Arial" w:cs="Arial" w:eastAsia="Arial" w:hAnsi="Arial"/>
                <w:sz w:val="14"/>
                <w:szCs w:val="14"/>
                <w:color w:val="auto"/>
              </w:rPr>
              <w:t>revised</w:t>
            </w:r>
          </w:p>
        </w:tc>
        <w:tc>
          <w:tcPr>
            <w:tcW w:w="1360" w:type="dxa"/>
            <w:vAlign w:val="bottom"/>
          </w:tcPr>
          <w:p>
            <w:pPr>
              <w:jc w:val="center"/>
              <w:ind w:right="108"/>
              <w:spacing w:after="0"/>
              <w:rPr>
                <w:sz w:val="20"/>
                <w:szCs w:val="20"/>
                <w:color w:val="auto"/>
              </w:rPr>
            </w:pPr>
            <w:r>
              <w:rPr>
                <w:rFonts w:ascii="Arial" w:cs="Arial" w:eastAsia="Arial" w:hAnsi="Arial"/>
                <w:sz w:val="14"/>
                <w:szCs w:val="14"/>
                <w:color w:val="auto"/>
              </w:rPr>
              <w:t>reported</w:t>
            </w:r>
          </w:p>
        </w:tc>
        <w:tc>
          <w:tcPr>
            <w:tcW w:w="820" w:type="dxa"/>
            <w:vAlign w:val="bottom"/>
          </w:tcPr>
          <w:p>
            <w:pPr>
              <w:jc w:val="center"/>
              <w:ind w:right="108"/>
              <w:spacing w:after="0"/>
              <w:rPr>
                <w:sz w:val="20"/>
                <w:szCs w:val="20"/>
                <w:color w:val="auto"/>
              </w:rPr>
            </w:pPr>
            <w:r>
              <w:rPr>
                <w:rFonts w:ascii="Arial" w:cs="Arial" w:eastAsia="Arial" w:hAnsi="Arial"/>
                <w:sz w:val="14"/>
                <w:szCs w:val="14"/>
                <w:color w:val="auto"/>
              </w:rPr>
              <w:t>revised</w:t>
            </w:r>
          </w:p>
        </w:tc>
        <w:tc>
          <w:tcPr>
            <w:tcW w:w="940" w:type="dxa"/>
            <w:vAlign w:val="bottom"/>
          </w:tcPr>
          <w:p>
            <w:pPr>
              <w:jc w:val="center"/>
              <w:ind w:left="168"/>
              <w:spacing w:after="0"/>
              <w:rPr>
                <w:sz w:val="20"/>
                <w:szCs w:val="20"/>
                <w:color w:val="auto"/>
              </w:rPr>
            </w:pPr>
            <w:r>
              <w:rPr>
                <w:rFonts w:ascii="Arial" w:cs="Arial" w:eastAsia="Arial" w:hAnsi="Arial"/>
                <w:sz w:val="14"/>
                <w:szCs w:val="14"/>
                <w:color w:val="auto"/>
              </w:rPr>
              <w:t>reported</w:t>
            </w:r>
          </w:p>
        </w:tc>
        <w:tc>
          <w:tcPr>
            <w:tcW w:w="1300" w:type="dxa"/>
            <w:vAlign w:val="bottom"/>
          </w:tcPr>
          <w:p>
            <w:pPr>
              <w:jc w:val="center"/>
              <w:ind w:left="128"/>
              <w:spacing w:after="0"/>
              <w:rPr>
                <w:sz w:val="20"/>
                <w:szCs w:val="20"/>
                <w:color w:val="auto"/>
              </w:rPr>
            </w:pPr>
            <w:r>
              <w:rPr>
                <w:rFonts w:ascii="Arial" w:cs="Arial" w:eastAsia="Arial" w:hAnsi="Arial"/>
                <w:sz w:val="14"/>
                <w:szCs w:val="14"/>
                <w:color w:val="auto"/>
              </w:rPr>
              <w:t>revised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59086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08675" cy="8890"/>
                    </a:xfrm>
                    <a:prstGeom prst="rect">
                      <a:avLst/>
                    </a:prstGeom>
                    <a:noFill/>
                  </pic:spPr>
                </pic:pic>
              </a:graphicData>
            </a:graphic>
          </wp:anchor>
        </w:drawing>
      </w:r>
    </w:p>
    <w:p>
      <w:pPr>
        <w:sectPr>
          <w:pgSz w:w="11900" w:h="16838" w:orient="portrait"/>
          <w:cols w:equalWidth="0" w:num="1">
            <w:col w:w="10199"/>
          </w:cols>
          <w:pgMar w:left="260" w:top="419" w:right="1440" w:bottom="1440" w:gutter="0" w:footer="0" w:header="0"/>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0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tcPr>
          <w:p>
            <w:pPr>
              <w:ind w:left="180"/>
              <w:spacing w:after="0"/>
              <w:rPr>
                <w:sz w:val="20"/>
                <w:szCs w:val="20"/>
                <w:color w:val="auto"/>
              </w:rPr>
            </w:pPr>
            <w:r>
              <w:rPr>
                <w:rFonts w:ascii="Arial" w:cs="Arial" w:eastAsia="Arial" w:hAnsi="Arial"/>
                <w:sz w:val="16"/>
                <w:szCs w:val="16"/>
                <w:color w:val="auto"/>
              </w:rPr>
              <w:t>Other income (expense), net</w:t>
            </w:r>
          </w:p>
        </w:tc>
        <w:tc>
          <w:tcPr>
            <w:tcW w:w="6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r>
      <w:tr>
        <w:trPr>
          <w:trHeight w:val="216"/>
        </w:trPr>
        <w:tc>
          <w:tcPr>
            <w:tcW w:w="25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6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1,113</w:t>
            </w:r>
          </w:p>
        </w:tc>
        <w:tc>
          <w:tcPr>
            <w:tcW w:w="100" w:type="dxa"/>
            <w:vAlign w:val="bottom"/>
          </w:tcPr>
          <w:p>
            <w:pPr>
              <w:spacing w:after="0"/>
              <w:rPr>
                <w:sz w:val="18"/>
                <w:szCs w:val="18"/>
                <w:color w:val="auto"/>
              </w:rPr>
            </w:pPr>
          </w:p>
        </w:tc>
      </w:tr>
      <w:tr>
        <w:trPr>
          <w:trHeight w:val="216"/>
        </w:trPr>
        <w:tc>
          <w:tcPr>
            <w:tcW w:w="2500" w:type="dxa"/>
            <w:vAlign w:val="bottom"/>
          </w:tcPr>
          <w:p>
            <w:pPr>
              <w:ind w:left="180"/>
              <w:spacing w:after="0"/>
              <w:rPr>
                <w:sz w:val="20"/>
                <w:szCs w:val="20"/>
                <w:color w:val="auto"/>
              </w:rPr>
            </w:pPr>
            <w:r>
              <w:rPr>
                <w:rFonts w:ascii="Arial" w:cs="Arial" w:eastAsia="Arial" w:hAnsi="Arial"/>
                <w:sz w:val="16"/>
                <w:szCs w:val="16"/>
                <w:color w:val="auto"/>
              </w:rPr>
              <w:t>Losses attributable to</w:t>
            </w: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tcPr>
          <w:p>
            <w:pPr>
              <w:ind w:left="360"/>
              <w:spacing w:after="0"/>
              <w:rPr>
                <w:sz w:val="20"/>
                <w:szCs w:val="20"/>
                <w:color w:val="auto"/>
              </w:rPr>
            </w:pPr>
            <w:r>
              <w:rPr>
                <w:rFonts w:ascii="Arial" w:cs="Arial" w:eastAsia="Arial" w:hAnsi="Arial"/>
                <w:sz w:val="16"/>
                <w:szCs w:val="16"/>
                <w:color w:val="auto"/>
              </w:rPr>
              <w:t>noncontrolling interests*</w:t>
            </w:r>
          </w:p>
        </w:tc>
        <w:tc>
          <w:tcPr>
            <w:tcW w:w="6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6"/>
        </w:trPr>
        <w:tc>
          <w:tcPr>
            <w:tcW w:w="2500" w:type="dxa"/>
            <w:vAlign w:val="bottom"/>
          </w:tcPr>
          <w:p>
            <w:pPr>
              <w:ind w:left="180"/>
              <w:spacing w:after="0"/>
              <w:rPr>
                <w:sz w:val="20"/>
                <w:szCs w:val="20"/>
                <w:color w:val="auto"/>
              </w:rPr>
            </w:pPr>
            <w:r>
              <w:rPr>
                <w:rFonts w:ascii="Arial" w:cs="Arial" w:eastAsia="Arial" w:hAnsi="Arial"/>
                <w:sz w:val="16"/>
                <w:szCs w:val="16"/>
                <w:color w:val="auto"/>
              </w:rPr>
              <w:t>Preferred dividends of</w:t>
            </w: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tcPr>
          <w:p>
            <w:pPr>
              <w:ind w:left="360"/>
              <w:spacing w:after="0"/>
              <w:rPr>
                <w:sz w:val="20"/>
                <w:szCs w:val="20"/>
                <w:color w:val="auto"/>
              </w:rPr>
            </w:pPr>
            <w:r>
              <w:rPr>
                <w:rFonts w:ascii="Arial" w:cs="Arial" w:eastAsia="Arial" w:hAnsi="Arial"/>
                <w:sz w:val="16"/>
                <w:szCs w:val="16"/>
                <w:color w:val="auto"/>
              </w:rPr>
              <w:t>subsidiaries</w:t>
            </w:r>
          </w:p>
        </w:tc>
        <w:tc>
          <w:tcPr>
            <w:tcW w:w="6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r>
      <w:tr>
        <w:trPr>
          <w:trHeight w:val="216"/>
        </w:trPr>
        <w:tc>
          <w:tcPr>
            <w:tcW w:w="2500" w:type="dxa"/>
            <w:vAlign w:val="bottom"/>
          </w:tcPr>
          <w:p>
            <w:pPr>
              <w:ind w:left="180"/>
              <w:spacing w:after="0"/>
              <w:rPr>
                <w:sz w:val="20"/>
                <w:szCs w:val="20"/>
                <w:color w:val="auto"/>
              </w:rPr>
            </w:pPr>
            <w:r>
              <w:rPr>
                <w:rFonts w:ascii="Arial" w:cs="Arial" w:eastAsia="Arial" w:hAnsi="Arial"/>
                <w:sz w:val="16"/>
                <w:szCs w:val="16"/>
                <w:color w:val="auto"/>
              </w:rPr>
              <w:t>Earnings*</w:t>
            </w:r>
          </w:p>
        </w:tc>
        <w:tc>
          <w:tcPr>
            <w:tcW w:w="6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tcPr>
          <w:p>
            <w:pPr>
              <w:ind w:left="180"/>
              <w:spacing w:after="0"/>
              <w:rPr>
                <w:sz w:val="20"/>
                <w:szCs w:val="20"/>
                <w:color w:val="auto"/>
              </w:rPr>
            </w:pPr>
            <w:r>
              <w:rPr>
                <w:rFonts w:ascii="Arial" w:cs="Arial" w:eastAsia="Arial" w:hAnsi="Arial"/>
                <w:sz w:val="16"/>
                <w:szCs w:val="16"/>
                <w:color w:val="auto"/>
              </w:rPr>
              <w:t>Other income (expense), net</w:t>
            </w:r>
          </w:p>
        </w:tc>
        <w:tc>
          <w:tcPr>
            <w:tcW w:w="6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r>
      <w:tr>
        <w:trPr>
          <w:trHeight w:val="216"/>
        </w:trPr>
        <w:tc>
          <w:tcPr>
            <w:tcW w:w="25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6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18"/>
                <w:szCs w:val="18"/>
                <w:color w:val="auto"/>
              </w:rPr>
            </w:pPr>
          </w:p>
        </w:tc>
      </w:tr>
      <w:tr>
        <w:trPr>
          <w:trHeight w:val="216"/>
        </w:trPr>
        <w:tc>
          <w:tcPr>
            <w:tcW w:w="2500" w:type="dxa"/>
            <w:vAlign w:val="bottom"/>
          </w:tcPr>
          <w:p>
            <w:pPr>
              <w:ind w:left="180"/>
              <w:spacing w:after="0"/>
              <w:rPr>
                <w:sz w:val="20"/>
                <w:szCs w:val="20"/>
                <w:color w:val="auto"/>
              </w:rPr>
            </w:pPr>
            <w:r>
              <w:rPr>
                <w:rFonts w:ascii="Arial" w:cs="Arial" w:eastAsia="Arial" w:hAnsi="Arial"/>
                <w:sz w:val="16"/>
                <w:szCs w:val="16"/>
                <w:color w:val="auto"/>
              </w:rPr>
              <w:t>Losses attributable to</w:t>
            </w: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tcPr>
          <w:p>
            <w:pPr>
              <w:ind w:left="360"/>
              <w:spacing w:after="0"/>
              <w:rPr>
                <w:sz w:val="20"/>
                <w:szCs w:val="20"/>
                <w:color w:val="auto"/>
              </w:rPr>
            </w:pPr>
            <w:r>
              <w:rPr>
                <w:rFonts w:ascii="Arial" w:cs="Arial" w:eastAsia="Arial" w:hAnsi="Arial"/>
                <w:sz w:val="16"/>
                <w:szCs w:val="16"/>
                <w:color w:val="auto"/>
              </w:rPr>
              <w:t>noncontrolling interests*</w:t>
            </w:r>
          </w:p>
        </w:tc>
        <w:tc>
          <w:tcPr>
            <w:tcW w:w="6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6"/>
        </w:trPr>
        <w:tc>
          <w:tcPr>
            <w:tcW w:w="2500" w:type="dxa"/>
            <w:vAlign w:val="bottom"/>
          </w:tcPr>
          <w:p>
            <w:pPr>
              <w:ind w:left="180"/>
              <w:spacing w:after="0"/>
              <w:rPr>
                <w:sz w:val="20"/>
                <w:szCs w:val="20"/>
                <w:color w:val="auto"/>
              </w:rPr>
            </w:pPr>
            <w:r>
              <w:rPr>
                <w:rFonts w:ascii="Arial" w:cs="Arial" w:eastAsia="Arial" w:hAnsi="Arial"/>
                <w:sz w:val="16"/>
                <w:szCs w:val="16"/>
                <w:color w:val="auto"/>
              </w:rPr>
              <w:t>Earnings*</w:t>
            </w:r>
          </w:p>
        </w:tc>
        <w:tc>
          <w:tcPr>
            <w:tcW w:w="6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6"/>
                <w:szCs w:val="16"/>
                <w:b w:val="1"/>
                <w:bCs w:val="1"/>
                <w:color w:val="auto"/>
              </w:rPr>
              <w:t>PE</w:t>
            </w: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tcPr>
          <w:p>
            <w:pPr>
              <w:ind w:left="180"/>
              <w:spacing w:after="0"/>
              <w:rPr>
                <w:sz w:val="20"/>
                <w:szCs w:val="20"/>
                <w:color w:val="auto"/>
              </w:rPr>
            </w:pPr>
            <w:r>
              <w:rPr>
                <w:rFonts w:ascii="Arial" w:cs="Arial" w:eastAsia="Arial" w:hAnsi="Arial"/>
                <w:sz w:val="16"/>
                <w:szCs w:val="16"/>
                <w:color w:val="auto"/>
              </w:rPr>
              <w:t>Other income (expense), net</w:t>
            </w:r>
          </w:p>
        </w:tc>
        <w:tc>
          <w:tcPr>
            <w:tcW w:w="6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r>
      <w:tr>
        <w:trPr>
          <w:trHeight w:val="216"/>
        </w:trPr>
        <w:tc>
          <w:tcPr>
            <w:tcW w:w="25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6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18"/>
                <w:szCs w:val="18"/>
                <w:color w:val="auto"/>
              </w:rPr>
            </w:pPr>
          </w:p>
        </w:tc>
      </w:tr>
      <w:tr>
        <w:trPr>
          <w:trHeight w:val="216"/>
        </w:trPr>
        <w:tc>
          <w:tcPr>
            <w:tcW w:w="2500" w:type="dxa"/>
            <w:vAlign w:val="bottom"/>
          </w:tcPr>
          <w:p>
            <w:pPr>
              <w:ind w:left="180"/>
              <w:spacing w:after="0"/>
              <w:rPr>
                <w:sz w:val="20"/>
                <w:szCs w:val="20"/>
                <w:color w:val="auto"/>
              </w:rPr>
            </w:pPr>
            <w:r>
              <w:rPr>
                <w:rFonts w:ascii="Arial" w:cs="Arial" w:eastAsia="Arial" w:hAnsi="Arial"/>
                <w:sz w:val="16"/>
                <w:szCs w:val="16"/>
                <w:color w:val="auto"/>
              </w:rPr>
              <w:t>Preferred dividends of</w:t>
            </w: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tcPr>
          <w:p>
            <w:pPr>
              <w:ind w:left="360"/>
              <w:spacing w:after="0"/>
              <w:rPr>
                <w:sz w:val="20"/>
                <w:szCs w:val="20"/>
                <w:color w:val="auto"/>
              </w:rPr>
            </w:pPr>
            <w:r>
              <w:rPr>
                <w:rFonts w:ascii="Arial" w:cs="Arial" w:eastAsia="Arial" w:hAnsi="Arial"/>
                <w:sz w:val="16"/>
                <w:szCs w:val="16"/>
                <w:color w:val="auto"/>
              </w:rPr>
              <w:t>subsidiaries</w:t>
            </w:r>
          </w:p>
        </w:tc>
        <w:tc>
          <w:tcPr>
            <w:tcW w:w="6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6"/>
        </w:trPr>
        <w:tc>
          <w:tcPr>
            <w:tcW w:w="2500" w:type="dxa"/>
            <w:vAlign w:val="bottom"/>
          </w:tcPr>
          <w:p>
            <w:pPr>
              <w:ind w:left="180"/>
              <w:spacing w:after="0"/>
              <w:rPr>
                <w:sz w:val="20"/>
                <w:szCs w:val="20"/>
                <w:color w:val="auto"/>
              </w:rPr>
            </w:pPr>
            <w:r>
              <w:rPr>
                <w:rFonts w:ascii="Arial" w:cs="Arial" w:eastAsia="Arial" w:hAnsi="Arial"/>
                <w:sz w:val="16"/>
                <w:szCs w:val="16"/>
                <w:color w:val="auto"/>
              </w:rPr>
              <w:t>Earnings*</w:t>
            </w:r>
          </w:p>
        </w:tc>
        <w:tc>
          <w:tcPr>
            <w:tcW w:w="6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60" w:type="dxa"/>
            <w:vAlign w:val="bottom"/>
          </w:tcPr>
          <w:p>
            <w:pPr>
              <w:jc w:val="right"/>
              <w:spacing w:after="0"/>
              <w:rPr>
                <w:sz w:val="20"/>
                <w:szCs w:val="20"/>
                <w:color w:val="auto"/>
              </w:rPr>
            </w:pPr>
            <w:r>
              <w:rPr>
                <w:rFonts w:ascii="Arial" w:cs="Arial" w:eastAsia="Arial" w:hAnsi="Arial"/>
                <w:sz w:val="16"/>
                <w:szCs w:val="16"/>
                <w:color w:val="auto"/>
              </w:rPr>
              <w:t>(109)</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90</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73</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43</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6"/>
        </w:trPr>
        <w:tc>
          <w:tcPr>
            <w:tcW w:w="460" w:type="dxa"/>
            <w:vAlign w:val="bottom"/>
          </w:tcPr>
          <w:p>
            <w:pPr>
              <w:jc w:val="right"/>
              <w:spacing w:after="0"/>
              <w:rPr>
                <w:sz w:val="20"/>
                <w:szCs w:val="20"/>
                <w:color w:val="auto"/>
              </w:rPr>
            </w:pPr>
            <w:r>
              <w:rPr>
                <w:rFonts w:ascii="Arial" w:cs="Arial" w:eastAsia="Arial" w:hAnsi="Arial"/>
                <w:sz w:val="16"/>
                <w:szCs w:val="16"/>
                <w:color w:val="auto"/>
                <w:w w:val="94"/>
              </w:rPr>
              <w:t>1,068</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1,099</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1,092</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1,406</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1,416</w:t>
            </w:r>
          </w:p>
        </w:tc>
      </w:tr>
      <w:tr>
        <w:trPr>
          <w:trHeight w:val="432"/>
        </w:trPr>
        <w:tc>
          <w:tcPr>
            <w:tcW w:w="460" w:type="dxa"/>
            <w:vAlign w:val="bottom"/>
          </w:tcPr>
          <w:p>
            <w:pPr>
              <w:jc w:val="right"/>
              <w:spacing w:after="0"/>
              <w:rPr>
                <w:sz w:val="20"/>
                <w:szCs w:val="20"/>
                <w:color w:val="auto"/>
              </w:rPr>
            </w:pPr>
            <w:r>
              <w:rPr>
                <w:rFonts w:ascii="Arial" w:cs="Arial" w:eastAsia="Arial" w:hAnsi="Arial"/>
                <w:sz w:val="16"/>
                <w:szCs w:val="16"/>
                <w:color w:val="auto"/>
              </w:rPr>
              <w:t>55</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w:t>
            </w: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32"/>
        </w:trPr>
        <w:tc>
          <w:tcPr>
            <w:tcW w:w="460" w:type="dxa"/>
            <w:vAlign w:val="bottom"/>
          </w:tcPr>
          <w:p>
            <w:pPr>
              <w:jc w:val="right"/>
              <w:spacing w:after="0"/>
              <w:rPr>
                <w:sz w:val="20"/>
                <w:szCs w:val="20"/>
                <w:color w:val="auto"/>
              </w:rPr>
            </w:pPr>
            <w:r>
              <w:rPr>
                <w:rFonts w:ascii="Arial" w:cs="Arial" w:eastAsia="Arial" w:hAnsi="Arial"/>
                <w:sz w:val="16"/>
                <w:szCs w:val="16"/>
                <w:color w:val="auto"/>
              </w:rPr>
              <w:t>(10)</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460" w:type="dxa"/>
            <w:vAlign w:val="bottom"/>
          </w:tcPr>
          <w:p>
            <w:pPr>
              <w:jc w:val="right"/>
              <w:spacing w:after="0"/>
              <w:rPr>
                <w:sz w:val="20"/>
                <w:szCs w:val="20"/>
                <w:color w:val="auto"/>
              </w:rPr>
            </w:pPr>
            <w:r>
              <w:rPr>
                <w:rFonts w:ascii="Arial" w:cs="Arial" w:eastAsia="Arial" w:hAnsi="Arial"/>
                <w:sz w:val="16"/>
                <w:szCs w:val="16"/>
                <w:color w:val="auto"/>
                <w:w w:val="94"/>
              </w:rPr>
              <w:t>1,113</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1,099</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1,406</w:t>
            </w:r>
          </w:p>
        </w:tc>
      </w:tr>
      <w:tr>
        <w:trPr>
          <w:trHeight w:val="432"/>
        </w:trPr>
        <w:tc>
          <w:tcPr>
            <w:tcW w:w="460" w:type="dxa"/>
            <w:vAlign w:val="bottom"/>
          </w:tcPr>
          <w:p>
            <w:pPr>
              <w:jc w:val="right"/>
              <w:spacing w:after="0"/>
              <w:rPr>
                <w:sz w:val="20"/>
                <w:szCs w:val="20"/>
                <w:color w:val="auto"/>
              </w:rPr>
            </w:pPr>
            <w:r>
              <w:rPr>
                <w:rFonts w:ascii="Arial" w:cs="Arial" w:eastAsia="Arial" w:hAnsi="Arial"/>
                <w:sz w:val="16"/>
                <w:szCs w:val="16"/>
                <w:color w:val="auto"/>
              </w:rPr>
              <w:t>(29)</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460" w:type="dxa"/>
            <w:vAlign w:val="bottom"/>
          </w:tcPr>
          <w:p>
            <w:pPr>
              <w:jc w:val="right"/>
              <w:spacing w:after="0"/>
              <w:rPr>
                <w:sz w:val="20"/>
                <w:szCs w:val="20"/>
                <w:color w:val="auto"/>
              </w:rPr>
            </w:pPr>
            <w:r>
              <w:rPr>
                <w:rFonts w:ascii="Arial" w:cs="Arial" w:eastAsia="Arial" w:hAnsi="Arial"/>
                <w:sz w:val="16"/>
                <w:szCs w:val="16"/>
                <w:color w:val="auto"/>
              </w:rPr>
              <w:t>290</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288</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271</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242</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242</w:t>
            </w:r>
          </w:p>
        </w:tc>
      </w:tr>
      <w:tr>
        <w:trPr>
          <w:trHeight w:val="432"/>
        </w:trPr>
        <w:tc>
          <w:tcPr>
            <w:tcW w:w="460" w:type="dxa"/>
            <w:vAlign w:val="bottom"/>
          </w:tcPr>
          <w:p>
            <w:pPr>
              <w:jc w:val="right"/>
              <w:spacing w:after="0"/>
              <w:rPr>
                <w:sz w:val="20"/>
                <w:szCs w:val="20"/>
                <w:color w:val="auto"/>
              </w:rPr>
            </w:pPr>
            <w:r>
              <w:rPr>
                <w:rFonts w:ascii="Arial" w:cs="Arial" w:eastAsia="Arial" w:hAnsi="Arial"/>
                <w:sz w:val="16"/>
                <w:szCs w:val="16"/>
                <w:color w:val="auto"/>
              </w:rPr>
              <w:t>54</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w:t>
            </w: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60" w:type="dxa"/>
            <w:vAlign w:val="bottom"/>
          </w:tcPr>
          <w:p>
            <w:pPr>
              <w:jc w:val="right"/>
              <w:spacing w:after="0"/>
              <w:rPr>
                <w:sz w:val="20"/>
                <w:szCs w:val="20"/>
                <w:color w:val="auto"/>
              </w:rPr>
            </w:pPr>
            <w:r>
              <w:rPr>
                <w:rFonts w:ascii="Arial" w:cs="Arial" w:eastAsia="Arial" w:hAnsi="Arial"/>
                <w:sz w:val="16"/>
                <w:szCs w:val="16"/>
                <w:color w:val="auto"/>
              </w:rPr>
              <w:t>344</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288</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242</w:t>
            </w:r>
          </w:p>
        </w:tc>
      </w:tr>
      <w:tr>
        <w:trPr>
          <w:trHeight w:val="432"/>
        </w:trPr>
        <w:tc>
          <w:tcPr>
            <w:tcW w:w="460" w:type="dxa"/>
            <w:vAlign w:val="bottom"/>
          </w:tcPr>
          <w:p>
            <w:pPr>
              <w:jc w:val="right"/>
              <w:spacing w:after="0"/>
              <w:rPr>
                <w:sz w:val="20"/>
                <w:szCs w:val="20"/>
                <w:color w:val="auto"/>
              </w:rPr>
            </w:pPr>
            <w:r>
              <w:rPr>
                <w:rFonts w:ascii="Arial" w:cs="Arial" w:eastAsia="Arial" w:hAnsi="Arial"/>
                <w:sz w:val="16"/>
                <w:szCs w:val="16"/>
                <w:color w:val="auto"/>
              </w:rPr>
              <w:t>2</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460" w:type="dxa"/>
            <w:vAlign w:val="bottom"/>
          </w:tcPr>
          <w:p>
            <w:pPr>
              <w:jc w:val="right"/>
              <w:spacing w:after="0"/>
              <w:rPr>
                <w:sz w:val="20"/>
                <w:szCs w:val="20"/>
                <w:color w:val="auto"/>
              </w:rPr>
            </w:pPr>
            <w:r>
              <w:rPr>
                <w:rFonts w:ascii="Arial" w:cs="Arial" w:eastAsia="Arial" w:hAnsi="Arial"/>
                <w:sz w:val="16"/>
                <w:szCs w:val="16"/>
                <w:color w:val="auto"/>
              </w:rPr>
              <w:t>253</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242</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243</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239</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432"/>
        </w:trPr>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460" w:type="dxa"/>
            <w:vAlign w:val="bottom"/>
          </w:tcPr>
          <w:p>
            <w:pPr>
              <w:jc w:val="right"/>
              <w:spacing w:after="0"/>
              <w:rPr>
                <w:sz w:val="20"/>
                <w:szCs w:val="20"/>
                <w:color w:val="auto"/>
              </w:rPr>
            </w:pPr>
            <w:r>
              <w:rPr>
                <w:rFonts w:ascii="Arial" w:cs="Arial" w:eastAsia="Arial" w:hAnsi="Arial"/>
                <w:sz w:val="16"/>
                <w:szCs w:val="16"/>
                <w:color w:val="auto"/>
              </w:rPr>
              <w:t>252</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242</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3810</wp:posOffset>
            </wp:positionV>
            <wp:extent cx="5908675" cy="514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08675" cy="51435"/>
                    </a:xfrm>
                    <a:prstGeom prst="rect">
                      <a:avLst/>
                    </a:prstGeom>
                    <a:noFill/>
                  </pic:spPr>
                </pic:pic>
              </a:graphicData>
            </a:graphic>
          </wp:anchor>
        </w:drawing>
      </w:r>
    </w:p>
    <w:p>
      <w:pPr>
        <w:spacing w:after="0" w:line="105" w:lineRule="exact"/>
        <w:rPr>
          <w:sz w:val="20"/>
          <w:szCs w:val="20"/>
          <w:color w:val="auto"/>
        </w:rPr>
      </w:pPr>
    </w:p>
    <w:p>
      <w:pPr>
        <w:sectPr>
          <w:pgSz w:w="11900" w:h="16838" w:orient="portrait"/>
          <w:cols w:equalWidth="0" w:num="2">
            <w:col w:w="3920" w:space="540"/>
            <w:col w:w="5739"/>
          </w:cols>
          <w:pgMar w:left="260" w:top="419" w:right="1440" w:bottom="1440" w:gutter="0" w:footer="0" w:header="0"/>
          <w:type w:val="continuous"/>
        </w:sectPr>
      </w:pPr>
    </w:p>
    <w:p>
      <w:pPr>
        <w:ind w:left="280" w:hanging="278"/>
        <w:spacing w:after="0"/>
        <w:tabs>
          <w:tab w:leader="none" w:pos="280" w:val="left"/>
        </w:tabs>
        <w:numPr>
          <w:ilvl w:val="0"/>
          <w:numId w:val="93"/>
        </w:numPr>
        <w:rPr>
          <w:rFonts w:ascii="Arial" w:cs="Arial" w:eastAsia="Arial" w:hAnsi="Arial"/>
          <w:sz w:val="16"/>
          <w:szCs w:val="16"/>
          <w:color w:val="auto"/>
        </w:rPr>
      </w:pPr>
      <w:r>
        <w:rPr>
          <w:rFonts w:ascii="Arial" w:cs="Arial" w:eastAsia="Arial" w:hAnsi="Arial"/>
          <w:sz w:val="14"/>
          <w:szCs w:val="14"/>
          <w:i w:val="1"/>
          <w:iCs w:val="1"/>
          <w:color w:val="auto"/>
        </w:rPr>
        <w:t>Represents a new financial statement line item included as a result of the retrospective adoption of SFAS 160.</w:t>
      </w:r>
    </w:p>
    <w:p>
      <w:pPr>
        <w:sectPr>
          <w:pgSz w:w="11900" w:h="16838" w:orient="portrait"/>
          <w:cols w:equalWidth="0" w:num="1">
            <w:col w:w="10199"/>
          </w:cols>
          <w:pgMar w:left="260" w:top="419" w:right="1440" w:bottom="1440" w:gutter="0" w:footer="0" w:header="0"/>
          <w:type w:val="continuous"/>
        </w:sectPr>
      </w:pPr>
    </w:p>
    <w:bookmarkStart w:id="85" w:name="page86"/>
    <w:bookmarkEnd w:id="85"/>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5908675" cy="2743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08675" cy="274320"/>
                    </a:xfrm>
                    <a:prstGeom prst="rect">
                      <a:avLst/>
                    </a:prstGeom>
                    <a:noFill/>
                  </pic:spPr>
                </pic:pic>
              </a:graphicData>
            </a:graphic>
          </wp:anchor>
        </w:drawing>
        <w:t>STATEMENTS OF CONSOLIDATED CASH FLOWS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4"/>
                <w:szCs w:val="14"/>
                <w:color w:val="auto"/>
              </w:rPr>
              <w:t>Years ended December 31,</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210"/>
        </w:trPr>
        <w:tc>
          <w:tcPr>
            <w:tcW w:w="2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2008</w:t>
            </w:r>
          </w:p>
        </w:tc>
        <w:tc>
          <w:tcPr>
            <w:tcW w:w="8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2007</w:t>
            </w:r>
          </w:p>
        </w:tc>
        <w:tc>
          <w:tcPr>
            <w:tcW w:w="8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2006</w:t>
            </w:r>
          </w:p>
        </w:tc>
        <w:tc>
          <w:tcPr>
            <w:tcW w:w="860" w:type="dxa"/>
            <w:vAlign w:val="bottom"/>
            <w:tcBorders>
              <w:bottom w:val="single" w:sz="8" w:color="auto"/>
            </w:tcBorders>
          </w:tcPr>
          <w:p>
            <w:pPr>
              <w:spacing w:after="0"/>
              <w:rPr>
                <w:sz w:val="18"/>
                <w:szCs w:val="18"/>
                <w:color w:val="auto"/>
              </w:rPr>
            </w:pPr>
          </w:p>
        </w:tc>
      </w:tr>
      <w:tr>
        <w:trPr>
          <w:trHeight w:val="217"/>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82"/>
              <w:spacing w:after="0"/>
              <w:rPr>
                <w:sz w:val="20"/>
                <w:szCs w:val="20"/>
                <w:color w:val="auto"/>
              </w:rPr>
            </w:pPr>
            <w:r>
              <w:rPr>
                <w:rFonts w:ascii="Arial" w:cs="Arial" w:eastAsia="Arial" w:hAnsi="Arial"/>
                <w:sz w:val="14"/>
                <w:szCs w:val="14"/>
                <w:color w:val="auto"/>
                <w:w w:val="97"/>
              </w:rPr>
              <w:t>As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right="102"/>
              <w:spacing w:after="0"/>
              <w:rPr>
                <w:sz w:val="20"/>
                <w:szCs w:val="20"/>
                <w:color w:val="auto"/>
              </w:rPr>
            </w:pPr>
            <w:r>
              <w:rPr>
                <w:rFonts w:ascii="Arial" w:cs="Arial" w:eastAsia="Arial" w:hAnsi="Arial"/>
                <w:sz w:val="14"/>
                <w:szCs w:val="14"/>
                <w:color w:val="auto"/>
                <w:w w:val="97"/>
              </w:rPr>
              <w:t>As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right="82"/>
              <w:spacing w:after="0"/>
              <w:rPr>
                <w:sz w:val="20"/>
                <w:szCs w:val="20"/>
                <w:color w:val="auto"/>
              </w:rPr>
            </w:pPr>
            <w:r>
              <w:rPr>
                <w:rFonts w:ascii="Arial" w:cs="Arial" w:eastAsia="Arial" w:hAnsi="Arial"/>
                <w:sz w:val="14"/>
                <w:szCs w:val="14"/>
                <w:color w:val="auto"/>
              </w:rPr>
              <w:t>As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2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center"/>
              <w:ind w:right="82"/>
              <w:spacing w:after="0"/>
              <w:rPr>
                <w:sz w:val="20"/>
                <w:szCs w:val="20"/>
                <w:color w:val="auto"/>
              </w:rPr>
            </w:pPr>
            <w:r>
              <w:rPr>
                <w:rFonts w:ascii="Arial" w:cs="Arial" w:eastAsia="Arial" w:hAnsi="Arial"/>
                <w:sz w:val="14"/>
                <w:szCs w:val="14"/>
                <w:color w:val="auto"/>
              </w:rPr>
              <w:t>previously</w:t>
            </w:r>
          </w:p>
        </w:tc>
        <w:tc>
          <w:tcPr>
            <w:tcW w:w="240" w:type="dxa"/>
            <w:vAlign w:val="bottom"/>
          </w:tcPr>
          <w:p>
            <w:pPr>
              <w:spacing w:after="0"/>
              <w:rPr>
                <w:sz w:val="19"/>
                <w:szCs w:val="19"/>
                <w:color w:val="auto"/>
              </w:rPr>
            </w:pPr>
          </w:p>
        </w:tc>
        <w:tc>
          <w:tcPr>
            <w:tcW w:w="860" w:type="dxa"/>
            <w:vAlign w:val="bottom"/>
          </w:tcPr>
          <w:p>
            <w:pPr>
              <w:jc w:val="right"/>
              <w:ind w:right="381"/>
              <w:spacing w:after="0"/>
              <w:rPr>
                <w:sz w:val="20"/>
                <w:szCs w:val="20"/>
                <w:color w:val="auto"/>
              </w:rPr>
            </w:pPr>
            <w:r>
              <w:rPr>
                <w:rFonts w:ascii="Arial" w:cs="Arial" w:eastAsia="Arial" w:hAnsi="Arial"/>
                <w:sz w:val="14"/>
                <w:szCs w:val="14"/>
                <w:color w:val="auto"/>
              </w:rPr>
              <w:t>As</w:t>
            </w:r>
          </w:p>
        </w:tc>
        <w:tc>
          <w:tcPr>
            <w:tcW w:w="160" w:type="dxa"/>
            <w:vAlign w:val="bottom"/>
          </w:tcPr>
          <w:p>
            <w:pPr>
              <w:spacing w:after="0"/>
              <w:rPr>
                <w:sz w:val="19"/>
                <w:szCs w:val="19"/>
                <w:color w:val="auto"/>
              </w:rPr>
            </w:pPr>
          </w:p>
        </w:tc>
        <w:tc>
          <w:tcPr>
            <w:tcW w:w="940" w:type="dxa"/>
            <w:vAlign w:val="bottom"/>
          </w:tcPr>
          <w:p>
            <w:pPr>
              <w:jc w:val="center"/>
              <w:ind w:right="102"/>
              <w:spacing w:after="0"/>
              <w:rPr>
                <w:sz w:val="20"/>
                <w:szCs w:val="20"/>
                <w:color w:val="auto"/>
              </w:rPr>
            </w:pPr>
            <w:r>
              <w:rPr>
                <w:rFonts w:ascii="Arial" w:cs="Arial" w:eastAsia="Arial" w:hAnsi="Arial"/>
                <w:sz w:val="14"/>
                <w:szCs w:val="14"/>
                <w:color w:val="auto"/>
              </w:rPr>
              <w:t>previously</w:t>
            </w:r>
          </w:p>
        </w:tc>
        <w:tc>
          <w:tcPr>
            <w:tcW w:w="220" w:type="dxa"/>
            <w:vAlign w:val="bottom"/>
          </w:tcPr>
          <w:p>
            <w:pPr>
              <w:spacing w:after="0"/>
              <w:rPr>
                <w:sz w:val="19"/>
                <w:szCs w:val="19"/>
                <w:color w:val="auto"/>
              </w:rPr>
            </w:pPr>
          </w:p>
        </w:tc>
        <w:tc>
          <w:tcPr>
            <w:tcW w:w="860" w:type="dxa"/>
            <w:vAlign w:val="bottom"/>
          </w:tcPr>
          <w:p>
            <w:pPr>
              <w:jc w:val="right"/>
              <w:ind w:right="381"/>
              <w:spacing w:after="0"/>
              <w:rPr>
                <w:sz w:val="20"/>
                <w:szCs w:val="20"/>
                <w:color w:val="auto"/>
              </w:rPr>
            </w:pPr>
            <w:r>
              <w:rPr>
                <w:rFonts w:ascii="Arial" w:cs="Arial" w:eastAsia="Arial" w:hAnsi="Arial"/>
                <w:sz w:val="14"/>
                <w:szCs w:val="14"/>
                <w:color w:val="auto"/>
              </w:rPr>
              <w:t>As</w:t>
            </w:r>
          </w:p>
        </w:tc>
        <w:tc>
          <w:tcPr>
            <w:tcW w:w="160" w:type="dxa"/>
            <w:vAlign w:val="bottom"/>
          </w:tcPr>
          <w:p>
            <w:pPr>
              <w:spacing w:after="0"/>
              <w:rPr>
                <w:sz w:val="19"/>
                <w:szCs w:val="19"/>
                <w:color w:val="auto"/>
              </w:rPr>
            </w:pPr>
          </w:p>
        </w:tc>
        <w:tc>
          <w:tcPr>
            <w:tcW w:w="940" w:type="dxa"/>
            <w:vAlign w:val="bottom"/>
          </w:tcPr>
          <w:p>
            <w:pPr>
              <w:jc w:val="center"/>
              <w:ind w:right="82"/>
              <w:spacing w:after="0"/>
              <w:rPr>
                <w:sz w:val="20"/>
                <w:szCs w:val="20"/>
                <w:color w:val="auto"/>
              </w:rPr>
            </w:pPr>
            <w:r>
              <w:rPr>
                <w:rFonts w:ascii="Arial" w:cs="Arial" w:eastAsia="Arial" w:hAnsi="Arial"/>
                <w:sz w:val="14"/>
                <w:szCs w:val="14"/>
                <w:color w:val="auto"/>
              </w:rPr>
              <w:t>previously</w:t>
            </w:r>
          </w:p>
        </w:tc>
        <w:tc>
          <w:tcPr>
            <w:tcW w:w="240" w:type="dxa"/>
            <w:vAlign w:val="bottom"/>
          </w:tcPr>
          <w:p>
            <w:pPr>
              <w:spacing w:after="0"/>
              <w:rPr>
                <w:sz w:val="19"/>
                <w:szCs w:val="19"/>
                <w:color w:val="auto"/>
              </w:rPr>
            </w:pPr>
          </w:p>
        </w:tc>
        <w:tc>
          <w:tcPr>
            <w:tcW w:w="860" w:type="dxa"/>
            <w:vAlign w:val="bottom"/>
          </w:tcPr>
          <w:p>
            <w:pPr>
              <w:jc w:val="right"/>
              <w:ind w:right="381"/>
              <w:spacing w:after="0"/>
              <w:rPr>
                <w:sz w:val="20"/>
                <w:szCs w:val="20"/>
                <w:color w:val="auto"/>
              </w:rPr>
            </w:pPr>
            <w:r>
              <w:rPr>
                <w:rFonts w:ascii="Arial" w:cs="Arial" w:eastAsia="Arial" w:hAnsi="Arial"/>
                <w:sz w:val="14"/>
                <w:szCs w:val="14"/>
                <w:color w:val="auto"/>
              </w:rPr>
              <w:t>As</w:t>
            </w:r>
          </w:p>
        </w:tc>
      </w:tr>
      <w:tr>
        <w:trPr>
          <w:trHeight w:val="236"/>
        </w:trPr>
        <w:tc>
          <w:tcPr>
            <w:tcW w:w="2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rPr>
              <w:t>reported</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revised</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rPr>
              <w:t>reported</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revised</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rPr>
              <w:t>reported</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revised</w:t>
            </w:r>
          </w:p>
        </w:tc>
      </w:tr>
      <w:tr>
        <w:trPr>
          <w:trHeight w:val="214"/>
        </w:trPr>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Sempra Energy Consolidated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1"/>
        </w:trPr>
        <w:tc>
          <w:tcPr>
            <w:tcW w:w="274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1,113</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1,068</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1,099</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1,092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1,406</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1,416</w:t>
            </w:r>
          </w:p>
        </w:tc>
      </w:tr>
      <w:tr>
        <w:trPr>
          <w:trHeight w:val="216"/>
        </w:trPr>
        <w:tc>
          <w:tcPr>
            <w:tcW w:w="2740" w:type="dxa"/>
            <w:vAlign w:val="bottom"/>
          </w:tcPr>
          <w:p>
            <w:pPr>
              <w:ind w:left="200"/>
              <w:spacing w:after="0"/>
              <w:rPr>
                <w:sz w:val="20"/>
                <w:szCs w:val="20"/>
                <w:color w:val="auto"/>
              </w:rPr>
            </w:pPr>
            <w:r>
              <w:rPr>
                <w:rFonts w:ascii="Arial" w:cs="Arial" w:eastAsia="Arial" w:hAnsi="Arial"/>
                <w:sz w:val="16"/>
                <w:szCs w:val="16"/>
                <w:color w:val="auto"/>
              </w:rPr>
              <w:t>Adjustments to reconcile net</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740" w:type="dxa"/>
            <w:vAlign w:val="bottom"/>
          </w:tcPr>
          <w:p>
            <w:pPr>
              <w:ind w:left="380"/>
              <w:spacing w:after="0"/>
              <w:rPr>
                <w:sz w:val="20"/>
                <w:szCs w:val="20"/>
                <w:color w:val="auto"/>
              </w:rPr>
            </w:pPr>
            <w:r>
              <w:rPr>
                <w:rFonts w:ascii="Arial" w:cs="Arial" w:eastAsia="Arial" w:hAnsi="Arial"/>
                <w:sz w:val="16"/>
                <w:szCs w:val="16"/>
                <w:color w:val="auto"/>
              </w:rPr>
              <w:t>income to net cash provided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740" w:type="dxa"/>
            <w:vAlign w:val="bottom"/>
          </w:tcPr>
          <w:p>
            <w:pPr>
              <w:ind w:left="380"/>
              <w:spacing w:after="0"/>
              <w:rPr>
                <w:sz w:val="20"/>
                <w:szCs w:val="20"/>
                <w:color w:val="auto"/>
              </w:rPr>
            </w:pPr>
            <w:r>
              <w:rPr>
                <w:rFonts w:ascii="Arial" w:cs="Arial" w:eastAsia="Arial" w:hAnsi="Arial"/>
                <w:sz w:val="16"/>
                <w:szCs w:val="16"/>
                <w:color w:val="auto"/>
              </w:rPr>
              <w:t>by operating activities: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740" w:type="dxa"/>
            <w:vAlign w:val="bottom"/>
          </w:tcPr>
          <w:p>
            <w:pPr>
              <w:ind w:left="56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141</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196</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6"/>
        </w:trPr>
        <w:tc>
          <w:tcPr>
            <w:tcW w:w="2740" w:type="dxa"/>
            <w:vAlign w:val="bottom"/>
          </w:tcPr>
          <w:p>
            <w:pPr>
              <w:ind w:left="200"/>
              <w:spacing w:after="0"/>
              <w:rPr>
                <w:sz w:val="20"/>
                <w:szCs w:val="20"/>
                <w:color w:val="auto"/>
              </w:rPr>
            </w:pPr>
            <w:r>
              <w:rPr>
                <w:rFonts w:ascii="Arial" w:cs="Arial" w:eastAsia="Arial" w:hAnsi="Arial"/>
                <w:sz w:val="16"/>
                <w:szCs w:val="16"/>
                <w:color w:val="auto"/>
              </w:rPr>
              <w:t>Net cash provided by (used in)</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740" w:type="dxa"/>
            <w:vAlign w:val="bottom"/>
          </w:tcPr>
          <w:p>
            <w:pPr>
              <w:ind w:left="380"/>
              <w:spacing w:after="0"/>
              <w:rPr>
                <w:sz w:val="20"/>
                <w:szCs w:val="20"/>
                <w:color w:val="auto"/>
              </w:rPr>
            </w:pPr>
            <w:r>
              <w:rPr>
                <w:rFonts w:ascii="Arial" w:cs="Arial" w:eastAsia="Arial" w:hAnsi="Arial"/>
                <w:sz w:val="16"/>
                <w:szCs w:val="16"/>
                <w:color w:val="auto"/>
              </w:rPr>
              <w:t>financing activities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740" w:type="dxa"/>
            <w:vAlign w:val="bottom"/>
          </w:tcPr>
          <w:p>
            <w:pPr>
              <w:ind w:left="200"/>
              <w:spacing w:after="0"/>
              <w:rPr>
                <w:sz w:val="20"/>
                <w:szCs w:val="20"/>
                <w:color w:val="auto"/>
              </w:rPr>
            </w:pPr>
            <w:r>
              <w:rPr>
                <w:rFonts w:ascii="Arial" w:cs="Arial" w:eastAsia="Arial" w:hAnsi="Arial"/>
                <w:sz w:val="16"/>
                <w:szCs w:val="16"/>
                <w:color w:val="auto"/>
              </w:rPr>
              <w:t>Net cash provided by</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740" w:type="dxa"/>
            <w:vAlign w:val="bottom"/>
          </w:tcPr>
          <w:p>
            <w:pPr>
              <w:ind w:left="380"/>
              <w:spacing w:after="0"/>
              <w:rPr>
                <w:sz w:val="20"/>
                <w:szCs w:val="20"/>
                <w:color w:val="auto"/>
              </w:rPr>
            </w:pPr>
            <w:r>
              <w:rPr>
                <w:rFonts w:ascii="Arial" w:cs="Arial" w:eastAsia="Arial" w:hAnsi="Arial"/>
                <w:sz w:val="16"/>
                <w:szCs w:val="16"/>
                <w:color w:val="auto"/>
              </w:rPr>
              <w:t>operating activities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1,181</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1,191</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2,088</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2,098</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1,629</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1,639</w:t>
            </w:r>
          </w:p>
        </w:tc>
      </w:tr>
      <w:tr>
        <w:trPr>
          <w:trHeight w:val="216"/>
        </w:trPr>
        <w:tc>
          <w:tcPr>
            <w:tcW w:w="2740" w:type="dxa"/>
            <w:vAlign w:val="bottom"/>
          </w:tcPr>
          <w:p>
            <w:pPr>
              <w:ind w:left="200"/>
              <w:spacing w:after="0"/>
              <w:rPr>
                <w:sz w:val="20"/>
                <w:szCs w:val="20"/>
                <w:color w:val="auto"/>
              </w:rPr>
            </w:pPr>
            <w:r>
              <w:rPr>
                <w:rFonts w:ascii="Arial" w:cs="Arial" w:eastAsia="Arial" w:hAnsi="Arial"/>
                <w:sz w:val="16"/>
                <w:szCs w:val="16"/>
                <w:color w:val="auto"/>
              </w:rPr>
              <w:t>Net cash provided by (used in)</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740" w:type="dxa"/>
            <w:vAlign w:val="bottom"/>
          </w:tcPr>
          <w:p>
            <w:pPr>
              <w:ind w:left="380"/>
              <w:spacing w:after="0"/>
              <w:rPr>
                <w:sz w:val="20"/>
                <w:szCs w:val="20"/>
                <w:color w:val="auto"/>
              </w:rPr>
            </w:pPr>
            <w:r>
              <w:rPr>
                <w:rFonts w:ascii="Arial" w:cs="Arial" w:eastAsia="Arial" w:hAnsi="Arial"/>
                <w:sz w:val="16"/>
                <w:szCs w:val="16"/>
                <w:color w:val="auto"/>
              </w:rPr>
              <w:t>financing activities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868</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858</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(296)</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(306)</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(612)</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(622)</w:t>
            </w:r>
          </w:p>
        </w:tc>
      </w:tr>
      <w:tr>
        <w:trPr>
          <w:trHeight w:val="216"/>
        </w:trPr>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74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344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290</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288</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271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242</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242</w:t>
            </w:r>
          </w:p>
        </w:tc>
      </w:tr>
      <w:tr>
        <w:trPr>
          <w:trHeight w:val="216"/>
        </w:trPr>
        <w:tc>
          <w:tcPr>
            <w:tcW w:w="2740" w:type="dxa"/>
            <w:vAlign w:val="bottom"/>
          </w:tcPr>
          <w:p>
            <w:pPr>
              <w:ind w:left="200"/>
              <w:spacing w:after="0"/>
              <w:rPr>
                <w:sz w:val="20"/>
                <w:szCs w:val="20"/>
                <w:color w:val="auto"/>
              </w:rPr>
            </w:pPr>
            <w:r>
              <w:rPr>
                <w:rFonts w:ascii="Arial" w:cs="Arial" w:eastAsia="Arial" w:hAnsi="Arial"/>
                <w:sz w:val="16"/>
                <w:szCs w:val="16"/>
                <w:color w:val="auto"/>
              </w:rPr>
              <w:t>Adjustments to reconcile net</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740" w:type="dxa"/>
            <w:vAlign w:val="bottom"/>
          </w:tcPr>
          <w:p>
            <w:pPr>
              <w:ind w:left="380"/>
              <w:spacing w:after="0"/>
              <w:rPr>
                <w:sz w:val="20"/>
                <w:szCs w:val="20"/>
                <w:color w:val="auto"/>
              </w:rPr>
            </w:pPr>
            <w:r>
              <w:rPr>
                <w:rFonts w:ascii="Arial" w:cs="Arial" w:eastAsia="Arial" w:hAnsi="Arial"/>
                <w:sz w:val="16"/>
                <w:szCs w:val="16"/>
                <w:color w:val="auto"/>
              </w:rPr>
              <w:t>income to net cash provided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740" w:type="dxa"/>
            <w:vAlign w:val="bottom"/>
          </w:tcPr>
          <w:p>
            <w:pPr>
              <w:ind w:left="380"/>
              <w:spacing w:after="0"/>
              <w:rPr>
                <w:sz w:val="20"/>
                <w:szCs w:val="20"/>
                <w:color w:val="auto"/>
              </w:rPr>
            </w:pPr>
            <w:r>
              <w:rPr>
                <w:rFonts w:ascii="Arial" w:cs="Arial" w:eastAsia="Arial" w:hAnsi="Arial"/>
                <w:sz w:val="16"/>
                <w:szCs w:val="16"/>
                <w:color w:val="auto"/>
              </w:rPr>
              <w:t>by operating activities: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740" w:type="dxa"/>
            <w:vAlign w:val="bottom"/>
          </w:tcPr>
          <w:p>
            <w:pPr>
              <w:ind w:left="56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PE</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74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252</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253</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242</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243</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239</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216"/>
        </w:trPr>
        <w:tc>
          <w:tcPr>
            <w:tcW w:w="2740" w:type="dxa"/>
            <w:vAlign w:val="bottom"/>
          </w:tcPr>
          <w:p>
            <w:pPr>
              <w:ind w:left="200"/>
              <w:spacing w:after="0"/>
              <w:rPr>
                <w:sz w:val="20"/>
                <w:szCs w:val="20"/>
                <w:color w:val="auto"/>
              </w:rPr>
            </w:pPr>
            <w:r>
              <w:rPr>
                <w:rFonts w:ascii="Arial" w:cs="Arial" w:eastAsia="Arial" w:hAnsi="Arial"/>
                <w:sz w:val="16"/>
                <w:szCs w:val="16"/>
                <w:color w:val="auto"/>
              </w:rPr>
              <w:t>Net cash provided by</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740" w:type="dxa"/>
            <w:vAlign w:val="bottom"/>
          </w:tcPr>
          <w:p>
            <w:pPr>
              <w:ind w:left="380"/>
              <w:spacing w:after="0"/>
              <w:rPr>
                <w:sz w:val="20"/>
                <w:szCs w:val="20"/>
                <w:color w:val="auto"/>
              </w:rPr>
            </w:pPr>
            <w:r>
              <w:rPr>
                <w:rFonts w:ascii="Arial" w:cs="Arial" w:eastAsia="Arial" w:hAnsi="Arial"/>
                <w:sz w:val="16"/>
                <w:szCs w:val="16"/>
                <w:color w:val="auto"/>
              </w:rPr>
              <w:t>operating activities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572</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491</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492</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911</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912</w:t>
            </w:r>
          </w:p>
        </w:tc>
      </w:tr>
      <w:tr>
        <w:trPr>
          <w:trHeight w:val="216"/>
        </w:trPr>
        <w:tc>
          <w:tcPr>
            <w:tcW w:w="2740" w:type="dxa"/>
            <w:vAlign w:val="bottom"/>
          </w:tcPr>
          <w:p>
            <w:pPr>
              <w:ind w:left="200"/>
              <w:spacing w:after="0"/>
              <w:rPr>
                <w:sz w:val="20"/>
                <w:szCs w:val="20"/>
                <w:color w:val="auto"/>
              </w:rPr>
            </w:pPr>
            <w:r>
              <w:rPr>
                <w:rFonts w:ascii="Arial" w:cs="Arial" w:eastAsia="Arial" w:hAnsi="Arial"/>
                <w:sz w:val="16"/>
                <w:szCs w:val="16"/>
                <w:color w:val="auto"/>
              </w:rPr>
              <w:t>Net cash used in</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2740" w:type="dxa"/>
            <w:vAlign w:val="bottom"/>
          </w:tcPr>
          <w:p>
            <w:pPr>
              <w:ind w:left="380"/>
              <w:spacing w:after="0"/>
              <w:rPr>
                <w:sz w:val="20"/>
                <w:szCs w:val="20"/>
                <w:color w:val="auto"/>
              </w:rPr>
            </w:pPr>
            <w:r>
              <w:rPr>
                <w:rFonts w:ascii="Arial" w:cs="Arial" w:eastAsia="Arial" w:hAnsi="Arial"/>
                <w:sz w:val="16"/>
                <w:szCs w:val="16"/>
                <w:color w:val="auto"/>
              </w:rPr>
              <w:t>financing activities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(106)</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(107)</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(154)</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(155)</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(242)</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(243)</w:t>
            </w:r>
          </w:p>
        </w:tc>
      </w:tr>
      <w:tr>
        <w:trPr>
          <w:trHeight w:val="84"/>
        </w:trPr>
        <w:tc>
          <w:tcPr>
            <w:tcW w:w="2740" w:type="dxa"/>
            <w:vAlign w:val="bottom"/>
            <w:shd w:val="clear" w:color="auto" w:fill="DFDFDF"/>
          </w:tcPr>
          <w:p>
            <w:pPr>
              <w:spacing w:after="0"/>
              <w:rPr>
                <w:sz w:val="7"/>
                <w:szCs w:val="7"/>
                <w:color w:val="auto"/>
              </w:rPr>
            </w:pPr>
          </w:p>
        </w:tc>
        <w:tc>
          <w:tcPr>
            <w:tcW w:w="180" w:type="dxa"/>
            <w:vAlign w:val="bottom"/>
            <w:shd w:val="clear" w:color="auto" w:fill="DFDFDF"/>
          </w:tcPr>
          <w:p>
            <w:pPr>
              <w:spacing w:after="0"/>
              <w:rPr>
                <w:sz w:val="7"/>
                <w:szCs w:val="7"/>
                <w:color w:val="auto"/>
              </w:rPr>
            </w:pPr>
          </w:p>
        </w:tc>
        <w:tc>
          <w:tcPr>
            <w:tcW w:w="920" w:type="dxa"/>
            <w:vAlign w:val="bottom"/>
            <w:shd w:val="clear" w:color="auto" w:fill="DFDFDF"/>
          </w:tcPr>
          <w:p>
            <w:pPr>
              <w:spacing w:after="0"/>
              <w:rPr>
                <w:sz w:val="7"/>
                <w:szCs w:val="7"/>
                <w:color w:val="auto"/>
              </w:rPr>
            </w:pPr>
          </w:p>
        </w:tc>
        <w:tc>
          <w:tcPr>
            <w:tcW w:w="240" w:type="dxa"/>
            <w:vAlign w:val="bottom"/>
            <w:shd w:val="clear" w:color="auto" w:fill="DFDFDF"/>
          </w:tcPr>
          <w:p>
            <w:pPr>
              <w:spacing w:after="0"/>
              <w:rPr>
                <w:sz w:val="7"/>
                <w:szCs w:val="7"/>
                <w:color w:val="auto"/>
              </w:rPr>
            </w:pPr>
          </w:p>
        </w:tc>
        <w:tc>
          <w:tcPr>
            <w:tcW w:w="860" w:type="dxa"/>
            <w:vAlign w:val="bottom"/>
            <w:shd w:val="clear" w:color="auto" w:fill="DFDFDF"/>
          </w:tcPr>
          <w:p>
            <w:pPr>
              <w:spacing w:after="0"/>
              <w:rPr>
                <w:sz w:val="7"/>
                <w:szCs w:val="7"/>
                <w:color w:val="auto"/>
              </w:rPr>
            </w:pPr>
          </w:p>
        </w:tc>
        <w:tc>
          <w:tcPr>
            <w:tcW w:w="160" w:type="dxa"/>
            <w:vAlign w:val="bottom"/>
            <w:shd w:val="clear" w:color="auto" w:fill="DFDFDF"/>
          </w:tcPr>
          <w:p>
            <w:pPr>
              <w:spacing w:after="0"/>
              <w:rPr>
                <w:sz w:val="7"/>
                <w:szCs w:val="7"/>
                <w:color w:val="auto"/>
              </w:rPr>
            </w:pPr>
          </w:p>
        </w:tc>
        <w:tc>
          <w:tcPr>
            <w:tcW w:w="940" w:type="dxa"/>
            <w:vAlign w:val="bottom"/>
            <w:shd w:val="clear" w:color="auto" w:fill="DFDFDF"/>
          </w:tcPr>
          <w:p>
            <w:pPr>
              <w:spacing w:after="0"/>
              <w:rPr>
                <w:sz w:val="7"/>
                <w:szCs w:val="7"/>
                <w:color w:val="auto"/>
              </w:rPr>
            </w:pPr>
          </w:p>
        </w:tc>
        <w:tc>
          <w:tcPr>
            <w:tcW w:w="220" w:type="dxa"/>
            <w:vAlign w:val="bottom"/>
            <w:shd w:val="clear" w:color="auto" w:fill="DFDFDF"/>
          </w:tcPr>
          <w:p>
            <w:pPr>
              <w:spacing w:after="0"/>
              <w:rPr>
                <w:sz w:val="7"/>
                <w:szCs w:val="7"/>
                <w:color w:val="auto"/>
              </w:rPr>
            </w:pPr>
          </w:p>
        </w:tc>
        <w:tc>
          <w:tcPr>
            <w:tcW w:w="860" w:type="dxa"/>
            <w:vAlign w:val="bottom"/>
            <w:shd w:val="clear" w:color="auto" w:fill="DFDFDF"/>
          </w:tcPr>
          <w:p>
            <w:pPr>
              <w:spacing w:after="0"/>
              <w:rPr>
                <w:sz w:val="7"/>
                <w:szCs w:val="7"/>
                <w:color w:val="auto"/>
              </w:rPr>
            </w:pPr>
          </w:p>
        </w:tc>
        <w:tc>
          <w:tcPr>
            <w:tcW w:w="160" w:type="dxa"/>
            <w:vAlign w:val="bottom"/>
            <w:shd w:val="clear" w:color="auto" w:fill="DFDFDF"/>
          </w:tcPr>
          <w:p>
            <w:pPr>
              <w:spacing w:after="0"/>
              <w:rPr>
                <w:sz w:val="7"/>
                <w:szCs w:val="7"/>
                <w:color w:val="auto"/>
              </w:rPr>
            </w:pPr>
          </w:p>
        </w:tc>
        <w:tc>
          <w:tcPr>
            <w:tcW w:w="940" w:type="dxa"/>
            <w:vAlign w:val="bottom"/>
            <w:shd w:val="clear" w:color="auto" w:fill="DFDFDF"/>
          </w:tcPr>
          <w:p>
            <w:pPr>
              <w:spacing w:after="0"/>
              <w:rPr>
                <w:sz w:val="7"/>
                <w:szCs w:val="7"/>
                <w:color w:val="auto"/>
              </w:rPr>
            </w:pPr>
          </w:p>
        </w:tc>
        <w:tc>
          <w:tcPr>
            <w:tcW w:w="240" w:type="dxa"/>
            <w:vAlign w:val="bottom"/>
            <w:shd w:val="clear" w:color="auto" w:fill="DFDFDF"/>
          </w:tcPr>
          <w:p>
            <w:pPr>
              <w:spacing w:after="0"/>
              <w:rPr>
                <w:sz w:val="7"/>
                <w:szCs w:val="7"/>
                <w:color w:val="auto"/>
              </w:rPr>
            </w:pPr>
          </w:p>
        </w:tc>
        <w:tc>
          <w:tcPr>
            <w:tcW w:w="860" w:type="dxa"/>
            <w:vAlign w:val="bottom"/>
            <w:shd w:val="clear" w:color="auto" w:fill="DFDFDF"/>
          </w:tcPr>
          <w:p>
            <w:pPr>
              <w:spacing w:after="0"/>
              <w:rPr>
                <w:sz w:val="7"/>
                <w:szCs w:val="7"/>
                <w:color w:val="auto"/>
              </w:rPr>
            </w:pPr>
          </w:p>
        </w:tc>
      </w:tr>
    </w:tbl>
    <w:p>
      <w:pPr>
        <w:spacing w:after="0" w:line="18" w:lineRule="exact"/>
        <w:rPr>
          <w:sz w:val="20"/>
          <w:szCs w:val="20"/>
          <w:color w:val="auto"/>
        </w:rPr>
      </w:pPr>
    </w:p>
    <w:p>
      <w:pPr>
        <w:ind w:left="300" w:hanging="278"/>
        <w:spacing w:after="0"/>
        <w:tabs>
          <w:tab w:leader="none" w:pos="300" w:val="left"/>
        </w:tabs>
        <w:numPr>
          <w:ilvl w:val="0"/>
          <w:numId w:val="94"/>
        </w:numPr>
        <w:rPr>
          <w:rFonts w:ascii="Arial" w:cs="Arial" w:eastAsia="Arial" w:hAnsi="Arial"/>
          <w:sz w:val="16"/>
          <w:szCs w:val="16"/>
          <w:color w:val="auto"/>
        </w:rPr>
      </w:pPr>
      <w:r>
        <w:rPr>
          <w:rFonts w:ascii="Arial" w:cs="Arial" w:eastAsia="Arial" w:hAnsi="Arial"/>
          <w:sz w:val="14"/>
          <w:szCs w:val="14"/>
          <w:i w:val="1"/>
          <w:iCs w:val="1"/>
          <w:color w:val="auto"/>
        </w:rPr>
        <w:t>Represents a new financial statement line item included as a result of the retrospective adoption of SFAS 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18" w:right="1440" w:bottom="1440" w:gutter="0" w:footer="0" w:header="0"/>
        </w:sectPr>
      </w:pPr>
    </w:p>
    <w:bookmarkStart w:id="86" w:name="page87"/>
    <w:bookmarkEnd w:id="86"/>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t>ITEM 6. EXHIBITS</w:t>
      </w:r>
    </w:p>
    <w:p>
      <w:pPr>
        <w:spacing w:after="0" w:line="200" w:lineRule="exact"/>
        <w:rPr>
          <w:sz w:val="20"/>
          <w:szCs w:val="20"/>
          <w:color w:val="auto"/>
        </w:rPr>
      </w:pPr>
    </w:p>
    <w:p>
      <w:pPr>
        <w:spacing w:after="0" w:line="226"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EXHIBIT 10 -- MATERIAL CONTRACTS</w:t>
      </w:r>
    </w:p>
    <w:p>
      <w:pPr>
        <w:spacing w:after="0" w:line="312" w:lineRule="exact"/>
        <w:rPr>
          <w:sz w:val="20"/>
          <w:szCs w:val="20"/>
          <w:color w:val="auto"/>
        </w:rPr>
      </w:pPr>
    </w:p>
    <w:p>
      <w:pPr>
        <w:ind w:left="1800" w:right="1439"/>
        <w:spacing w:after="0" w:line="260" w:lineRule="auto"/>
        <w:rPr>
          <w:sz w:val="20"/>
          <w:szCs w:val="20"/>
          <w:color w:val="auto"/>
        </w:rPr>
      </w:pPr>
      <w:r>
        <w:rPr>
          <w:rFonts w:ascii="Arial" w:cs="Arial" w:eastAsia="Arial" w:hAnsi="Arial"/>
          <w:sz w:val="20"/>
          <w:szCs w:val="20"/>
          <w:b w:val="1"/>
          <w:bCs w:val="1"/>
          <w:i w:val="1"/>
          <w:iCs w:val="1"/>
          <w:color w:val="auto"/>
        </w:rPr>
        <w:t>Sempra Energy / San Diego Gas &amp; Electric Company / Pacific Enterprises / Southern California Gas Company</w:t>
      </w:r>
    </w:p>
    <w:p>
      <w:pPr>
        <w:spacing w:after="0" w:line="44" w:lineRule="exact"/>
        <w:rPr>
          <w:sz w:val="20"/>
          <w:szCs w:val="20"/>
          <w:color w:val="auto"/>
        </w:rPr>
      </w:pPr>
    </w:p>
    <w:p>
      <w:pPr>
        <w:ind w:left="2740" w:right="719" w:hanging="431"/>
        <w:spacing w:after="0" w:line="277" w:lineRule="auto"/>
        <w:rPr>
          <w:sz w:val="20"/>
          <w:szCs w:val="20"/>
          <w:color w:val="auto"/>
        </w:rPr>
      </w:pPr>
      <w:r>
        <w:rPr>
          <w:rFonts w:ascii="Arial" w:cs="Arial" w:eastAsia="Arial" w:hAnsi="Arial"/>
          <w:sz w:val="18"/>
          <w:szCs w:val="18"/>
          <w:color w:val="auto"/>
        </w:rPr>
        <w:t>10.1 Form of Sempra Energy 2008 Long Term Incentive Plan, 2009 Performance-Based Restricted Stock Unit Award.</w:t>
      </w:r>
    </w:p>
    <w:p>
      <w:pPr>
        <w:spacing w:after="0" w:line="224" w:lineRule="exact"/>
        <w:rPr>
          <w:sz w:val="20"/>
          <w:szCs w:val="20"/>
          <w:color w:val="auto"/>
        </w:rPr>
      </w:pPr>
    </w:p>
    <w:p>
      <w:pPr>
        <w:ind w:left="2740" w:right="959" w:hanging="431"/>
        <w:spacing w:after="0" w:line="277" w:lineRule="auto"/>
        <w:rPr>
          <w:sz w:val="20"/>
          <w:szCs w:val="20"/>
          <w:color w:val="auto"/>
        </w:rPr>
      </w:pPr>
      <w:r>
        <w:rPr>
          <w:rFonts w:ascii="Arial" w:cs="Arial" w:eastAsia="Arial" w:hAnsi="Arial"/>
          <w:sz w:val="18"/>
          <w:szCs w:val="18"/>
          <w:color w:val="auto"/>
        </w:rPr>
        <w:t>10.2 Form of Sempra Energy 2008 Long Term Incentive Plan, 2009 Nonqualified Stock Option Agreement.</w:t>
      </w:r>
    </w:p>
    <w:p>
      <w:pPr>
        <w:spacing w:after="0" w:line="168" w:lineRule="exact"/>
        <w:rPr>
          <w:sz w:val="20"/>
          <w:szCs w:val="20"/>
          <w:color w:val="auto"/>
        </w:rPr>
      </w:pPr>
    </w:p>
    <w:p>
      <w:pPr>
        <w:ind w:left="1800"/>
        <w:spacing w:after="0"/>
        <w:rPr>
          <w:sz w:val="20"/>
          <w:szCs w:val="20"/>
          <w:color w:val="auto"/>
        </w:rPr>
      </w:pPr>
      <w:r>
        <w:rPr>
          <w:rFonts w:ascii="Arial" w:cs="Arial" w:eastAsia="Arial" w:hAnsi="Arial"/>
          <w:sz w:val="20"/>
          <w:szCs w:val="20"/>
          <w:b w:val="1"/>
          <w:bCs w:val="1"/>
          <w:i w:val="1"/>
          <w:iCs w:val="1"/>
          <w:color w:val="auto"/>
        </w:rPr>
        <w:t>Sempra Energy / Pacific Enterprises</w:t>
      </w:r>
    </w:p>
    <w:p>
      <w:pPr>
        <w:spacing w:after="0" w:line="83" w:lineRule="exact"/>
        <w:rPr>
          <w:sz w:val="20"/>
          <w:szCs w:val="20"/>
          <w:color w:val="auto"/>
        </w:rPr>
      </w:pPr>
    </w:p>
    <w:p>
      <w:pPr>
        <w:ind w:left="2740" w:right="639" w:hanging="431"/>
        <w:spacing w:after="0" w:line="342" w:lineRule="auto"/>
        <w:rPr>
          <w:sz w:val="20"/>
          <w:szCs w:val="20"/>
          <w:color w:val="auto"/>
        </w:rPr>
      </w:pPr>
      <w:r>
        <w:rPr>
          <w:rFonts w:ascii="Arial" w:cs="Arial" w:eastAsia="Arial" w:hAnsi="Arial"/>
          <w:sz w:val="16"/>
          <w:szCs w:val="16"/>
          <w:color w:val="auto"/>
        </w:rPr>
        <w:t>10.3 First Amendment to Indemnity Agreement, dated as of March 30, 2009, by and among Sempra Energy, Pacific Enterprises, Enova Corporation and The Royal Bank of Scotland plc.</w:t>
      </w:r>
    </w:p>
    <w:p>
      <w:pPr>
        <w:spacing w:after="0" w:line="121" w:lineRule="exact"/>
        <w:rPr>
          <w:sz w:val="20"/>
          <w:szCs w:val="20"/>
          <w:color w:val="auto"/>
        </w:rPr>
      </w:pPr>
    </w:p>
    <w:p>
      <w:pPr>
        <w:ind w:left="1800"/>
        <w:spacing w:after="0"/>
        <w:rPr>
          <w:sz w:val="20"/>
          <w:szCs w:val="20"/>
          <w:color w:val="auto"/>
        </w:rPr>
      </w:pPr>
      <w:r>
        <w:rPr>
          <w:rFonts w:ascii="Arial" w:cs="Arial" w:eastAsia="Arial" w:hAnsi="Arial"/>
          <w:sz w:val="20"/>
          <w:szCs w:val="20"/>
          <w:b w:val="1"/>
          <w:bCs w:val="1"/>
          <w:i w:val="1"/>
          <w:iCs w:val="1"/>
          <w:color w:val="auto"/>
        </w:rPr>
        <w:t>Sempra Energy</w:t>
      </w:r>
    </w:p>
    <w:p>
      <w:pPr>
        <w:spacing w:after="0" w:line="83" w:lineRule="exact"/>
        <w:rPr>
          <w:sz w:val="20"/>
          <w:szCs w:val="20"/>
          <w:color w:val="auto"/>
        </w:rPr>
      </w:pPr>
    </w:p>
    <w:p>
      <w:pPr>
        <w:ind w:left="2740" w:right="859" w:hanging="431"/>
        <w:spacing w:after="0" w:line="259" w:lineRule="auto"/>
        <w:rPr>
          <w:sz w:val="20"/>
          <w:szCs w:val="20"/>
          <w:color w:val="auto"/>
        </w:rPr>
      </w:pPr>
      <w:r>
        <w:rPr>
          <w:rFonts w:ascii="Arial" w:cs="Arial" w:eastAsia="Arial" w:hAnsi="Arial"/>
          <w:sz w:val="18"/>
          <w:szCs w:val="18"/>
          <w:color w:val="auto"/>
        </w:rPr>
        <w:t>10.4 First Amendment to Limited Liability Partnership Agreement, dated as of April 6, 2009 and effective as of November 14, 2008, by and among The Royal Bank of Scotland plc, Sempra Energy, Sempra Commodities, Inc., Sempra Energy Holdings VII B.V. and RBS Sempra Commodities LLP.</w:t>
      </w:r>
    </w:p>
    <w:p>
      <w:pPr>
        <w:spacing w:after="0" w:line="300"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EXHIBIT 12 -- STATEMENTS RE: COMPUTATION OF RATIOS</w:t>
      </w:r>
    </w:p>
    <w:p>
      <w:pPr>
        <w:spacing w:after="0" w:line="312" w:lineRule="exact"/>
        <w:rPr>
          <w:sz w:val="20"/>
          <w:szCs w:val="20"/>
          <w:color w:val="auto"/>
        </w:rPr>
      </w:pPr>
    </w:p>
    <w:p>
      <w:pPr>
        <w:ind w:left="1800"/>
        <w:spacing w:after="0"/>
        <w:rPr>
          <w:sz w:val="20"/>
          <w:szCs w:val="20"/>
          <w:color w:val="auto"/>
        </w:rPr>
      </w:pPr>
      <w:r>
        <w:rPr>
          <w:rFonts w:ascii="Arial" w:cs="Arial" w:eastAsia="Arial" w:hAnsi="Arial"/>
          <w:sz w:val="20"/>
          <w:szCs w:val="20"/>
          <w:b w:val="1"/>
          <w:bCs w:val="1"/>
          <w:i w:val="1"/>
          <w:iCs w:val="1"/>
          <w:color w:val="auto"/>
        </w:rPr>
        <w:t>Sempra Energy</w:t>
      </w:r>
    </w:p>
    <w:p>
      <w:pPr>
        <w:spacing w:after="0" w:line="83" w:lineRule="exact"/>
        <w:rPr>
          <w:sz w:val="20"/>
          <w:szCs w:val="20"/>
          <w:color w:val="auto"/>
        </w:rPr>
      </w:pPr>
    </w:p>
    <w:p>
      <w:pPr>
        <w:ind w:left="2740" w:right="779" w:hanging="431"/>
        <w:spacing w:after="0" w:line="277" w:lineRule="auto"/>
        <w:rPr>
          <w:sz w:val="20"/>
          <w:szCs w:val="20"/>
          <w:color w:val="auto"/>
        </w:rPr>
      </w:pPr>
      <w:r>
        <w:rPr>
          <w:rFonts w:ascii="Arial" w:cs="Arial" w:eastAsia="Arial" w:hAnsi="Arial"/>
          <w:sz w:val="18"/>
          <w:szCs w:val="18"/>
          <w:color w:val="auto"/>
        </w:rPr>
        <w:t>12.1 Sempra Energy Computation of Ratio of Earnings to Combined Fixed Charges and Preferred Stock Dividends.</w:t>
      </w:r>
    </w:p>
    <w:p>
      <w:pPr>
        <w:spacing w:after="0" w:line="168" w:lineRule="exact"/>
        <w:rPr>
          <w:sz w:val="20"/>
          <w:szCs w:val="20"/>
          <w:color w:val="auto"/>
        </w:rPr>
      </w:pPr>
    </w:p>
    <w:p>
      <w:pPr>
        <w:ind w:left="1800"/>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83" w:lineRule="exact"/>
        <w:rPr>
          <w:sz w:val="20"/>
          <w:szCs w:val="20"/>
          <w:color w:val="auto"/>
        </w:rPr>
      </w:pPr>
    </w:p>
    <w:p>
      <w:pPr>
        <w:ind w:left="2740" w:right="739" w:hanging="431"/>
        <w:spacing w:after="0" w:line="277" w:lineRule="auto"/>
        <w:rPr>
          <w:sz w:val="20"/>
          <w:szCs w:val="20"/>
          <w:color w:val="auto"/>
        </w:rPr>
      </w:pPr>
      <w:r>
        <w:rPr>
          <w:rFonts w:ascii="Arial" w:cs="Arial" w:eastAsia="Arial" w:hAnsi="Arial"/>
          <w:sz w:val="18"/>
          <w:szCs w:val="18"/>
          <w:color w:val="auto"/>
        </w:rPr>
        <w:t>12.2 San Diego Gas &amp; Electric Computation of Ratio of Earnings to Combined Fixed Charges and Preferred Stock Dividends.</w:t>
      </w:r>
    </w:p>
    <w:p>
      <w:pPr>
        <w:spacing w:after="0" w:line="168" w:lineRule="exact"/>
        <w:rPr>
          <w:sz w:val="20"/>
          <w:szCs w:val="20"/>
          <w:color w:val="auto"/>
        </w:rPr>
      </w:pPr>
    </w:p>
    <w:p>
      <w:pPr>
        <w:ind w:left="1800"/>
        <w:spacing w:after="0"/>
        <w:rPr>
          <w:sz w:val="20"/>
          <w:szCs w:val="20"/>
          <w:color w:val="auto"/>
        </w:rPr>
      </w:pPr>
      <w:r>
        <w:rPr>
          <w:rFonts w:ascii="Arial" w:cs="Arial" w:eastAsia="Arial" w:hAnsi="Arial"/>
          <w:sz w:val="20"/>
          <w:szCs w:val="20"/>
          <w:b w:val="1"/>
          <w:bCs w:val="1"/>
          <w:i w:val="1"/>
          <w:iCs w:val="1"/>
          <w:color w:val="auto"/>
        </w:rPr>
        <w:t>Pacific Enterprises</w:t>
      </w:r>
    </w:p>
    <w:p>
      <w:pPr>
        <w:spacing w:after="0" w:line="83" w:lineRule="exact"/>
        <w:rPr>
          <w:sz w:val="20"/>
          <w:szCs w:val="20"/>
          <w:color w:val="auto"/>
        </w:rPr>
      </w:pPr>
    </w:p>
    <w:p>
      <w:pPr>
        <w:ind w:left="2740" w:right="1259" w:hanging="431"/>
        <w:spacing w:after="0" w:line="277" w:lineRule="auto"/>
        <w:rPr>
          <w:sz w:val="20"/>
          <w:szCs w:val="20"/>
          <w:color w:val="auto"/>
        </w:rPr>
      </w:pPr>
      <w:r>
        <w:rPr>
          <w:rFonts w:ascii="Arial" w:cs="Arial" w:eastAsia="Arial" w:hAnsi="Arial"/>
          <w:sz w:val="18"/>
          <w:szCs w:val="18"/>
          <w:color w:val="auto"/>
        </w:rPr>
        <w:t>12.3 Pacific Enterprises Computation of Ratio of Earnings to Combined Fixed Charges and Preferred Stock Dividends.</w:t>
      </w:r>
    </w:p>
    <w:p>
      <w:pPr>
        <w:spacing w:after="0" w:line="168" w:lineRule="exact"/>
        <w:rPr>
          <w:sz w:val="20"/>
          <w:szCs w:val="20"/>
          <w:color w:val="auto"/>
        </w:rPr>
      </w:pPr>
    </w:p>
    <w:p>
      <w:pPr>
        <w:ind w:left="1800"/>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83" w:lineRule="exact"/>
        <w:rPr>
          <w:sz w:val="20"/>
          <w:szCs w:val="20"/>
          <w:color w:val="auto"/>
        </w:rPr>
      </w:pPr>
    </w:p>
    <w:p>
      <w:pPr>
        <w:ind w:left="2740" w:right="1059" w:hanging="431"/>
        <w:spacing w:after="0" w:line="277" w:lineRule="auto"/>
        <w:rPr>
          <w:sz w:val="20"/>
          <w:szCs w:val="20"/>
          <w:color w:val="auto"/>
        </w:rPr>
      </w:pPr>
      <w:r>
        <w:rPr>
          <w:rFonts w:ascii="Arial" w:cs="Arial" w:eastAsia="Arial" w:hAnsi="Arial"/>
          <w:sz w:val="18"/>
          <w:szCs w:val="18"/>
          <w:color w:val="auto"/>
        </w:rPr>
        <w:t>12.4 Southern California Gas Company Computation of Ratio of Earnings to Combined Fixed Charges and Preferred Stock Dividends.</w:t>
      </w:r>
    </w:p>
    <w:p>
      <w:pPr>
        <w:spacing w:after="0" w:line="283"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EXHIBIT 31 -- SECTION 302 CERTIFICATIONS</w:t>
      </w:r>
    </w:p>
    <w:p>
      <w:pPr>
        <w:spacing w:after="0" w:line="312" w:lineRule="exact"/>
        <w:rPr>
          <w:sz w:val="20"/>
          <w:szCs w:val="20"/>
          <w:color w:val="auto"/>
        </w:rPr>
      </w:pPr>
    </w:p>
    <w:p>
      <w:pPr>
        <w:ind w:left="1800"/>
        <w:spacing w:after="0"/>
        <w:rPr>
          <w:sz w:val="20"/>
          <w:szCs w:val="20"/>
          <w:color w:val="auto"/>
        </w:rPr>
      </w:pPr>
      <w:r>
        <w:rPr>
          <w:rFonts w:ascii="Arial" w:cs="Arial" w:eastAsia="Arial" w:hAnsi="Arial"/>
          <w:sz w:val="20"/>
          <w:szCs w:val="20"/>
          <w:b w:val="1"/>
          <w:bCs w:val="1"/>
          <w:i w:val="1"/>
          <w:iCs w:val="1"/>
          <w:color w:val="auto"/>
        </w:rPr>
        <w:t>Sempra Energy</w:t>
      </w:r>
    </w:p>
    <w:p>
      <w:pPr>
        <w:spacing w:after="0" w:line="83" w:lineRule="exact"/>
        <w:rPr>
          <w:sz w:val="20"/>
          <w:szCs w:val="20"/>
          <w:color w:val="auto"/>
        </w:rPr>
      </w:pPr>
    </w:p>
    <w:p>
      <w:pPr>
        <w:ind w:left="2740" w:right="619" w:hanging="431"/>
        <w:spacing w:after="0" w:line="277" w:lineRule="auto"/>
        <w:rPr>
          <w:sz w:val="20"/>
          <w:szCs w:val="20"/>
          <w:color w:val="auto"/>
        </w:rPr>
      </w:pPr>
      <w:r>
        <w:rPr>
          <w:rFonts w:ascii="Arial" w:cs="Arial" w:eastAsia="Arial" w:hAnsi="Arial"/>
          <w:sz w:val="18"/>
          <w:szCs w:val="18"/>
          <w:color w:val="auto"/>
        </w:rPr>
        <w:t>31.1 Statement of Sempra Energy's Chief Executive Officer pursuant to Rules 13a-14 and 15d-14 of the Securities Exchange Act of 1934.</w:t>
      </w:r>
    </w:p>
    <w:p>
      <w:pPr>
        <w:spacing w:after="0" w:line="251" w:lineRule="exact"/>
        <w:rPr>
          <w:sz w:val="20"/>
          <w:szCs w:val="20"/>
          <w:color w:val="auto"/>
        </w:rPr>
      </w:pPr>
    </w:p>
    <w:p>
      <w:pPr>
        <w:ind w:left="2740" w:right="679" w:hanging="431"/>
        <w:spacing w:after="0" w:line="277" w:lineRule="auto"/>
        <w:rPr>
          <w:sz w:val="20"/>
          <w:szCs w:val="20"/>
          <w:color w:val="auto"/>
        </w:rPr>
      </w:pPr>
      <w:r>
        <w:rPr>
          <w:rFonts w:ascii="Arial" w:cs="Arial" w:eastAsia="Arial" w:hAnsi="Arial"/>
          <w:sz w:val="18"/>
          <w:szCs w:val="18"/>
          <w:color w:val="auto"/>
        </w:rPr>
        <w:t>31.2 Statement of Sempra Energy's Chief Financial Officer pursuant to Rules 13a-14 and 15d-14 of the Securities Exchange Act of 1934.</w:t>
      </w:r>
    </w:p>
    <w:p>
      <w:pPr>
        <w:spacing w:after="0" w:line="168" w:lineRule="exact"/>
        <w:rPr>
          <w:sz w:val="20"/>
          <w:szCs w:val="20"/>
          <w:color w:val="auto"/>
        </w:rPr>
      </w:pPr>
    </w:p>
    <w:p>
      <w:pPr>
        <w:ind w:left="1800"/>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83"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31.3  Statement of San Diego Gas &amp; Electric's Chief Executive Officer pursuant to Rules 13a-14 and</w:t>
      </w:r>
    </w:p>
    <w:p>
      <w:pPr>
        <w:spacing w:after="0" w:line="46"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15d-14 of the Securities Exchange Act of 1934.</w:t>
      </w:r>
    </w:p>
    <w:p>
      <w:pPr>
        <w:spacing w:after="0" w:line="265"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31.4  Statement of San Diego Gas &amp; Electric's Chief Financial Officer pursuant to Rules 13a-14 and</w:t>
      </w:r>
    </w:p>
    <w:p>
      <w:pPr>
        <w:spacing w:after="0" w:line="46"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15d-14 of the Securities Exchange Act of 1934.</w:t>
      </w:r>
    </w:p>
    <w:p>
      <w:pPr>
        <w:spacing w:after="0" w:line="208" w:lineRule="exact"/>
        <w:rPr>
          <w:sz w:val="20"/>
          <w:szCs w:val="20"/>
          <w:color w:val="auto"/>
        </w:rPr>
      </w:pPr>
    </w:p>
    <w:p>
      <w:pPr>
        <w:ind w:left="1800"/>
        <w:spacing w:after="0"/>
        <w:rPr>
          <w:sz w:val="20"/>
          <w:szCs w:val="20"/>
          <w:color w:val="auto"/>
        </w:rPr>
      </w:pPr>
      <w:r>
        <w:rPr>
          <w:rFonts w:ascii="Arial" w:cs="Arial" w:eastAsia="Arial" w:hAnsi="Arial"/>
          <w:sz w:val="20"/>
          <w:szCs w:val="20"/>
          <w:b w:val="1"/>
          <w:bCs w:val="1"/>
          <w:i w:val="1"/>
          <w:iCs w:val="1"/>
          <w:color w:val="auto"/>
        </w:rPr>
        <w:t>Pacific Enterprises</w:t>
      </w:r>
    </w:p>
    <w:p>
      <w:pPr>
        <w:spacing w:after="0" w:line="83" w:lineRule="exact"/>
        <w:rPr>
          <w:sz w:val="20"/>
          <w:szCs w:val="20"/>
          <w:color w:val="auto"/>
        </w:rPr>
      </w:pPr>
    </w:p>
    <w:p>
      <w:pPr>
        <w:ind w:left="2740" w:right="1259" w:hanging="431"/>
        <w:spacing w:after="0" w:line="277" w:lineRule="auto"/>
        <w:rPr>
          <w:sz w:val="20"/>
          <w:szCs w:val="20"/>
          <w:color w:val="auto"/>
        </w:rPr>
      </w:pPr>
      <w:r>
        <w:rPr>
          <w:rFonts w:ascii="Arial" w:cs="Arial" w:eastAsia="Arial" w:hAnsi="Arial"/>
          <w:sz w:val="18"/>
          <w:szCs w:val="18"/>
          <w:color w:val="auto"/>
        </w:rPr>
        <w:t>31.5 Statement of PE's Chief Executive Officer pursuant to Rules 13a-14 and 15d-14 of the Securities Exchange Act of 1934.</w:t>
      </w:r>
    </w:p>
    <w:p>
      <w:pPr>
        <w:spacing w:after="0" w:line="224" w:lineRule="exact"/>
        <w:rPr>
          <w:sz w:val="20"/>
          <w:szCs w:val="20"/>
          <w:color w:val="auto"/>
        </w:rPr>
      </w:pPr>
    </w:p>
    <w:p>
      <w:pPr>
        <w:ind w:left="2740" w:right="1319" w:hanging="431"/>
        <w:spacing w:after="0" w:line="277" w:lineRule="auto"/>
        <w:rPr>
          <w:sz w:val="20"/>
          <w:szCs w:val="20"/>
          <w:color w:val="auto"/>
        </w:rPr>
      </w:pPr>
      <w:r>
        <w:rPr>
          <w:rFonts w:ascii="Arial" w:cs="Arial" w:eastAsia="Arial" w:hAnsi="Arial"/>
          <w:sz w:val="18"/>
          <w:szCs w:val="18"/>
          <w:color w:val="auto"/>
        </w:rPr>
        <w:t>31.6 Statement of PE's Chief Financial Officer pursuant to Rules 13a-14 and 15d-14 of the Securities Exchange Act of 1934.</w:t>
      </w:r>
    </w:p>
    <w:p>
      <w:pPr>
        <w:spacing w:after="0" w:line="168" w:lineRule="exact"/>
        <w:rPr>
          <w:sz w:val="20"/>
          <w:szCs w:val="20"/>
          <w:color w:val="auto"/>
        </w:rPr>
      </w:pPr>
    </w:p>
    <w:p>
      <w:pPr>
        <w:ind w:left="1800"/>
        <w:spacing w:after="0"/>
        <w:rPr>
          <w:sz w:val="20"/>
          <w:szCs w:val="20"/>
          <w:color w:val="auto"/>
        </w:rPr>
      </w:pPr>
      <w:r>
        <w:rPr>
          <w:rFonts w:ascii="Arial" w:cs="Arial" w:eastAsia="Arial" w:hAnsi="Arial"/>
          <w:sz w:val="20"/>
          <w:szCs w:val="20"/>
          <w:b w:val="1"/>
          <w:bCs w:val="1"/>
          <w:i w:val="1"/>
          <w:iCs w:val="1"/>
          <w:color w:val="auto"/>
        </w:rPr>
        <w:t>Southern California Gas Company</w:t>
      </w:r>
    </w:p>
    <w:p>
      <w:pPr>
        <w:sectPr>
          <w:pgSz w:w="11900" w:h="16838" w:orient="portrait"/>
          <w:cols w:equalWidth="0" w:num="1">
            <w:col w:w="10219"/>
          </w:cols>
          <w:pgMar w:left="240" w:top="595" w:right="1440" w:bottom="0" w:gutter="0" w:footer="0" w:header="0"/>
        </w:sectPr>
      </w:pPr>
    </w:p>
    <w:p>
      <w:pPr>
        <w:spacing w:after="0" w:line="83"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31.7  Statement of SoCalGas' Chief Executive Officer pursuant to Rules 13a-14 and 15d-14 of the</w:t>
      </w:r>
    </w:p>
    <w:p>
      <w:pPr>
        <w:sectPr>
          <w:pgSz w:w="11900" w:h="16838" w:orient="portrait"/>
          <w:cols w:equalWidth="0" w:num="1">
            <w:col w:w="10219"/>
          </w:cols>
          <w:pgMar w:left="240" w:top="595" w:right="1440" w:bottom="0" w:gutter="0" w:footer="0" w:header="0"/>
          <w:type w:val="continuous"/>
        </w:sectPr>
      </w:pPr>
    </w:p>
    <w:bookmarkStart w:id="87" w:name="page88"/>
    <w:bookmarkEnd w:id="87"/>
    <w:p>
      <w:pPr>
        <w:ind w:left="1540"/>
        <w:spacing w:after="0"/>
        <w:rPr>
          <w:sz w:val="20"/>
          <w:szCs w:val="20"/>
          <w:color w:val="auto"/>
        </w:rPr>
      </w:pPr>
      <w:r>
        <w:rPr>
          <w:rFonts w:ascii="Arial" w:cs="Arial" w:eastAsia="Arial" w:hAnsi="Arial"/>
          <w:sz w:val="18"/>
          <w:szCs w:val="18"/>
          <w:color w:val="auto"/>
        </w:rPr>
        <w:t>Securities Exchange Act of 1934.</w:t>
      </w:r>
    </w:p>
    <w:p>
      <w:pPr>
        <w:spacing w:after="0" w:line="279" w:lineRule="exact"/>
        <w:rPr>
          <w:sz w:val="20"/>
          <w:szCs w:val="20"/>
          <w:color w:val="auto"/>
        </w:rPr>
      </w:pPr>
    </w:p>
    <w:p>
      <w:pPr>
        <w:ind w:left="1540" w:right="879" w:hanging="431"/>
        <w:spacing w:after="0" w:line="277" w:lineRule="auto"/>
        <w:rPr>
          <w:sz w:val="20"/>
          <w:szCs w:val="20"/>
          <w:color w:val="auto"/>
        </w:rPr>
      </w:pPr>
      <w:r>
        <w:rPr>
          <w:rFonts w:ascii="Arial" w:cs="Arial" w:eastAsia="Arial" w:hAnsi="Arial"/>
          <w:sz w:val="18"/>
          <w:szCs w:val="18"/>
          <w:color w:val="auto"/>
        </w:rPr>
        <w:t>31.8 Statement of SoCalGas' Chief Financial Officer pursuant to Rules 13a-14 and 15d-14 of the Securities Exchange Act of 1934.</w:t>
      </w:r>
    </w:p>
    <w:p>
      <w:pPr>
        <w:spacing w:after="0" w:line="283"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EXHIBIT 32 -- SECTION 906 CERTIFICATIONS</w:t>
      </w:r>
    </w:p>
    <w:p>
      <w:pPr>
        <w:spacing w:after="0" w:line="312" w:lineRule="exact"/>
        <w:rPr>
          <w:sz w:val="20"/>
          <w:szCs w:val="20"/>
          <w:color w:val="auto"/>
        </w:rPr>
      </w:pPr>
    </w:p>
    <w:p>
      <w:pPr>
        <w:ind w:left="600"/>
        <w:spacing w:after="0"/>
        <w:rPr>
          <w:sz w:val="20"/>
          <w:szCs w:val="20"/>
          <w:color w:val="auto"/>
        </w:rPr>
      </w:pPr>
      <w:r>
        <w:rPr>
          <w:rFonts w:ascii="Arial" w:cs="Arial" w:eastAsia="Arial" w:hAnsi="Arial"/>
          <w:sz w:val="20"/>
          <w:szCs w:val="20"/>
          <w:b w:val="1"/>
          <w:bCs w:val="1"/>
          <w:i w:val="1"/>
          <w:iCs w:val="1"/>
          <w:color w:val="auto"/>
        </w:rPr>
        <w:t>Sempra Energy</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32.1  Statement of Sempra Energy's Chief Executive Officer pursuant to 18 U.S.C. Sec. 1350.</w:t>
      </w:r>
    </w:p>
    <w:p>
      <w:pPr>
        <w:spacing w:after="0" w:line="291"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32.2  Statement of Sempra Energy's Chief Financial Officer pursuant to 18 U.S.C. Sec. 1350.</w:t>
      </w:r>
    </w:p>
    <w:p>
      <w:pPr>
        <w:spacing w:after="0" w:line="234" w:lineRule="exact"/>
        <w:rPr>
          <w:sz w:val="20"/>
          <w:szCs w:val="20"/>
          <w:color w:val="auto"/>
        </w:rPr>
      </w:pPr>
    </w:p>
    <w:p>
      <w:pPr>
        <w:ind w:left="600"/>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83"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32.3  Statement of San Diego Gas &amp; Electric's Chief Executive Officer pursuant to 18 U.S.C. Sec.</w:t>
      </w:r>
    </w:p>
    <w:p>
      <w:pPr>
        <w:spacing w:after="0" w:line="46"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1350.</w:t>
      </w:r>
    </w:p>
    <w:p>
      <w:pPr>
        <w:spacing w:after="0" w:line="265"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32.4  Statement of San Diego Gas &amp; Electric's Chief Financial Officer pursuant to 18 U.S.C. Sec.</w:t>
      </w:r>
    </w:p>
    <w:p>
      <w:pPr>
        <w:spacing w:after="0" w:line="46"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1350.</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b w:val="1"/>
          <w:bCs w:val="1"/>
          <w:i w:val="1"/>
          <w:iCs w:val="1"/>
          <w:color w:val="auto"/>
        </w:rPr>
        <w:t>Pacific Enterprises</w:t>
      </w:r>
    </w:p>
    <w:p>
      <w:pPr>
        <w:spacing w:after="0" w:line="8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32.5  Statement of PE's Chief Executive Officer pursuant to 18 U.S.C. Sec. 1350.</w:t>
      </w:r>
    </w:p>
    <w:p>
      <w:pPr>
        <w:spacing w:after="0" w:line="27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32.6  Statement of PE's Chief Financial Officer pursuant to 18 U.S.C. Sec. 1350.</w:t>
      </w:r>
    </w:p>
    <w:p>
      <w:pPr>
        <w:spacing w:after="0" w:line="223" w:lineRule="exact"/>
        <w:rPr>
          <w:sz w:val="20"/>
          <w:szCs w:val="20"/>
          <w:color w:val="auto"/>
        </w:rPr>
      </w:pPr>
    </w:p>
    <w:p>
      <w:pPr>
        <w:ind w:left="600"/>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8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32.7  Statement of SoCalGas' Chief Executive Officer pursuant to 18 U.S.C. Sec. 1350.</w:t>
      </w:r>
    </w:p>
    <w:p>
      <w:pPr>
        <w:spacing w:after="0" w:line="27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32.8  Statement of SoCalGas' Chief Financial Officer pursuant to 18 U.S.C. Sec. 1350.</w:t>
      </w:r>
    </w:p>
    <w:p>
      <w:pPr>
        <w:sectPr>
          <w:pgSz w:w="11900" w:h="16838" w:orient="portrait"/>
          <w:cols w:equalWidth="0" w:num="1">
            <w:col w:w="9019"/>
          </w:cols>
          <w:pgMar w:left="1440" w:top="125" w:right="1440" w:bottom="1440" w:gutter="0" w:footer="0" w:header="0"/>
        </w:sectPr>
      </w:pPr>
    </w:p>
    <w:bookmarkStart w:id="88" w:name="page89"/>
    <w:bookmarkEnd w:id="88"/>
    <w:p>
      <w:pPr>
        <w:ind w:left="3640"/>
        <w:spacing w:after="0"/>
        <w:rPr>
          <w:sz w:val="20"/>
          <w:szCs w:val="20"/>
          <w:color w:val="auto"/>
        </w:rPr>
      </w:pPr>
      <w:r>
        <w:rPr>
          <w:rFonts w:ascii="Arial" w:cs="Arial" w:eastAsia="Arial" w:hAnsi="Arial"/>
          <w:sz w:val="18"/>
          <w:szCs w:val="18"/>
          <w:b w:val="1"/>
          <w:bCs w:val="1"/>
          <w:color w:val="auto"/>
        </w:rPr>
        <w:t>SIGNATURES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w:t>
      </w:r>
    </w:p>
    <w:p>
      <w:pPr>
        <w:spacing w:after="0" w:line="283" w:lineRule="exact"/>
        <w:rPr>
          <w:sz w:val="20"/>
          <w:szCs w:val="20"/>
          <w:color w:val="auto"/>
        </w:rPr>
      </w:pPr>
    </w:p>
    <w:p>
      <w:pPr>
        <w:ind w:right="779"/>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0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SEMPRA ENERGY,</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1400"/>
        <w:spacing w:after="0"/>
        <w:tabs>
          <w:tab w:leader="none" w:pos="4820" w:val="left"/>
        </w:tabs>
        <w:rPr>
          <w:sz w:val="20"/>
          <w:szCs w:val="20"/>
          <w:color w:val="auto"/>
        </w:rPr>
      </w:pPr>
      <w:r>
        <w:rPr>
          <w:rFonts w:ascii="Arial" w:cs="Arial" w:eastAsia="Arial" w:hAnsi="Arial"/>
          <w:sz w:val="18"/>
          <w:szCs w:val="18"/>
          <w:color w:val="auto"/>
        </w:rPr>
        <w:t>Date: May 5, 2009</w:t>
      </w:r>
      <w:r>
        <w:rPr>
          <w:sz w:val="20"/>
          <w:szCs w:val="20"/>
          <w:color w:val="auto"/>
        </w:rPr>
        <w:tab/>
      </w:r>
      <w:r>
        <w:rPr>
          <w:rFonts w:ascii="Arial" w:cs="Arial" w:eastAsia="Arial" w:hAnsi="Arial"/>
          <w:sz w:val="16"/>
          <w:szCs w:val="16"/>
          <w:color w:val="auto"/>
        </w:rPr>
        <w:t>By: /s/ Joseph A. Householder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3063240</wp:posOffset>
            </wp:positionH>
            <wp:positionV relativeFrom="paragraph">
              <wp:posOffset>23495</wp:posOffset>
            </wp:positionV>
            <wp:extent cx="27012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0"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Joseph A. Householder</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Senior Vice President, Controller and</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Chief Accounting Officer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 Diego Gas &amp; Electric Company:</w:t>
      </w:r>
    </w:p>
    <w:p>
      <w:pPr>
        <w:spacing w:after="0" w:line="283" w:lineRule="exact"/>
        <w:rPr>
          <w:sz w:val="20"/>
          <w:szCs w:val="20"/>
          <w:color w:val="auto"/>
        </w:rPr>
      </w:pPr>
    </w:p>
    <w:p>
      <w:pPr>
        <w:ind w:right="779"/>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0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SAN DIEGO GAS &amp; ELECTRIC COMPANY,</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1340"/>
        <w:spacing w:after="0"/>
        <w:tabs>
          <w:tab w:leader="none" w:pos="4680" w:val="left"/>
        </w:tabs>
        <w:rPr>
          <w:sz w:val="20"/>
          <w:szCs w:val="20"/>
          <w:color w:val="auto"/>
        </w:rPr>
      </w:pPr>
      <w:r>
        <w:rPr>
          <w:rFonts w:ascii="Arial" w:cs="Arial" w:eastAsia="Arial" w:hAnsi="Arial"/>
          <w:sz w:val="18"/>
          <w:szCs w:val="18"/>
          <w:color w:val="auto"/>
        </w:rPr>
        <w:t>Date: May 5, 2009</w:t>
      </w:r>
      <w:r>
        <w:rPr>
          <w:sz w:val="20"/>
          <w:szCs w:val="20"/>
          <w:color w:val="auto"/>
        </w:rPr>
        <w:tab/>
      </w:r>
      <w:r>
        <w:rPr>
          <w:rFonts w:ascii="Arial" w:cs="Arial" w:eastAsia="Arial" w:hAnsi="Arial"/>
          <w:sz w:val="17"/>
          <w:szCs w:val="17"/>
          <w:color w:val="auto"/>
        </w:rPr>
        <w:t>By: /s/ Robert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2986405</wp:posOffset>
            </wp:positionH>
            <wp:positionV relativeFrom="paragraph">
              <wp:posOffset>23495</wp:posOffset>
            </wp:positionV>
            <wp:extent cx="27787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Robert Schlax</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Vice President, Controller and Chief Financial</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Officer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Pacific Enterprises:</w:t>
      </w:r>
    </w:p>
    <w:p>
      <w:pPr>
        <w:spacing w:after="0" w:line="283" w:lineRule="exact"/>
        <w:rPr>
          <w:sz w:val="20"/>
          <w:szCs w:val="20"/>
          <w:color w:val="auto"/>
        </w:rPr>
      </w:pPr>
    </w:p>
    <w:p>
      <w:pPr>
        <w:ind w:right="779"/>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0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PACIFIC ENTERPRISES,</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1340"/>
        <w:spacing w:after="0"/>
        <w:tabs>
          <w:tab w:leader="none" w:pos="4680" w:val="left"/>
        </w:tabs>
        <w:rPr>
          <w:sz w:val="20"/>
          <w:szCs w:val="20"/>
          <w:color w:val="auto"/>
        </w:rPr>
      </w:pPr>
      <w:r>
        <w:rPr>
          <w:rFonts w:ascii="Arial" w:cs="Arial" w:eastAsia="Arial" w:hAnsi="Arial"/>
          <w:sz w:val="18"/>
          <w:szCs w:val="18"/>
          <w:color w:val="auto"/>
        </w:rPr>
        <w:t>Date: May 5, 2009</w:t>
      </w:r>
      <w:r>
        <w:rPr>
          <w:sz w:val="20"/>
          <w:szCs w:val="20"/>
          <w:color w:val="auto"/>
        </w:rPr>
        <w:tab/>
      </w:r>
      <w:r>
        <w:rPr>
          <w:rFonts w:ascii="Arial" w:cs="Arial" w:eastAsia="Arial" w:hAnsi="Arial"/>
          <w:sz w:val="17"/>
          <w:szCs w:val="17"/>
          <w:color w:val="auto"/>
        </w:rPr>
        <w:t>By: /s/ Robert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2986405</wp:posOffset>
            </wp:positionH>
            <wp:positionV relativeFrom="paragraph">
              <wp:posOffset>23495</wp:posOffset>
            </wp:positionV>
            <wp:extent cx="27787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Robert Schlax</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Vice President, Controller and Chief Financial</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Officer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Southern California Gas Company:</w:t>
      </w:r>
    </w:p>
    <w:p>
      <w:pPr>
        <w:spacing w:after="0" w:line="283" w:lineRule="exact"/>
        <w:rPr>
          <w:sz w:val="20"/>
          <w:szCs w:val="20"/>
          <w:color w:val="auto"/>
        </w:rPr>
      </w:pPr>
    </w:p>
    <w:p>
      <w:pPr>
        <w:ind w:right="779"/>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01"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SOUTHERN CALIFORNIA GAS COMPANY,</w:t>
      </w:r>
    </w:p>
    <w:p>
      <w:pPr>
        <w:spacing w:after="0" w:line="3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1340"/>
        <w:spacing w:after="0"/>
        <w:tabs>
          <w:tab w:leader="none" w:pos="4680" w:val="left"/>
        </w:tabs>
        <w:rPr>
          <w:sz w:val="20"/>
          <w:szCs w:val="20"/>
          <w:color w:val="auto"/>
        </w:rPr>
      </w:pPr>
      <w:r>
        <w:rPr>
          <w:rFonts w:ascii="Arial" w:cs="Arial" w:eastAsia="Arial" w:hAnsi="Arial"/>
          <w:sz w:val="18"/>
          <w:szCs w:val="18"/>
          <w:color w:val="auto"/>
        </w:rPr>
        <w:t>Date: May 5, 2009</w:t>
      </w:r>
      <w:r>
        <w:rPr>
          <w:sz w:val="20"/>
          <w:szCs w:val="20"/>
          <w:color w:val="auto"/>
        </w:rPr>
        <w:tab/>
      </w:r>
      <w:r>
        <w:rPr>
          <w:rFonts w:ascii="Arial" w:cs="Arial" w:eastAsia="Arial" w:hAnsi="Arial"/>
          <w:sz w:val="17"/>
          <w:szCs w:val="17"/>
          <w:color w:val="auto"/>
        </w:rPr>
        <w:t>By: /s/ Robert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2986405</wp:posOffset>
            </wp:positionH>
            <wp:positionV relativeFrom="paragraph">
              <wp:posOffset>23495</wp:posOffset>
            </wp:positionV>
            <wp:extent cx="27787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Robert Schlax</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Vice President, Controller and Chief Financial</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9039"/>
          </w:cols>
          <w:pgMar w:left="1420" w:top="891" w:right="1440" w:bottom="1440" w:gutter="0" w:footer="0" w:header="0"/>
        </w:sectPr>
      </w:pPr>
    </w:p>
    <w:bookmarkStart w:id="89" w:name="page90"/>
    <w:bookmarkEnd w:id="89"/>
    <w:p>
      <w:pPr>
        <w:jc w:val="right"/>
        <w:spacing w:after="0"/>
        <w:rPr>
          <w:sz w:val="20"/>
          <w:szCs w:val="20"/>
          <w:color w:val="auto"/>
        </w:rPr>
      </w:pPr>
      <w:r>
        <w:rPr>
          <w:rFonts w:ascii="Arial" w:cs="Arial" w:eastAsia="Arial" w:hAnsi="Arial"/>
          <w:sz w:val="22"/>
          <w:szCs w:val="22"/>
          <w:b w:val="1"/>
          <w:bCs w:val="1"/>
          <w:color w:val="auto"/>
        </w:rPr>
        <w:t>Exhibit 10.1</w:t>
      </w:r>
    </w:p>
    <w:p>
      <w:pPr>
        <w:spacing w:after="0" w:line="44"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SEMPRA ENERGY</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2008 LONG TERM INCENTIVE PLAN</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2009 PERFORMANCE-BASED RESTRICTED STOCK UNIT AWARD</w:t>
      </w:r>
    </w:p>
    <w:p>
      <w:pPr>
        <w:spacing w:after="0" w:line="230" w:lineRule="exact"/>
        <w:rPr>
          <w:sz w:val="20"/>
          <w:szCs w:val="20"/>
          <w:color w:val="auto"/>
        </w:rPr>
      </w:pPr>
    </w:p>
    <w:p>
      <w:pPr>
        <w:ind w:right="2440"/>
        <w:spacing w:after="0" w:line="274" w:lineRule="auto"/>
        <w:rPr>
          <w:sz w:val="20"/>
          <w:szCs w:val="20"/>
          <w:color w:val="auto"/>
        </w:rPr>
      </w:pPr>
      <w:r>
        <w:rPr>
          <w:rFonts w:ascii="Arial" w:cs="Arial" w:eastAsia="Arial" w:hAnsi="Arial"/>
          <w:sz w:val="17"/>
          <w:szCs w:val="17"/>
          <w:color w:val="auto"/>
        </w:rPr>
        <w:t>You have been granted a performance-based restricted stock unit award representing the right to receive the number of shares of Sempra Energy Common Stock set forth below, subject to the vesting conditions set forth below. The restricted stock units, and dividend equivalents with respect to the restricted stock units, under your award may not be sold or assigned and will be subject to forfeiture unless and until they vest based upon the satisfaction of total shareholder return performance criteria for a performance period beginning on January 1, 2009 and ending in January 2013. Shares of Common Stock will be distributed to you after the completion of the performance period ending in January 2013, if the restricted stock units vest under the terms and conditions of your award.</w:t>
      </w:r>
    </w:p>
    <w:p>
      <w:pPr>
        <w:spacing w:after="0" w:line="167" w:lineRule="exact"/>
        <w:rPr>
          <w:sz w:val="20"/>
          <w:szCs w:val="20"/>
          <w:color w:val="auto"/>
        </w:rPr>
      </w:pPr>
    </w:p>
    <w:p>
      <w:pPr>
        <w:ind w:right="2880"/>
        <w:spacing w:after="0" w:line="263" w:lineRule="auto"/>
        <w:rPr>
          <w:sz w:val="20"/>
          <w:szCs w:val="20"/>
          <w:color w:val="auto"/>
        </w:rPr>
      </w:pPr>
      <w:r>
        <w:rPr>
          <w:rFonts w:ascii="Arial" w:cs="Arial" w:eastAsia="Arial" w:hAnsi="Arial"/>
          <w:sz w:val="18"/>
          <w:szCs w:val="18"/>
          <w:i w:val="1"/>
          <w:iCs w:val="1"/>
          <w:color w:val="auto"/>
        </w:rPr>
        <w:t>The terms and conditions of your award are set forth in the attached Year 2009 Restricted Stock Unit Award Agreement and in the prospectus for the Sempra Energy 2008 Long Term Incentive Plan, which is enclosed. The summary below highlights selected terms and conditions but it is not complete and you should carefully read the attachments to fully understand the terms and conditions of your award.</w:t>
      </w:r>
    </w:p>
    <w:p>
      <w:pPr>
        <w:spacing w:after="0" w:line="86" w:lineRule="exact"/>
        <w:rPr>
          <w:sz w:val="20"/>
          <w:szCs w:val="20"/>
          <w:color w:val="auto"/>
        </w:rPr>
      </w:pPr>
    </w:p>
    <w:p>
      <w:pPr>
        <w:ind w:left="3700"/>
        <w:spacing w:after="0"/>
        <w:rPr>
          <w:sz w:val="20"/>
          <w:szCs w:val="20"/>
          <w:color w:val="auto"/>
        </w:rPr>
      </w:pPr>
      <w:r>
        <w:rPr>
          <w:rFonts w:ascii="Arial" w:cs="Arial" w:eastAsia="Arial" w:hAnsi="Arial"/>
          <w:sz w:val="24"/>
          <w:szCs w:val="24"/>
          <w:b w:val="1"/>
          <w:bCs w:val="1"/>
          <w:color w:val="auto"/>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571119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11190" cy="26035"/>
                    </a:xfrm>
                    <a:prstGeom prst="rect">
                      <a:avLst/>
                    </a:prstGeom>
                    <a:noFill/>
                  </pic:spPr>
                </pic:pic>
              </a:graphicData>
            </a:graphic>
          </wp:anchor>
        </w:drawing>
      </w:r>
    </w:p>
    <w:p>
      <w:pPr>
        <w:spacing w:after="0" w:line="217" w:lineRule="exact"/>
        <w:rPr>
          <w:sz w:val="20"/>
          <w:szCs w:val="20"/>
          <w:color w:val="auto"/>
        </w:rPr>
      </w:pPr>
    </w:p>
    <w:p>
      <w:pPr>
        <w:spacing w:after="0"/>
        <w:tabs>
          <w:tab w:leader="none" w:pos="2960" w:val="left"/>
        </w:tabs>
        <w:rPr>
          <w:sz w:val="20"/>
          <w:szCs w:val="20"/>
          <w:color w:val="auto"/>
        </w:rPr>
      </w:pPr>
      <w:r>
        <w:rPr>
          <w:rFonts w:ascii="Arial" w:cs="Arial" w:eastAsia="Arial" w:hAnsi="Arial"/>
          <w:sz w:val="19"/>
          <w:szCs w:val="19"/>
          <w:b w:val="1"/>
          <w:bCs w:val="1"/>
          <w:color w:val="auto"/>
        </w:rPr>
        <w:t>Date of Award:</w:t>
      </w:r>
      <w:r>
        <w:rPr>
          <w:sz w:val="20"/>
          <w:szCs w:val="20"/>
          <w:color w:val="auto"/>
        </w:rPr>
        <w:tab/>
      </w:r>
      <w:r>
        <w:rPr>
          <w:rFonts w:ascii="Arial" w:cs="Arial" w:eastAsia="Arial" w:hAnsi="Arial"/>
          <w:sz w:val="17"/>
          <w:szCs w:val="17"/>
          <w:b w:val="1"/>
          <w:bCs w:val="1"/>
          <w:color w:val="auto"/>
        </w:rPr>
        <w:t>January 2, 2009</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Name of Recipient:</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Recipient’s Employee Number:</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Number of Restricted Stock Units</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(prior to any dividend equivalents):</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At Target:</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At Maximum (150% of Target)</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Award Date Fair Market Value per</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Share of Common Stock:</w:t>
      </w:r>
    </w:p>
    <w:p>
      <w:pPr>
        <w:spacing w:after="0" w:line="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Restricted Stock Units:</w:t>
      </w:r>
    </w:p>
    <w:p>
      <w:pPr>
        <w:spacing w:after="0" w:line="31" w:lineRule="exact"/>
        <w:rPr>
          <w:sz w:val="20"/>
          <w:szCs w:val="20"/>
          <w:color w:val="auto"/>
        </w:rPr>
      </w:pPr>
    </w:p>
    <w:p>
      <w:pPr>
        <w:ind w:right="2720"/>
        <w:spacing w:after="0" w:line="280" w:lineRule="auto"/>
        <w:rPr>
          <w:sz w:val="20"/>
          <w:szCs w:val="20"/>
          <w:color w:val="auto"/>
        </w:rPr>
      </w:pPr>
      <w:r>
        <w:rPr>
          <w:rFonts w:ascii="Arial" w:cs="Arial" w:eastAsia="Arial" w:hAnsi="Arial"/>
          <w:sz w:val="17"/>
          <w:szCs w:val="17"/>
          <w:color w:val="auto"/>
        </w:rPr>
        <w:t>Your restricted stock units represent the right to receive shares of Common Stock in the future, subject to the terms and conditions of your award. Your restricted stock units are not shares of Common Stock. The target number of</w:t>
      </w:r>
    </w:p>
    <w:p>
      <w:pPr>
        <w:ind w:right="2940"/>
        <w:spacing w:after="0" w:line="212" w:lineRule="auto"/>
        <w:rPr>
          <w:sz w:val="20"/>
          <w:szCs w:val="20"/>
          <w:color w:val="auto"/>
        </w:rPr>
      </w:pPr>
      <w:r>
        <w:rPr>
          <w:rFonts w:ascii="Arial" w:cs="Arial" w:eastAsia="Arial" w:hAnsi="Arial"/>
          <w:sz w:val="19"/>
          <w:szCs w:val="19"/>
          <w:color w:val="auto"/>
        </w:rPr>
        <w:t>restricted stock units will vest (as described below), if the target total shareholder return (a return at the 50</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percentile) is achieved. If above target total shareholder return is achieved, you may vest in up to the maximum number of restricted stock units.</w:t>
      </w:r>
    </w:p>
    <w:p>
      <w:pPr>
        <w:spacing w:after="0" w:line="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Vesting/Forfeiture of Restricted Stock Units:</w:t>
      </w:r>
    </w:p>
    <w:p>
      <w:pPr>
        <w:spacing w:after="0" w:line="31" w:lineRule="exact"/>
        <w:rPr>
          <w:sz w:val="20"/>
          <w:szCs w:val="20"/>
          <w:color w:val="auto"/>
        </w:rPr>
      </w:pPr>
    </w:p>
    <w:p>
      <w:pPr>
        <w:ind w:right="2520"/>
        <w:spacing w:after="0" w:line="243" w:lineRule="auto"/>
        <w:rPr>
          <w:sz w:val="20"/>
          <w:szCs w:val="20"/>
          <w:color w:val="auto"/>
        </w:rPr>
      </w:pPr>
      <w:r>
        <w:rPr>
          <w:rFonts w:ascii="Arial" w:cs="Arial" w:eastAsia="Arial" w:hAnsi="Arial"/>
          <w:sz w:val="19"/>
          <w:szCs w:val="19"/>
          <w:color w:val="auto"/>
        </w:rPr>
        <w:t>Your restricted stock units will vest only upon and only to the extent that the Compensation Committee determines and certifies that Sempra Energy has met specified total shareholder return performance criteria for the performance period beginning on January 1, 2009 and ending at the close of trading on the first New York Stock Exchange trading day of 2013. Any restricted stock units that do not vest upon the Compensation Committee's determination and certification will be forfeited.</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Restrictions:</w:t>
      </w:r>
    </w:p>
    <w:p>
      <w:pPr>
        <w:spacing w:after="0" w:line="31" w:lineRule="exact"/>
        <w:rPr>
          <w:sz w:val="20"/>
          <w:szCs w:val="20"/>
          <w:color w:val="auto"/>
        </w:rPr>
      </w:pPr>
    </w:p>
    <w:p>
      <w:pPr>
        <w:ind w:right="2700"/>
        <w:spacing w:after="0" w:line="261" w:lineRule="auto"/>
        <w:rPr>
          <w:sz w:val="20"/>
          <w:szCs w:val="20"/>
          <w:color w:val="auto"/>
        </w:rPr>
      </w:pPr>
      <w:r>
        <w:rPr>
          <w:rFonts w:ascii="Arial" w:cs="Arial" w:eastAsia="Arial" w:hAnsi="Arial"/>
          <w:sz w:val="19"/>
          <w:szCs w:val="19"/>
          <w:color w:val="auto"/>
        </w:rPr>
        <w:t>Your restricted stock units may not be sold or otherwise transferred and will remain subject to forfeiture conditions until they vest.</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Termination of Employment:</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Your restricted stock units also may be forfeited if your employment terminates.</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Dividend Equivalents:</w:t>
      </w:r>
    </w:p>
    <w:p>
      <w:pPr>
        <w:spacing w:after="0" w:line="31" w:lineRule="exact"/>
        <w:rPr>
          <w:sz w:val="20"/>
          <w:szCs w:val="20"/>
          <w:color w:val="auto"/>
        </w:rPr>
      </w:pPr>
    </w:p>
    <w:p>
      <w:pPr>
        <w:ind w:right="2500"/>
        <w:spacing w:after="0" w:line="254" w:lineRule="auto"/>
        <w:rPr>
          <w:sz w:val="20"/>
          <w:szCs w:val="20"/>
          <w:color w:val="auto"/>
        </w:rPr>
      </w:pPr>
      <w:r>
        <w:rPr>
          <w:rFonts w:ascii="Arial" w:cs="Arial" w:eastAsia="Arial" w:hAnsi="Arial"/>
          <w:sz w:val="18"/>
          <w:szCs w:val="18"/>
          <w:color w:val="auto"/>
        </w:rPr>
        <w:t>You also have been awarded dividend equivalents with respect to your restricted stock units. Your dividend equivalents represent the right to receive additional shares of Common Stock in the future, subject to the terms and conditions of your award. Your dividend equivalents will be determined based on the dividends that you would have received, had you held shares of Common Stock equal to the vested number of your restricted stock units from the date of your award to the date of the distribution of shares of Common Stock following the vesting of your restricted stock units, and assuming that the dividends were reinvested in Common Stock (and any dividends on such shares were reinvested in Common Stock). The dividends will be deemed reinvested in Common Stock in the same manner as dividends reinvested pursuant to the terms of the Sempra Dividend Reinvestment Plan. Your dividend equivalents will be subject to the same transfer restrictions and forfeiture and vesting conditions as the shares represented by your restricted stock units.</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Distribution of Shares:</w:t>
      </w:r>
    </w:p>
    <w:p>
      <w:pPr>
        <w:spacing w:after="0" w:line="31" w:lineRule="exact"/>
        <w:rPr>
          <w:sz w:val="20"/>
          <w:szCs w:val="20"/>
          <w:color w:val="auto"/>
        </w:rPr>
      </w:pPr>
    </w:p>
    <w:p>
      <w:pPr>
        <w:ind w:right="2580"/>
        <w:spacing w:after="0" w:line="243" w:lineRule="auto"/>
        <w:rPr>
          <w:sz w:val="20"/>
          <w:szCs w:val="20"/>
          <w:color w:val="auto"/>
        </w:rPr>
      </w:pPr>
      <w:r>
        <w:rPr>
          <w:rFonts w:ascii="Arial" w:cs="Arial" w:eastAsia="Arial" w:hAnsi="Arial"/>
          <w:sz w:val="19"/>
          <w:szCs w:val="19"/>
          <w:color w:val="auto"/>
        </w:rPr>
        <w:t>Shares of Common Stock will be distributed to you to the extent your restricted stock units vest. The shares will be distributed to you after the completion of the performance period ending in January 2013 and the Compensation Committee’s determination and certification of Sempra Energy’s total shareholder return for the performance period. The shares of Common Stock will include the additional shares to be distributed pursuant to your dividend equivalents.</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Taxes:</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Upon distribution of shares of Common Stock to you, you will be subject to income taxes on the value of the</w:t>
      </w:r>
    </w:p>
    <w:p>
      <w:pPr>
        <w:sectPr>
          <w:pgSz w:w="11900" w:h="16838" w:orient="portrait"/>
          <w:cols w:equalWidth="0" w:num="1">
            <w:col w:w="11400"/>
          </w:cols>
          <w:pgMar w:left="260" w:top="111" w:right="239" w:bottom="0" w:gutter="0" w:footer="0" w:header="0"/>
        </w:sectPr>
      </w:pPr>
    </w:p>
    <w:bookmarkStart w:id="90" w:name="page91"/>
    <w:bookmarkEnd w:id="90"/>
    <w:p>
      <w:pPr>
        <w:spacing w:after="0"/>
        <w:rPr>
          <w:sz w:val="20"/>
          <w:szCs w:val="20"/>
          <w:color w:val="auto"/>
        </w:rPr>
      </w:pPr>
      <w:r>
        <w:rPr>
          <w:rFonts w:ascii="Arial" w:cs="Arial" w:eastAsia="Arial" w:hAnsi="Arial"/>
          <w:sz w:val="19"/>
          <w:szCs w:val="19"/>
          <w:color w:val="auto"/>
        </w:rPr>
        <w:t>distributed shares at the time of distribution and must pay applicable withholding taxes.</w:t>
      </w:r>
    </w:p>
    <w:p>
      <w:pPr>
        <w:spacing w:after="0" w:line="146" w:lineRule="exact"/>
        <w:rPr>
          <w:sz w:val="20"/>
          <w:szCs w:val="20"/>
          <w:color w:val="auto"/>
        </w:rPr>
      </w:pPr>
    </w:p>
    <w:p>
      <w:pPr>
        <w:jc w:val="both"/>
        <w:ind w:right="2220"/>
        <w:spacing w:after="0" w:line="318" w:lineRule="auto"/>
        <w:rPr>
          <w:sz w:val="20"/>
          <w:szCs w:val="20"/>
          <w:color w:val="auto"/>
        </w:rPr>
      </w:pPr>
      <w:r>
        <w:rPr>
          <w:rFonts w:ascii="Arial" w:cs="Arial" w:eastAsia="Arial" w:hAnsi="Arial"/>
          <w:sz w:val="16"/>
          <w:szCs w:val="16"/>
          <w:b w:val="1"/>
          <w:bCs w:val="1"/>
          <w:i w:val="1"/>
          <w:iCs w:val="1"/>
          <w:color w:val="auto"/>
        </w:rPr>
        <w:t>To accept your award you must sign the accompanying copy of this page and promptly return it to Sempra Energy. By doing so, you agree to all of the terms and conditions set forth in this Cover Page/Summary, the attached Year 2009 Restricted Stock Unit Award Agreement and the Sempra Energy 2008 Long Term Incentive Plan.</w:t>
      </w:r>
    </w:p>
    <w:p>
      <w:pPr>
        <w:spacing w:after="0" w:line="344" w:lineRule="exact"/>
        <w:rPr>
          <w:sz w:val="20"/>
          <w:szCs w:val="20"/>
          <w:color w:val="auto"/>
        </w:rPr>
      </w:pPr>
    </w:p>
    <w:p>
      <w:pPr>
        <w:ind w:left="6880"/>
        <w:spacing w:after="0"/>
        <w:tabs>
          <w:tab w:leader="none" w:pos="8620" w:val="left"/>
        </w:tabs>
        <w:rPr>
          <w:sz w:val="20"/>
          <w:szCs w:val="20"/>
          <w:color w:val="auto"/>
        </w:rPr>
      </w:pPr>
      <w:r>
        <w:rPr>
          <w:rFonts w:ascii="Arial" w:cs="Arial" w:eastAsia="Arial" w:hAnsi="Arial"/>
          <w:sz w:val="19"/>
          <w:szCs w:val="19"/>
          <w:color w:val="auto"/>
        </w:rPr>
        <w:t>Recipient:</w:t>
      </w:r>
      <w:r>
        <w:rPr>
          <w:sz w:val="20"/>
          <w:szCs w:val="20"/>
          <w:color w:val="auto"/>
        </w:rPr>
        <w:tab/>
      </w:r>
      <w:r>
        <w:rPr>
          <w:rFonts w:ascii="Arial" w:cs="Arial" w:eastAsia="Arial" w:hAnsi="Arial"/>
          <w:sz w:val="27"/>
          <w:szCs w:val="27"/>
          <w:b w:val="1"/>
          <w:bCs w:val="1"/>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5472430</wp:posOffset>
            </wp:positionH>
            <wp:positionV relativeFrom="paragraph">
              <wp:posOffset>17780</wp:posOffset>
            </wp:positionV>
            <wp:extent cx="17665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0" w:lineRule="exact"/>
        <w:rPr>
          <w:sz w:val="20"/>
          <w:szCs w:val="20"/>
          <w:color w:val="auto"/>
        </w:rPr>
      </w:pPr>
    </w:p>
    <w:p>
      <w:pPr>
        <w:ind w:left="9580"/>
        <w:spacing w:after="0"/>
        <w:rPr>
          <w:sz w:val="20"/>
          <w:szCs w:val="20"/>
          <w:color w:val="auto"/>
        </w:rPr>
      </w:pPr>
      <w:r>
        <w:rPr>
          <w:rFonts w:ascii="Arial" w:cs="Arial" w:eastAsia="Arial" w:hAnsi="Arial"/>
          <w:sz w:val="19"/>
          <w:szCs w:val="19"/>
          <w:color w:val="auto"/>
        </w:rPr>
        <w:t>(Signature)</w:t>
      </w:r>
    </w:p>
    <w:p>
      <w:pPr>
        <w:spacing w:after="0" w:line="18" w:lineRule="exact"/>
        <w:rPr>
          <w:sz w:val="20"/>
          <w:szCs w:val="20"/>
          <w:color w:val="auto"/>
        </w:rPr>
      </w:pPr>
    </w:p>
    <w:p>
      <w:pPr>
        <w:ind w:left="6880"/>
        <w:spacing w:after="0"/>
        <w:tabs>
          <w:tab w:leader="none" w:pos="8940" w:val="left"/>
        </w:tabs>
        <w:rPr>
          <w:sz w:val="20"/>
          <w:szCs w:val="20"/>
          <w:color w:val="auto"/>
        </w:rPr>
      </w:pPr>
      <w:r>
        <w:rPr>
          <w:rFonts w:ascii="Arial" w:cs="Arial" w:eastAsia="Arial" w:hAnsi="Arial"/>
          <w:sz w:val="19"/>
          <w:szCs w:val="19"/>
          <w:color w:val="auto"/>
        </w:rPr>
        <w:t>Sempra Energy:</w:t>
      </w:r>
      <w:r>
        <w:rPr>
          <w:sz w:val="20"/>
          <w:szCs w:val="20"/>
          <w:color w:val="auto"/>
        </w:rPr>
        <w:tab/>
      </w:r>
      <w:r>
        <w:rPr>
          <w:rFonts w:ascii="Arial" w:cs="Arial" w:eastAsia="Arial" w:hAnsi="Arial"/>
          <w:sz w:val="19"/>
          <w:szCs w:val="19"/>
          <w:i w:val="1"/>
          <w:iCs w:val="1"/>
          <w:color w:val="auto"/>
        </w:rPr>
        <w:t>/S/ Donald E. Felsinger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5472430</wp:posOffset>
            </wp:positionH>
            <wp:positionV relativeFrom="paragraph">
              <wp:posOffset>38100</wp:posOffset>
            </wp:positionV>
            <wp:extent cx="17665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44" w:lineRule="exact"/>
        <w:rPr>
          <w:sz w:val="20"/>
          <w:szCs w:val="20"/>
          <w:color w:val="auto"/>
        </w:rPr>
      </w:pPr>
    </w:p>
    <w:p>
      <w:pPr>
        <w:ind w:left="9580"/>
        <w:spacing w:after="0"/>
        <w:rPr>
          <w:sz w:val="20"/>
          <w:szCs w:val="20"/>
          <w:color w:val="auto"/>
        </w:rPr>
      </w:pPr>
      <w:r>
        <w:rPr>
          <w:rFonts w:ascii="Arial" w:cs="Arial" w:eastAsia="Arial" w:hAnsi="Arial"/>
          <w:sz w:val="19"/>
          <w:szCs w:val="19"/>
          <w:color w:val="auto"/>
        </w:rPr>
        <w:t>(Signature)</w:t>
      </w:r>
    </w:p>
    <w:p>
      <w:pPr>
        <w:spacing w:after="0" w:line="25" w:lineRule="exact"/>
        <w:rPr>
          <w:sz w:val="20"/>
          <w:szCs w:val="20"/>
          <w:color w:val="auto"/>
        </w:rPr>
      </w:pPr>
    </w:p>
    <w:p>
      <w:pPr>
        <w:ind w:left="6880"/>
        <w:spacing w:after="0"/>
        <w:tabs>
          <w:tab w:leader="none" w:pos="888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Chairman &amp; Chief Executive</w:t>
      </w:r>
    </w:p>
    <w:p>
      <w:pPr>
        <w:spacing w:after="0" w:line="37" w:lineRule="exact"/>
        <w:rPr>
          <w:sz w:val="20"/>
          <w:szCs w:val="20"/>
          <w:color w:val="auto"/>
        </w:rPr>
      </w:pPr>
    </w:p>
    <w:p>
      <w:pPr>
        <w:ind w:left="9740"/>
        <w:spacing w:after="0"/>
        <w:rPr>
          <w:sz w:val="20"/>
          <w:szCs w:val="20"/>
          <w:color w:val="auto"/>
        </w:rPr>
      </w:pPr>
      <w:r>
        <w:rPr>
          <w:rFonts w:ascii="Arial" w:cs="Arial" w:eastAsia="Arial" w:hAnsi="Arial"/>
          <w:sz w:val="19"/>
          <w:szCs w:val="19"/>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5472430</wp:posOffset>
            </wp:positionH>
            <wp:positionV relativeFrom="paragraph">
              <wp:posOffset>11430</wp:posOffset>
            </wp:positionV>
            <wp:extent cx="17665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ectPr>
          <w:pgSz w:w="11900" w:h="16838" w:orient="portrait"/>
          <w:cols w:equalWidth="0" w:num="1">
            <w:col w:w="11120"/>
          </w:cols>
          <w:pgMar w:left="260" w:top="118" w:right="51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76"/>
        </w:trPr>
        <w:tc>
          <w:tcPr>
            <w:tcW w:w="1800" w:type="dxa"/>
            <w:vAlign w:val="bottom"/>
          </w:tcPr>
          <w:p>
            <w:pPr>
              <w:spacing w:after="0"/>
              <w:rPr>
                <w:sz w:val="23"/>
                <w:szCs w:val="23"/>
                <w:color w:val="auto"/>
              </w:rPr>
            </w:pPr>
          </w:p>
        </w:tc>
        <w:tc>
          <w:tcPr>
            <w:tcW w:w="7320" w:type="dxa"/>
            <w:vAlign w:val="bottom"/>
          </w:tcPr>
          <w:p>
            <w:pPr>
              <w:jc w:val="center"/>
              <w:ind w:right="1695"/>
              <w:spacing w:after="0"/>
              <w:rPr>
                <w:sz w:val="20"/>
                <w:szCs w:val="20"/>
                <w:color w:val="auto"/>
              </w:rPr>
            </w:pPr>
            <w:r>
              <w:rPr>
                <w:rFonts w:ascii="Arial" w:cs="Arial" w:eastAsia="Arial" w:hAnsi="Arial"/>
                <w:sz w:val="24"/>
                <w:szCs w:val="24"/>
                <w:b w:val="1"/>
                <w:bCs w:val="1"/>
                <w:color w:val="auto"/>
              </w:rPr>
              <w:t>SEMPRA ENERGY</w:t>
            </w:r>
          </w:p>
        </w:tc>
      </w:tr>
      <w:tr>
        <w:trPr>
          <w:trHeight w:val="317"/>
        </w:trPr>
        <w:tc>
          <w:tcPr>
            <w:tcW w:w="1800" w:type="dxa"/>
            <w:vAlign w:val="bottom"/>
          </w:tcPr>
          <w:p>
            <w:pPr>
              <w:spacing w:after="0"/>
              <w:rPr>
                <w:sz w:val="24"/>
                <w:szCs w:val="24"/>
                <w:color w:val="auto"/>
              </w:rPr>
            </w:pPr>
          </w:p>
        </w:tc>
        <w:tc>
          <w:tcPr>
            <w:tcW w:w="7320" w:type="dxa"/>
            <w:vAlign w:val="bottom"/>
          </w:tcPr>
          <w:p>
            <w:pPr>
              <w:jc w:val="center"/>
              <w:ind w:right="1715"/>
              <w:spacing w:after="0"/>
              <w:rPr>
                <w:sz w:val="20"/>
                <w:szCs w:val="20"/>
                <w:color w:val="auto"/>
              </w:rPr>
            </w:pPr>
            <w:r>
              <w:rPr>
                <w:rFonts w:ascii="Arial" w:cs="Arial" w:eastAsia="Arial" w:hAnsi="Arial"/>
                <w:sz w:val="24"/>
                <w:szCs w:val="24"/>
                <w:b w:val="1"/>
                <w:bCs w:val="1"/>
                <w:color w:val="auto"/>
              </w:rPr>
              <w:t>2008 LONG TERM INCENTIVE PLAN</w:t>
            </w:r>
          </w:p>
        </w:tc>
      </w:tr>
      <w:tr>
        <w:trPr>
          <w:trHeight w:val="513"/>
        </w:trPr>
        <w:tc>
          <w:tcPr>
            <w:tcW w:w="1800" w:type="dxa"/>
            <w:vAlign w:val="bottom"/>
          </w:tcPr>
          <w:p>
            <w:pPr>
              <w:spacing w:after="0"/>
              <w:rPr>
                <w:sz w:val="24"/>
                <w:szCs w:val="24"/>
                <w:color w:val="auto"/>
              </w:rPr>
            </w:pPr>
          </w:p>
        </w:tc>
        <w:tc>
          <w:tcPr>
            <w:tcW w:w="7320" w:type="dxa"/>
            <w:vAlign w:val="bottom"/>
          </w:tcPr>
          <w:p>
            <w:pPr>
              <w:jc w:val="center"/>
              <w:ind w:right="1695"/>
              <w:spacing w:after="0"/>
              <w:rPr>
                <w:sz w:val="20"/>
                <w:szCs w:val="20"/>
                <w:color w:val="auto"/>
              </w:rPr>
            </w:pPr>
            <w:r>
              <w:rPr>
                <w:rFonts w:ascii="Arial" w:cs="Arial" w:eastAsia="Arial" w:hAnsi="Arial"/>
                <w:sz w:val="24"/>
                <w:szCs w:val="24"/>
                <w:b w:val="1"/>
                <w:bCs w:val="1"/>
                <w:color w:val="auto"/>
                <w:w w:val="92"/>
              </w:rPr>
              <w:t>Year 2009 Restricted Stock Unit Award Agreement</w:t>
            </w:r>
          </w:p>
        </w:tc>
      </w:tr>
      <w:tr>
        <w:trPr>
          <w:trHeight w:val="286"/>
        </w:trPr>
        <w:tc>
          <w:tcPr>
            <w:tcW w:w="180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spacing w:after="0"/>
              <w:rPr>
                <w:sz w:val="24"/>
                <w:szCs w:val="24"/>
                <w:color w:val="auto"/>
              </w:rPr>
            </w:pPr>
          </w:p>
        </w:tc>
      </w:tr>
      <w:tr>
        <w:trPr>
          <w:trHeight w:val="88"/>
        </w:trPr>
        <w:tc>
          <w:tcPr>
            <w:tcW w:w="1800" w:type="dxa"/>
            <w:vAlign w:val="bottom"/>
            <w:tcBorders>
              <w:bottom w:val="single" w:sz="8" w:color="auto"/>
            </w:tcBorders>
          </w:tcPr>
          <w:p>
            <w:pPr>
              <w:spacing w:after="0"/>
              <w:rPr>
                <w:sz w:val="7"/>
                <w:szCs w:val="7"/>
                <w:color w:val="auto"/>
              </w:rPr>
            </w:pPr>
          </w:p>
        </w:tc>
        <w:tc>
          <w:tcPr>
            <w:tcW w:w="7320" w:type="dxa"/>
            <w:vAlign w:val="bottom"/>
            <w:tcBorders>
              <w:bottom w:val="single" w:sz="8" w:color="auto"/>
            </w:tcBorders>
          </w:tcPr>
          <w:p>
            <w:pPr>
              <w:spacing w:after="0"/>
              <w:rPr>
                <w:sz w:val="7"/>
                <w:szCs w:val="7"/>
                <w:color w:val="auto"/>
              </w:rPr>
            </w:pPr>
          </w:p>
        </w:tc>
      </w:tr>
      <w:tr>
        <w:trPr>
          <w:trHeight w:val="378"/>
        </w:trPr>
        <w:tc>
          <w:tcPr>
            <w:tcW w:w="1800" w:type="dxa"/>
            <w:vAlign w:val="bottom"/>
          </w:tcPr>
          <w:p>
            <w:pPr>
              <w:spacing w:after="0"/>
              <w:rPr>
                <w:sz w:val="20"/>
                <w:szCs w:val="20"/>
                <w:color w:val="auto"/>
              </w:rPr>
            </w:pPr>
            <w:r>
              <w:rPr>
                <w:rFonts w:ascii="Arial" w:cs="Arial" w:eastAsia="Arial" w:hAnsi="Arial"/>
                <w:sz w:val="21"/>
                <w:szCs w:val="21"/>
                <w:b w:val="1"/>
                <w:bCs w:val="1"/>
                <w:color w:val="auto"/>
              </w:rPr>
              <w:t>Award:</w:t>
            </w:r>
          </w:p>
        </w:tc>
        <w:tc>
          <w:tcPr>
            <w:tcW w:w="7320" w:type="dxa"/>
            <w:vAlign w:val="bottom"/>
          </w:tcPr>
          <w:p>
            <w:pPr>
              <w:ind w:left="820"/>
              <w:spacing w:after="0"/>
              <w:rPr>
                <w:sz w:val="20"/>
                <w:szCs w:val="20"/>
                <w:color w:val="auto"/>
              </w:rPr>
            </w:pPr>
            <w:r>
              <w:rPr>
                <w:rFonts w:ascii="Arial" w:cs="Arial" w:eastAsia="Arial" w:hAnsi="Arial"/>
                <w:sz w:val="21"/>
                <w:szCs w:val="21"/>
                <w:color w:val="auto"/>
                <w:w w:val="88"/>
              </w:rPr>
              <w:t>You have been granted a performance-based restricted stock unit award under</w:t>
            </w:r>
          </w:p>
        </w:tc>
      </w:tr>
      <w:tr>
        <w:trPr>
          <w:trHeight w:val="243"/>
        </w:trPr>
        <w:tc>
          <w:tcPr>
            <w:tcW w:w="1800" w:type="dxa"/>
            <w:vAlign w:val="bottom"/>
          </w:tcPr>
          <w:p>
            <w:pPr>
              <w:spacing w:after="0"/>
              <w:rPr>
                <w:sz w:val="21"/>
                <w:szCs w:val="21"/>
                <w:color w:val="auto"/>
              </w:rPr>
            </w:pPr>
          </w:p>
        </w:tc>
        <w:tc>
          <w:tcPr>
            <w:tcW w:w="7320" w:type="dxa"/>
            <w:vAlign w:val="bottom"/>
          </w:tcPr>
          <w:p>
            <w:pPr>
              <w:ind w:left="820"/>
              <w:spacing w:after="0"/>
              <w:rPr>
                <w:sz w:val="20"/>
                <w:szCs w:val="20"/>
                <w:color w:val="auto"/>
              </w:rPr>
            </w:pPr>
            <w:r>
              <w:rPr>
                <w:rFonts w:ascii="Arial" w:cs="Arial" w:eastAsia="Arial" w:hAnsi="Arial"/>
                <w:sz w:val="21"/>
                <w:szCs w:val="21"/>
                <w:color w:val="auto"/>
                <w:w w:val="91"/>
              </w:rPr>
              <w:t>Sempra Energy’s 2008 Long Term Incentive Plan. The award consists of the</w:t>
            </w:r>
          </w:p>
        </w:tc>
      </w:tr>
      <w:tr>
        <w:trPr>
          <w:trHeight w:val="243"/>
        </w:trPr>
        <w:tc>
          <w:tcPr>
            <w:tcW w:w="1800" w:type="dxa"/>
            <w:vAlign w:val="bottom"/>
          </w:tcPr>
          <w:p>
            <w:pPr>
              <w:spacing w:after="0"/>
              <w:rPr>
                <w:sz w:val="21"/>
                <w:szCs w:val="21"/>
                <w:color w:val="auto"/>
              </w:rPr>
            </w:pPr>
          </w:p>
        </w:tc>
        <w:tc>
          <w:tcPr>
            <w:tcW w:w="7320" w:type="dxa"/>
            <w:vAlign w:val="bottom"/>
          </w:tcPr>
          <w:p>
            <w:pPr>
              <w:ind w:left="820"/>
              <w:spacing w:after="0"/>
              <w:rPr>
                <w:sz w:val="20"/>
                <w:szCs w:val="20"/>
                <w:color w:val="auto"/>
              </w:rPr>
            </w:pPr>
            <w:r>
              <w:rPr>
                <w:rFonts w:ascii="Arial" w:cs="Arial" w:eastAsia="Arial" w:hAnsi="Arial"/>
                <w:sz w:val="21"/>
                <w:szCs w:val="21"/>
                <w:color w:val="auto"/>
                <w:w w:val="91"/>
              </w:rPr>
              <w:t>number of restricted stock units set forth on the Cover Page/Summary to this</w:t>
            </w:r>
          </w:p>
        </w:tc>
      </w:tr>
      <w:tr>
        <w:trPr>
          <w:trHeight w:val="243"/>
        </w:trPr>
        <w:tc>
          <w:tcPr>
            <w:tcW w:w="1800" w:type="dxa"/>
            <w:vAlign w:val="bottom"/>
          </w:tcPr>
          <w:p>
            <w:pPr>
              <w:spacing w:after="0"/>
              <w:rPr>
                <w:sz w:val="21"/>
                <w:szCs w:val="21"/>
                <w:color w:val="auto"/>
              </w:rPr>
            </w:pPr>
          </w:p>
        </w:tc>
        <w:tc>
          <w:tcPr>
            <w:tcW w:w="7320" w:type="dxa"/>
            <w:vAlign w:val="bottom"/>
          </w:tcPr>
          <w:p>
            <w:pPr>
              <w:ind w:left="820"/>
              <w:spacing w:after="0"/>
              <w:rPr>
                <w:sz w:val="20"/>
                <w:szCs w:val="20"/>
                <w:color w:val="auto"/>
              </w:rPr>
            </w:pPr>
            <w:r>
              <w:rPr>
                <w:rFonts w:ascii="Arial" w:cs="Arial" w:eastAsia="Arial" w:hAnsi="Arial"/>
                <w:sz w:val="21"/>
                <w:szCs w:val="21"/>
                <w:color w:val="auto"/>
                <w:w w:val="90"/>
              </w:rPr>
              <w:t>Agreement, and dividend equivalents with respect to the restricted stock units</w:t>
            </w:r>
          </w:p>
        </w:tc>
      </w:tr>
      <w:tr>
        <w:trPr>
          <w:trHeight w:val="264"/>
        </w:trPr>
        <w:tc>
          <w:tcPr>
            <w:tcW w:w="1800" w:type="dxa"/>
            <w:vAlign w:val="bottom"/>
          </w:tcPr>
          <w:p>
            <w:pPr>
              <w:spacing w:after="0"/>
              <w:rPr>
                <w:sz w:val="22"/>
                <w:szCs w:val="22"/>
                <w:color w:val="auto"/>
              </w:rPr>
            </w:pPr>
          </w:p>
        </w:tc>
        <w:tc>
          <w:tcPr>
            <w:tcW w:w="7320" w:type="dxa"/>
            <w:vAlign w:val="bottom"/>
          </w:tcPr>
          <w:p>
            <w:pPr>
              <w:ind w:left="820"/>
              <w:spacing w:after="0"/>
              <w:rPr>
                <w:sz w:val="20"/>
                <w:szCs w:val="20"/>
                <w:color w:val="auto"/>
              </w:rPr>
            </w:pPr>
            <w:r>
              <w:rPr>
                <w:rFonts w:ascii="Arial" w:cs="Arial" w:eastAsia="Arial" w:hAnsi="Arial"/>
                <w:sz w:val="21"/>
                <w:szCs w:val="21"/>
                <w:color w:val="auto"/>
              </w:rPr>
              <w:t>(described below).</w:t>
            </w:r>
          </w:p>
        </w:tc>
      </w:tr>
      <w:tr>
        <w:trPr>
          <w:trHeight w:val="438"/>
        </w:trPr>
        <w:tc>
          <w:tcPr>
            <w:tcW w:w="1800" w:type="dxa"/>
            <w:vAlign w:val="bottom"/>
          </w:tcPr>
          <w:p>
            <w:pPr>
              <w:spacing w:after="0"/>
              <w:rPr>
                <w:sz w:val="24"/>
                <w:szCs w:val="24"/>
                <w:color w:val="auto"/>
              </w:rPr>
            </w:pPr>
          </w:p>
        </w:tc>
        <w:tc>
          <w:tcPr>
            <w:tcW w:w="7320" w:type="dxa"/>
            <w:vAlign w:val="bottom"/>
          </w:tcPr>
          <w:p>
            <w:pPr>
              <w:ind w:left="820"/>
              <w:spacing w:after="0"/>
              <w:rPr>
                <w:sz w:val="20"/>
                <w:szCs w:val="20"/>
                <w:color w:val="auto"/>
              </w:rPr>
            </w:pPr>
            <w:r>
              <w:rPr>
                <w:rFonts w:ascii="Arial" w:cs="Arial" w:eastAsia="Arial" w:hAnsi="Arial"/>
                <w:sz w:val="21"/>
                <w:szCs w:val="21"/>
                <w:color w:val="auto"/>
                <w:w w:val="92"/>
              </w:rPr>
              <w:t>Your restricted stock units represent the right to receive shares of Common</w:t>
            </w:r>
          </w:p>
        </w:tc>
      </w:tr>
      <w:tr>
        <w:trPr>
          <w:trHeight w:val="243"/>
        </w:trPr>
        <w:tc>
          <w:tcPr>
            <w:tcW w:w="1800" w:type="dxa"/>
            <w:vAlign w:val="bottom"/>
          </w:tcPr>
          <w:p>
            <w:pPr>
              <w:spacing w:after="0"/>
              <w:rPr>
                <w:sz w:val="21"/>
                <w:szCs w:val="21"/>
                <w:color w:val="auto"/>
              </w:rPr>
            </w:pPr>
          </w:p>
        </w:tc>
        <w:tc>
          <w:tcPr>
            <w:tcW w:w="7320" w:type="dxa"/>
            <w:vAlign w:val="bottom"/>
          </w:tcPr>
          <w:p>
            <w:pPr>
              <w:ind w:left="820"/>
              <w:spacing w:after="0"/>
              <w:rPr>
                <w:sz w:val="20"/>
                <w:szCs w:val="20"/>
                <w:color w:val="auto"/>
              </w:rPr>
            </w:pPr>
            <w:r>
              <w:rPr>
                <w:rFonts w:ascii="Arial" w:cs="Arial" w:eastAsia="Arial" w:hAnsi="Arial"/>
                <w:sz w:val="21"/>
                <w:szCs w:val="21"/>
                <w:color w:val="auto"/>
                <w:w w:val="93"/>
              </w:rPr>
              <w:t>Stock in the future, subject to the terms and conditions of your award. Your</w:t>
            </w:r>
          </w:p>
        </w:tc>
      </w:tr>
      <w:tr>
        <w:trPr>
          <w:trHeight w:val="264"/>
        </w:trPr>
        <w:tc>
          <w:tcPr>
            <w:tcW w:w="1800" w:type="dxa"/>
            <w:vAlign w:val="bottom"/>
          </w:tcPr>
          <w:p>
            <w:pPr>
              <w:spacing w:after="0"/>
              <w:rPr>
                <w:sz w:val="22"/>
                <w:szCs w:val="22"/>
                <w:color w:val="auto"/>
              </w:rPr>
            </w:pPr>
          </w:p>
        </w:tc>
        <w:tc>
          <w:tcPr>
            <w:tcW w:w="7320" w:type="dxa"/>
            <w:vAlign w:val="bottom"/>
          </w:tcPr>
          <w:p>
            <w:pPr>
              <w:ind w:left="820"/>
              <w:spacing w:after="0"/>
              <w:rPr>
                <w:sz w:val="20"/>
                <w:szCs w:val="20"/>
                <w:color w:val="auto"/>
              </w:rPr>
            </w:pPr>
            <w:r>
              <w:rPr>
                <w:rFonts w:ascii="Arial" w:cs="Arial" w:eastAsia="Arial" w:hAnsi="Arial"/>
                <w:sz w:val="21"/>
                <w:szCs w:val="21"/>
                <w:color w:val="auto"/>
              </w:rPr>
              <w:t>restricted stock units are not shares of Common Stock.</w:t>
            </w:r>
          </w:p>
        </w:tc>
      </w:tr>
      <w:tr>
        <w:trPr>
          <w:trHeight w:val="438"/>
        </w:trPr>
        <w:tc>
          <w:tcPr>
            <w:tcW w:w="1800" w:type="dxa"/>
            <w:vAlign w:val="bottom"/>
          </w:tcPr>
          <w:p>
            <w:pPr>
              <w:spacing w:after="0"/>
              <w:rPr>
                <w:sz w:val="24"/>
                <w:szCs w:val="24"/>
                <w:color w:val="auto"/>
              </w:rPr>
            </w:pPr>
          </w:p>
        </w:tc>
        <w:tc>
          <w:tcPr>
            <w:tcW w:w="7320" w:type="dxa"/>
            <w:vAlign w:val="bottom"/>
          </w:tcPr>
          <w:p>
            <w:pPr>
              <w:ind w:left="820"/>
              <w:spacing w:after="0"/>
              <w:rPr>
                <w:sz w:val="20"/>
                <w:szCs w:val="20"/>
                <w:color w:val="auto"/>
              </w:rPr>
            </w:pPr>
            <w:r>
              <w:rPr>
                <w:rFonts w:ascii="Arial" w:cs="Arial" w:eastAsia="Arial" w:hAnsi="Arial"/>
                <w:sz w:val="21"/>
                <w:szCs w:val="21"/>
                <w:color w:val="auto"/>
              </w:rPr>
              <w:t>Each restricted stock unit represents the right to receive one share of</w:t>
            </w:r>
          </w:p>
        </w:tc>
      </w:tr>
      <w:tr>
        <w:trPr>
          <w:trHeight w:val="264"/>
        </w:trPr>
        <w:tc>
          <w:tcPr>
            <w:tcW w:w="1800" w:type="dxa"/>
            <w:vAlign w:val="bottom"/>
          </w:tcPr>
          <w:p>
            <w:pPr>
              <w:spacing w:after="0"/>
              <w:rPr>
                <w:sz w:val="22"/>
                <w:szCs w:val="22"/>
                <w:color w:val="auto"/>
              </w:rPr>
            </w:pPr>
          </w:p>
        </w:tc>
        <w:tc>
          <w:tcPr>
            <w:tcW w:w="7320" w:type="dxa"/>
            <w:vAlign w:val="bottom"/>
          </w:tcPr>
          <w:p>
            <w:pPr>
              <w:ind w:left="820"/>
              <w:spacing w:after="0"/>
              <w:rPr>
                <w:sz w:val="20"/>
                <w:szCs w:val="20"/>
                <w:color w:val="auto"/>
              </w:rPr>
            </w:pPr>
            <w:r>
              <w:rPr>
                <w:rFonts w:ascii="Arial" w:cs="Arial" w:eastAsia="Arial" w:hAnsi="Arial"/>
                <w:sz w:val="21"/>
                <w:szCs w:val="21"/>
                <w:color w:val="auto"/>
              </w:rPr>
              <w:t>Common Stock upon the vesting of the unit.</w:t>
            </w:r>
          </w:p>
        </w:tc>
      </w:tr>
      <w:tr>
        <w:trPr>
          <w:trHeight w:val="438"/>
        </w:trPr>
        <w:tc>
          <w:tcPr>
            <w:tcW w:w="1800" w:type="dxa"/>
            <w:vAlign w:val="bottom"/>
          </w:tcPr>
          <w:p>
            <w:pPr>
              <w:spacing w:after="0"/>
              <w:rPr>
                <w:sz w:val="24"/>
                <w:szCs w:val="24"/>
                <w:color w:val="auto"/>
              </w:rPr>
            </w:pPr>
          </w:p>
        </w:tc>
        <w:tc>
          <w:tcPr>
            <w:tcW w:w="7320" w:type="dxa"/>
            <w:vAlign w:val="bottom"/>
          </w:tcPr>
          <w:p>
            <w:pPr>
              <w:ind w:left="820"/>
              <w:spacing w:after="0"/>
              <w:rPr>
                <w:sz w:val="20"/>
                <w:szCs w:val="20"/>
                <w:color w:val="auto"/>
              </w:rPr>
            </w:pPr>
            <w:r>
              <w:rPr>
                <w:rFonts w:ascii="Arial" w:cs="Arial" w:eastAsia="Arial" w:hAnsi="Arial"/>
                <w:sz w:val="21"/>
                <w:szCs w:val="21"/>
                <w:color w:val="auto"/>
                <w:w w:val="99"/>
              </w:rPr>
              <w:t>Unless and until they vest, your restricted stock units and any dividend</w:t>
            </w:r>
          </w:p>
        </w:tc>
      </w:tr>
      <w:tr>
        <w:trPr>
          <w:trHeight w:val="243"/>
        </w:trPr>
        <w:tc>
          <w:tcPr>
            <w:tcW w:w="1800" w:type="dxa"/>
            <w:vAlign w:val="bottom"/>
          </w:tcPr>
          <w:p>
            <w:pPr>
              <w:spacing w:after="0"/>
              <w:rPr>
                <w:sz w:val="21"/>
                <w:szCs w:val="21"/>
                <w:color w:val="auto"/>
              </w:rPr>
            </w:pPr>
          </w:p>
        </w:tc>
        <w:tc>
          <w:tcPr>
            <w:tcW w:w="7320" w:type="dxa"/>
            <w:vAlign w:val="bottom"/>
          </w:tcPr>
          <w:p>
            <w:pPr>
              <w:ind w:left="820"/>
              <w:spacing w:after="0"/>
              <w:rPr>
                <w:sz w:val="20"/>
                <w:szCs w:val="20"/>
                <w:color w:val="auto"/>
              </w:rPr>
            </w:pPr>
            <w:r>
              <w:rPr>
                <w:rFonts w:ascii="Arial" w:cs="Arial" w:eastAsia="Arial" w:hAnsi="Arial"/>
                <w:sz w:val="21"/>
                <w:szCs w:val="21"/>
                <w:color w:val="auto"/>
                <w:w w:val="93"/>
              </w:rPr>
              <w:t>equivalents (as described below) will be subject to transfer restrictions and</w:t>
            </w:r>
          </w:p>
        </w:tc>
      </w:tr>
      <w:tr>
        <w:trPr>
          <w:trHeight w:val="264"/>
        </w:trPr>
        <w:tc>
          <w:tcPr>
            <w:tcW w:w="1800" w:type="dxa"/>
            <w:vAlign w:val="bottom"/>
          </w:tcPr>
          <w:p>
            <w:pPr>
              <w:spacing w:after="0"/>
              <w:rPr>
                <w:sz w:val="22"/>
                <w:szCs w:val="22"/>
                <w:color w:val="auto"/>
              </w:rPr>
            </w:pPr>
          </w:p>
        </w:tc>
        <w:tc>
          <w:tcPr>
            <w:tcW w:w="7320" w:type="dxa"/>
            <w:vAlign w:val="bottom"/>
          </w:tcPr>
          <w:p>
            <w:pPr>
              <w:ind w:left="820"/>
              <w:spacing w:after="0"/>
              <w:rPr>
                <w:sz w:val="20"/>
                <w:szCs w:val="20"/>
                <w:color w:val="auto"/>
              </w:rPr>
            </w:pPr>
            <w:r>
              <w:rPr>
                <w:rFonts w:ascii="Arial" w:cs="Arial" w:eastAsia="Arial" w:hAnsi="Arial"/>
                <w:sz w:val="21"/>
                <w:szCs w:val="21"/>
                <w:color w:val="auto"/>
              </w:rPr>
              <w:t>forfeiture and vesting conditions.</w:t>
            </w:r>
          </w:p>
        </w:tc>
      </w:tr>
      <w:tr>
        <w:trPr>
          <w:trHeight w:val="330"/>
        </w:trPr>
        <w:tc>
          <w:tcPr>
            <w:tcW w:w="1800" w:type="dxa"/>
            <w:vAlign w:val="bottom"/>
          </w:tcPr>
          <w:p>
            <w:pPr>
              <w:spacing w:after="0"/>
              <w:rPr>
                <w:sz w:val="24"/>
                <w:szCs w:val="24"/>
                <w:color w:val="auto"/>
              </w:rPr>
            </w:pPr>
          </w:p>
        </w:tc>
        <w:tc>
          <w:tcPr>
            <w:tcW w:w="7320" w:type="dxa"/>
            <w:vAlign w:val="bottom"/>
          </w:tcPr>
          <w:p>
            <w:pPr>
              <w:ind w:left="820"/>
              <w:spacing w:after="0"/>
              <w:rPr>
                <w:sz w:val="20"/>
                <w:szCs w:val="20"/>
                <w:color w:val="auto"/>
              </w:rPr>
            </w:pPr>
            <w:r>
              <w:rPr>
                <w:rFonts w:ascii="Arial" w:cs="Arial" w:eastAsia="Arial" w:hAnsi="Arial"/>
                <w:sz w:val="21"/>
                <w:szCs w:val="21"/>
                <w:color w:val="auto"/>
                <w:w w:val="91"/>
              </w:rPr>
              <w:t>Your restricted stock units (and dividend equivalents) will vest only upon and</w:t>
            </w:r>
          </w:p>
        </w:tc>
      </w:tr>
      <w:tr>
        <w:trPr>
          <w:trHeight w:val="243"/>
        </w:trPr>
        <w:tc>
          <w:tcPr>
            <w:tcW w:w="1800" w:type="dxa"/>
            <w:vAlign w:val="bottom"/>
          </w:tcPr>
          <w:p>
            <w:pPr>
              <w:spacing w:after="0"/>
              <w:rPr>
                <w:sz w:val="21"/>
                <w:szCs w:val="21"/>
                <w:color w:val="auto"/>
              </w:rPr>
            </w:pPr>
          </w:p>
        </w:tc>
        <w:tc>
          <w:tcPr>
            <w:tcW w:w="7320" w:type="dxa"/>
            <w:vAlign w:val="bottom"/>
          </w:tcPr>
          <w:p>
            <w:pPr>
              <w:ind w:left="820"/>
              <w:spacing w:after="0"/>
              <w:rPr>
                <w:sz w:val="20"/>
                <w:szCs w:val="20"/>
                <w:color w:val="auto"/>
              </w:rPr>
            </w:pPr>
            <w:r>
              <w:rPr>
                <w:rFonts w:ascii="Arial" w:cs="Arial" w:eastAsia="Arial" w:hAnsi="Arial"/>
                <w:sz w:val="21"/>
                <w:szCs w:val="21"/>
                <w:color w:val="auto"/>
                <w:w w:val="96"/>
              </w:rPr>
              <w:t>only to the extent that the Compensation Committee of Sempra Energy's</w:t>
            </w:r>
          </w:p>
        </w:tc>
      </w:tr>
      <w:tr>
        <w:trPr>
          <w:trHeight w:val="243"/>
        </w:trPr>
        <w:tc>
          <w:tcPr>
            <w:tcW w:w="1800" w:type="dxa"/>
            <w:vAlign w:val="bottom"/>
          </w:tcPr>
          <w:p>
            <w:pPr>
              <w:spacing w:after="0"/>
              <w:rPr>
                <w:sz w:val="21"/>
                <w:szCs w:val="21"/>
                <w:color w:val="auto"/>
              </w:rPr>
            </w:pPr>
          </w:p>
        </w:tc>
        <w:tc>
          <w:tcPr>
            <w:tcW w:w="7320" w:type="dxa"/>
            <w:vAlign w:val="bottom"/>
          </w:tcPr>
          <w:p>
            <w:pPr>
              <w:ind w:left="820"/>
              <w:spacing w:after="0"/>
              <w:rPr>
                <w:sz w:val="20"/>
                <w:szCs w:val="20"/>
                <w:color w:val="auto"/>
              </w:rPr>
            </w:pPr>
            <w:r>
              <w:rPr>
                <w:rFonts w:ascii="Arial" w:cs="Arial" w:eastAsia="Arial" w:hAnsi="Arial"/>
                <w:sz w:val="21"/>
                <w:szCs w:val="21"/>
                <w:color w:val="auto"/>
                <w:w w:val="96"/>
              </w:rPr>
              <w:t>Board of Directors determines and certifies that Sempra Energy has met</w:t>
            </w:r>
          </w:p>
        </w:tc>
      </w:tr>
      <w:tr>
        <w:trPr>
          <w:trHeight w:val="243"/>
        </w:trPr>
        <w:tc>
          <w:tcPr>
            <w:tcW w:w="1800" w:type="dxa"/>
            <w:vAlign w:val="bottom"/>
          </w:tcPr>
          <w:p>
            <w:pPr>
              <w:spacing w:after="0"/>
              <w:rPr>
                <w:sz w:val="21"/>
                <w:szCs w:val="21"/>
                <w:color w:val="auto"/>
              </w:rPr>
            </w:pPr>
          </w:p>
        </w:tc>
        <w:tc>
          <w:tcPr>
            <w:tcW w:w="7320" w:type="dxa"/>
            <w:vAlign w:val="bottom"/>
          </w:tcPr>
          <w:p>
            <w:pPr>
              <w:ind w:left="820"/>
              <w:spacing w:after="0"/>
              <w:rPr>
                <w:sz w:val="20"/>
                <w:szCs w:val="20"/>
                <w:color w:val="auto"/>
              </w:rPr>
            </w:pPr>
            <w:r>
              <w:rPr>
                <w:rFonts w:ascii="Arial" w:cs="Arial" w:eastAsia="Arial" w:hAnsi="Arial"/>
                <w:sz w:val="21"/>
                <w:szCs w:val="21"/>
                <w:color w:val="auto"/>
              </w:rPr>
              <w:t>specified total shareholder return criteria for the performance period</w:t>
            </w:r>
          </w:p>
        </w:tc>
      </w:tr>
      <w:tr>
        <w:trPr>
          <w:trHeight w:val="243"/>
        </w:trPr>
        <w:tc>
          <w:tcPr>
            <w:tcW w:w="1800" w:type="dxa"/>
            <w:vAlign w:val="bottom"/>
          </w:tcPr>
          <w:p>
            <w:pPr>
              <w:spacing w:after="0"/>
              <w:rPr>
                <w:sz w:val="21"/>
                <w:szCs w:val="21"/>
                <w:color w:val="auto"/>
              </w:rPr>
            </w:pPr>
          </w:p>
        </w:tc>
        <w:tc>
          <w:tcPr>
            <w:tcW w:w="7320" w:type="dxa"/>
            <w:vAlign w:val="bottom"/>
          </w:tcPr>
          <w:p>
            <w:pPr>
              <w:ind w:left="820"/>
              <w:spacing w:after="0"/>
              <w:rPr>
                <w:sz w:val="20"/>
                <w:szCs w:val="20"/>
                <w:color w:val="auto"/>
              </w:rPr>
            </w:pPr>
            <w:r>
              <w:rPr>
                <w:rFonts w:ascii="Arial" w:cs="Arial" w:eastAsia="Arial" w:hAnsi="Arial"/>
                <w:sz w:val="21"/>
                <w:szCs w:val="21"/>
                <w:color w:val="auto"/>
                <w:w w:val="91"/>
              </w:rPr>
              <w:t>beginning January 1, 2009 and ending in January 2013. Any restricted stock</w:t>
            </w:r>
          </w:p>
        </w:tc>
      </w:tr>
      <w:tr>
        <w:trPr>
          <w:trHeight w:val="243"/>
        </w:trPr>
        <w:tc>
          <w:tcPr>
            <w:tcW w:w="1800" w:type="dxa"/>
            <w:vAlign w:val="bottom"/>
          </w:tcPr>
          <w:p>
            <w:pPr>
              <w:spacing w:after="0"/>
              <w:rPr>
                <w:sz w:val="21"/>
                <w:szCs w:val="21"/>
                <w:color w:val="auto"/>
              </w:rPr>
            </w:pPr>
          </w:p>
        </w:tc>
        <w:tc>
          <w:tcPr>
            <w:tcW w:w="7320" w:type="dxa"/>
            <w:vAlign w:val="bottom"/>
          </w:tcPr>
          <w:p>
            <w:pPr>
              <w:ind w:left="820"/>
              <w:spacing w:after="0"/>
              <w:rPr>
                <w:sz w:val="20"/>
                <w:szCs w:val="20"/>
                <w:color w:val="auto"/>
              </w:rPr>
            </w:pPr>
            <w:r>
              <w:rPr>
                <w:rFonts w:ascii="Arial" w:cs="Arial" w:eastAsia="Arial" w:hAnsi="Arial"/>
                <w:sz w:val="21"/>
                <w:szCs w:val="21"/>
                <w:color w:val="auto"/>
                <w:w w:val="96"/>
              </w:rPr>
              <w:t>units (and dividend equivalents) that do not vest upon the Compensation</w:t>
            </w:r>
          </w:p>
        </w:tc>
      </w:tr>
      <w:tr>
        <w:trPr>
          <w:trHeight w:val="264"/>
        </w:trPr>
        <w:tc>
          <w:tcPr>
            <w:tcW w:w="1800" w:type="dxa"/>
            <w:vAlign w:val="bottom"/>
          </w:tcPr>
          <w:p>
            <w:pPr>
              <w:spacing w:after="0"/>
              <w:rPr>
                <w:sz w:val="22"/>
                <w:szCs w:val="22"/>
                <w:color w:val="auto"/>
              </w:rPr>
            </w:pPr>
          </w:p>
        </w:tc>
        <w:tc>
          <w:tcPr>
            <w:tcW w:w="7320" w:type="dxa"/>
            <w:vAlign w:val="bottom"/>
          </w:tcPr>
          <w:p>
            <w:pPr>
              <w:ind w:left="820"/>
              <w:spacing w:after="0"/>
              <w:rPr>
                <w:sz w:val="20"/>
                <w:szCs w:val="20"/>
                <w:color w:val="auto"/>
              </w:rPr>
            </w:pPr>
            <w:r>
              <w:rPr>
                <w:rFonts w:ascii="Arial" w:cs="Arial" w:eastAsia="Arial" w:hAnsi="Arial"/>
                <w:sz w:val="21"/>
                <w:szCs w:val="21"/>
                <w:color w:val="auto"/>
              </w:rPr>
              <w:t>Committee's determination and certification will be forfeited.</w:t>
            </w:r>
          </w:p>
        </w:tc>
      </w:tr>
      <w:tr>
        <w:trPr>
          <w:trHeight w:val="330"/>
        </w:trPr>
        <w:tc>
          <w:tcPr>
            <w:tcW w:w="1800" w:type="dxa"/>
            <w:vAlign w:val="bottom"/>
          </w:tcPr>
          <w:p>
            <w:pPr>
              <w:spacing w:after="0"/>
              <w:rPr>
                <w:sz w:val="24"/>
                <w:szCs w:val="24"/>
                <w:color w:val="auto"/>
              </w:rPr>
            </w:pPr>
          </w:p>
        </w:tc>
        <w:tc>
          <w:tcPr>
            <w:tcW w:w="7320" w:type="dxa"/>
            <w:vAlign w:val="bottom"/>
          </w:tcPr>
          <w:p>
            <w:pPr>
              <w:ind w:left="820"/>
              <w:spacing w:after="0"/>
              <w:rPr>
                <w:sz w:val="20"/>
                <w:szCs w:val="20"/>
                <w:color w:val="auto"/>
              </w:rPr>
            </w:pPr>
            <w:r>
              <w:rPr>
                <w:rFonts w:ascii="Arial" w:cs="Arial" w:eastAsia="Arial" w:hAnsi="Arial"/>
                <w:sz w:val="21"/>
                <w:szCs w:val="21"/>
                <w:color w:val="auto"/>
                <w:w w:val="91"/>
              </w:rPr>
              <w:t>Your restricted stock units (and dividend equivalents) also may be forfeited if</w:t>
            </w:r>
          </w:p>
        </w:tc>
      </w:tr>
      <w:tr>
        <w:trPr>
          <w:trHeight w:val="264"/>
        </w:trPr>
        <w:tc>
          <w:tcPr>
            <w:tcW w:w="1800" w:type="dxa"/>
            <w:vAlign w:val="bottom"/>
          </w:tcPr>
          <w:p>
            <w:pPr>
              <w:spacing w:after="0"/>
              <w:rPr>
                <w:sz w:val="22"/>
                <w:szCs w:val="22"/>
                <w:color w:val="auto"/>
              </w:rPr>
            </w:pPr>
          </w:p>
        </w:tc>
        <w:tc>
          <w:tcPr>
            <w:tcW w:w="7320" w:type="dxa"/>
            <w:vAlign w:val="bottom"/>
          </w:tcPr>
          <w:p>
            <w:pPr>
              <w:ind w:left="820"/>
              <w:spacing w:after="0"/>
              <w:rPr>
                <w:sz w:val="20"/>
                <w:szCs w:val="20"/>
                <w:color w:val="auto"/>
              </w:rPr>
            </w:pPr>
            <w:r>
              <w:rPr>
                <w:rFonts w:ascii="Arial" w:cs="Arial" w:eastAsia="Arial" w:hAnsi="Arial"/>
                <w:sz w:val="21"/>
                <w:szCs w:val="21"/>
                <w:color w:val="auto"/>
              </w:rPr>
              <w:t>your employment terminates before they vest.</w:t>
            </w:r>
          </w:p>
        </w:tc>
      </w:tr>
      <w:tr>
        <w:trPr>
          <w:trHeight w:val="316"/>
        </w:trPr>
        <w:tc>
          <w:tcPr>
            <w:tcW w:w="1800" w:type="dxa"/>
            <w:vAlign w:val="bottom"/>
          </w:tcPr>
          <w:p>
            <w:pPr>
              <w:spacing w:after="0"/>
              <w:rPr>
                <w:sz w:val="24"/>
                <w:szCs w:val="24"/>
                <w:color w:val="auto"/>
              </w:rPr>
            </w:pPr>
          </w:p>
        </w:tc>
        <w:tc>
          <w:tcPr>
            <w:tcW w:w="7320" w:type="dxa"/>
            <w:vAlign w:val="bottom"/>
          </w:tcPr>
          <w:p>
            <w:pPr>
              <w:ind w:left="820"/>
              <w:spacing w:after="0"/>
              <w:rPr>
                <w:sz w:val="20"/>
                <w:szCs w:val="20"/>
                <w:color w:val="auto"/>
              </w:rPr>
            </w:pPr>
            <w:r>
              <w:rPr>
                <w:rFonts w:ascii="Arial" w:cs="Arial" w:eastAsia="Arial" w:hAnsi="Arial"/>
                <w:sz w:val="21"/>
                <w:szCs w:val="21"/>
                <w:color w:val="auto"/>
              </w:rPr>
              <w:t>See “Vesting/Forfeiture,” “Transfer Restrictions,” and “Termination of</w:t>
            </w:r>
          </w:p>
        </w:tc>
      </w:tr>
      <w:tr>
        <w:trPr>
          <w:trHeight w:val="264"/>
        </w:trPr>
        <w:tc>
          <w:tcPr>
            <w:tcW w:w="1800" w:type="dxa"/>
            <w:vAlign w:val="bottom"/>
          </w:tcPr>
          <w:p>
            <w:pPr>
              <w:spacing w:after="0"/>
              <w:rPr>
                <w:sz w:val="22"/>
                <w:szCs w:val="22"/>
                <w:color w:val="auto"/>
              </w:rPr>
            </w:pPr>
          </w:p>
        </w:tc>
        <w:tc>
          <w:tcPr>
            <w:tcW w:w="7320" w:type="dxa"/>
            <w:vAlign w:val="bottom"/>
          </w:tcPr>
          <w:p>
            <w:pPr>
              <w:ind w:left="820"/>
              <w:spacing w:after="0"/>
              <w:rPr>
                <w:sz w:val="20"/>
                <w:szCs w:val="20"/>
                <w:color w:val="auto"/>
              </w:rPr>
            </w:pPr>
            <w:r>
              <w:rPr>
                <w:rFonts w:ascii="Arial" w:cs="Arial" w:eastAsia="Arial" w:hAnsi="Arial"/>
                <w:sz w:val="21"/>
                <w:szCs w:val="21"/>
                <w:color w:val="auto"/>
              </w:rPr>
              <w:t>Employment” below.</w:t>
            </w:r>
          </w:p>
        </w:tc>
      </w:tr>
      <w:tr>
        <w:trPr>
          <w:trHeight w:val="492"/>
        </w:trPr>
        <w:tc>
          <w:tcPr>
            <w:tcW w:w="1800" w:type="dxa"/>
            <w:vAlign w:val="bottom"/>
          </w:tcPr>
          <w:p>
            <w:pPr>
              <w:spacing w:after="0"/>
              <w:rPr>
                <w:sz w:val="20"/>
                <w:szCs w:val="20"/>
                <w:color w:val="auto"/>
              </w:rPr>
            </w:pPr>
            <w:r>
              <w:rPr>
                <w:rFonts w:ascii="Arial" w:cs="Arial" w:eastAsia="Arial" w:hAnsi="Arial"/>
                <w:sz w:val="21"/>
                <w:szCs w:val="21"/>
                <w:b w:val="1"/>
                <w:bCs w:val="1"/>
                <w:color w:val="auto"/>
                <w:w w:val="95"/>
              </w:rPr>
              <w:t>Vesting/Forfeiture:</w:t>
            </w:r>
          </w:p>
        </w:tc>
        <w:tc>
          <w:tcPr>
            <w:tcW w:w="7320" w:type="dxa"/>
            <w:vAlign w:val="bottom"/>
          </w:tcPr>
          <w:p>
            <w:pPr>
              <w:ind w:left="820"/>
              <w:spacing w:after="0"/>
              <w:rPr>
                <w:sz w:val="20"/>
                <w:szCs w:val="20"/>
                <w:color w:val="auto"/>
              </w:rPr>
            </w:pPr>
            <w:r>
              <w:rPr>
                <w:rFonts w:ascii="Arial" w:cs="Arial" w:eastAsia="Arial" w:hAnsi="Arial"/>
                <w:sz w:val="21"/>
                <w:szCs w:val="21"/>
                <w:color w:val="auto"/>
                <w:w w:val="90"/>
              </w:rPr>
              <w:t>Your restricted stock units (and dividend equivalents, as described below) will</w:t>
            </w:r>
          </w:p>
        </w:tc>
      </w:tr>
      <w:tr>
        <w:trPr>
          <w:trHeight w:val="243"/>
        </w:trPr>
        <w:tc>
          <w:tcPr>
            <w:tcW w:w="1800" w:type="dxa"/>
            <w:vAlign w:val="bottom"/>
          </w:tcPr>
          <w:p>
            <w:pPr>
              <w:spacing w:after="0"/>
              <w:rPr>
                <w:sz w:val="21"/>
                <w:szCs w:val="21"/>
                <w:color w:val="auto"/>
              </w:rPr>
            </w:pPr>
          </w:p>
        </w:tc>
        <w:tc>
          <w:tcPr>
            <w:tcW w:w="7320" w:type="dxa"/>
            <w:vAlign w:val="bottom"/>
          </w:tcPr>
          <w:p>
            <w:pPr>
              <w:ind w:left="820"/>
              <w:spacing w:after="0"/>
              <w:rPr>
                <w:sz w:val="20"/>
                <w:szCs w:val="20"/>
                <w:color w:val="auto"/>
              </w:rPr>
            </w:pPr>
            <w:r>
              <w:rPr>
                <w:rFonts w:ascii="Arial" w:cs="Arial" w:eastAsia="Arial" w:hAnsi="Arial"/>
                <w:sz w:val="21"/>
                <w:szCs w:val="21"/>
                <w:color w:val="auto"/>
                <w:w w:val="93"/>
              </w:rPr>
              <w:t>vest only upon and only to the extent that the Compensation Committee of</w:t>
            </w:r>
          </w:p>
        </w:tc>
      </w:tr>
      <w:tr>
        <w:trPr>
          <w:trHeight w:val="243"/>
        </w:trPr>
        <w:tc>
          <w:tcPr>
            <w:tcW w:w="1800" w:type="dxa"/>
            <w:vAlign w:val="bottom"/>
          </w:tcPr>
          <w:p>
            <w:pPr>
              <w:spacing w:after="0"/>
              <w:rPr>
                <w:sz w:val="21"/>
                <w:szCs w:val="21"/>
                <w:color w:val="auto"/>
              </w:rPr>
            </w:pPr>
          </w:p>
        </w:tc>
        <w:tc>
          <w:tcPr>
            <w:tcW w:w="7320" w:type="dxa"/>
            <w:vAlign w:val="bottom"/>
          </w:tcPr>
          <w:p>
            <w:pPr>
              <w:ind w:left="820"/>
              <w:spacing w:after="0"/>
              <w:rPr>
                <w:sz w:val="20"/>
                <w:szCs w:val="20"/>
                <w:color w:val="auto"/>
              </w:rPr>
            </w:pPr>
            <w:r>
              <w:rPr>
                <w:rFonts w:ascii="Arial" w:cs="Arial" w:eastAsia="Arial" w:hAnsi="Arial"/>
                <w:sz w:val="21"/>
                <w:szCs w:val="21"/>
                <w:color w:val="auto"/>
                <w:w w:val="94"/>
              </w:rPr>
              <w:t>Sempra Energy's Board of Directors determines and certifies that Sempra</w:t>
            </w:r>
          </w:p>
        </w:tc>
      </w:tr>
      <w:tr>
        <w:trPr>
          <w:trHeight w:val="243"/>
        </w:trPr>
        <w:tc>
          <w:tcPr>
            <w:tcW w:w="1800" w:type="dxa"/>
            <w:vAlign w:val="bottom"/>
          </w:tcPr>
          <w:p>
            <w:pPr>
              <w:spacing w:after="0"/>
              <w:rPr>
                <w:sz w:val="21"/>
                <w:szCs w:val="21"/>
                <w:color w:val="auto"/>
              </w:rPr>
            </w:pPr>
          </w:p>
        </w:tc>
        <w:tc>
          <w:tcPr>
            <w:tcW w:w="7320" w:type="dxa"/>
            <w:vAlign w:val="bottom"/>
          </w:tcPr>
          <w:p>
            <w:pPr>
              <w:ind w:left="820"/>
              <w:spacing w:after="0"/>
              <w:rPr>
                <w:sz w:val="20"/>
                <w:szCs w:val="20"/>
                <w:color w:val="auto"/>
              </w:rPr>
            </w:pPr>
            <w:r>
              <w:rPr>
                <w:rFonts w:ascii="Arial" w:cs="Arial" w:eastAsia="Arial" w:hAnsi="Arial"/>
                <w:sz w:val="21"/>
                <w:szCs w:val="21"/>
                <w:color w:val="auto"/>
                <w:w w:val="90"/>
              </w:rPr>
              <w:t>Energy has met the following total shareholder return performance criteria for</w:t>
            </w:r>
          </w:p>
        </w:tc>
      </w:tr>
      <w:tr>
        <w:trPr>
          <w:trHeight w:val="243"/>
        </w:trPr>
        <w:tc>
          <w:tcPr>
            <w:tcW w:w="1800" w:type="dxa"/>
            <w:vAlign w:val="bottom"/>
          </w:tcPr>
          <w:p>
            <w:pPr>
              <w:spacing w:after="0"/>
              <w:rPr>
                <w:sz w:val="21"/>
                <w:szCs w:val="21"/>
                <w:color w:val="auto"/>
              </w:rPr>
            </w:pPr>
          </w:p>
        </w:tc>
        <w:tc>
          <w:tcPr>
            <w:tcW w:w="7320" w:type="dxa"/>
            <w:vAlign w:val="bottom"/>
          </w:tcPr>
          <w:p>
            <w:pPr>
              <w:ind w:left="820"/>
              <w:spacing w:after="0"/>
              <w:rPr>
                <w:sz w:val="20"/>
                <w:szCs w:val="20"/>
                <w:color w:val="auto"/>
              </w:rPr>
            </w:pPr>
            <w:r>
              <w:rPr>
                <w:rFonts w:ascii="Arial" w:cs="Arial" w:eastAsia="Arial" w:hAnsi="Arial"/>
                <w:sz w:val="21"/>
                <w:szCs w:val="21"/>
                <w:color w:val="auto"/>
                <w:w w:val="88"/>
              </w:rPr>
              <w:t>the performance period beginning on January 1, 2009 and ending on the close</w:t>
            </w:r>
          </w:p>
        </w:tc>
      </w:tr>
      <w:tr>
        <w:trPr>
          <w:trHeight w:val="264"/>
        </w:trPr>
        <w:tc>
          <w:tcPr>
            <w:tcW w:w="1800" w:type="dxa"/>
            <w:vAlign w:val="bottom"/>
          </w:tcPr>
          <w:p>
            <w:pPr>
              <w:spacing w:after="0"/>
              <w:rPr>
                <w:sz w:val="22"/>
                <w:szCs w:val="22"/>
                <w:color w:val="auto"/>
              </w:rPr>
            </w:pPr>
          </w:p>
        </w:tc>
        <w:tc>
          <w:tcPr>
            <w:tcW w:w="7320" w:type="dxa"/>
            <w:vAlign w:val="bottom"/>
          </w:tcPr>
          <w:p>
            <w:pPr>
              <w:ind w:left="820"/>
              <w:spacing w:after="0"/>
              <w:rPr>
                <w:sz w:val="20"/>
                <w:szCs w:val="20"/>
                <w:color w:val="auto"/>
              </w:rPr>
            </w:pPr>
            <w:r>
              <w:rPr>
                <w:rFonts w:ascii="Arial" w:cs="Arial" w:eastAsia="Arial" w:hAnsi="Arial"/>
                <w:sz w:val="21"/>
                <w:szCs w:val="21"/>
                <w:color w:val="auto"/>
              </w:rPr>
              <w:t>of trading on the first New York Stock Exchange trading day of 2013:</w:t>
            </w:r>
          </w:p>
        </w:tc>
      </w:tr>
      <w:tr>
        <w:trPr>
          <w:trHeight w:val="438"/>
        </w:trPr>
        <w:tc>
          <w:tcPr>
            <w:tcW w:w="1800" w:type="dxa"/>
            <w:vAlign w:val="bottom"/>
          </w:tcPr>
          <w:p>
            <w:pPr>
              <w:spacing w:after="0"/>
              <w:rPr>
                <w:sz w:val="24"/>
                <w:szCs w:val="24"/>
                <w:color w:val="auto"/>
              </w:rPr>
            </w:pPr>
          </w:p>
        </w:tc>
        <w:tc>
          <w:tcPr>
            <w:tcW w:w="7320" w:type="dxa"/>
            <w:vAlign w:val="bottom"/>
          </w:tcPr>
          <w:p>
            <w:pPr>
              <w:ind w:left="880"/>
              <w:spacing w:after="0"/>
              <w:rPr>
                <w:sz w:val="20"/>
                <w:szCs w:val="20"/>
                <w:color w:val="auto"/>
              </w:rPr>
            </w:pPr>
            <w:r>
              <w:rPr>
                <w:rFonts w:ascii="Arial" w:cs="Arial" w:eastAsia="Arial" w:hAnsi="Arial"/>
                <w:sz w:val="21"/>
                <w:szCs w:val="21"/>
                <w:color w:val="auto"/>
                <w:w w:val="93"/>
              </w:rPr>
              <w:t>§   The percentage of your target number of restricted stock units that vest</w:t>
            </w:r>
          </w:p>
        </w:tc>
      </w:tr>
      <w:tr>
        <w:trPr>
          <w:trHeight w:val="243"/>
        </w:trPr>
        <w:tc>
          <w:tcPr>
            <w:tcW w:w="1800" w:type="dxa"/>
            <w:vAlign w:val="bottom"/>
          </w:tcPr>
          <w:p>
            <w:pPr>
              <w:spacing w:after="0"/>
              <w:rPr>
                <w:sz w:val="21"/>
                <w:szCs w:val="21"/>
                <w:color w:val="auto"/>
              </w:rPr>
            </w:pPr>
          </w:p>
        </w:tc>
        <w:tc>
          <w:tcPr>
            <w:tcW w:w="7320" w:type="dxa"/>
            <w:vAlign w:val="bottom"/>
          </w:tcPr>
          <w:p>
            <w:pPr>
              <w:ind w:left="1220"/>
              <w:spacing w:after="0"/>
              <w:rPr>
                <w:sz w:val="20"/>
                <w:szCs w:val="20"/>
                <w:color w:val="auto"/>
              </w:rPr>
            </w:pPr>
            <w:r>
              <w:rPr>
                <w:rFonts w:ascii="Arial" w:cs="Arial" w:eastAsia="Arial" w:hAnsi="Arial"/>
                <w:sz w:val="21"/>
                <w:szCs w:val="21"/>
                <w:color w:val="auto"/>
                <w:w w:val="95"/>
              </w:rPr>
              <w:t>will be determined as follows, based on the percentile ranking for the</w:t>
            </w:r>
          </w:p>
        </w:tc>
      </w:tr>
      <w:tr>
        <w:trPr>
          <w:trHeight w:val="243"/>
        </w:trPr>
        <w:tc>
          <w:tcPr>
            <w:tcW w:w="1800" w:type="dxa"/>
            <w:vAlign w:val="bottom"/>
          </w:tcPr>
          <w:p>
            <w:pPr>
              <w:spacing w:after="0"/>
              <w:rPr>
                <w:sz w:val="21"/>
                <w:szCs w:val="21"/>
                <w:color w:val="auto"/>
              </w:rPr>
            </w:pPr>
          </w:p>
        </w:tc>
        <w:tc>
          <w:tcPr>
            <w:tcW w:w="7320" w:type="dxa"/>
            <w:vAlign w:val="bottom"/>
          </w:tcPr>
          <w:p>
            <w:pPr>
              <w:ind w:left="1220"/>
              <w:spacing w:after="0"/>
              <w:rPr>
                <w:sz w:val="20"/>
                <w:szCs w:val="20"/>
                <w:color w:val="auto"/>
              </w:rPr>
            </w:pPr>
            <w:r>
              <w:rPr>
                <w:rFonts w:ascii="Arial" w:cs="Arial" w:eastAsia="Arial" w:hAnsi="Arial"/>
                <w:sz w:val="21"/>
                <w:szCs w:val="21"/>
                <w:color w:val="auto"/>
                <w:w w:val="90"/>
              </w:rPr>
              <w:t>performance period (as measured at the end of the performance period)</w:t>
            </w:r>
          </w:p>
        </w:tc>
      </w:tr>
      <w:tr>
        <w:trPr>
          <w:trHeight w:val="243"/>
        </w:trPr>
        <w:tc>
          <w:tcPr>
            <w:tcW w:w="1800" w:type="dxa"/>
            <w:vAlign w:val="bottom"/>
          </w:tcPr>
          <w:p>
            <w:pPr>
              <w:spacing w:after="0"/>
              <w:rPr>
                <w:sz w:val="21"/>
                <w:szCs w:val="21"/>
                <w:color w:val="auto"/>
              </w:rPr>
            </w:pPr>
          </w:p>
        </w:tc>
        <w:tc>
          <w:tcPr>
            <w:tcW w:w="7320" w:type="dxa"/>
            <w:vAlign w:val="bottom"/>
          </w:tcPr>
          <w:p>
            <w:pPr>
              <w:ind w:left="1220"/>
              <w:spacing w:after="0"/>
              <w:rPr>
                <w:sz w:val="20"/>
                <w:szCs w:val="20"/>
                <w:color w:val="auto"/>
              </w:rPr>
            </w:pPr>
            <w:r>
              <w:rPr>
                <w:rFonts w:ascii="Arial" w:cs="Arial" w:eastAsia="Arial" w:hAnsi="Arial"/>
                <w:sz w:val="21"/>
                <w:szCs w:val="21"/>
                <w:color w:val="auto"/>
                <w:w w:val="94"/>
              </w:rPr>
              <w:t>of Sempra Energy’s cumulative total shareholder return (consisting of</w:t>
            </w:r>
          </w:p>
        </w:tc>
      </w:tr>
      <w:tr>
        <w:trPr>
          <w:trHeight w:val="243"/>
        </w:trPr>
        <w:tc>
          <w:tcPr>
            <w:tcW w:w="1800" w:type="dxa"/>
            <w:vAlign w:val="bottom"/>
          </w:tcPr>
          <w:p>
            <w:pPr>
              <w:spacing w:after="0"/>
              <w:rPr>
                <w:sz w:val="21"/>
                <w:szCs w:val="21"/>
                <w:color w:val="auto"/>
              </w:rPr>
            </w:pPr>
          </w:p>
        </w:tc>
        <w:tc>
          <w:tcPr>
            <w:tcW w:w="7320" w:type="dxa"/>
            <w:vAlign w:val="bottom"/>
          </w:tcPr>
          <w:p>
            <w:pPr>
              <w:ind w:left="1220"/>
              <w:spacing w:after="0"/>
              <w:rPr>
                <w:sz w:val="20"/>
                <w:szCs w:val="20"/>
                <w:color w:val="auto"/>
              </w:rPr>
            </w:pPr>
            <w:r>
              <w:rPr>
                <w:rFonts w:ascii="Arial" w:cs="Arial" w:eastAsia="Arial" w:hAnsi="Arial"/>
                <w:sz w:val="21"/>
                <w:szCs w:val="21"/>
                <w:color w:val="auto"/>
                <w:w w:val="99"/>
              </w:rPr>
              <w:t>per share appreciation in Common Stock plus dividends and other</w:t>
            </w:r>
          </w:p>
        </w:tc>
      </w:tr>
      <w:tr>
        <w:trPr>
          <w:trHeight w:val="243"/>
        </w:trPr>
        <w:tc>
          <w:tcPr>
            <w:tcW w:w="1800" w:type="dxa"/>
            <w:vAlign w:val="bottom"/>
          </w:tcPr>
          <w:p>
            <w:pPr>
              <w:spacing w:after="0"/>
              <w:rPr>
                <w:sz w:val="21"/>
                <w:szCs w:val="21"/>
                <w:color w:val="auto"/>
              </w:rPr>
            </w:pPr>
          </w:p>
        </w:tc>
        <w:tc>
          <w:tcPr>
            <w:tcW w:w="7320" w:type="dxa"/>
            <w:vAlign w:val="bottom"/>
          </w:tcPr>
          <w:p>
            <w:pPr>
              <w:ind w:left="1220"/>
              <w:spacing w:after="0"/>
              <w:rPr>
                <w:sz w:val="20"/>
                <w:szCs w:val="20"/>
                <w:color w:val="auto"/>
              </w:rPr>
            </w:pPr>
            <w:r>
              <w:rPr>
                <w:rFonts w:ascii="Arial" w:cs="Arial" w:eastAsia="Arial" w:hAnsi="Arial"/>
                <w:sz w:val="21"/>
                <w:szCs w:val="21"/>
                <w:color w:val="auto"/>
                <w:w w:val="92"/>
              </w:rPr>
              <w:t>distributions paid on Common Stock) among the companies (ranked by</w:t>
            </w:r>
          </w:p>
        </w:tc>
      </w:tr>
      <w:tr>
        <w:trPr>
          <w:trHeight w:val="243"/>
        </w:trPr>
        <w:tc>
          <w:tcPr>
            <w:tcW w:w="1800" w:type="dxa"/>
            <w:vAlign w:val="bottom"/>
          </w:tcPr>
          <w:p>
            <w:pPr>
              <w:spacing w:after="0"/>
              <w:rPr>
                <w:sz w:val="21"/>
                <w:szCs w:val="21"/>
                <w:color w:val="auto"/>
              </w:rPr>
            </w:pPr>
          </w:p>
        </w:tc>
        <w:tc>
          <w:tcPr>
            <w:tcW w:w="7320" w:type="dxa"/>
            <w:vAlign w:val="bottom"/>
          </w:tcPr>
          <w:p>
            <w:pPr>
              <w:ind w:left="1220"/>
              <w:spacing w:after="0"/>
              <w:rPr>
                <w:sz w:val="20"/>
                <w:szCs w:val="20"/>
                <w:color w:val="auto"/>
              </w:rPr>
            </w:pPr>
            <w:r>
              <w:rPr>
                <w:rFonts w:ascii="Arial" w:cs="Arial" w:eastAsia="Arial" w:hAnsi="Arial"/>
                <w:sz w:val="21"/>
                <w:szCs w:val="21"/>
                <w:color w:val="auto"/>
                <w:w w:val="95"/>
              </w:rPr>
              <w:t>cumulative total shareholder returns) in the S&amp;P 500 Utility Index, as</w:t>
            </w:r>
          </w:p>
        </w:tc>
      </w:tr>
      <w:tr>
        <w:trPr>
          <w:trHeight w:val="264"/>
        </w:trPr>
        <w:tc>
          <w:tcPr>
            <w:tcW w:w="1800" w:type="dxa"/>
            <w:vAlign w:val="bottom"/>
          </w:tcPr>
          <w:p>
            <w:pPr>
              <w:spacing w:after="0"/>
              <w:rPr>
                <w:sz w:val="22"/>
                <w:szCs w:val="22"/>
                <w:color w:val="auto"/>
              </w:rPr>
            </w:pPr>
          </w:p>
        </w:tc>
        <w:tc>
          <w:tcPr>
            <w:tcW w:w="7320" w:type="dxa"/>
            <w:vAlign w:val="bottom"/>
          </w:tcPr>
          <w:p>
            <w:pPr>
              <w:ind w:left="1220"/>
              <w:spacing w:after="0"/>
              <w:rPr>
                <w:sz w:val="20"/>
                <w:szCs w:val="20"/>
                <w:color w:val="auto"/>
              </w:rPr>
            </w:pPr>
            <w:r>
              <w:rPr>
                <w:rFonts w:ascii="Arial" w:cs="Arial" w:eastAsia="Arial" w:hAnsi="Arial"/>
                <w:sz w:val="21"/>
                <w:szCs w:val="21"/>
                <w:color w:val="auto"/>
              </w:rPr>
              <w:t>determined and certified by the Compensation Committee.</w:t>
            </w:r>
          </w:p>
        </w:tc>
      </w:tr>
    </w:tbl>
    <w:p>
      <w:pPr>
        <w:spacing w:after="0" w:line="195" w:lineRule="exact"/>
        <w:rPr>
          <w:sz w:val="20"/>
          <w:szCs w:val="20"/>
          <w:color w:val="auto"/>
        </w:rPr>
      </w:pPr>
    </w:p>
    <w:p>
      <w:pPr>
        <w:ind w:left="3660"/>
        <w:spacing w:after="0"/>
        <w:rPr>
          <w:sz w:val="20"/>
          <w:szCs w:val="20"/>
          <w:color w:val="auto"/>
        </w:rPr>
      </w:pPr>
      <w:r>
        <w:rPr>
          <w:rFonts w:ascii="Arial" w:cs="Arial" w:eastAsia="Arial" w:hAnsi="Arial"/>
          <w:sz w:val="21"/>
          <w:szCs w:val="21"/>
          <w:color w:val="auto"/>
        </w:rPr>
        <w:t>Sempra EnergyTotal Shareholder Percentage of Target</w:t>
      </w:r>
    </w:p>
    <w:p>
      <w:pPr>
        <w:spacing w:after="0" w:line="3" w:lineRule="exact"/>
        <w:rPr>
          <w:sz w:val="20"/>
          <w:szCs w:val="20"/>
          <w:color w:val="auto"/>
        </w:rPr>
      </w:pPr>
    </w:p>
    <w:tbl>
      <w:tblPr>
        <w:tblLayout w:type="fixed"/>
        <w:tblInd w:w="3660" w:type="dxa"/>
        <w:tblCellMar>
          <w:top w:w="0" w:type="dxa"/>
          <w:left w:w="0" w:type="dxa"/>
          <w:bottom w:w="0" w:type="dxa"/>
          <w:right w:w="0" w:type="dxa"/>
        </w:tblCellMar>
      </w:tblPr>
      <w:tr>
        <w:trPr>
          <w:trHeight w:val="241"/>
        </w:trPr>
        <w:tc>
          <w:tcPr>
            <w:tcW w:w="2140" w:type="dxa"/>
            <w:vAlign w:val="bottom"/>
            <w:gridSpan w:val="2"/>
          </w:tcPr>
          <w:p>
            <w:pPr>
              <w:spacing w:after="0"/>
              <w:rPr>
                <w:sz w:val="20"/>
                <w:szCs w:val="20"/>
                <w:color w:val="auto"/>
              </w:rPr>
            </w:pPr>
            <w:r>
              <w:rPr>
                <w:rFonts w:ascii="Arial" w:cs="Arial" w:eastAsia="Arial" w:hAnsi="Arial"/>
                <w:sz w:val="21"/>
                <w:szCs w:val="21"/>
                <w:color w:val="auto"/>
              </w:rPr>
              <w:t>Return Percentile</w:t>
            </w:r>
          </w:p>
        </w:tc>
        <w:tc>
          <w:tcPr>
            <w:tcW w:w="2480" w:type="dxa"/>
            <w:vAlign w:val="bottom"/>
            <w:gridSpan w:val="3"/>
          </w:tcPr>
          <w:p>
            <w:pPr>
              <w:ind w:left="700"/>
              <w:spacing w:after="0"/>
              <w:rPr>
                <w:sz w:val="20"/>
                <w:szCs w:val="20"/>
                <w:color w:val="auto"/>
              </w:rPr>
            </w:pPr>
            <w:r>
              <w:rPr>
                <w:rFonts w:ascii="Arial" w:cs="Arial" w:eastAsia="Arial" w:hAnsi="Arial"/>
                <w:sz w:val="21"/>
                <w:szCs w:val="21"/>
                <w:color w:val="auto"/>
                <w:w w:val="88"/>
              </w:rPr>
              <w:t>Number of Restricted</w:t>
            </w:r>
          </w:p>
        </w:tc>
      </w:tr>
      <w:tr>
        <w:trPr>
          <w:trHeight w:val="216"/>
        </w:trPr>
        <w:tc>
          <w:tcPr>
            <w:tcW w:w="2140" w:type="dxa"/>
            <w:vAlign w:val="bottom"/>
            <w:gridSpan w:val="2"/>
          </w:tcPr>
          <w:p>
            <w:pPr>
              <w:ind w:left="360"/>
              <w:spacing w:after="0" w:line="216" w:lineRule="exact"/>
              <w:rPr>
                <w:sz w:val="20"/>
                <w:szCs w:val="20"/>
                <w:color w:val="auto"/>
              </w:rPr>
            </w:pPr>
            <w:r>
              <w:rPr>
                <w:rFonts w:ascii="Arial" w:cs="Arial" w:eastAsia="Arial" w:hAnsi="Arial"/>
                <w:sz w:val="21"/>
                <w:szCs w:val="21"/>
                <w:color w:val="auto"/>
              </w:rPr>
              <w:t>Ranking</w:t>
            </w:r>
          </w:p>
        </w:tc>
        <w:tc>
          <w:tcPr>
            <w:tcW w:w="2480" w:type="dxa"/>
            <w:vAlign w:val="bottom"/>
            <w:gridSpan w:val="3"/>
          </w:tcPr>
          <w:p>
            <w:pPr>
              <w:ind w:left="700"/>
              <w:spacing w:after="0" w:line="216" w:lineRule="exact"/>
              <w:rPr>
                <w:sz w:val="20"/>
                <w:szCs w:val="20"/>
                <w:color w:val="auto"/>
              </w:rPr>
            </w:pPr>
            <w:r>
              <w:rPr>
                <w:rFonts w:ascii="Arial" w:cs="Arial" w:eastAsia="Arial" w:hAnsi="Arial"/>
                <w:sz w:val="21"/>
                <w:szCs w:val="21"/>
                <w:color w:val="auto"/>
                <w:w w:val="90"/>
              </w:rPr>
              <w:t>Stock Units that Vest</w:t>
            </w:r>
          </w:p>
        </w:tc>
      </w:tr>
      <w:tr>
        <w:trPr>
          <w:trHeight w:val="555"/>
        </w:trPr>
        <w:tc>
          <w:tcPr>
            <w:tcW w:w="1060" w:type="dxa"/>
            <w:vAlign w:val="bottom"/>
            <w:tcBorders>
              <w:top w:val="single" w:sz="8" w:color="auto"/>
            </w:tcBorders>
          </w:tcPr>
          <w:p>
            <w:pPr>
              <w:ind w:left="480"/>
              <w:spacing w:after="0"/>
              <w:rPr>
                <w:sz w:val="20"/>
                <w:szCs w:val="20"/>
                <w:color w:val="auto"/>
              </w:rPr>
            </w:pPr>
            <w:r>
              <w:rPr>
                <w:rFonts w:ascii="Arial" w:cs="Arial" w:eastAsia="Arial" w:hAnsi="Arial"/>
                <w:sz w:val="21"/>
                <w:szCs w:val="21"/>
                <w:color w:val="auto"/>
              </w:rPr>
              <w:t>75</w:t>
            </w:r>
            <w:r>
              <w:rPr>
                <w:rFonts w:ascii="Arial" w:cs="Arial" w:eastAsia="Arial" w:hAnsi="Arial"/>
                <w:sz w:val="34"/>
                <w:szCs w:val="34"/>
                <w:color w:val="auto"/>
                <w:vertAlign w:val="superscript"/>
              </w:rPr>
              <w:t>th</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Borders>
              <w:top w:val="single" w:sz="8" w:color="auto"/>
            </w:tcBorders>
          </w:tcPr>
          <w:p>
            <w:pPr>
              <w:ind w:left="480"/>
              <w:spacing w:after="0"/>
              <w:rPr>
                <w:sz w:val="20"/>
                <w:szCs w:val="20"/>
                <w:color w:val="auto"/>
              </w:rPr>
            </w:pPr>
            <w:r>
              <w:rPr>
                <w:rFonts w:ascii="Arial" w:cs="Arial" w:eastAsia="Arial" w:hAnsi="Arial"/>
                <w:sz w:val="21"/>
                <w:szCs w:val="21"/>
                <w:color w:val="auto"/>
              </w:rPr>
              <w:t>150%</w:t>
            </w:r>
          </w:p>
        </w:tc>
        <w:tc>
          <w:tcPr>
            <w:tcW w:w="40" w:type="dxa"/>
            <w:vAlign w:val="bottom"/>
          </w:tcPr>
          <w:p>
            <w:pPr>
              <w:spacing w:after="0"/>
              <w:rPr>
                <w:sz w:val="24"/>
                <w:szCs w:val="24"/>
                <w:color w:val="auto"/>
              </w:rPr>
            </w:pPr>
          </w:p>
        </w:tc>
      </w:tr>
      <w:tr>
        <w:trPr>
          <w:trHeight w:val="311"/>
        </w:trPr>
        <w:tc>
          <w:tcPr>
            <w:tcW w:w="2140" w:type="dxa"/>
            <w:vAlign w:val="bottom"/>
            <w:gridSpan w:val="2"/>
          </w:tcPr>
          <w:p>
            <w:pPr>
              <w:ind w:left="480"/>
              <w:spacing w:after="0" w:line="311" w:lineRule="exact"/>
              <w:rPr>
                <w:sz w:val="20"/>
                <w:szCs w:val="20"/>
                <w:color w:val="auto"/>
              </w:rPr>
            </w:pPr>
            <w:r>
              <w:rPr>
                <w:rFonts w:ascii="Arial" w:cs="Arial" w:eastAsia="Arial" w:hAnsi="Arial"/>
                <w:sz w:val="36"/>
                <w:szCs w:val="36"/>
                <w:color w:val="auto"/>
                <w:vertAlign w:val="subscript"/>
              </w:rPr>
              <w:t>70</w:t>
            </w:r>
            <w:r>
              <w:rPr>
                <w:rFonts w:ascii="Arial" w:cs="Arial" w:eastAsia="Arial" w:hAnsi="Arial"/>
                <w:sz w:val="16"/>
                <w:szCs w:val="16"/>
                <w:color w:val="auto"/>
              </w:rPr>
              <w:t>th</w:t>
            </w:r>
          </w:p>
        </w:tc>
        <w:tc>
          <w:tcPr>
            <w:tcW w:w="2440" w:type="dxa"/>
            <w:vAlign w:val="bottom"/>
            <w:gridSpan w:val="2"/>
          </w:tcPr>
          <w:p>
            <w:pPr>
              <w:ind w:left="1180"/>
              <w:spacing w:after="0"/>
              <w:rPr>
                <w:sz w:val="20"/>
                <w:szCs w:val="20"/>
                <w:color w:val="auto"/>
              </w:rPr>
            </w:pPr>
            <w:r>
              <w:rPr>
                <w:rFonts w:ascii="Arial" w:cs="Arial" w:eastAsia="Arial" w:hAnsi="Arial"/>
                <w:sz w:val="21"/>
                <w:szCs w:val="21"/>
                <w:color w:val="auto"/>
              </w:rPr>
              <w:t>140%</w:t>
            </w:r>
          </w:p>
        </w:tc>
        <w:tc>
          <w:tcPr>
            <w:tcW w:w="40" w:type="dxa"/>
            <w:vAlign w:val="bottom"/>
          </w:tcPr>
          <w:p>
            <w:pPr>
              <w:spacing w:after="0"/>
              <w:rPr>
                <w:sz w:val="24"/>
                <w:szCs w:val="24"/>
                <w:color w:val="auto"/>
              </w:rPr>
            </w:pPr>
          </w:p>
        </w:tc>
      </w:tr>
      <w:tr>
        <w:trPr>
          <w:trHeight w:val="311"/>
        </w:trPr>
        <w:tc>
          <w:tcPr>
            <w:tcW w:w="2140" w:type="dxa"/>
            <w:vAlign w:val="bottom"/>
            <w:gridSpan w:val="2"/>
          </w:tcPr>
          <w:p>
            <w:pPr>
              <w:ind w:left="480"/>
              <w:spacing w:after="0" w:line="310" w:lineRule="exact"/>
              <w:rPr>
                <w:sz w:val="20"/>
                <w:szCs w:val="20"/>
                <w:color w:val="auto"/>
              </w:rPr>
            </w:pPr>
            <w:r>
              <w:rPr>
                <w:rFonts w:ascii="Arial" w:cs="Arial" w:eastAsia="Arial" w:hAnsi="Arial"/>
                <w:sz w:val="21"/>
                <w:szCs w:val="21"/>
                <w:color w:val="auto"/>
              </w:rPr>
              <w:t>65</w:t>
            </w:r>
            <w:r>
              <w:rPr>
                <w:rFonts w:ascii="Arial" w:cs="Arial" w:eastAsia="Arial" w:hAnsi="Arial"/>
                <w:sz w:val="34"/>
                <w:szCs w:val="34"/>
                <w:color w:val="auto"/>
                <w:vertAlign w:val="superscript"/>
              </w:rPr>
              <w:t>th</w:t>
            </w:r>
          </w:p>
        </w:tc>
        <w:tc>
          <w:tcPr>
            <w:tcW w:w="2440" w:type="dxa"/>
            <w:vAlign w:val="bottom"/>
            <w:gridSpan w:val="2"/>
          </w:tcPr>
          <w:p>
            <w:pPr>
              <w:ind w:left="1180"/>
              <w:spacing w:after="0"/>
              <w:rPr>
                <w:sz w:val="20"/>
                <w:szCs w:val="20"/>
                <w:color w:val="auto"/>
              </w:rPr>
            </w:pPr>
            <w:r>
              <w:rPr>
                <w:rFonts w:ascii="Arial" w:cs="Arial" w:eastAsia="Arial" w:hAnsi="Arial"/>
                <w:sz w:val="21"/>
                <w:szCs w:val="21"/>
                <w:color w:val="auto"/>
              </w:rPr>
              <w:t>130%</w:t>
            </w:r>
          </w:p>
        </w:tc>
        <w:tc>
          <w:tcPr>
            <w:tcW w:w="40" w:type="dxa"/>
            <w:vAlign w:val="bottom"/>
          </w:tcPr>
          <w:p>
            <w:pPr>
              <w:spacing w:after="0"/>
              <w:rPr>
                <w:sz w:val="24"/>
                <w:szCs w:val="24"/>
                <w:color w:val="auto"/>
              </w:rPr>
            </w:pPr>
          </w:p>
        </w:tc>
      </w:tr>
      <w:tr>
        <w:trPr>
          <w:trHeight w:val="311"/>
        </w:trPr>
        <w:tc>
          <w:tcPr>
            <w:tcW w:w="2140" w:type="dxa"/>
            <w:vAlign w:val="bottom"/>
            <w:gridSpan w:val="2"/>
          </w:tcPr>
          <w:p>
            <w:pPr>
              <w:ind w:left="480"/>
              <w:spacing w:after="0" w:line="310" w:lineRule="exact"/>
              <w:rPr>
                <w:sz w:val="20"/>
                <w:szCs w:val="20"/>
                <w:color w:val="auto"/>
              </w:rPr>
            </w:pPr>
            <w:r>
              <w:rPr>
                <w:rFonts w:ascii="Arial" w:cs="Arial" w:eastAsia="Arial" w:hAnsi="Arial"/>
                <w:sz w:val="21"/>
                <w:szCs w:val="21"/>
                <w:color w:val="auto"/>
              </w:rPr>
              <w:t>60</w:t>
            </w:r>
            <w:r>
              <w:rPr>
                <w:rFonts w:ascii="Arial" w:cs="Arial" w:eastAsia="Arial" w:hAnsi="Arial"/>
                <w:sz w:val="34"/>
                <w:szCs w:val="34"/>
                <w:color w:val="auto"/>
                <w:vertAlign w:val="superscript"/>
              </w:rPr>
              <w:t>th</w:t>
            </w:r>
          </w:p>
        </w:tc>
        <w:tc>
          <w:tcPr>
            <w:tcW w:w="2440" w:type="dxa"/>
            <w:vAlign w:val="bottom"/>
            <w:gridSpan w:val="2"/>
          </w:tcPr>
          <w:p>
            <w:pPr>
              <w:ind w:left="1180"/>
              <w:spacing w:after="0"/>
              <w:rPr>
                <w:sz w:val="20"/>
                <w:szCs w:val="20"/>
                <w:color w:val="auto"/>
              </w:rPr>
            </w:pPr>
            <w:r>
              <w:rPr>
                <w:rFonts w:ascii="Arial" w:cs="Arial" w:eastAsia="Arial" w:hAnsi="Arial"/>
                <w:sz w:val="21"/>
                <w:szCs w:val="21"/>
                <w:color w:val="auto"/>
              </w:rPr>
              <w:t>120%</w:t>
            </w:r>
          </w:p>
        </w:tc>
        <w:tc>
          <w:tcPr>
            <w:tcW w:w="40" w:type="dxa"/>
            <w:vAlign w:val="bottom"/>
          </w:tcPr>
          <w:p>
            <w:pPr>
              <w:spacing w:after="0"/>
              <w:rPr>
                <w:sz w:val="24"/>
                <w:szCs w:val="24"/>
                <w:color w:val="auto"/>
              </w:rPr>
            </w:pPr>
          </w:p>
        </w:tc>
      </w:tr>
      <w:tr>
        <w:trPr>
          <w:trHeight w:val="311"/>
        </w:trPr>
        <w:tc>
          <w:tcPr>
            <w:tcW w:w="2140" w:type="dxa"/>
            <w:vAlign w:val="bottom"/>
            <w:gridSpan w:val="2"/>
          </w:tcPr>
          <w:p>
            <w:pPr>
              <w:ind w:left="480"/>
              <w:spacing w:after="0" w:line="310" w:lineRule="exact"/>
              <w:rPr>
                <w:sz w:val="20"/>
                <w:szCs w:val="20"/>
                <w:color w:val="auto"/>
              </w:rPr>
            </w:pPr>
            <w:r>
              <w:rPr>
                <w:rFonts w:ascii="Arial" w:cs="Arial" w:eastAsia="Arial" w:hAnsi="Arial"/>
                <w:sz w:val="21"/>
                <w:szCs w:val="21"/>
                <w:color w:val="auto"/>
              </w:rPr>
              <w:t>55</w:t>
            </w:r>
            <w:r>
              <w:rPr>
                <w:rFonts w:ascii="Arial" w:cs="Arial" w:eastAsia="Arial" w:hAnsi="Arial"/>
                <w:sz w:val="34"/>
                <w:szCs w:val="34"/>
                <w:color w:val="auto"/>
                <w:vertAlign w:val="superscript"/>
              </w:rPr>
              <w:t>th</w:t>
            </w:r>
          </w:p>
        </w:tc>
        <w:tc>
          <w:tcPr>
            <w:tcW w:w="2440" w:type="dxa"/>
            <w:vAlign w:val="bottom"/>
            <w:gridSpan w:val="2"/>
          </w:tcPr>
          <w:p>
            <w:pPr>
              <w:ind w:left="1180"/>
              <w:spacing w:after="0"/>
              <w:rPr>
                <w:sz w:val="20"/>
                <w:szCs w:val="20"/>
                <w:color w:val="auto"/>
              </w:rPr>
            </w:pPr>
            <w:r>
              <w:rPr>
                <w:rFonts w:ascii="Arial" w:cs="Arial" w:eastAsia="Arial" w:hAnsi="Arial"/>
                <w:sz w:val="21"/>
                <w:szCs w:val="21"/>
                <w:color w:val="auto"/>
              </w:rPr>
              <w:t>110%</w:t>
            </w:r>
          </w:p>
        </w:tc>
        <w:tc>
          <w:tcPr>
            <w:tcW w:w="40" w:type="dxa"/>
            <w:vAlign w:val="bottom"/>
          </w:tcPr>
          <w:p>
            <w:pPr>
              <w:spacing w:after="0"/>
              <w:rPr>
                <w:sz w:val="24"/>
                <w:szCs w:val="24"/>
                <w:color w:val="auto"/>
              </w:rPr>
            </w:pPr>
          </w:p>
        </w:tc>
      </w:tr>
      <w:tr>
        <w:trPr>
          <w:trHeight w:val="311"/>
        </w:trPr>
        <w:tc>
          <w:tcPr>
            <w:tcW w:w="2140" w:type="dxa"/>
            <w:vAlign w:val="bottom"/>
            <w:gridSpan w:val="2"/>
          </w:tcPr>
          <w:p>
            <w:pPr>
              <w:ind w:left="480"/>
              <w:spacing w:after="0" w:line="311" w:lineRule="exact"/>
              <w:rPr>
                <w:sz w:val="20"/>
                <w:szCs w:val="20"/>
                <w:color w:val="auto"/>
              </w:rPr>
            </w:pPr>
            <w:r>
              <w:rPr>
                <w:rFonts w:ascii="Arial" w:cs="Arial" w:eastAsia="Arial" w:hAnsi="Arial"/>
                <w:sz w:val="36"/>
                <w:szCs w:val="36"/>
                <w:color w:val="auto"/>
                <w:vertAlign w:val="subscript"/>
              </w:rPr>
              <w:t>50</w:t>
            </w:r>
            <w:r>
              <w:rPr>
                <w:rFonts w:ascii="Arial" w:cs="Arial" w:eastAsia="Arial" w:hAnsi="Arial"/>
                <w:sz w:val="16"/>
                <w:szCs w:val="16"/>
                <w:color w:val="auto"/>
              </w:rPr>
              <w:t>th</w:t>
            </w:r>
          </w:p>
        </w:tc>
        <w:tc>
          <w:tcPr>
            <w:tcW w:w="2440" w:type="dxa"/>
            <w:vAlign w:val="bottom"/>
            <w:gridSpan w:val="2"/>
          </w:tcPr>
          <w:p>
            <w:pPr>
              <w:ind w:left="1180"/>
              <w:spacing w:after="0"/>
              <w:rPr>
                <w:sz w:val="20"/>
                <w:szCs w:val="20"/>
                <w:color w:val="auto"/>
              </w:rPr>
            </w:pPr>
            <w:r>
              <w:rPr>
                <w:rFonts w:ascii="Arial" w:cs="Arial" w:eastAsia="Arial" w:hAnsi="Arial"/>
                <w:sz w:val="21"/>
                <w:szCs w:val="21"/>
                <w:color w:val="auto"/>
              </w:rPr>
              <w:t>100%</w:t>
            </w:r>
          </w:p>
        </w:tc>
        <w:tc>
          <w:tcPr>
            <w:tcW w:w="40" w:type="dxa"/>
            <w:vAlign w:val="bottom"/>
          </w:tcPr>
          <w:p>
            <w:pPr>
              <w:spacing w:after="0"/>
              <w:rPr>
                <w:sz w:val="24"/>
                <w:szCs w:val="24"/>
                <w:color w:val="auto"/>
              </w:rPr>
            </w:pPr>
          </w:p>
        </w:tc>
      </w:tr>
      <w:tr>
        <w:trPr>
          <w:trHeight w:val="311"/>
        </w:trPr>
        <w:tc>
          <w:tcPr>
            <w:tcW w:w="2140" w:type="dxa"/>
            <w:vAlign w:val="bottom"/>
            <w:gridSpan w:val="2"/>
          </w:tcPr>
          <w:p>
            <w:pPr>
              <w:ind w:left="480"/>
              <w:spacing w:after="0" w:line="310" w:lineRule="exact"/>
              <w:rPr>
                <w:sz w:val="20"/>
                <w:szCs w:val="20"/>
                <w:color w:val="auto"/>
              </w:rPr>
            </w:pPr>
            <w:r>
              <w:rPr>
                <w:rFonts w:ascii="Arial" w:cs="Arial" w:eastAsia="Arial" w:hAnsi="Arial"/>
                <w:sz w:val="21"/>
                <w:szCs w:val="21"/>
                <w:color w:val="auto"/>
              </w:rPr>
              <w:t>45</w:t>
            </w:r>
            <w:r>
              <w:rPr>
                <w:rFonts w:ascii="Arial" w:cs="Arial" w:eastAsia="Arial" w:hAnsi="Arial"/>
                <w:sz w:val="34"/>
                <w:szCs w:val="34"/>
                <w:color w:val="auto"/>
                <w:vertAlign w:val="superscript"/>
              </w:rPr>
              <w:t>th</w:t>
            </w:r>
          </w:p>
        </w:tc>
        <w:tc>
          <w:tcPr>
            <w:tcW w:w="2440" w:type="dxa"/>
            <w:vAlign w:val="bottom"/>
            <w:gridSpan w:val="2"/>
          </w:tcPr>
          <w:p>
            <w:pPr>
              <w:jc w:val="right"/>
              <w:ind w:right="616"/>
              <w:spacing w:after="0"/>
              <w:rPr>
                <w:sz w:val="20"/>
                <w:szCs w:val="20"/>
                <w:color w:val="auto"/>
              </w:rPr>
            </w:pPr>
            <w:r>
              <w:rPr>
                <w:rFonts w:ascii="Arial" w:cs="Arial" w:eastAsia="Arial" w:hAnsi="Arial"/>
                <w:sz w:val="21"/>
                <w:szCs w:val="21"/>
                <w:color w:val="auto"/>
              </w:rPr>
              <w:t>70%</w:t>
            </w:r>
          </w:p>
        </w:tc>
        <w:tc>
          <w:tcPr>
            <w:tcW w:w="40" w:type="dxa"/>
            <w:vAlign w:val="bottom"/>
          </w:tcPr>
          <w:p>
            <w:pPr>
              <w:spacing w:after="0"/>
              <w:rPr>
                <w:sz w:val="24"/>
                <w:szCs w:val="24"/>
                <w:color w:val="auto"/>
              </w:rPr>
            </w:pPr>
          </w:p>
        </w:tc>
      </w:tr>
      <w:tr>
        <w:trPr>
          <w:trHeight w:val="311"/>
        </w:trPr>
        <w:tc>
          <w:tcPr>
            <w:tcW w:w="2140" w:type="dxa"/>
            <w:vAlign w:val="bottom"/>
            <w:gridSpan w:val="2"/>
          </w:tcPr>
          <w:p>
            <w:pPr>
              <w:ind w:left="480"/>
              <w:spacing w:after="0" w:line="310" w:lineRule="exact"/>
              <w:rPr>
                <w:sz w:val="20"/>
                <w:szCs w:val="20"/>
                <w:color w:val="auto"/>
              </w:rPr>
            </w:pPr>
            <w:r>
              <w:rPr>
                <w:rFonts w:ascii="Arial" w:cs="Arial" w:eastAsia="Arial" w:hAnsi="Arial"/>
                <w:sz w:val="21"/>
                <w:szCs w:val="21"/>
                <w:color w:val="auto"/>
              </w:rPr>
              <w:t>40</w:t>
            </w:r>
            <w:r>
              <w:rPr>
                <w:rFonts w:ascii="Arial" w:cs="Arial" w:eastAsia="Arial" w:hAnsi="Arial"/>
                <w:sz w:val="34"/>
                <w:szCs w:val="34"/>
                <w:color w:val="auto"/>
                <w:vertAlign w:val="superscript"/>
              </w:rPr>
              <w:t>th</w:t>
            </w:r>
          </w:p>
        </w:tc>
        <w:tc>
          <w:tcPr>
            <w:tcW w:w="2440" w:type="dxa"/>
            <w:vAlign w:val="bottom"/>
            <w:gridSpan w:val="2"/>
          </w:tcPr>
          <w:p>
            <w:pPr>
              <w:jc w:val="right"/>
              <w:ind w:right="616"/>
              <w:spacing w:after="0"/>
              <w:rPr>
                <w:sz w:val="20"/>
                <w:szCs w:val="20"/>
                <w:color w:val="auto"/>
              </w:rPr>
            </w:pPr>
            <w:r>
              <w:rPr>
                <w:rFonts w:ascii="Arial" w:cs="Arial" w:eastAsia="Arial" w:hAnsi="Arial"/>
                <w:sz w:val="21"/>
                <w:szCs w:val="21"/>
                <w:color w:val="auto"/>
              </w:rPr>
              <w:t>40%</w:t>
            </w:r>
          </w:p>
        </w:tc>
        <w:tc>
          <w:tcPr>
            <w:tcW w:w="40" w:type="dxa"/>
            <w:vAlign w:val="bottom"/>
          </w:tcPr>
          <w:p>
            <w:pPr>
              <w:spacing w:after="0"/>
              <w:rPr>
                <w:sz w:val="24"/>
                <w:szCs w:val="24"/>
                <w:color w:val="auto"/>
              </w:rPr>
            </w:pPr>
          </w:p>
        </w:tc>
      </w:tr>
      <w:tr>
        <w:trPr>
          <w:trHeight w:val="450"/>
        </w:trPr>
        <w:tc>
          <w:tcPr>
            <w:tcW w:w="2140" w:type="dxa"/>
            <w:vAlign w:val="bottom"/>
            <w:gridSpan w:val="2"/>
          </w:tcPr>
          <w:p>
            <w:pPr>
              <w:ind w:left="480"/>
              <w:spacing w:after="0"/>
              <w:rPr>
                <w:sz w:val="20"/>
                <w:szCs w:val="20"/>
                <w:color w:val="auto"/>
              </w:rPr>
            </w:pPr>
            <w:r>
              <w:rPr>
                <w:rFonts w:ascii="Arial" w:cs="Arial" w:eastAsia="Arial" w:hAnsi="Arial"/>
                <w:sz w:val="21"/>
                <w:szCs w:val="21"/>
                <w:color w:val="auto"/>
              </w:rPr>
              <w:t>35</w:t>
            </w:r>
            <w:r>
              <w:rPr>
                <w:rFonts w:ascii="Arial" w:cs="Arial" w:eastAsia="Arial" w:hAnsi="Arial"/>
                <w:sz w:val="34"/>
                <w:szCs w:val="34"/>
                <w:color w:val="auto"/>
                <w:vertAlign w:val="superscript"/>
              </w:rPr>
              <w:t>th</w:t>
            </w:r>
          </w:p>
        </w:tc>
        <w:tc>
          <w:tcPr>
            <w:tcW w:w="2440" w:type="dxa"/>
            <w:vAlign w:val="bottom"/>
            <w:gridSpan w:val="2"/>
          </w:tcPr>
          <w:p>
            <w:pPr>
              <w:jc w:val="right"/>
              <w:ind w:right="816"/>
              <w:spacing w:after="0"/>
              <w:rPr>
                <w:sz w:val="20"/>
                <w:szCs w:val="20"/>
                <w:color w:val="auto"/>
              </w:rPr>
            </w:pPr>
            <w:r>
              <w:rPr>
                <w:rFonts w:ascii="Arial" w:cs="Arial" w:eastAsia="Arial" w:hAnsi="Arial"/>
                <w:sz w:val="21"/>
                <w:szCs w:val="21"/>
                <w:color w:val="auto"/>
              </w:rPr>
              <w:t>0</w:t>
            </w:r>
          </w:p>
        </w:tc>
        <w:tc>
          <w:tcPr>
            <w:tcW w:w="40" w:type="dxa"/>
            <w:vAlign w:val="bottom"/>
          </w:tcPr>
          <w:p>
            <w:pPr>
              <w:spacing w:after="0"/>
              <w:rPr>
                <w:sz w:val="24"/>
                <w:szCs w:val="24"/>
                <w:color w:val="auto"/>
              </w:rPr>
            </w:pPr>
          </w:p>
        </w:tc>
      </w:tr>
    </w:tbl>
    <w:p>
      <w:pPr>
        <w:sectPr>
          <w:pgSz w:w="11900" w:h="16838" w:orient="portrait"/>
          <w:cols w:equalWidth="0" w:num="1">
            <w:col w:w="9120"/>
          </w:cols>
          <w:pgMar w:left="1400" w:top="105" w:right="1379" w:bottom="0" w:gutter="0" w:footer="0" w:header="0"/>
        </w:sectPr>
      </w:pPr>
    </w:p>
    <w:bookmarkStart w:id="92" w:name="page93"/>
    <w:bookmarkEnd w:id="92"/>
    <w:p>
      <w:pPr>
        <w:ind w:left="2980" w:right="60"/>
        <w:spacing w:after="0" w:line="247" w:lineRule="auto"/>
        <w:rPr>
          <w:sz w:val="20"/>
          <w:szCs w:val="20"/>
          <w:color w:val="auto"/>
        </w:rPr>
      </w:pPr>
      <w:r>
        <w:rPr>
          <w:rFonts w:ascii="Arial" w:cs="Arial" w:eastAsia="Arial" w:hAnsi="Arial"/>
          <w:sz w:val="21"/>
          <w:szCs w:val="21"/>
          <w:color w:val="auto"/>
        </w:rPr>
        <w:t>If the percentile ranking does not equal a ranking shown in the above table, the percentage of your target number of restricted stock units that vest will be determined by a linear interpolation between the next lowest percentile shown in the table and the next highest percentile shown on the table.</w:t>
      </w:r>
    </w:p>
    <w:p>
      <w:pPr>
        <w:spacing w:after="0" w:line="210" w:lineRule="exact"/>
        <w:rPr>
          <w:sz w:val="20"/>
          <w:szCs w:val="20"/>
          <w:color w:val="auto"/>
        </w:rPr>
      </w:pPr>
    </w:p>
    <w:p>
      <w:pPr>
        <w:ind w:left="3560" w:right="200" w:hanging="329"/>
        <w:spacing w:after="0" w:line="208" w:lineRule="auto"/>
        <w:tabs>
          <w:tab w:leader="none" w:pos="3560" w:val="left"/>
        </w:tabs>
        <w:numPr>
          <w:ilvl w:val="0"/>
          <w:numId w:val="95"/>
        </w:numPr>
        <w:rPr>
          <w:rFonts w:ascii="Courier New" w:cs="Courier New" w:eastAsia="Courier New" w:hAnsi="Courier New"/>
          <w:sz w:val="37"/>
          <w:szCs w:val="37"/>
          <w:color w:val="auto"/>
          <w:vertAlign w:val="superscript"/>
        </w:rPr>
      </w:pPr>
      <w:r>
        <w:rPr>
          <w:rFonts w:ascii="Arial" w:cs="Arial" w:eastAsia="Arial" w:hAnsi="Arial"/>
          <w:sz w:val="19"/>
          <w:szCs w:val="19"/>
          <w:color w:val="auto"/>
        </w:rPr>
        <w:t>If the percentile ranking is at or above the 75</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percentile, 150% of your target number of restricted stock units will vest.</w:t>
      </w:r>
    </w:p>
    <w:p>
      <w:pPr>
        <w:spacing w:after="0" w:line="203" w:lineRule="exact"/>
        <w:rPr>
          <w:rFonts w:ascii="Courier New" w:cs="Courier New" w:eastAsia="Courier New" w:hAnsi="Courier New"/>
          <w:sz w:val="37"/>
          <w:szCs w:val="37"/>
          <w:color w:val="auto"/>
          <w:vertAlign w:val="superscript"/>
        </w:rPr>
      </w:pPr>
    </w:p>
    <w:p>
      <w:pPr>
        <w:ind w:left="3560" w:right="40" w:hanging="329"/>
        <w:spacing w:after="0" w:line="188" w:lineRule="auto"/>
        <w:tabs>
          <w:tab w:leader="none" w:pos="3560" w:val="left"/>
        </w:tabs>
        <w:numPr>
          <w:ilvl w:val="0"/>
          <w:numId w:val="95"/>
        </w:numPr>
        <w:rPr>
          <w:rFonts w:ascii="Courier New" w:cs="Courier New" w:eastAsia="Courier New" w:hAnsi="Courier New"/>
          <w:sz w:val="41"/>
          <w:szCs w:val="41"/>
          <w:color w:val="auto"/>
          <w:vertAlign w:val="superscript"/>
        </w:rPr>
      </w:pPr>
      <w:r>
        <w:rPr>
          <w:rFonts w:ascii="Arial" w:cs="Arial" w:eastAsia="Arial" w:hAnsi="Arial"/>
          <w:sz w:val="21"/>
          <w:szCs w:val="21"/>
          <w:color w:val="auto"/>
        </w:rPr>
        <w:t>If the percentile ranking is at or below the 35</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percentile, none of your restricted stock units will vest.</w:t>
      </w:r>
    </w:p>
    <w:p>
      <w:pPr>
        <w:spacing w:after="0" w:line="196" w:lineRule="exact"/>
        <w:rPr>
          <w:sz w:val="20"/>
          <w:szCs w:val="20"/>
          <w:color w:val="auto"/>
        </w:rPr>
      </w:pPr>
    </w:p>
    <w:p>
      <w:pPr>
        <w:ind w:left="3560" w:right="20" w:hanging="329"/>
        <w:spacing w:after="0" w:line="279" w:lineRule="auto"/>
        <w:tabs>
          <w:tab w:leader="none" w:pos="35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Compensation Committee also will determine and certify the percentile ranking of Sempra Energy’s cumulative total shareholder return for the performance period (as measured at the end of the performance period) among the companies (ranking by cumulative total shareholder returns) in the S&amp;P 500 Composite Index. If the Compensation Committee determines and certifies that Sempra Energy’s cumulative total shareholder return is at or above the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among the companies in the S&amp;P 500 Composite Index, the percentage of your target number of restricted stock units that vest will be not less than 100%.</w:t>
      </w:r>
    </w:p>
    <w:p>
      <w:pPr>
        <w:spacing w:after="0" w:line="147" w:lineRule="exact"/>
        <w:rPr>
          <w:rFonts w:ascii="Arial" w:cs="Arial" w:eastAsia="Arial" w:hAnsi="Arial"/>
          <w:sz w:val="18"/>
          <w:szCs w:val="18"/>
          <w:color w:val="auto"/>
        </w:rPr>
      </w:pPr>
    </w:p>
    <w:p>
      <w:pPr>
        <w:ind w:left="3560" w:right="40" w:hanging="329"/>
        <w:spacing w:after="0" w:line="256" w:lineRule="auto"/>
        <w:tabs>
          <w:tab w:leader="none" w:pos="3560" w:val="left"/>
        </w:tabs>
        <w:numPr>
          <w:ilvl w:val="0"/>
          <w:numId w:val="96"/>
        </w:numPr>
        <w:rPr>
          <w:rFonts w:ascii="Arial" w:cs="Arial" w:eastAsia="Arial" w:hAnsi="Arial"/>
          <w:sz w:val="20"/>
          <w:szCs w:val="20"/>
          <w:color w:val="auto"/>
        </w:rPr>
      </w:pPr>
      <w:r>
        <w:rPr>
          <w:rFonts w:ascii="Arial" w:cs="Arial" w:eastAsia="Arial" w:hAnsi="Arial"/>
          <w:sz w:val="20"/>
          <w:szCs w:val="20"/>
          <w:color w:val="auto"/>
        </w:rPr>
        <w:t>As soon as reasonably practicable following the end of the performance period, the Compensation Committee will determine and certify the extent to which Sempra Energy has met the performance criteria and the extent, if any, as to which your restricted stock units have then vested. You will receive the number of shares of Common Stock equal to the number of your vested restricted stock units after the Compensation Committee’s determination and certification. Also, you will receive the number of shares of Common Stock equal to your dividend equivalents after the Compensation Committee’s determination and certification. Certificates for the shares will be issued to you or transferred to an account that you designate. When the shares of Common Stock are issued to you, your restricted stock units (vested and unvested) and your dividend equivalents w ill terminate.</w:t>
      </w:r>
    </w:p>
    <w:p>
      <w:pPr>
        <w:spacing w:after="0" w:line="169" w:lineRule="exact"/>
        <w:rPr>
          <w:rFonts w:ascii="Arial" w:cs="Arial" w:eastAsia="Arial" w:hAnsi="Arial"/>
          <w:sz w:val="20"/>
          <w:szCs w:val="20"/>
          <w:color w:val="auto"/>
        </w:rPr>
      </w:pPr>
    </w:p>
    <w:p>
      <w:pPr>
        <w:ind w:left="3560" w:right="60" w:hanging="329"/>
        <w:spacing w:after="0" w:line="289" w:lineRule="auto"/>
        <w:tabs>
          <w:tab w:leader="none" w:pos="3560" w:val="left"/>
        </w:tabs>
        <w:numPr>
          <w:ilvl w:val="0"/>
          <w:numId w:val="96"/>
        </w:numPr>
        <w:rPr>
          <w:rFonts w:ascii="Arial" w:cs="Arial" w:eastAsia="Arial" w:hAnsi="Arial"/>
          <w:sz w:val="20"/>
          <w:szCs w:val="20"/>
          <w:color w:val="auto"/>
        </w:rPr>
      </w:pPr>
      <w:r>
        <w:rPr>
          <w:rFonts w:ascii="Arial" w:cs="Arial" w:eastAsia="Arial" w:hAnsi="Arial"/>
          <w:sz w:val="20"/>
          <w:szCs w:val="20"/>
          <w:color w:val="auto"/>
        </w:rPr>
        <w:t xml:space="preserve">Examples illustrating the application of the vesting provisions are shown in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to this Award Agreement.</w:t>
      </w:r>
    </w:p>
    <w:p>
      <w:pPr>
        <w:spacing w:after="0" w:line="88" w:lineRule="exact"/>
        <w:rPr>
          <w:sz w:val="20"/>
          <w:szCs w:val="20"/>
          <w:color w:val="auto"/>
        </w:rPr>
      </w:pPr>
    </w:p>
    <w:p>
      <w:pPr>
        <w:ind w:left="2580" w:right="40" w:hanging="2619"/>
        <w:spacing w:after="0" w:line="264" w:lineRule="auto"/>
        <w:tabs>
          <w:tab w:leader="none" w:pos="2560" w:val="left"/>
        </w:tabs>
        <w:rPr>
          <w:sz w:val="20"/>
          <w:szCs w:val="20"/>
          <w:color w:val="auto"/>
        </w:rPr>
      </w:pPr>
      <w:r>
        <w:rPr>
          <w:rFonts w:ascii="Arial" w:cs="Arial" w:eastAsia="Arial" w:hAnsi="Arial"/>
          <w:sz w:val="21"/>
          <w:szCs w:val="21"/>
          <w:b w:val="1"/>
          <w:bCs w:val="1"/>
          <w:color w:val="auto"/>
        </w:rPr>
        <w:t>Transfer Restrictions:</w:t>
      </w:r>
      <w:r>
        <w:rPr>
          <w:sz w:val="20"/>
          <w:szCs w:val="20"/>
          <w:color w:val="auto"/>
        </w:rPr>
        <w:tab/>
      </w:r>
      <w:r>
        <w:rPr>
          <w:rFonts w:ascii="Arial" w:cs="Arial" w:eastAsia="Arial" w:hAnsi="Arial"/>
          <w:sz w:val="21"/>
          <w:szCs w:val="21"/>
          <w:color w:val="auto"/>
        </w:rPr>
        <w:t>You may not sell or otherwise transfer or assign your restricted stock units (or your dividend equivalents).</w:t>
      </w:r>
    </w:p>
    <w:p>
      <w:pPr>
        <w:spacing w:after="0" w:line="117" w:lineRule="exact"/>
        <w:rPr>
          <w:sz w:val="20"/>
          <w:szCs w:val="20"/>
          <w:color w:val="auto"/>
        </w:rPr>
      </w:pPr>
    </w:p>
    <w:p>
      <w:pPr>
        <w:ind w:left="2580" w:right="20" w:hanging="2619"/>
        <w:spacing w:after="0" w:line="287" w:lineRule="auto"/>
        <w:tabs>
          <w:tab w:leader="none" w:pos="2560" w:val="left"/>
        </w:tabs>
        <w:rPr>
          <w:sz w:val="20"/>
          <w:szCs w:val="20"/>
          <w:color w:val="auto"/>
        </w:rPr>
      </w:pPr>
      <w:r>
        <w:rPr>
          <w:rFonts w:ascii="Arial" w:cs="Arial" w:eastAsia="Arial" w:hAnsi="Arial"/>
          <w:sz w:val="21"/>
          <w:szCs w:val="21"/>
          <w:b w:val="1"/>
          <w:bCs w:val="1"/>
          <w:color w:val="auto"/>
        </w:rPr>
        <w:t>Dividend Equivalents:</w:t>
      </w:r>
      <w:r>
        <w:rPr>
          <w:sz w:val="20"/>
          <w:szCs w:val="20"/>
          <w:color w:val="auto"/>
        </w:rPr>
        <w:tab/>
      </w:r>
      <w:r>
        <w:rPr>
          <w:rFonts w:ascii="Arial" w:cs="Arial" w:eastAsia="Arial" w:hAnsi="Arial"/>
          <w:sz w:val="18"/>
          <w:szCs w:val="18"/>
          <w:color w:val="auto"/>
        </w:rPr>
        <w:t>You also have been awarded dividend equivalents with respect to your restricted stock units. Your dividend equivalents represent the right to receive additional shares of Common Stock in the future, subject to the terms and conditions of your award. Your dividend equivalents will be determined based on the dividends that you would have received, had you held shares of Common Stock equal to the vested number of your restricted stock units from the date of your award to the date of the distribution of shares of Common Stock following the vesting of your restricted stock units, and assuming that the dividends were reinvested in Common Stock (and any dividends on such shares were reinvested in Common Stock). The dividends will be deemed reinvested in Common Stock in the same manner as dividends reinvested pursuant to the terms of the Sempra Dividend Reinv estment Plan.</w:t>
      </w:r>
    </w:p>
    <w:p>
      <w:pPr>
        <w:spacing w:after="0" w:line="88" w:lineRule="exact"/>
        <w:rPr>
          <w:sz w:val="20"/>
          <w:szCs w:val="20"/>
          <w:color w:val="auto"/>
        </w:rPr>
      </w:pPr>
    </w:p>
    <w:p>
      <w:pPr>
        <w:jc w:val="both"/>
        <w:ind w:left="2580" w:right="20"/>
        <w:spacing w:after="0" w:line="253" w:lineRule="auto"/>
        <w:rPr>
          <w:sz w:val="20"/>
          <w:szCs w:val="20"/>
          <w:color w:val="auto"/>
        </w:rPr>
      </w:pPr>
      <w:r>
        <w:rPr>
          <w:rFonts w:ascii="Arial" w:cs="Arial" w:eastAsia="Arial" w:hAnsi="Arial"/>
          <w:sz w:val="21"/>
          <w:szCs w:val="21"/>
          <w:color w:val="auto"/>
        </w:rPr>
        <w:t>Your dividend equivalents will be subject to the same transfer restrictions and forfeiture and vesting conditions as your restricted stock units. They will vest when your restricted stock units vest.</w:t>
      </w:r>
    </w:p>
    <w:p>
      <w:pPr>
        <w:spacing w:after="0" w:line="114" w:lineRule="exact"/>
        <w:rPr>
          <w:sz w:val="20"/>
          <w:szCs w:val="20"/>
          <w:color w:val="auto"/>
        </w:rPr>
      </w:pPr>
    </w:p>
    <w:p>
      <w:pPr>
        <w:ind w:left="2580"/>
        <w:spacing w:after="0" w:line="277" w:lineRule="auto"/>
        <w:rPr>
          <w:sz w:val="20"/>
          <w:szCs w:val="20"/>
          <w:color w:val="auto"/>
        </w:rPr>
      </w:pPr>
      <w:r>
        <w:rPr>
          <w:rFonts w:ascii="Arial" w:cs="Arial" w:eastAsia="Arial" w:hAnsi="Arial"/>
          <w:sz w:val="19"/>
          <w:szCs w:val="19"/>
          <w:color w:val="auto"/>
        </w:rPr>
        <w:t>Also, your restricted stock units (and dividend equivalents) will be adjusted to reflect stock dividends on shares of Common Stock or as the result of a stock-split, recapitalization, reorganization or other similar transaction in accordance with the terms and conditions of the 2008 Long Term Incentive Plan. Any additional restricted stock units (and dividend equivalents) awarded to you as a result of such an adjustment also will be subject to the</w:t>
      </w:r>
    </w:p>
    <w:p>
      <w:pPr>
        <w:sectPr>
          <w:pgSz w:w="11900" w:h="16838" w:orient="portrait"/>
          <w:cols w:equalWidth="0" w:num="1">
            <w:col w:w="9060"/>
          </w:cols>
          <w:pgMar w:left="1440" w:top="126" w:right="1399" w:bottom="0" w:gutter="0" w:footer="0" w:header="0"/>
        </w:sectPr>
      </w:pPr>
    </w:p>
    <w:bookmarkStart w:id="93" w:name="page94"/>
    <w:bookmarkEnd w:id="93"/>
    <w:p>
      <w:pPr>
        <w:spacing w:after="0" w:line="12" w:lineRule="exact"/>
        <w:rPr>
          <w:sz w:val="20"/>
          <w:szCs w:val="20"/>
          <w:color w:val="auto"/>
        </w:rPr>
      </w:pPr>
    </w:p>
    <w:p>
      <w:pPr>
        <w:ind w:left="2620" w:right="260"/>
        <w:spacing w:after="0" w:line="289" w:lineRule="auto"/>
        <w:rPr>
          <w:sz w:val="20"/>
          <w:szCs w:val="20"/>
          <w:color w:val="auto"/>
        </w:rPr>
      </w:pPr>
      <w:r>
        <w:rPr>
          <w:rFonts w:ascii="Arial" w:cs="Arial" w:eastAsia="Arial" w:hAnsi="Arial"/>
          <w:sz w:val="20"/>
          <w:szCs w:val="20"/>
          <w:color w:val="auto"/>
        </w:rPr>
        <w:t>same transfer restrictions, forfeiture and vesting conditions and other terms and conditions that are applicable to your restricted stock units.</w:t>
      </w:r>
    </w:p>
    <w:p>
      <w:pPr>
        <w:spacing w:after="0" w:line="88" w:lineRule="exact"/>
        <w:rPr>
          <w:sz w:val="20"/>
          <w:szCs w:val="20"/>
          <w:color w:val="auto"/>
        </w:rPr>
      </w:pPr>
    </w:p>
    <w:p>
      <w:pPr>
        <w:ind w:left="2620" w:right="360" w:hanging="2619"/>
        <w:spacing w:after="0" w:line="262" w:lineRule="auto"/>
        <w:tabs>
          <w:tab w:leader="none" w:pos="2600" w:val="left"/>
        </w:tabs>
        <w:rPr>
          <w:sz w:val="20"/>
          <w:szCs w:val="20"/>
          <w:color w:val="auto"/>
        </w:rPr>
      </w:pPr>
      <w:r>
        <w:rPr>
          <w:rFonts w:ascii="Arial" w:cs="Arial" w:eastAsia="Arial" w:hAnsi="Arial"/>
          <w:sz w:val="21"/>
          <w:szCs w:val="21"/>
          <w:b w:val="1"/>
          <w:bCs w:val="1"/>
          <w:color w:val="auto"/>
        </w:rPr>
        <w:t>No Shareholder Rights:</w:t>
      </w:r>
      <w:r>
        <w:rPr>
          <w:sz w:val="20"/>
          <w:szCs w:val="20"/>
          <w:color w:val="auto"/>
        </w:rPr>
        <w:tab/>
      </w:r>
      <w:r>
        <w:rPr>
          <w:rFonts w:ascii="Arial" w:cs="Arial" w:eastAsia="Arial" w:hAnsi="Arial"/>
          <w:sz w:val="20"/>
          <w:szCs w:val="20"/>
          <w:color w:val="auto"/>
        </w:rPr>
        <w:t>Your restricted stock units (and dividend equivalents) are not shares of Common Stock. You will have no rights as a shareholder unless and until shares of Common Stock are issued to you following the vesting of your restricted stock units (and dividend equivalents) as provided in this Agreement and the 2008 Long Term Incentive Plan.</w:t>
      </w:r>
    </w:p>
    <w:p>
      <w:pPr>
        <w:spacing w:after="0" w:line="122" w:lineRule="exact"/>
        <w:rPr>
          <w:sz w:val="20"/>
          <w:szCs w:val="20"/>
          <w:color w:val="auto"/>
        </w:rPr>
      </w:pPr>
    </w:p>
    <w:p>
      <w:pPr>
        <w:ind w:left="2620" w:right="220" w:hanging="2619"/>
        <w:spacing w:after="0" w:line="249" w:lineRule="auto"/>
        <w:tabs>
          <w:tab w:leader="none" w:pos="2600" w:val="left"/>
        </w:tabs>
        <w:rPr>
          <w:sz w:val="20"/>
          <w:szCs w:val="20"/>
          <w:color w:val="auto"/>
        </w:rPr>
      </w:pPr>
      <w:r>
        <w:rPr>
          <w:rFonts w:ascii="Arial" w:cs="Arial" w:eastAsia="Arial" w:hAnsi="Arial"/>
          <w:sz w:val="21"/>
          <w:szCs w:val="21"/>
          <w:b w:val="1"/>
          <w:bCs w:val="1"/>
          <w:color w:val="auto"/>
        </w:rPr>
        <w:t>Distribution of Shares:</w:t>
      </w:r>
      <w:r>
        <w:rPr>
          <w:sz w:val="20"/>
          <w:szCs w:val="20"/>
          <w:color w:val="auto"/>
        </w:rPr>
        <w:tab/>
      </w:r>
      <w:r>
        <w:rPr>
          <w:rFonts w:ascii="Arial" w:cs="Arial" w:eastAsia="Arial" w:hAnsi="Arial"/>
          <w:sz w:val="21"/>
          <w:szCs w:val="21"/>
          <w:color w:val="auto"/>
        </w:rPr>
        <w:t>As described in “Vesting/Forfeiture” above, the Compensation Committee will determine and certify the extent to which Sempra Energy has met the performance criteria and the extent, if any, as to which your restricted stock units have then vested.</w:t>
      </w:r>
    </w:p>
    <w:p>
      <w:pPr>
        <w:spacing w:after="0" w:line="111" w:lineRule="exact"/>
        <w:rPr>
          <w:sz w:val="20"/>
          <w:szCs w:val="20"/>
          <w:color w:val="auto"/>
        </w:rPr>
      </w:pPr>
    </w:p>
    <w:p>
      <w:pPr>
        <w:ind w:left="2620" w:right="60"/>
        <w:spacing w:after="0" w:line="274" w:lineRule="auto"/>
        <w:rPr>
          <w:sz w:val="20"/>
          <w:szCs w:val="20"/>
          <w:color w:val="auto"/>
        </w:rPr>
      </w:pPr>
      <w:r>
        <w:rPr>
          <w:rFonts w:ascii="Arial" w:cs="Arial" w:eastAsia="Arial" w:hAnsi="Arial"/>
          <w:sz w:val="19"/>
          <w:szCs w:val="19"/>
          <w:color w:val="auto"/>
        </w:rPr>
        <w:t>You will receive the number of shares of Common Stock equal to the number of your restricted stock units that have vested. However, in no event will you receive under this award, and other awards granted to you under the 2008 Long Term Incentive Plan in the same fiscal year of Sempra Energy, more than the maximum number of shares of Common Stock permitted under the 2008 Long Term Incentive Plan. Also, you will receive the number of shares of Common Stock equal to your dividend equivalents after the Compensation Committee’s determination and certification.</w:t>
      </w:r>
    </w:p>
    <w:p>
      <w:pPr>
        <w:spacing w:after="0" w:line="98" w:lineRule="exact"/>
        <w:rPr>
          <w:sz w:val="20"/>
          <w:szCs w:val="20"/>
          <w:color w:val="auto"/>
        </w:rPr>
      </w:pPr>
    </w:p>
    <w:p>
      <w:pPr>
        <w:ind w:left="2620" w:right="160"/>
        <w:spacing w:after="0" w:line="247" w:lineRule="auto"/>
        <w:rPr>
          <w:sz w:val="20"/>
          <w:szCs w:val="20"/>
          <w:color w:val="auto"/>
        </w:rPr>
      </w:pPr>
      <w:r>
        <w:rPr>
          <w:rFonts w:ascii="Arial" w:cs="Arial" w:eastAsia="Arial" w:hAnsi="Arial"/>
          <w:sz w:val="21"/>
          <w:szCs w:val="21"/>
          <w:color w:val="auto"/>
        </w:rPr>
        <w:t>You will receive the shares as soon as practicable following the Compensation Committee’s determination and certification (and in no event later than March 15, 2013). Once you receive the shares of Common Stock, your vested and unvested restricted stock units (and dividend equivalents) will terminate.</w:t>
      </w:r>
    </w:p>
    <w:p>
      <w:pPr>
        <w:spacing w:after="0" w:line="12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Termination of Employment:</w:t>
      </w:r>
    </w:p>
    <w:p>
      <w:pPr>
        <w:spacing w:after="0" w:line="170" w:lineRule="exact"/>
        <w:rPr>
          <w:sz w:val="20"/>
          <w:szCs w:val="20"/>
          <w:color w:val="auto"/>
        </w:rPr>
      </w:pPr>
    </w:p>
    <w:p>
      <w:pPr>
        <w:ind w:left="2620" w:right="220" w:hanging="2309"/>
        <w:spacing w:after="0" w:line="259" w:lineRule="auto"/>
        <w:tabs>
          <w:tab w:leader="none" w:pos="470" w:val="left"/>
        </w:tabs>
        <w:numPr>
          <w:ilvl w:val="0"/>
          <w:numId w:val="97"/>
        </w:numPr>
        <w:rPr>
          <w:rFonts w:ascii="Arial" w:cs="Arial" w:eastAsia="Arial" w:hAnsi="Arial"/>
          <w:sz w:val="21"/>
          <w:szCs w:val="21"/>
          <w:i w:val="1"/>
          <w:iCs w:val="1"/>
          <w:color w:val="auto"/>
        </w:rPr>
      </w:pPr>
      <w:r>
        <w:rPr>
          <w:rFonts w:ascii="Arial" w:cs="Arial" w:eastAsia="Arial" w:hAnsi="Arial"/>
          <w:sz w:val="21"/>
          <w:szCs w:val="21"/>
          <w:i w:val="1"/>
          <w:iCs w:val="1"/>
          <w:color w:val="auto"/>
        </w:rPr>
        <w:t>Termination:</w:t>
      </w:r>
      <w:r>
        <w:rPr>
          <w:rFonts w:ascii="Arial" w:cs="Arial" w:eastAsia="Arial" w:hAnsi="Arial"/>
          <w:sz w:val="20"/>
          <w:szCs w:val="20"/>
          <w:color w:val="auto"/>
        </w:rPr>
        <w:t>If your employment with Sempra Energy and its subsidiaries terminates for any reason prior to the vesting of your restricted stock units (and dividend equivalents) (other than under the circumstances set forth in the next paragraph), all of your restricted stock units (and dividend equivalents) will be forfeited. The vesting of your restricted stock units does not occur until the date of the Compensation Committee’s determination and certification described above.</w:t>
      </w:r>
    </w:p>
    <w:p>
      <w:pPr>
        <w:spacing w:after="0" w:line="99" w:lineRule="exact"/>
        <w:rPr>
          <w:sz w:val="20"/>
          <w:szCs w:val="20"/>
          <w:color w:val="auto"/>
        </w:rPr>
      </w:pPr>
    </w:p>
    <w:p>
      <w:pPr>
        <w:ind w:left="2620"/>
        <w:spacing w:after="0" w:line="260" w:lineRule="auto"/>
        <w:rPr>
          <w:sz w:val="20"/>
          <w:szCs w:val="20"/>
          <w:color w:val="auto"/>
        </w:rPr>
      </w:pPr>
      <w:r>
        <w:rPr>
          <w:rFonts w:ascii="Arial" w:cs="Arial" w:eastAsia="Arial" w:hAnsi="Arial"/>
          <w:sz w:val="20"/>
          <w:szCs w:val="20"/>
          <w:color w:val="auto"/>
        </w:rPr>
        <w:t>If your employment terminates after December 31, 2009 and at the date of termination you had both (a) attained age 55 and (b) completed five years of continuous service with Sempra Energy and its subsidiaries, your restricted stock units (and dividend equivalents) will not be forfeited but will continue to be subject to the transfer restrictions and vesting conditions and other terms and conditions of this Agreement.</w:t>
      </w:r>
    </w:p>
    <w:p>
      <w:pPr>
        <w:spacing w:after="0" w:line="126" w:lineRule="exact"/>
        <w:rPr>
          <w:sz w:val="20"/>
          <w:szCs w:val="20"/>
          <w:color w:val="auto"/>
        </w:rPr>
      </w:pPr>
    </w:p>
    <w:p>
      <w:pPr>
        <w:ind w:left="2620" w:right="180" w:hanging="2471"/>
        <w:spacing w:after="0" w:line="258" w:lineRule="auto"/>
        <w:tabs>
          <w:tab w:leader="none" w:pos="308" w:val="left"/>
        </w:tabs>
        <w:numPr>
          <w:ilvl w:val="0"/>
          <w:numId w:val="98"/>
        </w:numPr>
        <w:rPr>
          <w:rFonts w:ascii="Arial" w:cs="Arial" w:eastAsia="Arial" w:hAnsi="Arial"/>
          <w:sz w:val="21"/>
          <w:szCs w:val="21"/>
          <w:i w:val="1"/>
          <w:iCs w:val="1"/>
          <w:color w:val="auto"/>
        </w:rPr>
      </w:pPr>
      <w:r>
        <w:rPr>
          <w:rFonts w:ascii="Arial" w:cs="Arial" w:eastAsia="Arial" w:hAnsi="Arial"/>
          <w:sz w:val="21"/>
          <w:szCs w:val="21"/>
          <w:i w:val="1"/>
          <w:iCs w:val="1"/>
          <w:color w:val="auto"/>
        </w:rPr>
        <w:t>Leaves of Absence:</w:t>
      </w:r>
      <w:r>
        <w:rPr>
          <w:rFonts w:ascii="Arial" w:cs="Arial" w:eastAsia="Arial" w:hAnsi="Arial"/>
          <w:sz w:val="20"/>
          <w:szCs w:val="20"/>
          <w:color w:val="auto"/>
        </w:rPr>
        <w:t xml:space="preserve">Your employment does not terminate when you go on military leave, a sick leave or another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leave of absence, if the leave was approved by your employer in writing. But your employment will be treated as terminating 90 days after you went on leave, unless your right to return to active work is guaranteed by law or by a contract. And your employment terminates in any event when the approved leave ends, unless you immediately return to active work. Your employer determines which leaves count for this purpose.</w:t>
      </w:r>
    </w:p>
    <w:p>
      <w:pPr>
        <w:sectPr>
          <w:pgSz w:w="11900" w:h="16851" w:orient="portrait"/>
          <w:cols w:equalWidth="0" w:num="1">
            <w:col w:w="9100"/>
          </w:cols>
          <w:pgMar w:left="1400" w:top="126" w:right="1399" w:bottom="0" w:gutter="0" w:footer="0" w:header="0"/>
        </w:sectPr>
      </w:pP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120"/>
        <w:spacing w:after="0" w:line="295" w:lineRule="auto"/>
        <w:rPr>
          <w:sz w:val="20"/>
          <w:szCs w:val="20"/>
          <w:color w:val="auto"/>
        </w:rPr>
      </w:pPr>
      <w:r>
        <w:rPr>
          <w:rFonts w:ascii="Arial" w:cs="Arial" w:eastAsia="Arial" w:hAnsi="Arial"/>
          <w:sz w:val="18"/>
          <w:szCs w:val="18"/>
          <w:i w:val="1"/>
          <w:iCs w:val="1"/>
          <w:color w:val="auto"/>
        </w:rPr>
        <w:t>The following is a general summary of the federal income tax consequences of your Restricted Stock Unit Award. The summary may not cover your particular circumstances because it does not consider foreign, state, local or other tax laws and does not describe future changes in tax rules. You are urged to consult your tax advisor regarding the specific tax consequences applicable to you rather than relying on this general summary.</w:t>
      </w:r>
    </w:p>
    <w:p>
      <w:pPr>
        <w:spacing w:after="0" w:line="94" w:lineRule="exact"/>
        <w:rPr>
          <w:sz w:val="20"/>
          <w:szCs w:val="20"/>
          <w:color w:val="auto"/>
        </w:rPr>
      </w:pPr>
    </w:p>
    <w:p>
      <w:pPr>
        <w:sectPr>
          <w:pgSz w:w="11900" w:h="16851" w:orient="portrait"/>
          <w:cols w:equalWidth="0" w:num="2">
            <w:col w:w="1900" w:space="720"/>
            <w:col w:w="6480"/>
          </w:cols>
          <w:pgMar w:left="1400" w:top="126" w:right="1399" w:bottom="0" w:gutter="0" w:footer="0" w:header="0"/>
          <w:type w:val="continuous"/>
        </w:sectPr>
      </w:pPr>
    </w:p>
    <w:p>
      <w:pPr>
        <w:ind w:left="2620" w:right="460" w:hanging="2309"/>
        <w:spacing w:after="0" w:line="253" w:lineRule="auto"/>
        <w:tabs>
          <w:tab w:leader="none" w:pos="470" w:val="left"/>
        </w:tabs>
        <w:numPr>
          <w:ilvl w:val="0"/>
          <w:numId w:val="99"/>
        </w:numPr>
        <w:rPr>
          <w:rFonts w:ascii="Arial" w:cs="Arial" w:eastAsia="Arial" w:hAnsi="Arial"/>
          <w:sz w:val="21"/>
          <w:szCs w:val="21"/>
          <w:i w:val="1"/>
          <w:iCs w:val="1"/>
          <w:color w:val="auto"/>
        </w:rPr>
      </w:pPr>
      <w:r>
        <w:rPr>
          <w:rFonts w:ascii="Arial" w:cs="Arial" w:eastAsia="Arial" w:hAnsi="Arial"/>
          <w:sz w:val="21"/>
          <w:szCs w:val="21"/>
          <w:i w:val="1"/>
          <w:iCs w:val="1"/>
          <w:color w:val="auto"/>
        </w:rPr>
        <w:t>Generally:</w:t>
      </w:r>
      <w:r>
        <w:rPr>
          <w:rFonts w:ascii="Arial" w:cs="Arial" w:eastAsia="Arial" w:hAnsi="Arial"/>
          <w:sz w:val="21"/>
          <w:szCs w:val="21"/>
          <w:color w:val="auto"/>
        </w:rPr>
        <w:t>You will not be subject to federal income taxes on your award until you receive shares of Common Stock following the vesting of your restricted stock units.</w:t>
      </w:r>
    </w:p>
    <w:p>
      <w:pPr>
        <w:spacing w:after="0" w:line="141" w:lineRule="exact"/>
        <w:rPr>
          <w:sz w:val="20"/>
          <w:szCs w:val="20"/>
          <w:color w:val="auto"/>
        </w:rPr>
      </w:pPr>
    </w:p>
    <w:p>
      <w:pPr>
        <w:ind w:left="2620" w:right="180"/>
        <w:spacing w:after="0" w:line="317" w:lineRule="auto"/>
        <w:rPr>
          <w:sz w:val="20"/>
          <w:szCs w:val="20"/>
          <w:color w:val="auto"/>
        </w:rPr>
      </w:pPr>
      <w:r>
        <w:rPr>
          <w:rFonts w:ascii="Arial" w:cs="Arial" w:eastAsia="Arial" w:hAnsi="Arial"/>
          <w:sz w:val="19"/>
          <w:szCs w:val="19"/>
          <w:color w:val="auto"/>
        </w:rPr>
        <w:t>When you receive your shares, you will realize taxable income based on the fair market value of the shares at the time you receive the shares.</w:t>
      </w:r>
    </w:p>
    <w:p>
      <w:pPr>
        <w:spacing w:after="0" w:line="85" w:lineRule="exact"/>
        <w:rPr>
          <w:sz w:val="20"/>
          <w:szCs w:val="20"/>
          <w:color w:val="auto"/>
        </w:rPr>
      </w:pPr>
    </w:p>
    <w:p>
      <w:pPr>
        <w:ind w:left="2620" w:right="200"/>
        <w:spacing w:after="0" w:line="253" w:lineRule="auto"/>
        <w:rPr>
          <w:sz w:val="20"/>
          <w:szCs w:val="20"/>
          <w:color w:val="auto"/>
        </w:rPr>
      </w:pPr>
      <w:r>
        <w:rPr>
          <w:rFonts w:ascii="Arial" w:cs="Arial" w:eastAsia="Arial" w:hAnsi="Arial"/>
          <w:sz w:val="21"/>
          <w:szCs w:val="21"/>
          <w:color w:val="auto"/>
        </w:rPr>
        <w:t>When you sell your shares you may also realize taxable gain (or loss) based upon the difference between the sales price and the amount that you have previously recognized as income.</w:t>
      </w:r>
    </w:p>
    <w:p>
      <w:pPr>
        <w:sectPr>
          <w:pgSz w:w="11900" w:h="16851" w:orient="portrait"/>
          <w:cols w:equalWidth="0" w:num="1">
            <w:col w:w="9100"/>
          </w:cols>
          <w:pgMar w:left="1400" w:top="126" w:right="1399" w:bottom="0" w:gutter="0" w:footer="0" w:header="0"/>
          <w:type w:val="continuous"/>
        </w:sectPr>
      </w:pPr>
    </w:p>
    <w:bookmarkStart w:id="94" w:name="page95"/>
    <w:bookmarkEnd w:id="94"/>
    <w:p>
      <w:pPr>
        <w:ind w:left="2580" w:right="100" w:hanging="2309"/>
        <w:spacing w:after="0" w:line="244" w:lineRule="auto"/>
        <w:tabs>
          <w:tab w:leader="none" w:pos="430" w:val="left"/>
        </w:tabs>
        <w:numPr>
          <w:ilvl w:val="0"/>
          <w:numId w:val="100"/>
        </w:numPr>
        <w:rPr>
          <w:rFonts w:ascii="Arial" w:cs="Arial" w:eastAsia="Arial" w:hAnsi="Arial"/>
          <w:sz w:val="21"/>
          <w:szCs w:val="21"/>
          <w:i w:val="1"/>
          <w:iCs w:val="1"/>
          <w:color w:val="auto"/>
        </w:rPr>
      </w:pPr>
      <w:r>
        <w:rPr>
          <w:rFonts w:ascii="Arial" w:cs="Arial" w:eastAsia="Arial" w:hAnsi="Arial"/>
          <w:sz w:val="21"/>
          <w:szCs w:val="21"/>
          <w:i w:val="1"/>
          <w:iCs w:val="1"/>
          <w:color w:val="auto"/>
        </w:rPr>
        <w:t>Withholding Taxes:</w:t>
      </w:r>
      <w:r>
        <w:rPr>
          <w:rFonts w:ascii="Arial" w:cs="Arial" w:eastAsia="Arial" w:hAnsi="Arial"/>
          <w:sz w:val="21"/>
          <w:szCs w:val="21"/>
          <w:color w:val="auto"/>
        </w:rPr>
        <w:t>When you become subject to income taxes upon your receipt of the shares of Common Stock, Sempra Energy or its subsidiary is required to withhold taxes. Unless you instruct otherwise and pay or make arrangements satisfactory to Sempra Energy to pay these taxes, upon the distribution of your shares, Sempra Energy will withhold a sufficient number of the shares (valued at the distribution date fair market value) to cover the minimum required withholding taxes and transfer to you only the remaining balance of your shares.</w:t>
      </w:r>
    </w:p>
    <w:p>
      <w:pPr>
        <w:spacing w:after="0" w:line="110" w:lineRule="exact"/>
        <w:rPr>
          <w:sz w:val="20"/>
          <w:szCs w:val="20"/>
          <w:color w:val="auto"/>
        </w:rPr>
      </w:pPr>
    </w:p>
    <w:p>
      <w:pPr>
        <w:ind w:left="2580" w:right="140" w:hanging="2619"/>
        <w:spacing w:after="0" w:line="277" w:lineRule="auto"/>
        <w:tabs>
          <w:tab w:leader="none" w:pos="2560" w:val="left"/>
        </w:tabs>
        <w:rPr>
          <w:sz w:val="20"/>
          <w:szCs w:val="20"/>
          <w:color w:val="auto"/>
        </w:rPr>
      </w:pPr>
      <w:r>
        <w:rPr>
          <w:rFonts w:ascii="Arial" w:cs="Arial" w:eastAsia="Arial" w:hAnsi="Arial"/>
          <w:sz w:val="21"/>
          <w:szCs w:val="21"/>
          <w:b w:val="1"/>
          <w:bCs w:val="1"/>
          <w:color w:val="auto"/>
        </w:rPr>
        <w:t>Retention Rights:</w:t>
      </w:r>
      <w:r>
        <w:rPr>
          <w:sz w:val="20"/>
          <w:szCs w:val="20"/>
          <w:color w:val="auto"/>
        </w:rPr>
        <w:tab/>
      </w:r>
      <w:r>
        <w:rPr>
          <w:rFonts w:ascii="Arial" w:cs="Arial" w:eastAsia="Arial" w:hAnsi="Arial"/>
          <w:sz w:val="19"/>
          <w:szCs w:val="19"/>
          <w:color w:val="auto"/>
        </w:rPr>
        <w:t>Neither your restricted stock unit award nor this Agreement gives you any right to be retained by Sempra Energy or any of its subsidiaries in any capacity and your employer reserves the right to terminate your employment at any time, with or without cause. The value of your award will not be included as compensation or earnings for purposes of any other benefit plan offered by Sempra Energy or any of its subsidiaries.</w:t>
      </w:r>
    </w:p>
    <w:p>
      <w:pPr>
        <w:spacing w:after="0" w:line="81" w:lineRule="exact"/>
        <w:rPr>
          <w:sz w:val="20"/>
          <w:szCs w:val="20"/>
          <w:color w:val="auto"/>
        </w:rPr>
      </w:pPr>
    </w:p>
    <w:p>
      <w:pPr>
        <w:ind w:left="2580" w:hanging="2619"/>
        <w:spacing w:after="0" w:line="270" w:lineRule="auto"/>
        <w:tabs>
          <w:tab w:leader="none" w:pos="2560" w:val="left"/>
        </w:tabs>
        <w:rPr>
          <w:sz w:val="20"/>
          <w:szCs w:val="20"/>
          <w:color w:val="auto"/>
        </w:rPr>
      </w:pPr>
      <w:r>
        <w:rPr>
          <w:rFonts w:ascii="Arial" w:cs="Arial" w:eastAsia="Arial" w:hAnsi="Arial"/>
          <w:sz w:val="21"/>
          <w:szCs w:val="21"/>
          <w:b w:val="1"/>
          <w:bCs w:val="1"/>
          <w:color w:val="auto"/>
        </w:rPr>
        <w:t>Change in Control:</w:t>
      </w:r>
      <w:r>
        <w:rPr>
          <w:sz w:val="20"/>
          <w:szCs w:val="20"/>
          <w:color w:val="auto"/>
        </w:rPr>
        <w:tab/>
      </w:r>
      <w:r>
        <w:rPr>
          <w:rFonts w:ascii="Arial" w:cs="Arial" w:eastAsia="Arial" w:hAnsi="Arial"/>
          <w:sz w:val="19"/>
          <w:szCs w:val="19"/>
          <w:color w:val="auto"/>
        </w:rPr>
        <w:t>Subject to certain limitations set forth in the 2008 Long Term Incentive Plan, in the event of a Change in Control (as defined in the plan) of Sempra Energy during the portion of the performance period beginning on January 1, 2009 and ending on December 31, 2010, unless your restricted stock units have been forfeited prior to the Change in Control, 100% of your target number of restricted stock units will vest in the event of a Change in Control. In the event of a Change in Control of Sempra Energy during the portion of the performance period beginning on January 1, 2011 and ending on the first New York Stock Exchange trading day of 2013, unless your restricted stock units have been forfeited prior to the Change in Control, your restricted stock units will vest or be forfeited on the basis of the total shareholder return performance criteria set forth above unde r “Vesting/Forfeiture” as if the performance period had ended on the date immediately preceeding the date of the Change in Control.</w:t>
      </w:r>
    </w:p>
    <w:p>
      <w:pPr>
        <w:spacing w:after="0" w:line="63" w:lineRule="exact"/>
        <w:rPr>
          <w:sz w:val="20"/>
          <w:szCs w:val="20"/>
          <w:color w:val="auto"/>
        </w:rPr>
      </w:pPr>
    </w:p>
    <w:p>
      <w:pPr>
        <w:ind w:left="2580" w:right="60"/>
        <w:spacing w:after="0" w:line="247" w:lineRule="auto"/>
        <w:rPr>
          <w:sz w:val="20"/>
          <w:szCs w:val="20"/>
          <w:color w:val="auto"/>
        </w:rPr>
      </w:pPr>
      <w:r>
        <w:rPr>
          <w:rFonts w:ascii="Arial" w:cs="Arial" w:eastAsia="Arial" w:hAnsi="Arial"/>
          <w:sz w:val="21"/>
          <w:szCs w:val="21"/>
          <w:color w:val="auto"/>
        </w:rPr>
        <w:t>You will receive the number of shares of Common Stock equal to the number of your restricted stock units that have vested. Also, you will receive the number of shares of Common Stock equal to your dividend equivalents. You will receive the shares of Common Stock immediately prior to the date of the Change in Control.</w:t>
      </w:r>
    </w:p>
    <w:p>
      <w:pPr>
        <w:spacing w:after="0" w:line="81" w:lineRule="exact"/>
        <w:rPr>
          <w:sz w:val="20"/>
          <w:szCs w:val="20"/>
          <w:color w:val="auto"/>
        </w:rPr>
      </w:pPr>
    </w:p>
    <w:p>
      <w:pPr>
        <w:ind w:left="2580" w:right="480"/>
        <w:spacing w:after="0" w:line="317" w:lineRule="auto"/>
        <w:rPr>
          <w:sz w:val="20"/>
          <w:szCs w:val="20"/>
          <w:color w:val="auto"/>
        </w:rPr>
      </w:pPr>
      <w:r>
        <w:rPr>
          <w:rFonts w:ascii="Arial" w:cs="Arial" w:eastAsia="Arial" w:hAnsi="Arial"/>
          <w:sz w:val="19"/>
          <w:szCs w:val="19"/>
          <w:color w:val="auto"/>
        </w:rPr>
        <w:t>Immediately following the Change in Control, your vested and unvested restricted stock units (and dividend equivalents) will terminate.</w:t>
      </w:r>
    </w:p>
    <w:p>
      <w:pPr>
        <w:spacing w:after="0" w:line="38" w:lineRule="exact"/>
        <w:rPr>
          <w:sz w:val="20"/>
          <w:szCs w:val="20"/>
          <w:color w:val="auto"/>
        </w:rPr>
      </w:pPr>
    </w:p>
    <w:p>
      <w:pPr>
        <w:ind w:left="2580" w:right="200" w:hanging="2619"/>
        <w:spacing w:after="0" w:line="264" w:lineRule="auto"/>
        <w:tabs>
          <w:tab w:leader="none" w:pos="2560" w:val="left"/>
        </w:tabs>
        <w:rPr>
          <w:sz w:val="20"/>
          <w:szCs w:val="20"/>
          <w:color w:val="auto"/>
        </w:rPr>
      </w:pPr>
      <w:r>
        <w:rPr>
          <w:rFonts w:ascii="Arial" w:cs="Arial" w:eastAsia="Arial" w:hAnsi="Arial"/>
          <w:sz w:val="21"/>
          <w:szCs w:val="21"/>
          <w:b w:val="1"/>
          <w:bCs w:val="1"/>
          <w:color w:val="auto"/>
        </w:rPr>
        <w:t>Further Actions:</w:t>
      </w:r>
      <w:r>
        <w:rPr>
          <w:sz w:val="20"/>
          <w:szCs w:val="20"/>
          <w:color w:val="auto"/>
        </w:rPr>
        <w:tab/>
      </w:r>
      <w:r>
        <w:rPr>
          <w:rFonts w:ascii="Arial" w:cs="Arial" w:eastAsia="Arial" w:hAnsi="Arial"/>
          <w:sz w:val="21"/>
          <w:szCs w:val="21"/>
          <w:color w:val="auto"/>
        </w:rPr>
        <w:t>You agree to take all actions and execute all documents appropriate to carry out the provisions of this Agreement.</w:t>
      </w:r>
    </w:p>
    <w:p>
      <w:pPr>
        <w:spacing w:after="0" w:line="55" w:lineRule="exact"/>
        <w:rPr>
          <w:sz w:val="20"/>
          <w:szCs w:val="20"/>
          <w:color w:val="auto"/>
        </w:rPr>
      </w:pPr>
    </w:p>
    <w:p>
      <w:pPr>
        <w:ind w:left="2580" w:right="200"/>
        <w:spacing w:after="0" w:line="262" w:lineRule="auto"/>
        <w:rPr>
          <w:sz w:val="20"/>
          <w:szCs w:val="20"/>
          <w:color w:val="auto"/>
        </w:rPr>
      </w:pPr>
      <w:r>
        <w:rPr>
          <w:rFonts w:ascii="Arial" w:cs="Arial" w:eastAsia="Arial" w:hAnsi="Arial"/>
          <w:sz w:val="20"/>
          <w:szCs w:val="20"/>
          <w:color w:val="auto"/>
        </w:rPr>
        <w:t>You also appoint as your attorney-in-fact each individual who at the time of so acting is the Secretary or an Assistant Secretary of Sempra Energy with full authority to effect any transfer of any shares of Common Stock distributable to you, including any transfer to pay withholding taxes, that is authorized by this Agreement.</w:t>
      </w:r>
    </w:p>
    <w:p>
      <w:pPr>
        <w:spacing w:after="0" w:line="116" w:lineRule="exact"/>
        <w:rPr>
          <w:sz w:val="20"/>
          <w:szCs w:val="20"/>
          <w:color w:val="auto"/>
        </w:rPr>
      </w:pPr>
    </w:p>
    <w:p>
      <w:pPr>
        <w:ind w:left="2580" w:right="180" w:hanging="2619"/>
        <w:spacing w:after="0" w:line="264" w:lineRule="auto"/>
        <w:tabs>
          <w:tab w:leader="none" w:pos="2560" w:val="left"/>
        </w:tabs>
        <w:rPr>
          <w:sz w:val="20"/>
          <w:szCs w:val="20"/>
          <w:color w:val="auto"/>
        </w:rPr>
      </w:pPr>
      <w:r>
        <w:rPr>
          <w:rFonts w:ascii="Arial" w:cs="Arial" w:eastAsia="Arial" w:hAnsi="Arial"/>
          <w:sz w:val="21"/>
          <w:szCs w:val="21"/>
          <w:b w:val="1"/>
          <w:bCs w:val="1"/>
          <w:color w:val="auto"/>
        </w:rPr>
        <w:t>Applicable Law:</w:t>
      </w:r>
      <w:r>
        <w:rPr>
          <w:sz w:val="20"/>
          <w:szCs w:val="20"/>
          <w:color w:val="auto"/>
        </w:rPr>
        <w:tab/>
      </w:r>
      <w:r>
        <w:rPr>
          <w:rFonts w:ascii="Arial" w:cs="Arial" w:eastAsia="Arial" w:hAnsi="Arial"/>
          <w:sz w:val="21"/>
          <w:szCs w:val="21"/>
          <w:color w:val="auto"/>
        </w:rPr>
        <w:t>This Agreement will be interpreted and enforced under the laws of the State of California.</w:t>
      </w:r>
    </w:p>
    <w:p>
      <w:pPr>
        <w:spacing w:after="0" w:line="117" w:lineRule="exact"/>
        <w:rPr>
          <w:sz w:val="20"/>
          <w:szCs w:val="20"/>
          <w:color w:val="auto"/>
        </w:rPr>
      </w:pPr>
    </w:p>
    <w:p>
      <w:pPr>
        <w:ind w:left="2580" w:right="20" w:hanging="2619"/>
        <w:spacing w:after="0" w:line="283" w:lineRule="auto"/>
        <w:tabs>
          <w:tab w:leader="none" w:pos="2560" w:val="left"/>
        </w:tabs>
        <w:rPr>
          <w:sz w:val="20"/>
          <w:szCs w:val="20"/>
          <w:color w:val="auto"/>
        </w:rPr>
      </w:pPr>
      <w:r>
        <w:rPr>
          <w:rFonts w:ascii="Arial" w:cs="Arial" w:eastAsia="Arial" w:hAnsi="Arial"/>
          <w:sz w:val="21"/>
          <w:szCs w:val="21"/>
          <w:b w:val="1"/>
          <w:bCs w:val="1"/>
          <w:color w:val="auto"/>
        </w:rPr>
        <w:t>Other Agreements:</w:t>
      </w:r>
      <w:r>
        <w:rPr>
          <w:sz w:val="20"/>
          <w:szCs w:val="20"/>
          <w:color w:val="auto"/>
        </w:rPr>
        <w:tab/>
      </w:r>
      <w:r>
        <w:rPr>
          <w:rFonts w:ascii="Arial" w:cs="Arial" w:eastAsia="Arial" w:hAnsi="Arial"/>
          <w:sz w:val="19"/>
          <w:szCs w:val="19"/>
          <w:color w:val="auto"/>
        </w:rPr>
        <w:t>In the event of any conflict between the terms of this Agreement and any written employment, severance or other employment-related agreement between you and Sempra Energy, the terms of this Agreement, or the terms of such other agreement, whichever are more favorable to you, shall prevail.</w:t>
      </w:r>
    </w:p>
    <w:p>
      <w:pPr>
        <w:sectPr>
          <w:pgSz w:w="11900" w:h="16838" w:orient="portrait"/>
          <w:cols w:equalWidth="0" w:num="1">
            <w:col w:w="9060"/>
          </w:cols>
          <w:pgMar w:left="1440" w:top="126" w:right="1399" w:bottom="1440" w:gutter="0" w:footer="0" w:header="0"/>
        </w:sect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i w:val="1"/>
          <w:iCs w:val="1"/>
          <w:color w:val="auto"/>
        </w:rPr>
        <w:t>By signing the Cover Sheet/Summary of this Agreement, you agree</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i w:val="1"/>
          <w:iCs w:val="1"/>
          <w:color w:val="auto"/>
        </w:rPr>
        <w:t>to all of the terms and conditions described above and in the 2008 Long Term Incentive Plan</w:t>
      </w:r>
    </w:p>
    <w:p>
      <w:pPr>
        <w:sectPr>
          <w:pgSz w:w="11900" w:h="16838" w:orient="portrait"/>
          <w:cols w:equalWidth="0" w:num="1">
            <w:col w:w="9060"/>
          </w:cols>
          <w:pgMar w:left="1440" w:top="126" w:right="1399" w:bottom="1440" w:gutter="0" w:footer="0" w:header="0"/>
          <w:type w:val="continuous"/>
        </w:sectPr>
      </w:pPr>
    </w:p>
    <w:bookmarkStart w:id="95" w:name="page96"/>
    <w:bookmarkEnd w:id="95"/>
    <w:p>
      <w:pPr>
        <w:jc w:val="right"/>
        <w:spacing w:after="0"/>
        <w:rPr>
          <w:sz w:val="20"/>
          <w:szCs w:val="20"/>
          <w:color w:val="auto"/>
        </w:rPr>
      </w:pPr>
      <w:r>
        <w:rPr>
          <w:rFonts w:ascii="Arial" w:cs="Arial" w:eastAsia="Arial" w:hAnsi="Arial"/>
          <w:sz w:val="21"/>
          <w:szCs w:val="21"/>
          <w:b w:val="1"/>
          <w:bCs w:val="1"/>
          <w:u w:val="single" w:color="auto"/>
          <w:color w:val="auto"/>
        </w:rPr>
        <w:t>Exhibit A</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Examples Illustrating the Determination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of the Vested Percentage of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Target Number of Restricted Stock Units</w:t>
      </w:r>
    </w:p>
    <w:p>
      <w:pPr>
        <w:spacing w:after="0" w:line="200" w:lineRule="exact"/>
        <w:rPr>
          <w:sz w:val="20"/>
          <w:szCs w:val="20"/>
          <w:color w:val="auto"/>
        </w:rPr>
      </w:pPr>
    </w:p>
    <w:p>
      <w:pPr>
        <w:spacing w:after="0" w:line="270" w:lineRule="exact"/>
        <w:rPr>
          <w:sz w:val="20"/>
          <w:szCs w:val="20"/>
          <w:color w:val="auto"/>
        </w:rPr>
      </w:pPr>
    </w:p>
    <w:p>
      <w:pPr>
        <w:ind w:right="480" w:firstLine="648"/>
        <w:spacing w:after="0" w:line="279" w:lineRule="auto"/>
        <w:rPr>
          <w:sz w:val="20"/>
          <w:szCs w:val="20"/>
          <w:color w:val="auto"/>
        </w:rPr>
      </w:pPr>
      <w:r>
        <w:rPr>
          <w:rFonts w:ascii="Arial" w:cs="Arial" w:eastAsia="Arial" w:hAnsi="Arial"/>
          <w:sz w:val="19"/>
          <w:szCs w:val="19"/>
          <w:color w:val="auto"/>
        </w:rPr>
        <w:t>The following examples illustrate how the percentage of the target number of restricted stock units is to be determined. The examples assume that Sempra Energy achieves certain total cumulative shareholder returns for the performance period. The vested percentage of your target number of restricted stock units will be determined based on Sempra Energy’s actual cumulative total shareholder return for the performance period as measured at the end of the performance period. No assurance is given that Sempra Energy will achieve the cumulative total shareholder returns shown in the examples.</w:t>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Example 1</w:t>
      </w:r>
    </w:p>
    <w:p>
      <w:pPr>
        <w:spacing w:after="0" w:line="218" w:lineRule="exact"/>
        <w:rPr>
          <w:sz w:val="20"/>
          <w:szCs w:val="20"/>
          <w:color w:val="auto"/>
        </w:rPr>
      </w:pPr>
    </w:p>
    <w:p>
      <w:pPr>
        <w:ind w:right="120" w:firstLine="648"/>
        <w:spacing w:after="0" w:line="345" w:lineRule="auto"/>
        <w:rPr>
          <w:sz w:val="20"/>
          <w:szCs w:val="20"/>
          <w:color w:val="auto"/>
        </w:rPr>
      </w:pPr>
      <w:r>
        <w:rPr>
          <w:rFonts w:ascii="Arial" w:cs="Arial" w:eastAsia="Arial" w:hAnsi="Arial"/>
          <w:sz w:val="18"/>
          <w:szCs w:val="18"/>
          <w:color w:val="auto"/>
        </w:rPr>
        <w:t xml:space="preserve">Sempra Energy’s total cumulative shareholder return for the performance period among the companies (ranked by total shareholder returns) in the </w:t>
      </w:r>
      <w:r>
        <w:rPr>
          <w:rFonts w:ascii="Arial" w:cs="Arial" w:eastAsia="Arial" w:hAnsi="Arial"/>
          <w:sz w:val="18"/>
          <w:szCs w:val="18"/>
          <w:u w:val="single" w:color="auto"/>
          <w:color w:val="auto"/>
        </w:rPr>
        <w:t>S&amp;P 500 Utility Index</w:t>
      </w:r>
      <w:r>
        <w:rPr>
          <w:rFonts w:ascii="Arial" w:cs="Arial" w:eastAsia="Arial" w:hAnsi="Arial"/>
          <w:sz w:val="18"/>
          <w:szCs w:val="18"/>
          <w:color w:val="auto"/>
        </w:rPr>
        <w:t xml:space="preserve">, as determined and certified by the Compensation Committee, is at the </w:t>
      </w:r>
      <w:r>
        <w:rPr>
          <w:rFonts w:ascii="Arial" w:cs="Arial" w:eastAsia="Arial" w:hAnsi="Arial"/>
          <w:sz w:val="18"/>
          <w:szCs w:val="18"/>
          <w:u w:val="single" w:color="auto"/>
          <w:color w:val="auto"/>
        </w:rPr>
        <w:t>80</w:t>
      </w:r>
      <w:r>
        <w:rPr>
          <w:rFonts w:ascii="Arial" w:cs="Arial" w:eastAsia="Arial" w:hAnsi="Arial"/>
          <w:sz w:val="29"/>
          <w:szCs w:val="29"/>
          <w:u w:val="single" w:color="auto"/>
          <w:color w:val="auto"/>
          <w:vertAlign w:val="superscript"/>
        </w:rPr>
        <w:t>th</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percentile</w:t>
      </w:r>
      <w:r>
        <w:rPr>
          <w:rFonts w:ascii="Arial" w:cs="Arial" w:eastAsia="Arial" w:hAnsi="Arial"/>
          <w:sz w:val="18"/>
          <w:szCs w:val="18"/>
          <w:color w:val="auto"/>
        </w:rPr>
        <w:t>.</w:t>
      </w:r>
    </w:p>
    <w:p>
      <w:pPr>
        <w:spacing w:after="0" w:line="1" w:lineRule="exact"/>
        <w:rPr>
          <w:sz w:val="20"/>
          <w:szCs w:val="20"/>
          <w:color w:val="auto"/>
        </w:rPr>
      </w:pPr>
    </w:p>
    <w:p>
      <w:pPr>
        <w:ind w:right="60" w:firstLine="648"/>
        <w:spacing w:after="0" w:line="210" w:lineRule="auto"/>
        <w:rPr>
          <w:sz w:val="20"/>
          <w:szCs w:val="20"/>
          <w:color w:val="auto"/>
        </w:rPr>
      </w:pPr>
      <w:r>
        <w:rPr>
          <w:rFonts w:ascii="Arial" w:cs="Arial" w:eastAsia="Arial" w:hAnsi="Arial"/>
          <w:sz w:val="21"/>
          <w:szCs w:val="21"/>
          <w:color w:val="auto"/>
        </w:rPr>
        <w:t xml:space="preserve">Because Sempra Energy’s cumulative total cumulative shareholder return is </w:t>
      </w:r>
      <w:r>
        <w:rPr>
          <w:rFonts w:ascii="Arial" w:cs="Arial" w:eastAsia="Arial" w:hAnsi="Arial"/>
          <w:sz w:val="21"/>
          <w:szCs w:val="21"/>
          <w:u w:val="single" w:color="auto"/>
          <w:color w:val="auto"/>
        </w:rPr>
        <w:t>above the 75</w:t>
      </w:r>
      <w:r>
        <w:rPr>
          <w:rFonts w:ascii="Arial" w:cs="Arial" w:eastAsia="Arial" w:hAnsi="Arial"/>
          <w:sz w:val="34"/>
          <w:szCs w:val="34"/>
          <w:u w:val="single" w:color="auto"/>
          <w:color w:val="auto"/>
          <w:vertAlign w:val="superscript"/>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 150% of the target number of restricted stock units vest. This is the maximum number of restricted stock units under the award.</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Example 2</w:t>
      </w:r>
    </w:p>
    <w:p>
      <w:pPr>
        <w:spacing w:after="0" w:line="218" w:lineRule="exact"/>
        <w:rPr>
          <w:sz w:val="20"/>
          <w:szCs w:val="20"/>
          <w:color w:val="auto"/>
        </w:rPr>
      </w:pPr>
    </w:p>
    <w:p>
      <w:pPr>
        <w:ind w:right="120" w:firstLine="648"/>
        <w:spacing w:after="0" w:line="335" w:lineRule="auto"/>
        <w:rPr>
          <w:sz w:val="20"/>
          <w:szCs w:val="20"/>
          <w:color w:val="auto"/>
        </w:rPr>
      </w:pPr>
      <w:r>
        <w:rPr>
          <w:rFonts w:ascii="Arial" w:cs="Arial" w:eastAsia="Arial" w:hAnsi="Arial"/>
          <w:sz w:val="18"/>
          <w:szCs w:val="18"/>
          <w:color w:val="auto"/>
        </w:rPr>
        <w:t xml:space="preserve">Sempra Energy’s cumulative total shareholder return for the performance period among the companies (ranked by total shareholder returns) in the </w:t>
      </w:r>
      <w:r>
        <w:rPr>
          <w:rFonts w:ascii="Arial" w:cs="Arial" w:eastAsia="Arial" w:hAnsi="Arial"/>
          <w:sz w:val="18"/>
          <w:szCs w:val="18"/>
          <w:u w:val="single" w:color="auto"/>
          <w:color w:val="auto"/>
        </w:rPr>
        <w:t>S&amp;P 500 Utility Index</w:t>
      </w:r>
      <w:r>
        <w:rPr>
          <w:rFonts w:ascii="Arial" w:cs="Arial" w:eastAsia="Arial" w:hAnsi="Arial"/>
          <w:sz w:val="18"/>
          <w:szCs w:val="18"/>
          <w:color w:val="auto"/>
        </w:rPr>
        <w:t xml:space="preserve">, as determined and certified by the Compensation Committee, is at the </w:t>
      </w:r>
      <w:r>
        <w:rPr>
          <w:rFonts w:ascii="Arial" w:cs="Arial" w:eastAsia="Arial" w:hAnsi="Arial"/>
          <w:sz w:val="18"/>
          <w:szCs w:val="18"/>
          <w:u w:val="single" w:color="auto"/>
          <w:color w:val="auto"/>
        </w:rPr>
        <w:t>67</w:t>
      </w:r>
      <w:r>
        <w:rPr>
          <w:rFonts w:ascii="Arial" w:cs="Arial" w:eastAsia="Arial" w:hAnsi="Arial"/>
          <w:sz w:val="29"/>
          <w:szCs w:val="29"/>
          <w:u w:val="single" w:color="auto"/>
          <w:color w:val="auto"/>
          <w:vertAlign w:val="superscript"/>
        </w:rPr>
        <w:t>th</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percentile</w:t>
      </w:r>
      <w:r>
        <w:rPr>
          <w:rFonts w:ascii="Arial" w:cs="Arial" w:eastAsia="Arial" w:hAnsi="Arial"/>
          <w:sz w:val="18"/>
          <w:szCs w:val="18"/>
          <w:color w:val="auto"/>
        </w:rPr>
        <w:t>.</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percentage of the target number of restricted stock units that vest is determined by a linear interpolation between the</w:t>
      </w:r>
    </w:p>
    <w:p>
      <w:pPr>
        <w:spacing w:after="0" w:line="34" w:lineRule="exact"/>
        <w:rPr>
          <w:sz w:val="20"/>
          <w:szCs w:val="20"/>
          <w:color w:val="auto"/>
        </w:rPr>
      </w:pPr>
    </w:p>
    <w:p>
      <w:pPr>
        <w:ind w:right="300"/>
        <w:spacing w:after="0" w:line="180" w:lineRule="auto"/>
        <w:rPr>
          <w:sz w:val="20"/>
          <w:szCs w:val="20"/>
          <w:color w:val="auto"/>
        </w:rPr>
      </w:pPr>
      <w:r>
        <w:rPr>
          <w:rFonts w:ascii="Arial" w:cs="Arial" w:eastAsia="Arial" w:hAnsi="Arial"/>
          <w:sz w:val="20"/>
          <w:szCs w:val="20"/>
          <w:color w:val="auto"/>
        </w:rPr>
        <w:t xml:space="preserve">percentage based on the achievement of the </w:t>
      </w:r>
      <w:r>
        <w:rPr>
          <w:rFonts w:ascii="Arial" w:cs="Arial" w:eastAsia="Arial" w:hAnsi="Arial"/>
          <w:sz w:val="20"/>
          <w:szCs w:val="20"/>
          <w:u w:val="single" w:color="auto"/>
          <w:color w:val="auto"/>
        </w:rPr>
        <w:t>65</w:t>
      </w:r>
      <w:r>
        <w:rPr>
          <w:rFonts w:ascii="Arial" w:cs="Arial" w:eastAsia="Arial" w:hAnsi="Arial"/>
          <w:sz w:val="32"/>
          <w:szCs w:val="32"/>
          <w:u w:val="single" w:color="auto"/>
          <w:color w:val="auto"/>
          <w:vertAlign w:val="superscript"/>
        </w:rPr>
        <w:t>th</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percentile</w:t>
      </w:r>
      <w:r>
        <w:rPr>
          <w:rFonts w:ascii="Arial" w:cs="Arial" w:eastAsia="Arial" w:hAnsi="Arial"/>
          <w:sz w:val="20"/>
          <w:szCs w:val="20"/>
          <w:color w:val="auto"/>
        </w:rPr>
        <w:t xml:space="preserve"> (130%) and the percentage based on the achievement of the </w:t>
      </w:r>
      <w:r>
        <w:rPr>
          <w:rFonts w:ascii="Arial" w:cs="Arial" w:eastAsia="Arial" w:hAnsi="Arial"/>
          <w:sz w:val="20"/>
          <w:szCs w:val="20"/>
          <w:u w:val="single" w:color="auto"/>
          <w:color w:val="auto"/>
        </w:rPr>
        <w:t>70</w:t>
      </w:r>
      <w:r>
        <w:rPr>
          <w:rFonts w:ascii="Arial" w:cs="Arial" w:eastAsia="Arial" w:hAnsi="Arial"/>
          <w:sz w:val="32"/>
          <w:szCs w:val="32"/>
          <w:u w:val="single" w:color="auto"/>
          <w:color w:val="auto"/>
          <w:vertAlign w:val="superscript"/>
        </w:rPr>
        <w:t>th</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percentile</w:t>
      </w:r>
      <w:r>
        <w:rPr>
          <w:rFonts w:ascii="Arial" w:cs="Arial" w:eastAsia="Arial" w:hAnsi="Arial"/>
          <w:sz w:val="20"/>
          <w:szCs w:val="20"/>
          <w:color w:val="auto"/>
        </w:rPr>
        <w:t xml:space="preserve"> (140%).</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percentage is determined as follows:</w:t>
      </w:r>
    </w:p>
    <w:p>
      <w:pPr>
        <w:spacing w:after="0" w:line="218" w:lineRule="exact"/>
        <w:rPr>
          <w:sz w:val="20"/>
          <w:szCs w:val="20"/>
          <w:color w:val="auto"/>
        </w:rPr>
      </w:pPr>
    </w:p>
    <w:p>
      <w:pPr>
        <w:ind w:left="1960" w:hanging="655"/>
        <w:spacing w:after="0"/>
        <w:tabs>
          <w:tab w:leader="none" w:pos="1960" w:val="left"/>
        </w:tabs>
        <w:numPr>
          <w:ilvl w:val="0"/>
          <w:numId w:val="101"/>
        </w:numPr>
        <w:rPr>
          <w:rFonts w:ascii="Arial" w:cs="Arial" w:eastAsia="Arial" w:hAnsi="Arial"/>
          <w:sz w:val="41"/>
          <w:szCs w:val="41"/>
          <w:color w:val="auto"/>
          <w:vertAlign w:val="superscript"/>
        </w:rPr>
      </w:pPr>
      <w:r>
        <w:rPr>
          <w:rFonts w:ascii="Arial" w:cs="Arial" w:eastAsia="Arial" w:hAnsi="Arial"/>
          <w:sz w:val="21"/>
          <w:szCs w:val="21"/>
          <w:color w:val="auto"/>
        </w:rPr>
        <w:t xml:space="preserve">130% (the percentage based on the achievement of the </w:t>
      </w:r>
      <w:r>
        <w:rPr>
          <w:rFonts w:ascii="Arial" w:cs="Arial" w:eastAsia="Arial" w:hAnsi="Arial"/>
          <w:sz w:val="21"/>
          <w:szCs w:val="21"/>
          <w:u w:val="single" w:color="auto"/>
          <w:color w:val="auto"/>
        </w:rPr>
        <w:t>65</w:t>
      </w:r>
      <w:r>
        <w:rPr>
          <w:rFonts w:ascii="Arial" w:cs="Arial" w:eastAsia="Arial" w:hAnsi="Arial"/>
          <w:sz w:val="34"/>
          <w:szCs w:val="34"/>
          <w:u w:val="single" w:color="auto"/>
          <w:color w:val="auto"/>
          <w:vertAlign w:val="superscript"/>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 plus</w:t>
      </w:r>
    </w:p>
    <w:p>
      <w:pPr>
        <w:spacing w:after="0" w:line="69" w:lineRule="exact"/>
        <w:rPr>
          <w:rFonts w:ascii="Arial" w:cs="Arial" w:eastAsia="Arial" w:hAnsi="Arial"/>
          <w:sz w:val="41"/>
          <w:szCs w:val="41"/>
          <w:color w:val="auto"/>
          <w:vertAlign w:val="superscript"/>
        </w:rPr>
      </w:pPr>
    </w:p>
    <w:p>
      <w:pPr>
        <w:ind w:left="660" w:right="1040" w:firstLine="645"/>
        <w:spacing w:after="0" w:line="209" w:lineRule="auto"/>
        <w:tabs>
          <w:tab w:leader="none" w:pos="1957" w:val="left"/>
        </w:tabs>
        <w:numPr>
          <w:ilvl w:val="0"/>
          <w:numId w:val="101"/>
        </w:numPr>
        <w:rPr>
          <w:rFonts w:ascii="Arial" w:cs="Arial" w:eastAsia="Arial" w:hAnsi="Arial"/>
          <w:sz w:val="41"/>
          <w:szCs w:val="41"/>
          <w:color w:val="auto"/>
          <w:vertAlign w:val="superscript"/>
        </w:rPr>
      </w:pPr>
      <w:r>
        <w:rPr>
          <w:rFonts w:ascii="Arial" w:cs="Arial" w:eastAsia="Arial" w:hAnsi="Arial"/>
          <w:sz w:val="21"/>
          <w:szCs w:val="21"/>
          <w:color w:val="auto"/>
        </w:rPr>
        <w:t xml:space="preserve">10% (the percentage based on the achievement of the </w:t>
      </w:r>
      <w:r>
        <w:rPr>
          <w:rFonts w:ascii="Arial" w:cs="Arial" w:eastAsia="Arial" w:hAnsi="Arial"/>
          <w:sz w:val="21"/>
          <w:szCs w:val="21"/>
          <w:u w:val="single" w:color="auto"/>
          <w:color w:val="auto"/>
        </w:rPr>
        <w:t>75</w:t>
      </w:r>
      <w:r>
        <w:rPr>
          <w:rFonts w:ascii="Arial" w:cs="Arial" w:eastAsia="Arial" w:hAnsi="Arial"/>
          <w:sz w:val="34"/>
          <w:szCs w:val="34"/>
          <w:u w:val="single" w:color="auto"/>
          <w:color w:val="auto"/>
          <w:vertAlign w:val="superscript"/>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 xml:space="preserve">, less the percentage based on the achievement of the </w:t>
      </w:r>
      <w:r>
        <w:rPr>
          <w:rFonts w:ascii="Arial" w:cs="Arial" w:eastAsia="Arial" w:hAnsi="Arial"/>
          <w:sz w:val="21"/>
          <w:szCs w:val="21"/>
          <w:u w:val="single" w:color="auto"/>
          <w:color w:val="auto"/>
        </w:rPr>
        <w:t>65</w:t>
      </w:r>
      <w:r>
        <w:rPr>
          <w:rFonts w:ascii="Arial" w:cs="Arial" w:eastAsia="Arial" w:hAnsi="Arial"/>
          <w:sz w:val="34"/>
          <w:szCs w:val="34"/>
          <w:u w:val="single" w:color="auto"/>
          <w:color w:val="auto"/>
          <w:vertAlign w:val="superscript"/>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 multiplied by an interpolation factor.</w:t>
      </w:r>
    </w:p>
    <w:p>
      <w:pPr>
        <w:spacing w:after="0" w:line="66" w:lineRule="exact"/>
        <w:rPr>
          <w:sz w:val="20"/>
          <w:szCs w:val="20"/>
          <w:color w:val="auto"/>
        </w:rPr>
      </w:pPr>
    </w:p>
    <w:p>
      <w:pPr>
        <w:ind w:right="460" w:firstLine="648"/>
        <w:spacing w:after="0" w:line="210" w:lineRule="auto"/>
        <w:rPr>
          <w:sz w:val="20"/>
          <w:szCs w:val="20"/>
          <w:color w:val="auto"/>
        </w:rPr>
      </w:pPr>
      <w:r>
        <w:rPr>
          <w:rFonts w:ascii="Arial" w:cs="Arial" w:eastAsia="Arial" w:hAnsi="Arial"/>
          <w:sz w:val="21"/>
          <w:szCs w:val="21"/>
          <w:color w:val="auto"/>
        </w:rPr>
        <w:t>The interpolation factor equals (67</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percentile, less 65</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percentile), divided by (70</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percentile, less 65</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percentile), or two fifths (2/5).</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The percentage based on the achievement of the </w:t>
      </w:r>
      <w:r>
        <w:rPr>
          <w:rFonts w:ascii="Arial" w:cs="Arial" w:eastAsia="Arial" w:hAnsi="Arial"/>
          <w:sz w:val="19"/>
          <w:szCs w:val="19"/>
          <w:u w:val="single" w:color="auto"/>
          <w:color w:val="auto"/>
        </w:rPr>
        <w:t>67</w:t>
      </w:r>
      <w:r>
        <w:rPr>
          <w:rFonts w:ascii="Arial" w:cs="Arial" w:eastAsia="Arial" w:hAnsi="Arial"/>
          <w:sz w:val="31"/>
          <w:szCs w:val="31"/>
          <w:u w:val="single" w:color="auto"/>
          <w:color w:val="auto"/>
          <w:vertAlign w:val="superscript"/>
        </w:rPr>
        <w:t>th</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percentile</w:t>
      </w:r>
      <w:r>
        <w:rPr>
          <w:rFonts w:ascii="Arial" w:cs="Arial" w:eastAsia="Arial" w:hAnsi="Arial"/>
          <w:sz w:val="19"/>
          <w:szCs w:val="19"/>
          <w:color w:val="auto"/>
        </w:rPr>
        <w:t xml:space="preserve"> equals: (a) 130%, plus (b) 10%, multiplied by 2/5, or 134%.</w:t>
      </w:r>
    </w:p>
    <w:p>
      <w:pPr>
        <w:ind w:left="120"/>
        <w:spacing w:after="0"/>
        <w:rPr>
          <w:sz w:val="20"/>
          <w:szCs w:val="20"/>
          <w:color w:val="auto"/>
        </w:rPr>
      </w:pPr>
      <w:r>
        <w:rPr>
          <w:rFonts w:ascii="Arial" w:cs="Arial" w:eastAsia="Arial" w:hAnsi="Arial"/>
          <w:sz w:val="21"/>
          <w:szCs w:val="21"/>
          <w:color w:val="auto"/>
        </w:rPr>
        <w:t>Based on Sempra Energy’s cumulative total shareholder return, 134% of the target number of restricted stock units vest.</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Example 3</w:t>
      </w:r>
    </w:p>
    <w:p>
      <w:pPr>
        <w:spacing w:after="0" w:line="204" w:lineRule="exact"/>
        <w:rPr>
          <w:sz w:val="20"/>
          <w:szCs w:val="20"/>
          <w:color w:val="auto"/>
        </w:rPr>
      </w:pPr>
    </w:p>
    <w:p>
      <w:pPr>
        <w:ind w:right="100" w:firstLine="648"/>
        <w:spacing w:after="0" w:line="348" w:lineRule="auto"/>
        <w:rPr>
          <w:sz w:val="20"/>
          <w:szCs w:val="20"/>
          <w:color w:val="auto"/>
        </w:rPr>
      </w:pPr>
      <w:r>
        <w:rPr>
          <w:rFonts w:ascii="Arial" w:cs="Arial" w:eastAsia="Arial" w:hAnsi="Arial"/>
          <w:sz w:val="18"/>
          <w:szCs w:val="18"/>
          <w:color w:val="auto"/>
        </w:rPr>
        <w:t xml:space="preserve">Sempra Energy’s cumulative total shareholder return for the performance period among the companies (ranked by total shareholder returns) in the </w:t>
      </w:r>
      <w:r>
        <w:rPr>
          <w:rFonts w:ascii="Arial" w:cs="Arial" w:eastAsia="Arial" w:hAnsi="Arial"/>
          <w:sz w:val="18"/>
          <w:szCs w:val="18"/>
          <w:u w:val="single" w:color="auto"/>
          <w:color w:val="auto"/>
        </w:rPr>
        <w:t>S&amp;P 500 Utility Index</w:t>
      </w:r>
      <w:r>
        <w:rPr>
          <w:rFonts w:ascii="Arial" w:cs="Arial" w:eastAsia="Arial" w:hAnsi="Arial"/>
          <w:sz w:val="18"/>
          <w:szCs w:val="18"/>
          <w:color w:val="auto"/>
        </w:rPr>
        <w:t xml:space="preserve">, as determined and certified by the Compensation Committee, is at the </w:t>
      </w:r>
      <w:r>
        <w:rPr>
          <w:rFonts w:ascii="Arial" w:cs="Arial" w:eastAsia="Arial" w:hAnsi="Arial"/>
          <w:sz w:val="18"/>
          <w:szCs w:val="18"/>
          <w:u w:val="single" w:color="auto"/>
          <w:color w:val="auto"/>
        </w:rPr>
        <w:t>45th percentile</w:t>
      </w:r>
      <w:r>
        <w:rPr>
          <w:rFonts w:ascii="Arial" w:cs="Arial" w:eastAsia="Arial" w:hAnsi="Arial"/>
          <w:sz w:val="18"/>
          <w:szCs w:val="18"/>
          <w:color w:val="auto"/>
        </w:rPr>
        <w:t>.</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Sempra Energy’s cumulative total shareholder return for the performance period among the companies (ranked by total</w:t>
      </w:r>
    </w:p>
    <w:p>
      <w:pPr>
        <w:spacing w:after="0" w:line="34" w:lineRule="exact"/>
        <w:rPr>
          <w:sz w:val="20"/>
          <w:szCs w:val="20"/>
          <w:color w:val="auto"/>
        </w:rPr>
      </w:pPr>
    </w:p>
    <w:p>
      <w:pPr>
        <w:ind w:right="880"/>
        <w:spacing w:after="0" w:line="210" w:lineRule="auto"/>
        <w:rPr>
          <w:sz w:val="20"/>
          <w:szCs w:val="20"/>
          <w:color w:val="auto"/>
        </w:rPr>
      </w:pPr>
      <w:r>
        <w:rPr>
          <w:rFonts w:ascii="Arial" w:cs="Arial" w:eastAsia="Arial" w:hAnsi="Arial"/>
          <w:sz w:val="21"/>
          <w:szCs w:val="21"/>
          <w:color w:val="auto"/>
        </w:rPr>
        <w:t xml:space="preserve">shareholder returns) in the </w:t>
      </w:r>
      <w:r>
        <w:rPr>
          <w:rFonts w:ascii="Arial" w:cs="Arial" w:eastAsia="Arial" w:hAnsi="Arial"/>
          <w:sz w:val="21"/>
          <w:szCs w:val="21"/>
          <w:u w:val="single" w:color="auto"/>
          <w:color w:val="auto"/>
        </w:rPr>
        <w:t>S&amp;P 500 Composite Index</w:t>
      </w:r>
      <w:r>
        <w:rPr>
          <w:rFonts w:ascii="Arial" w:cs="Arial" w:eastAsia="Arial" w:hAnsi="Arial"/>
          <w:sz w:val="21"/>
          <w:szCs w:val="21"/>
          <w:color w:val="auto"/>
        </w:rPr>
        <w:t xml:space="preserve">, as determined and certified by the Compensation, is </w:t>
      </w:r>
      <w:r>
        <w:rPr>
          <w:rFonts w:ascii="Arial" w:cs="Arial" w:eastAsia="Arial" w:hAnsi="Arial"/>
          <w:sz w:val="21"/>
          <w:szCs w:val="21"/>
          <w:u w:val="single" w:color="auto"/>
          <w:color w:val="auto"/>
        </w:rPr>
        <w:t>at or above</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50</w:t>
      </w:r>
      <w:r>
        <w:rPr>
          <w:rFonts w:ascii="Arial" w:cs="Arial" w:eastAsia="Arial" w:hAnsi="Arial"/>
          <w:sz w:val="34"/>
          <w:szCs w:val="34"/>
          <w:u w:val="single" w:color="auto"/>
          <w:color w:val="auto"/>
          <w:vertAlign w:val="superscript"/>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w:t>
      </w:r>
    </w:p>
    <w:p>
      <w:pPr>
        <w:spacing w:after="0" w:line="203" w:lineRule="exact"/>
        <w:rPr>
          <w:sz w:val="20"/>
          <w:szCs w:val="20"/>
          <w:color w:val="auto"/>
        </w:rPr>
      </w:pPr>
    </w:p>
    <w:p>
      <w:pPr>
        <w:ind w:right="200" w:firstLine="648"/>
        <w:spacing w:after="0" w:line="218" w:lineRule="auto"/>
        <w:rPr>
          <w:sz w:val="20"/>
          <w:szCs w:val="20"/>
          <w:color w:val="auto"/>
        </w:rPr>
      </w:pPr>
      <w:r>
        <w:rPr>
          <w:rFonts w:ascii="Arial" w:cs="Arial" w:eastAsia="Arial" w:hAnsi="Arial"/>
          <w:sz w:val="21"/>
          <w:szCs w:val="21"/>
          <w:color w:val="auto"/>
        </w:rPr>
        <w:t xml:space="preserve">Because Sempra Energy’s cumulative total shareholder return is at the </w:t>
      </w:r>
      <w:r>
        <w:rPr>
          <w:rFonts w:ascii="Arial" w:cs="Arial" w:eastAsia="Arial" w:hAnsi="Arial"/>
          <w:sz w:val="21"/>
          <w:szCs w:val="21"/>
          <w:u w:val="single" w:color="auto"/>
          <w:color w:val="auto"/>
        </w:rPr>
        <w:t>45</w:t>
      </w:r>
      <w:r>
        <w:rPr>
          <w:rFonts w:ascii="Arial" w:cs="Arial" w:eastAsia="Arial" w:hAnsi="Arial"/>
          <w:sz w:val="34"/>
          <w:szCs w:val="34"/>
          <w:u w:val="single" w:color="auto"/>
          <w:color w:val="auto"/>
          <w:vertAlign w:val="superscript"/>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 xml:space="preserve"> when ranked among the companies in the </w:t>
      </w:r>
      <w:r>
        <w:rPr>
          <w:rFonts w:ascii="Arial" w:cs="Arial" w:eastAsia="Arial" w:hAnsi="Arial"/>
          <w:sz w:val="21"/>
          <w:szCs w:val="21"/>
          <w:u w:val="single" w:color="auto"/>
          <w:color w:val="auto"/>
        </w:rPr>
        <w:t>S&amp;P 500 Utility Index</w:t>
      </w:r>
      <w:r>
        <w:rPr>
          <w:rFonts w:ascii="Arial" w:cs="Arial" w:eastAsia="Arial" w:hAnsi="Arial"/>
          <w:sz w:val="21"/>
          <w:szCs w:val="21"/>
          <w:color w:val="auto"/>
        </w:rPr>
        <w:t xml:space="preserve">, 70% of the target number of restricted stock units would vest (before taking into account Sempra Energy’s performance among the companies in the </w:t>
      </w:r>
      <w:r>
        <w:rPr>
          <w:rFonts w:ascii="Arial" w:cs="Arial" w:eastAsia="Arial" w:hAnsi="Arial"/>
          <w:sz w:val="21"/>
          <w:szCs w:val="21"/>
          <w:u w:val="single" w:color="auto"/>
          <w:color w:val="auto"/>
        </w:rPr>
        <w:t>S&amp;P 500 Composite Index</w:t>
      </w:r>
      <w:r>
        <w:rPr>
          <w:rFonts w:ascii="Arial" w:cs="Arial" w:eastAsia="Arial" w:hAnsi="Arial"/>
          <w:sz w:val="21"/>
          <w:szCs w:val="21"/>
          <w:color w:val="auto"/>
        </w:rPr>
        <w:t>).</w:t>
      </w:r>
    </w:p>
    <w:p>
      <w:pPr>
        <w:spacing w:after="0" w:line="206" w:lineRule="exact"/>
        <w:rPr>
          <w:sz w:val="20"/>
          <w:szCs w:val="20"/>
          <w:color w:val="auto"/>
        </w:rPr>
      </w:pPr>
    </w:p>
    <w:p>
      <w:pPr>
        <w:ind w:right="80" w:firstLine="648"/>
        <w:spacing w:after="0" w:line="210" w:lineRule="auto"/>
        <w:rPr>
          <w:sz w:val="20"/>
          <w:szCs w:val="20"/>
          <w:color w:val="auto"/>
        </w:rPr>
      </w:pPr>
      <w:r>
        <w:rPr>
          <w:rFonts w:ascii="Arial" w:cs="Arial" w:eastAsia="Arial" w:hAnsi="Arial"/>
          <w:sz w:val="21"/>
          <w:szCs w:val="21"/>
          <w:color w:val="auto"/>
        </w:rPr>
        <w:t xml:space="preserve">However, because Sempra Energy’s cumulative total shareholder return is </w:t>
      </w:r>
      <w:r>
        <w:rPr>
          <w:rFonts w:ascii="Arial" w:cs="Arial" w:eastAsia="Arial" w:hAnsi="Arial"/>
          <w:sz w:val="21"/>
          <w:szCs w:val="21"/>
          <w:u w:val="single" w:color="auto"/>
          <w:color w:val="auto"/>
        </w:rPr>
        <w:t>at or above the 50</w:t>
      </w:r>
      <w:r>
        <w:rPr>
          <w:rFonts w:ascii="Arial" w:cs="Arial" w:eastAsia="Arial" w:hAnsi="Arial"/>
          <w:sz w:val="34"/>
          <w:szCs w:val="34"/>
          <w:u w:val="single" w:color="auto"/>
          <w:color w:val="auto"/>
          <w:vertAlign w:val="superscript"/>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 xml:space="preserve"> when ranked among the companies in the </w:t>
      </w:r>
      <w:r>
        <w:rPr>
          <w:rFonts w:ascii="Arial" w:cs="Arial" w:eastAsia="Arial" w:hAnsi="Arial"/>
          <w:sz w:val="21"/>
          <w:szCs w:val="21"/>
          <w:u w:val="single" w:color="auto"/>
          <w:color w:val="auto"/>
        </w:rPr>
        <w:t>S&amp;P 500 Composite Index</w:t>
      </w:r>
      <w:r>
        <w:rPr>
          <w:rFonts w:ascii="Arial" w:cs="Arial" w:eastAsia="Arial" w:hAnsi="Arial"/>
          <w:sz w:val="21"/>
          <w:szCs w:val="21"/>
          <w:color w:val="auto"/>
        </w:rPr>
        <w:t>, 100% of the target number of restricted stock units vest.</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Example 4</w:t>
      </w:r>
    </w:p>
    <w:p>
      <w:pPr>
        <w:spacing w:after="0" w:line="204" w:lineRule="exact"/>
        <w:rPr>
          <w:sz w:val="20"/>
          <w:szCs w:val="20"/>
          <w:color w:val="auto"/>
        </w:rPr>
      </w:pPr>
    </w:p>
    <w:p>
      <w:pPr>
        <w:ind w:right="40" w:firstLine="648"/>
        <w:spacing w:after="0" w:line="348" w:lineRule="auto"/>
        <w:rPr>
          <w:sz w:val="20"/>
          <w:szCs w:val="20"/>
          <w:color w:val="auto"/>
        </w:rPr>
      </w:pPr>
      <w:r>
        <w:rPr>
          <w:rFonts w:ascii="Arial" w:cs="Arial" w:eastAsia="Arial" w:hAnsi="Arial"/>
          <w:sz w:val="18"/>
          <w:szCs w:val="18"/>
          <w:color w:val="auto"/>
        </w:rPr>
        <w:t xml:space="preserve">Sempra Energy’s cumulative total shareholder return for the performance period among the companies (ranked by total shareholder returns) in the </w:t>
      </w:r>
      <w:r>
        <w:rPr>
          <w:rFonts w:ascii="Arial" w:cs="Arial" w:eastAsia="Arial" w:hAnsi="Arial"/>
          <w:sz w:val="18"/>
          <w:szCs w:val="18"/>
          <w:u w:val="single" w:color="auto"/>
          <w:color w:val="auto"/>
        </w:rPr>
        <w:t>S&amp;P 500 Utility Index</w:t>
      </w:r>
      <w:r>
        <w:rPr>
          <w:rFonts w:ascii="Arial" w:cs="Arial" w:eastAsia="Arial" w:hAnsi="Arial"/>
          <w:sz w:val="18"/>
          <w:szCs w:val="18"/>
          <w:color w:val="auto"/>
        </w:rPr>
        <w:t xml:space="preserve">, as determined and certified by the Compensation Committee, is at the </w:t>
      </w:r>
      <w:r>
        <w:rPr>
          <w:rFonts w:ascii="Arial" w:cs="Arial" w:eastAsia="Arial" w:hAnsi="Arial"/>
          <w:sz w:val="18"/>
          <w:szCs w:val="18"/>
          <w:u w:val="single" w:color="auto"/>
          <w:color w:val="auto"/>
        </w:rPr>
        <w:t>30th percentile</w:t>
      </w:r>
      <w:r>
        <w:rPr>
          <w:rFonts w:ascii="Arial" w:cs="Arial" w:eastAsia="Arial" w:hAnsi="Arial"/>
          <w:sz w:val="18"/>
          <w:szCs w:val="18"/>
          <w:color w:val="auto"/>
        </w:rPr>
        <w:t>.</w:t>
      </w:r>
    </w:p>
    <w:p>
      <w:pPr>
        <w:spacing w:after="0" w:line="89" w:lineRule="exact"/>
        <w:rPr>
          <w:sz w:val="20"/>
          <w:szCs w:val="20"/>
          <w:color w:val="auto"/>
        </w:rPr>
      </w:pPr>
    </w:p>
    <w:p>
      <w:pPr>
        <w:ind w:right="300" w:firstLine="648"/>
        <w:spacing w:after="0" w:line="253" w:lineRule="auto"/>
        <w:rPr>
          <w:sz w:val="20"/>
          <w:szCs w:val="20"/>
          <w:color w:val="auto"/>
        </w:rPr>
      </w:pPr>
      <w:r>
        <w:rPr>
          <w:rFonts w:ascii="Arial" w:cs="Arial" w:eastAsia="Arial" w:hAnsi="Arial"/>
          <w:sz w:val="21"/>
          <w:szCs w:val="21"/>
          <w:color w:val="auto"/>
        </w:rPr>
        <w:t xml:space="preserve">Also, Sempra Energy’s total shareholder return for the performance period among the companies (ranked by cumulative total shareholder returns) in the </w:t>
      </w:r>
      <w:r>
        <w:rPr>
          <w:rFonts w:ascii="Arial" w:cs="Arial" w:eastAsia="Arial" w:hAnsi="Arial"/>
          <w:sz w:val="21"/>
          <w:szCs w:val="21"/>
          <w:u w:val="single" w:color="auto"/>
          <w:color w:val="auto"/>
        </w:rPr>
        <w:t>S&amp;P 500 Composite Index</w:t>
      </w:r>
      <w:r>
        <w:rPr>
          <w:rFonts w:ascii="Arial" w:cs="Arial" w:eastAsia="Arial" w:hAnsi="Arial"/>
          <w:sz w:val="21"/>
          <w:szCs w:val="21"/>
          <w:color w:val="auto"/>
        </w:rPr>
        <w:t xml:space="preserve">, as determined and certified by the Compensation Committee, is </w:t>
      </w:r>
      <w:r>
        <w:rPr>
          <w:rFonts w:ascii="Arial" w:cs="Arial" w:eastAsia="Arial" w:hAnsi="Arial"/>
          <w:sz w:val="21"/>
          <w:szCs w:val="21"/>
          <w:u w:val="single" w:color="auto"/>
          <w:color w:val="auto"/>
        </w:rPr>
        <w:t>below the 50th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w:t>
      </w:r>
    </w:p>
    <w:p>
      <w:pPr>
        <w:sectPr>
          <w:pgSz w:w="11900" w:h="16838" w:orient="portrait"/>
          <w:cols w:equalWidth="0" w:num="1">
            <w:col w:w="11420"/>
          </w:cols>
          <w:pgMar w:left="240" w:top="120" w:right="239" w:bottom="0" w:gutter="0" w:footer="0" w:header="0"/>
        </w:sectPr>
      </w:pPr>
    </w:p>
    <w:bookmarkStart w:id="96" w:name="page97"/>
    <w:bookmarkEnd w:id="96"/>
    <w:p>
      <w:pPr>
        <w:ind w:firstLine="648"/>
        <w:spacing w:after="0" w:line="290" w:lineRule="auto"/>
        <w:rPr>
          <w:sz w:val="20"/>
          <w:szCs w:val="20"/>
          <w:color w:val="auto"/>
        </w:rPr>
      </w:pPr>
      <w:r>
        <w:rPr>
          <w:rFonts w:ascii="Arial" w:cs="Arial" w:eastAsia="Arial" w:hAnsi="Arial"/>
          <w:sz w:val="21"/>
          <w:szCs w:val="21"/>
          <w:color w:val="auto"/>
        </w:rPr>
        <w:t xml:space="preserve">Because Sempra Energy’s total shareholder return for the performance period among companies in the </w:t>
      </w:r>
      <w:r>
        <w:rPr>
          <w:rFonts w:ascii="Arial" w:cs="Arial" w:eastAsia="Arial" w:hAnsi="Arial"/>
          <w:sz w:val="21"/>
          <w:szCs w:val="21"/>
          <w:u w:val="single" w:color="auto"/>
          <w:color w:val="auto"/>
        </w:rPr>
        <w:t>S&amp;P 500 Utility Index</w:t>
      </w:r>
      <w:r>
        <w:rPr>
          <w:rFonts w:ascii="Arial" w:cs="Arial" w:eastAsia="Arial" w:hAnsi="Arial"/>
          <w:sz w:val="21"/>
          <w:szCs w:val="21"/>
          <w:color w:val="auto"/>
        </w:rPr>
        <w:t xml:space="preserve"> is </w:t>
      </w:r>
      <w:r>
        <w:rPr>
          <w:rFonts w:ascii="Arial" w:cs="Arial" w:eastAsia="Arial" w:hAnsi="Arial"/>
          <w:sz w:val="21"/>
          <w:szCs w:val="21"/>
          <w:u w:val="single" w:color="auto"/>
          <w:color w:val="auto"/>
        </w:rPr>
        <w:t>below the 35</w:t>
      </w:r>
      <w:r>
        <w:rPr>
          <w:rFonts w:ascii="Arial" w:cs="Arial" w:eastAsia="Arial" w:hAnsi="Arial"/>
          <w:sz w:val="34"/>
          <w:szCs w:val="34"/>
          <w:u w:val="single" w:color="auto"/>
          <w:color w:val="auto"/>
          <w:vertAlign w:val="superscript"/>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 none of the target number of restricted stock units vest.</w:t>
      </w:r>
    </w:p>
    <w:p>
      <w:pPr>
        <w:sectPr>
          <w:pgSz w:w="11900" w:h="16838" w:orient="portrait"/>
          <w:cols w:equalWidth="0" w:num="1">
            <w:col w:w="11260"/>
          </w:cols>
          <w:pgMar w:left="240" w:top="126" w:right="399" w:bottom="1440" w:gutter="0" w:footer="0" w:header="0"/>
        </w:sectPr>
      </w:pPr>
    </w:p>
    <w:bookmarkStart w:id="97" w:name="page98"/>
    <w:bookmarkEnd w:id="97"/>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SEMPRA ENERGY</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2008 LONG TERM INCENTIVE PLAN</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2009 NONQUALIFIED STOCK OPTION AGREEMENT</w:t>
      </w: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color w:val="auto"/>
        </w:rPr>
        <w:t>You have been granted an option to purchase the number of shares of Sempra Energy Common Stock set forth below.</w:t>
      </w:r>
    </w:p>
    <w:p>
      <w:pPr>
        <w:spacing w:after="0" w:line="214" w:lineRule="exact"/>
        <w:rPr>
          <w:sz w:val="20"/>
          <w:szCs w:val="20"/>
          <w:color w:val="auto"/>
        </w:rPr>
      </w:pPr>
    </w:p>
    <w:p>
      <w:pPr>
        <w:ind w:right="2160"/>
        <w:spacing w:after="0" w:line="245" w:lineRule="auto"/>
        <w:rPr>
          <w:sz w:val="20"/>
          <w:szCs w:val="20"/>
          <w:color w:val="auto"/>
        </w:rPr>
      </w:pPr>
      <w:r>
        <w:rPr>
          <w:rFonts w:ascii="Arial" w:cs="Arial" w:eastAsia="Arial" w:hAnsi="Arial"/>
          <w:sz w:val="19"/>
          <w:szCs w:val="19"/>
          <w:i w:val="1"/>
          <w:iCs w:val="1"/>
          <w:color w:val="auto"/>
        </w:rPr>
        <w:t>The terms and conditions of your option are set forth in the attached Year 2009 Nonqualified Stock Option Agreement and in the prospectus for the Sempra Energy 2008 Long Term Incentive Plan, which is enclosed. The summary below highlights selected terms and conditions but it is not complete and you should carefully read the attachments to fully understand the terms and conditions of your grant.</w:t>
      </w:r>
    </w:p>
    <w:p>
      <w:pPr>
        <w:spacing w:after="0" w:line="101" w:lineRule="exact"/>
        <w:rPr>
          <w:sz w:val="20"/>
          <w:szCs w:val="20"/>
          <w:color w:val="auto"/>
        </w:rPr>
      </w:pPr>
    </w:p>
    <w:p>
      <w:pPr>
        <w:ind w:left="4800"/>
        <w:spacing w:after="0"/>
        <w:rPr>
          <w:sz w:val="20"/>
          <w:szCs w:val="20"/>
          <w:color w:val="auto"/>
        </w:rPr>
      </w:pPr>
      <w:r>
        <w:rPr>
          <w:rFonts w:ascii="Arial" w:cs="Arial" w:eastAsia="Arial" w:hAnsi="Arial"/>
          <w:sz w:val="24"/>
          <w:szCs w:val="24"/>
          <w:b w:val="1"/>
          <w:bCs w:val="1"/>
          <w:color w:val="auto"/>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588327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883275" cy="26035"/>
                    </a:xfrm>
                    <a:prstGeom prst="rect">
                      <a:avLst/>
                    </a:prstGeom>
                    <a:noFill/>
                  </pic:spPr>
                </pic:pic>
              </a:graphicData>
            </a:graphic>
          </wp:anchor>
        </w:drawing>
      </w:r>
    </w:p>
    <w:p>
      <w:pPr>
        <w:spacing w:after="0" w:line="204" w:lineRule="exact"/>
        <w:rPr>
          <w:sz w:val="20"/>
          <w:szCs w:val="20"/>
          <w:color w:val="auto"/>
        </w:rPr>
      </w:pPr>
    </w:p>
    <w:p>
      <w:pPr>
        <w:spacing w:after="0"/>
        <w:tabs>
          <w:tab w:leader="none" w:pos="4060" w:val="left"/>
        </w:tabs>
        <w:rPr>
          <w:sz w:val="20"/>
          <w:szCs w:val="20"/>
          <w:color w:val="auto"/>
        </w:rPr>
      </w:pPr>
      <w:r>
        <w:rPr>
          <w:rFonts w:ascii="Arial" w:cs="Arial" w:eastAsia="Arial" w:hAnsi="Arial"/>
          <w:sz w:val="19"/>
          <w:szCs w:val="19"/>
          <w:b w:val="1"/>
          <w:bCs w:val="1"/>
          <w:color w:val="auto"/>
        </w:rPr>
        <w:t>Date of Option Grant:</w:t>
      </w:r>
      <w:r>
        <w:rPr>
          <w:sz w:val="20"/>
          <w:szCs w:val="20"/>
          <w:color w:val="auto"/>
        </w:rPr>
        <w:tab/>
      </w:r>
      <w:r>
        <w:rPr>
          <w:rFonts w:ascii="Arial" w:cs="Arial" w:eastAsia="Arial" w:hAnsi="Arial"/>
          <w:sz w:val="17"/>
          <w:szCs w:val="17"/>
          <w:b w:val="1"/>
          <w:bCs w:val="1"/>
          <w:color w:val="auto"/>
        </w:rPr>
        <w:t>January 2, 2009</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Name of Optionee:</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Optionee’s Employee Number:</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Number of Shares of Sempra Energy Common</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 Covered by Option: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060" w:type="dxa"/>
            <w:vAlign w:val="bottom"/>
          </w:tcPr>
          <w:p>
            <w:pPr>
              <w:spacing w:after="0"/>
              <w:rPr>
                <w:sz w:val="20"/>
                <w:szCs w:val="20"/>
                <w:color w:val="auto"/>
              </w:rPr>
            </w:pPr>
            <w:r>
              <w:rPr>
                <w:rFonts w:ascii="Arial" w:cs="Arial" w:eastAsia="Arial" w:hAnsi="Arial"/>
                <w:sz w:val="19"/>
                <w:szCs w:val="19"/>
                <w:b w:val="1"/>
                <w:bCs w:val="1"/>
                <w:color w:val="auto"/>
              </w:rPr>
              <w:t>Exercise Price per Share:</w:t>
            </w:r>
          </w:p>
        </w:tc>
        <w:tc>
          <w:tcPr>
            <w:tcW w:w="1540" w:type="dxa"/>
            <w:vAlign w:val="bottom"/>
          </w:tcPr>
          <w:p>
            <w:pPr>
              <w:jc w:val="right"/>
              <w:spacing w:after="0"/>
              <w:rPr>
                <w:sz w:val="20"/>
                <w:szCs w:val="20"/>
                <w:color w:val="auto"/>
              </w:rPr>
            </w:pPr>
            <w:r>
              <w:rPr>
                <w:rFonts w:ascii="Arial" w:cs="Arial" w:eastAsia="Arial" w:hAnsi="Arial"/>
                <w:sz w:val="19"/>
                <w:szCs w:val="19"/>
                <w:b w:val="1"/>
                <w:bCs w:val="1"/>
                <w:color w:val="auto"/>
              </w:rPr>
              <w:t>$43.75</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Vesting:</w:t>
      </w:r>
    </w:p>
    <w:p>
      <w:pPr>
        <w:spacing w:after="0" w:line="20" w:lineRule="exact"/>
        <w:rPr>
          <w:sz w:val="20"/>
          <w:szCs w:val="20"/>
          <w:color w:val="auto"/>
        </w:rPr>
      </w:pPr>
    </w:p>
    <w:p>
      <w:pPr>
        <w:ind w:right="2240"/>
        <w:spacing w:after="0"/>
        <w:rPr>
          <w:sz w:val="20"/>
          <w:szCs w:val="20"/>
          <w:color w:val="auto"/>
        </w:rPr>
      </w:pPr>
      <w:r>
        <w:rPr>
          <w:rFonts w:ascii="Arial" w:cs="Arial" w:eastAsia="Arial" w:hAnsi="Arial"/>
          <w:sz w:val="19"/>
          <w:szCs w:val="19"/>
          <w:color w:val="auto"/>
        </w:rPr>
        <w:t>Your option vests (becomes exercisable) in four equal annual cumulative installments of 25% each over a four-year period. Once an installment becomes exercisable, it will remain exercisable until it is exercised or your option expires or terminates.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Option Term:</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Ten years subject to earlier expiration if your employment terminates.</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Termination of Employment:</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Your option may expire or cease to vest if your employment is terminated.</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 Dividend Equivalents:</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No dividend equivalents will be paid by the Company with respect to your option or the shares covered by your option.</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Exercise of Option/Taxes:</w:t>
      </w:r>
    </w:p>
    <w:p>
      <w:pPr>
        <w:spacing w:after="0" w:line="20" w:lineRule="exact"/>
        <w:rPr>
          <w:sz w:val="20"/>
          <w:szCs w:val="20"/>
          <w:color w:val="auto"/>
        </w:rPr>
      </w:pPr>
    </w:p>
    <w:p>
      <w:pPr>
        <w:ind w:right="2420"/>
        <w:spacing w:after="0" w:line="270" w:lineRule="auto"/>
        <w:rPr>
          <w:sz w:val="20"/>
          <w:szCs w:val="20"/>
          <w:color w:val="auto"/>
        </w:rPr>
      </w:pPr>
      <w:r>
        <w:rPr>
          <w:rFonts w:ascii="Arial" w:cs="Arial" w:eastAsia="Arial" w:hAnsi="Arial"/>
          <w:sz w:val="18"/>
          <w:szCs w:val="18"/>
          <w:color w:val="auto"/>
        </w:rPr>
        <w:t>Upon exercise of your option you must pay (or make acceptable arrangements to pay) the exercise price for each share for which you exercise your option and any withholding taxes that may be due as a result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42545</wp:posOffset>
            </wp:positionV>
            <wp:extent cx="5883275"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88327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111125</wp:posOffset>
            </wp:positionV>
            <wp:extent cx="5883275"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883275" cy="34290"/>
                    </a:xfrm>
                    <a:prstGeom prst="rect">
                      <a:avLst/>
                    </a:prstGeom>
                    <a:noFill/>
                  </pic:spPr>
                </pic:pic>
              </a:graphicData>
            </a:graphic>
          </wp:anchor>
        </w:drawing>
      </w:r>
    </w:p>
    <w:p>
      <w:pPr>
        <w:spacing w:after="0" w:line="210" w:lineRule="exact"/>
        <w:rPr>
          <w:sz w:val="20"/>
          <w:szCs w:val="20"/>
          <w:color w:val="auto"/>
        </w:rPr>
      </w:pPr>
    </w:p>
    <w:p>
      <w:pPr>
        <w:ind w:right="2440"/>
        <w:spacing w:after="0" w:line="292" w:lineRule="auto"/>
        <w:rPr>
          <w:sz w:val="20"/>
          <w:szCs w:val="20"/>
          <w:color w:val="auto"/>
        </w:rPr>
      </w:pPr>
      <w:r>
        <w:rPr>
          <w:rFonts w:ascii="Arial" w:cs="Arial" w:eastAsia="Arial" w:hAnsi="Arial"/>
          <w:sz w:val="19"/>
          <w:szCs w:val="19"/>
          <w:b w:val="1"/>
          <w:bCs w:val="1"/>
          <w:i w:val="1"/>
          <w:iCs w:val="1"/>
          <w:color w:val="auto"/>
        </w:rPr>
        <w:t>To accept your grant you must sign this page and promptly return it to Sempra Energy. By doing so, you agree to all of the terms and conditions described in the attached Year 2009 Nonqualified Stock Option Agreement and in the Sempra Energy 2008 Long Term Incentive Plan.</w:t>
      </w:r>
    </w:p>
    <w:p>
      <w:pPr>
        <w:sectPr>
          <w:pgSz w:w="11900" w:h="16838" w:orient="portrait"/>
          <w:cols w:equalWidth="0" w:num="1">
            <w:col w:w="11400"/>
          </w:cols>
          <w:pgMar w:left="260" w:top="111" w:right="239" w:bottom="1440" w:gutter="0" w:footer="0" w:header="0"/>
        </w:sectPr>
      </w:pPr>
    </w:p>
    <w:p>
      <w:pPr>
        <w:spacing w:after="0" w:line="314" w:lineRule="exact"/>
        <w:rPr>
          <w:sz w:val="20"/>
          <w:szCs w:val="20"/>
          <w:color w:val="auto"/>
        </w:rPr>
      </w:pPr>
    </w:p>
    <w:p>
      <w:pPr>
        <w:ind w:left="4820"/>
        <w:spacing w:after="0"/>
        <w:rPr>
          <w:sz w:val="20"/>
          <w:szCs w:val="20"/>
          <w:color w:val="auto"/>
        </w:rPr>
      </w:pPr>
      <w:r>
        <w:rPr>
          <w:rFonts w:ascii="Arial" w:cs="Arial" w:eastAsia="Arial" w:hAnsi="Arial"/>
          <w:sz w:val="19"/>
          <w:szCs w:val="19"/>
          <w:color w:val="auto"/>
        </w:rPr>
        <w:t>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Sempra Energy:</w:t>
      </w:r>
    </w:p>
    <w:p>
      <w:pPr>
        <w:spacing w:after="0" w:line="302" w:lineRule="exact"/>
        <w:rPr>
          <w:sz w:val="20"/>
          <w:szCs w:val="20"/>
          <w:color w:val="auto"/>
        </w:rPr>
      </w:pPr>
    </w:p>
    <w:p>
      <w:pPr>
        <w:ind w:left="482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290703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 w:lineRule="exact"/>
        <w:rPr>
          <w:sz w:val="20"/>
          <w:szCs w:val="20"/>
          <w:color w:val="auto"/>
        </w:rPr>
      </w:pPr>
    </w:p>
    <w:p>
      <w:pPr>
        <w:ind w:left="1840"/>
        <w:spacing w:after="0"/>
        <w:rPr>
          <w:sz w:val="20"/>
          <w:szCs w:val="20"/>
          <w:color w:val="auto"/>
        </w:rPr>
      </w:pPr>
      <w:r>
        <w:rPr>
          <w:rFonts w:ascii="Arial" w:cs="Arial" w:eastAsia="Arial" w:hAnsi="Arial"/>
          <w:sz w:val="19"/>
          <w:szCs w:val="19"/>
          <w:color w:val="auto"/>
        </w:rPr>
        <w:t>(Signature)</w:t>
      </w:r>
    </w:p>
    <w:p>
      <w:pPr>
        <w:spacing w:after="0" w:line="200" w:lineRule="exact"/>
        <w:rPr>
          <w:sz w:val="20"/>
          <w:szCs w:val="20"/>
          <w:color w:val="auto"/>
        </w:rPr>
      </w:pPr>
    </w:p>
    <w:p>
      <w:pPr>
        <w:spacing w:after="0" w:line="250" w:lineRule="exact"/>
        <w:rPr>
          <w:sz w:val="20"/>
          <w:szCs w:val="20"/>
          <w:color w:val="auto"/>
        </w:rPr>
      </w:pPr>
    </w:p>
    <w:p>
      <w:pPr>
        <w:ind w:left="1220"/>
        <w:spacing w:after="0"/>
        <w:rPr>
          <w:sz w:val="20"/>
          <w:szCs w:val="20"/>
          <w:color w:val="auto"/>
        </w:rPr>
      </w:pPr>
      <w:r>
        <w:rPr>
          <w:rFonts w:ascii="Arial" w:cs="Arial" w:eastAsia="Arial" w:hAnsi="Arial"/>
          <w:sz w:val="22"/>
          <w:szCs w:val="22"/>
          <w:i w:val="1"/>
          <w:iCs w:val="1"/>
          <w:color w:val="auto"/>
        </w:rPr>
        <w:t>/S/ Donald E. Felsinger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290195</wp:posOffset>
            </wp:positionV>
            <wp:extent cx="290703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Chairman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36195</wp:posOffset>
            </wp:positionV>
            <wp:extent cx="290703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ectPr>
          <w:pgSz w:w="11900" w:h="16838" w:orient="portrait"/>
          <w:cols w:equalWidth="0" w:num="2">
            <w:col w:w="6120" w:space="720"/>
            <w:col w:w="4560"/>
          </w:cols>
          <w:pgMar w:left="260" w:top="111" w:right="23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176"/>
        </w:trPr>
        <w:tc>
          <w:tcPr>
            <w:tcW w:w="1760" w:type="dxa"/>
            <w:vAlign w:val="bottom"/>
          </w:tcPr>
          <w:p>
            <w:pPr>
              <w:spacing w:after="0"/>
              <w:rPr>
                <w:sz w:val="15"/>
                <w:szCs w:val="15"/>
                <w:color w:val="auto"/>
              </w:rPr>
            </w:pPr>
          </w:p>
        </w:tc>
        <w:tc>
          <w:tcPr>
            <w:tcW w:w="7380" w:type="dxa"/>
            <w:vAlign w:val="bottom"/>
          </w:tcPr>
          <w:p>
            <w:pPr>
              <w:jc w:val="center"/>
              <w:ind w:left="448"/>
              <w:spacing w:after="0"/>
              <w:rPr>
                <w:sz w:val="20"/>
                <w:szCs w:val="20"/>
                <w:color w:val="auto"/>
              </w:rPr>
            </w:pPr>
            <w:r>
              <w:rPr>
                <w:rFonts w:ascii="Arial" w:cs="Arial" w:eastAsia="Arial" w:hAnsi="Arial"/>
                <w:sz w:val="15"/>
                <w:szCs w:val="15"/>
                <w:b w:val="1"/>
                <w:bCs w:val="1"/>
                <w:color w:val="auto"/>
                <w:w w:val="97"/>
              </w:rPr>
              <w:t>SEMPRA ENERGY</w:t>
            </w:r>
          </w:p>
        </w:tc>
      </w:tr>
      <w:tr>
        <w:trPr>
          <w:trHeight w:val="190"/>
        </w:trPr>
        <w:tc>
          <w:tcPr>
            <w:tcW w:w="1760" w:type="dxa"/>
            <w:vAlign w:val="bottom"/>
          </w:tcPr>
          <w:p>
            <w:pPr>
              <w:spacing w:after="0"/>
              <w:rPr>
                <w:sz w:val="16"/>
                <w:szCs w:val="16"/>
                <w:color w:val="auto"/>
              </w:rPr>
            </w:pPr>
          </w:p>
        </w:tc>
        <w:tc>
          <w:tcPr>
            <w:tcW w:w="7380" w:type="dxa"/>
            <w:vAlign w:val="bottom"/>
          </w:tcPr>
          <w:p>
            <w:pPr>
              <w:jc w:val="center"/>
              <w:ind w:left="448"/>
              <w:spacing w:after="0"/>
              <w:rPr>
                <w:sz w:val="20"/>
                <w:szCs w:val="20"/>
                <w:color w:val="auto"/>
              </w:rPr>
            </w:pPr>
            <w:r>
              <w:rPr>
                <w:rFonts w:ascii="Arial" w:cs="Arial" w:eastAsia="Arial" w:hAnsi="Arial"/>
                <w:sz w:val="15"/>
                <w:szCs w:val="15"/>
                <w:b w:val="1"/>
                <w:bCs w:val="1"/>
                <w:color w:val="auto"/>
                <w:w w:val="98"/>
              </w:rPr>
              <w:t>2008 LONG TERM INCENTIVE PLAN</w:t>
            </w:r>
          </w:p>
        </w:tc>
      </w:tr>
      <w:tr>
        <w:trPr>
          <w:trHeight w:val="324"/>
        </w:trPr>
        <w:tc>
          <w:tcPr>
            <w:tcW w:w="1760" w:type="dxa"/>
            <w:vAlign w:val="bottom"/>
          </w:tcPr>
          <w:p>
            <w:pPr>
              <w:spacing w:after="0"/>
              <w:rPr>
                <w:sz w:val="24"/>
                <w:szCs w:val="24"/>
                <w:color w:val="auto"/>
              </w:rPr>
            </w:pPr>
          </w:p>
        </w:tc>
        <w:tc>
          <w:tcPr>
            <w:tcW w:w="7380" w:type="dxa"/>
            <w:vAlign w:val="bottom"/>
          </w:tcPr>
          <w:p>
            <w:pPr>
              <w:jc w:val="center"/>
              <w:ind w:left="428"/>
              <w:spacing w:after="0"/>
              <w:rPr>
                <w:sz w:val="20"/>
                <w:szCs w:val="20"/>
                <w:color w:val="auto"/>
              </w:rPr>
            </w:pPr>
            <w:r>
              <w:rPr>
                <w:rFonts w:ascii="Arial" w:cs="Arial" w:eastAsia="Arial" w:hAnsi="Arial"/>
                <w:sz w:val="15"/>
                <w:szCs w:val="15"/>
                <w:b w:val="1"/>
                <w:bCs w:val="1"/>
                <w:color w:val="auto"/>
                <w:w w:val="97"/>
              </w:rPr>
              <w:t>2009 NONQUALIFIED STOCK OPTION AGREEMENT</w:t>
            </w:r>
          </w:p>
        </w:tc>
      </w:tr>
      <w:tr>
        <w:trPr>
          <w:trHeight w:val="206"/>
        </w:trPr>
        <w:tc>
          <w:tcPr>
            <w:tcW w:w="1760" w:type="dxa"/>
            <w:vAlign w:val="bottom"/>
            <w:tcBorders>
              <w:bottom w:val="single" w:sz="8" w:color="auto"/>
            </w:tcBorders>
          </w:tcPr>
          <w:p>
            <w:pPr>
              <w:spacing w:after="0"/>
              <w:rPr>
                <w:sz w:val="17"/>
                <w:szCs w:val="17"/>
                <w:color w:val="auto"/>
              </w:rPr>
            </w:pPr>
          </w:p>
        </w:tc>
        <w:tc>
          <w:tcPr>
            <w:tcW w:w="7380" w:type="dxa"/>
            <w:vAlign w:val="bottom"/>
            <w:tcBorders>
              <w:bottom w:val="single" w:sz="8" w:color="auto"/>
            </w:tcBorders>
          </w:tcPr>
          <w:p>
            <w:pPr>
              <w:spacing w:after="0"/>
              <w:rPr>
                <w:sz w:val="17"/>
                <w:szCs w:val="17"/>
                <w:color w:val="auto"/>
              </w:rPr>
            </w:pPr>
          </w:p>
        </w:tc>
      </w:tr>
      <w:tr>
        <w:trPr>
          <w:trHeight w:val="88"/>
        </w:trPr>
        <w:tc>
          <w:tcPr>
            <w:tcW w:w="1760" w:type="dxa"/>
            <w:vAlign w:val="bottom"/>
            <w:tcBorders>
              <w:bottom w:val="single" w:sz="8" w:color="auto"/>
            </w:tcBorders>
          </w:tcPr>
          <w:p>
            <w:pPr>
              <w:spacing w:after="0"/>
              <w:rPr>
                <w:sz w:val="7"/>
                <w:szCs w:val="7"/>
                <w:color w:val="auto"/>
              </w:rPr>
            </w:pPr>
          </w:p>
        </w:tc>
        <w:tc>
          <w:tcPr>
            <w:tcW w:w="7380" w:type="dxa"/>
            <w:vAlign w:val="bottom"/>
            <w:tcBorders>
              <w:bottom w:val="single" w:sz="8" w:color="auto"/>
            </w:tcBorders>
          </w:tcPr>
          <w:p>
            <w:pPr>
              <w:spacing w:after="0"/>
              <w:rPr>
                <w:sz w:val="7"/>
                <w:szCs w:val="7"/>
                <w:color w:val="auto"/>
              </w:rPr>
            </w:pPr>
          </w:p>
        </w:tc>
      </w:tr>
      <w:tr>
        <w:trPr>
          <w:trHeight w:val="321"/>
        </w:trPr>
        <w:tc>
          <w:tcPr>
            <w:tcW w:w="1760" w:type="dxa"/>
            <w:vAlign w:val="bottom"/>
          </w:tcPr>
          <w:p>
            <w:pPr>
              <w:ind w:left="20"/>
              <w:spacing w:after="0"/>
              <w:rPr>
                <w:sz w:val="20"/>
                <w:szCs w:val="20"/>
                <w:color w:val="auto"/>
              </w:rPr>
            </w:pPr>
            <w:r>
              <w:rPr>
                <w:rFonts w:ascii="Arial" w:cs="Arial" w:eastAsia="Arial" w:hAnsi="Arial"/>
                <w:sz w:val="21"/>
                <w:szCs w:val="21"/>
                <w:b w:val="1"/>
                <w:bCs w:val="1"/>
                <w:color w:val="auto"/>
              </w:rPr>
              <w:t>Company</w:t>
            </w:r>
          </w:p>
        </w:tc>
        <w:tc>
          <w:tcPr>
            <w:tcW w:w="7380" w:type="dxa"/>
            <w:vAlign w:val="bottom"/>
          </w:tcPr>
          <w:p>
            <w:pPr>
              <w:ind w:left="880"/>
              <w:spacing w:after="0"/>
              <w:rPr>
                <w:sz w:val="20"/>
                <w:szCs w:val="20"/>
                <w:color w:val="auto"/>
              </w:rPr>
            </w:pPr>
            <w:r>
              <w:rPr>
                <w:rFonts w:ascii="Arial" w:cs="Arial" w:eastAsia="Arial" w:hAnsi="Arial"/>
                <w:sz w:val="20"/>
                <w:szCs w:val="20"/>
                <w:color w:val="auto"/>
                <w:w w:val="95"/>
              </w:rPr>
              <w:t>“Company” as used in this agreement refers to your employer, which may be</w:t>
            </w:r>
          </w:p>
        </w:tc>
      </w:tr>
      <w:tr>
        <w:trPr>
          <w:trHeight w:val="250"/>
        </w:trPr>
        <w:tc>
          <w:tcPr>
            <w:tcW w:w="1760" w:type="dxa"/>
            <w:vAlign w:val="bottom"/>
          </w:tcPr>
          <w:p>
            <w:pPr>
              <w:spacing w:after="0"/>
              <w:rPr>
                <w:sz w:val="21"/>
                <w:szCs w:val="21"/>
                <w:color w:val="auto"/>
              </w:rPr>
            </w:pPr>
          </w:p>
        </w:tc>
        <w:tc>
          <w:tcPr>
            <w:tcW w:w="7380" w:type="dxa"/>
            <w:vAlign w:val="bottom"/>
          </w:tcPr>
          <w:p>
            <w:pPr>
              <w:ind w:left="880"/>
              <w:spacing w:after="0"/>
              <w:rPr>
                <w:sz w:val="20"/>
                <w:szCs w:val="20"/>
                <w:color w:val="auto"/>
              </w:rPr>
            </w:pPr>
            <w:r>
              <w:rPr>
                <w:rFonts w:ascii="Arial" w:cs="Arial" w:eastAsia="Arial" w:hAnsi="Arial"/>
                <w:sz w:val="20"/>
                <w:szCs w:val="20"/>
                <w:color w:val="auto"/>
              </w:rPr>
              <w:t>Sempra Energy or a subsidiary of Sempra Energy.</w:t>
            </w:r>
          </w:p>
        </w:tc>
      </w:tr>
      <w:tr>
        <w:trPr>
          <w:trHeight w:val="438"/>
        </w:trPr>
        <w:tc>
          <w:tcPr>
            <w:tcW w:w="1760" w:type="dxa"/>
            <w:vAlign w:val="bottom"/>
          </w:tcPr>
          <w:p>
            <w:pPr>
              <w:ind w:left="20"/>
              <w:spacing w:after="0"/>
              <w:rPr>
                <w:sz w:val="20"/>
                <w:szCs w:val="20"/>
                <w:color w:val="auto"/>
              </w:rPr>
            </w:pPr>
            <w:r>
              <w:rPr>
                <w:rFonts w:ascii="Arial" w:cs="Arial" w:eastAsia="Arial" w:hAnsi="Arial"/>
                <w:sz w:val="21"/>
                <w:szCs w:val="21"/>
                <w:b w:val="1"/>
                <w:bCs w:val="1"/>
                <w:color w:val="auto"/>
              </w:rPr>
              <w:t>Vesting</w:t>
            </w:r>
          </w:p>
        </w:tc>
        <w:tc>
          <w:tcPr>
            <w:tcW w:w="7380" w:type="dxa"/>
            <w:vAlign w:val="bottom"/>
          </w:tcPr>
          <w:p>
            <w:pPr>
              <w:ind w:left="880"/>
              <w:spacing w:after="0"/>
              <w:rPr>
                <w:sz w:val="20"/>
                <w:szCs w:val="20"/>
                <w:color w:val="auto"/>
              </w:rPr>
            </w:pPr>
            <w:r>
              <w:rPr>
                <w:rFonts w:ascii="Arial" w:cs="Arial" w:eastAsia="Arial" w:hAnsi="Arial"/>
                <w:sz w:val="20"/>
                <w:szCs w:val="20"/>
                <w:color w:val="auto"/>
                <w:w w:val="90"/>
              </w:rPr>
              <w:t>Your option vests (becomes exercisable) in equal annual cumulative installments</w:t>
            </w:r>
          </w:p>
        </w:tc>
      </w:tr>
      <w:tr>
        <w:trPr>
          <w:trHeight w:val="230"/>
        </w:trPr>
        <w:tc>
          <w:tcPr>
            <w:tcW w:w="1760" w:type="dxa"/>
            <w:vAlign w:val="bottom"/>
          </w:tcPr>
          <w:p>
            <w:pPr>
              <w:spacing w:after="0"/>
              <w:rPr>
                <w:sz w:val="19"/>
                <w:szCs w:val="19"/>
                <w:color w:val="auto"/>
              </w:rPr>
            </w:pPr>
          </w:p>
        </w:tc>
        <w:tc>
          <w:tcPr>
            <w:tcW w:w="7380" w:type="dxa"/>
            <w:vAlign w:val="bottom"/>
          </w:tcPr>
          <w:p>
            <w:pPr>
              <w:ind w:left="880"/>
              <w:spacing w:after="0"/>
              <w:rPr>
                <w:sz w:val="20"/>
                <w:szCs w:val="20"/>
                <w:color w:val="auto"/>
              </w:rPr>
            </w:pPr>
            <w:r>
              <w:rPr>
                <w:rFonts w:ascii="Arial" w:cs="Arial" w:eastAsia="Arial" w:hAnsi="Arial"/>
                <w:sz w:val="20"/>
                <w:szCs w:val="20"/>
                <w:color w:val="auto"/>
                <w:w w:val="90"/>
              </w:rPr>
              <w:t>over a four-year period. Each installment is 25% of the original number of shares</w:t>
            </w:r>
          </w:p>
        </w:tc>
      </w:tr>
      <w:tr>
        <w:trPr>
          <w:trHeight w:val="230"/>
        </w:trPr>
        <w:tc>
          <w:tcPr>
            <w:tcW w:w="1760" w:type="dxa"/>
            <w:vAlign w:val="bottom"/>
          </w:tcPr>
          <w:p>
            <w:pPr>
              <w:spacing w:after="0"/>
              <w:rPr>
                <w:sz w:val="19"/>
                <w:szCs w:val="19"/>
                <w:color w:val="auto"/>
              </w:rPr>
            </w:pPr>
          </w:p>
        </w:tc>
        <w:tc>
          <w:tcPr>
            <w:tcW w:w="7380" w:type="dxa"/>
            <w:vAlign w:val="bottom"/>
          </w:tcPr>
          <w:p>
            <w:pPr>
              <w:ind w:left="880"/>
              <w:spacing w:after="0"/>
              <w:rPr>
                <w:sz w:val="20"/>
                <w:szCs w:val="20"/>
                <w:color w:val="auto"/>
              </w:rPr>
            </w:pPr>
            <w:r>
              <w:rPr>
                <w:rFonts w:ascii="Arial" w:cs="Arial" w:eastAsia="Arial" w:hAnsi="Arial"/>
                <w:sz w:val="20"/>
                <w:szCs w:val="20"/>
                <w:color w:val="auto"/>
              </w:rPr>
              <w:t>covered by your option and an installment vests on each of the first four</w:t>
            </w:r>
          </w:p>
        </w:tc>
      </w:tr>
      <w:tr>
        <w:trPr>
          <w:trHeight w:val="230"/>
        </w:trPr>
        <w:tc>
          <w:tcPr>
            <w:tcW w:w="1760" w:type="dxa"/>
            <w:vAlign w:val="bottom"/>
          </w:tcPr>
          <w:p>
            <w:pPr>
              <w:spacing w:after="0"/>
              <w:rPr>
                <w:sz w:val="19"/>
                <w:szCs w:val="19"/>
                <w:color w:val="auto"/>
              </w:rPr>
            </w:pPr>
          </w:p>
        </w:tc>
        <w:tc>
          <w:tcPr>
            <w:tcW w:w="7380" w:type="dxa"/>
            <w:vAlign w:val="bottom"/>
          </w:tcPr>
          <w:p>
            <w:pPr>
              <w:ind w:left="880"/>
              <w:spacing w:after="0"/>
              <w:rPr>
                <w:sz w:val="20"/>
                <w:szCs w:val="20"/>
                <w:color w:val="auto"/>
              </w:rPr>
            </w:pPr>
            <w:r>
              <w:rPr>
                <w:rFonts w:ascii="Arial" w:cs="Arial" w:eastAsia="Arial" w:hAnsi="Arial"/>
                <w:sz w:val="20"/>
                <w:szCs w:val="20"/>
                <w:color w:val="auto"/>
                <w:w w:val="94"/>
              </w:rPr>
              <w:t>anniversaries of the Date of Option Grant shown on the cover sheet. Once an</w:t>
            </w:r>
          </w:p>
        </w:tc>
      </w:tr>
      <w:tr>
        <w:trPr>
          <w:trHeight w:val="230"/>
        </w:trPr>
        <w:tc>
          <w:tcPr>
            <w:tcW w:w="1760" w:type="dxa"/>
            <w:vAlign w:val="bottom"/>
          </w:tcPr>
          <w:p>
            <w:pPr>
              <w:spacing w:after="0"/>
              <w:rPr>
                <w:sz w:val="19"/>
                <w:szCs w:val="19"/>
                <w:color w:val="auto"/>
              </w:rPr>
            </w:pPr>
          </w:p>
        </w:tc>
        <w:tc>
          <w:tcPr>
            <w:tcW w:w="7380" w:type="dxa"/>
            <w:vAlign w:val="bottom"/>
          </w:tcPr>
          <w:p>
            <w:pPr>
              <w:ind w:left="880"/>
              <w:spacing w:after="0"/>
              <w:rPr>
                <w:sz w:val="20"/>
                <w:szCs w:val="20"/>
                <w:color w:val="auto"/>
              </w:rPr>
            </w:pPr>
            <w:r>
              <w:rPr>
                <w:rFonts w:ascii="Arial" w:cs="Arial" w:eastAsia="Arial" w:hAnsi="Arial"/>
                <w:sz w:val="20"/>
                <w:szCs w:val="20"/>
                <w:color w:val="auto"/>
                <w:w w:val="92"/>
              </w:rPr>
              <w:t>installment of your option becomes exercisable, it will remain exercisable until it</w:t>
            </w:r>
          </w:p>
        </w:tc>
      </w:tr>
      <w:tr>
        <w:trPr>
          <w:trHeight w:val="250"/>
        </w:trPr>
        <w:tc>
          <w:tcPr>
            <w:tcW w:w="1760" w:type="dxa"/>
            <w:vAlign w:val="bottom"/>
          </w:tcPr>
          <w:p>
            <w:pPr>
              <w:spacing w:after="0"/>
              <w:rPr>
                <w:sz w:val="21"/>
                <w:szCs w:val="21"/>
                <w:color w:val="auto"/>
              </w:rPr>
            </w:pPr>
          </w:p>
        </w:tc>
        <w:tc>
          <w:tcPr>
            <w:tcW w:w="7380" w:type="dxa"/>
            <w:vAlign w:val="bottom"/>
          </w:tcPr>
          <w:p>
            <w:pPr>
              <w:ind w:left="880"/>
              <w:spacing w:after="0"/>
              <w:rPr>
                <w:sz w:val="20"/>
                <w:szCs w:val="20"/>
                <w:color w:val="auto"/>
              </w:rPr>
            </w:pPr>
            <w:r>
              <w:rPr>
                <w:rFonts w:ascii="Arial" w:cs="Arial" w:eastAsia="Arial" w:hAnsi="Arial"/>
                <w:sz w:val="20"/>
                <w:szCs w:val="20"/>
                <w:color w:val="auto"/>
              </w:rPr>
              <w:t>is exercised or your option expires.</w:t>
            </w:r>
          </w:p>
        </w:tc>
      </w:tr>
    </w:tbl>
    <w:p>
      <w:pPr>
        <w:spacing w:after="0" w:line="200" w:lineRule="exact"/>
        <w:rPr>
          <w:sz w:val="20"/>
          <w:szCs w:val="20"/>
          <w:color w:val="auto"/>
        </w:rPr>
      </w:pPr>
    </w:p>
    <w:p>
      <w:pPr>
        <w:sectPr>
          <w:pgSz w:w="11900" w:h="16838" w:orient="portrait"/>
          <w:cols w:equalWidth="0" w:num="1">
            <w:col w:w="10219"/>
          </w:cols>
          <w:pgMar w:left="240" w:top="128" w:right="1440" w:bottom="0" w:gutter="0" w:footer="0" w:header="0"/>
        </w:sectPr>
      </w:pPr>
    </w:p>
    <w:p>
      <w:pPr>
        <w:spacing w:after="0" w:line="6"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 Dividend</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Equivalents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right="800"/>
        <w:spacing w:after="0" w:line="355" w:lineRule="auto"/>
        <w:rPr>
          <w:sz w:val="20"/>
          <w:szCs w:val="20"/>
          <w:color w:val="auto"/>
        </w:rPr>
      </w:pPr>
      <w:r>
        <w:rPr>
          <w:rFonts w:ascii="Arial" w:cs="Arial" w:eastAsia="Arial" w:hAnsi="Arial"/>
          <w:sz w:val="18"/>
          <w:szCs w:val="18"/>
          <w:b w:val="1"/>
          <w:bCs w:val="1"/>
          <w:color w:val="auto"/>
        </w:rPr>
        <w:t>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Leaves of Absence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Restrictions on Exercise</w:t>
      </w:r>
    </w:p>
    <w:p>
      <w:pPr>
        <w:spacing w:after="0" w:line="20" w:lineRule="exact"/>
        <w:rPr>
          <w:sz w:val="20"/>
          <w:szCs w:val="20"/>
          <w:color w:val="auto"/>
        </w:rPr>
      </w:pPr>
      <w:r>
        <w:rPr>
          <w:sz w:val="20"/>
          <w:szCs w:val="20"/>
          <w:color w:val="auto"/>
        </w:rPr>
        <w:br w:type="column"/>
      </w:r>
    </w:p>
    <w:p>
      <w:pPr>
        <w:ind w:right="1119"/>
        <w:spacing w:after="0" w:line="260" w:lineRule="auto"/>
        <w:rPr>
          <w:sz w:val="20"/>
          <w:szCs w:val="20"/>
          <w:color w:val="auto"/>
        </w:rPr>
      </w:pPr>
      <w:r>
        <w:rPr>
          <w:rFonts w:ascii="Arial" w:cs="Arial" w:eastAsia="Arial" w:hAnsi="Arial"/>
          <w:sz w:val="20"/>
          <w:szCs w:val="20"/>
          <w:color w:val="auto"/>
        </w:rPr>
        <w:t>No dividend equivalents will be paid by the Company with respect to your option or the shares covered by your option.</w:t>
      </w:r>
    </w:p>
    <w:p>
      <w:pPr>
        <w:spacing w:after="0" w:line="217" w:lineRule="exact"/>
        <w:rPr>
          <w:sz w:val="20"/>
          <w:szCs w:val="20"/>
          <w:color w:val="auto"/>
        </w:rPr>
      </w:pPr>
    </w:p>
    <w:p>
      <w:pPr>
        <w:ind w:right="1179"/>
        <w:spacing w:after="0" w:line="263" w:lineRule="auto"/>
        <w:rPr>
          <w:sz w:val="20"/>
          <w:szCs w:val="20"/>
          <w:color w:val="auto"/>
        </w:rPr>
      </w:pPr>
      <w:r>
        <w:rPr>
          <w:rFonts w:ascii="Arial" w:cs="Arial" w:eastAsia="Arial" w:hAnsi="Arial"/>
          <w:sz w:val="19"/>
          <w:szCs w:val="19"/>
          <w:color w:val="auto"/>
        </w:rPr>
        <w:t>Your option will expire at the close of business at Sempra Energy headquarters on the day before the 10th anniversary of the Date of Option Grant shown on the cover sheet, and is subject to earlier expiration (as described below) if your employment with the Company terminates.</w:t>
      </w:r>
    </w:p>
    <w:p>
      <w:pPr>
        <w:spacing w:after="0" w:line="190" w:lineRule="exact"/>
        <w:rPr>
          <w:sz w:val="20"/>
          <w:szCs w:val="20"/>
          <w:color w:val="auto"/>
        </w:rPr>
      </w:pPr>
    </w:p>
    <w:p>
      <w:pPr>
        <w:ind w:right="1299"/>
        <w:spacing w:after="0" w:line="274" w:lineRule="auto"/>
        <w:rPr>
          <w:sz w:val="20"/>
          <w:szCs w:val="20"/>
          <w:color w:val="auto"/>
        </w:rPr>
      </w:pPr>
      <w:r>
        <w:rPr>
          <w:rFonts w:ascii="Arial" w:cs="Arial" w:eastAsia="Arial" w:hAnsi="Arial"/>
          <w:sz w:val="18"/>
          <w:szCs w:val="18"/>
          <w:color w:val="auto"/>
        </w:rPr>
        <w:t>If your employment with the Company terminates for any reason (other than under the circumstances set forth below), your option will expire at the close of business at Sempra Energy headquarters on the 90th day after the date your employment terminated or upon the earlier expiration of the ten-year term of your option. Your option will not continue to vest after your employment terminates and will be exercisable only as to the number of shares for which it was exercisable on the date of your employment terminated.</w:t>
      </w:r>
    </w:p>
    <w:p>
      <w:pPr>
        <w:spacing w:after="0" w:line="48" w:lineRule="exact"/>
        <w:rPr>
          <w:sz w:val="20"/>
          <w:szCs w:val="20"/>
          <w:color w:val="auto"/>
        </w:rPr>
      </w:pPr>
    </w:p>
    <w:p>
      <w:pPr>
        <w:ind w:right="1139"/>
        <w:spacing w:after="0" w:line="265" w:lineRule="auto"/>
        <w:rPr>
          <w:sz w:val="20"/>
          <w:szCs w:val="20"/>
          <w:color w:val="auto"/>
        </w:rPr>
      </w:pPr>
      <w:r>
        <w:rPr>
          <w:rFonts w:ascii="Arial" w:cs="Arial" w:eastAsia="Arial" w:hAnsi="Arial"/>
          <w:sz w:val="19"/>
          <w:szCs w:val="19"/>
          <w:color w:val="auto"/>
        </w:rPr>
        <w:t xml:space="preserve">If your employment terminates for any reason (including as a result of your death or total and permanent disability) after you have attained age 55 </w:t>
      </w:r>
      <w:r>
        <w:rPr>
          <w:rFonts w:ascii="Arial" w:cs="Arial" w:eastAsia="Arial" w:hAnsi="Arial"/>
          <w:sz w:val="19"/>
          <w:szCs w:val="19"/>
          <w:i w:val="1"/>
          <w:iCs w:val="1"/>
          <w:color w:val="auto"/>
        </w:rPr>
        <w:t>and</w:t>
      </w:r>
      <w:r>
        <w:rPr>
          <w:rFonts w:ascii="Arial" w:cs="Arial" w:eastAsia="Arial" w:hAnsi="Arial"/>
          <w:sz w:val="19"/>
          <w:szCs w:val="19"/>
          <w:color w:val="auto"/>
        </w:rPr>
        <w:t xml:space="preserve"> at the time your employment terminated you had completed five years of continuous service with Sempra Energy and its subsidiaries</w:t>
      </w:r>
      <w:r>
        <w:rPr>
          <w:rFonts w:ascii="Arial" w:cs="Arial" w:eastAsia="Arial" w:hAnsi="Arial"/>
          <w:sz w:val="18"/>
          <w:szCs w:val="18"/>
          <w:color w:val="auto"/>
        </w:rPr>
        <w:t>, your option will expire at the close of</w:t>
      </w:r>
      <w:r>
        <w:rPr>
          <w:rFonts w:ascii="Arial" w:cs="Arial" w:eastAsia="Arial" w:hAnsi="Arial"/>
          <w:sz w:val="19"/>
          <w:szCs w:val="19"/>
          <w:color w:val="auto"/>
        </w:rPr>
        <w:t xml:space="preserve"> </w:t>
      </w:r>
      <w:r>
        <w:rPr>
          <w:rFonts w:ascii="Arial" w:cs="Arial" w:eastAsia="Arial" w:hAnsi="Arial"/>
          <w:sz w:val="18"/>
          <w:szCs w:val="18"/>
          <w:color w:val="auto"/>
        </w:rPr>
        <w:t>business at Sempra Energy headquarters on the date three years (five years if you have attained age 62) after the date your employment terminated or upon the earlier expiration of the ten-year term of your option. Your option will continue to vest during that period.</w:t>
      </w:r>
    </w:p>
    <w:p>
      <w:pPr>
        <w:spacing w:after="0" w:line="66" w:lineRule="exact"/>
        <w:rPr>
          <w:sz w:val="20"/>
          <w:szCs w:val="20"/>
          <w:color w:val="auto"/>
        </w:rPr>
      </w:pPr>
    </w:p>
    <w:p>
      <w:pPr>
        <w:ind w:right="1119"/>
        <w:spacing w:after="0" w:line="252" w:lineRule="auto"/>
        <w:rPr>
          <w:sz w:val="20"/>
          <w:szCs w:val="20"/>
          <w:color w:val="auto"/>
        </w:rPr>
      </w:pPr>
      <w:r>
        <w:rPr>
          <w:rFonts w:ascii="Arial" w:cs="Arial" w:eastAsia="Arial" w:hAnsi="Arial"/>
          <w:sz w:val="20"/>
          <w:szCs w:val="20"/>
          <w:color w:val="auto"/>
        </w:rPr>
        <w:t>If your employment terminates as a result of your death or total and permanent disability and at the date your employment terminated you had not attained age 55 and completed five years of continuous service with Sempra Energy and its subsidiaries</w:t>
      </w:r>
      <w:r>
        <w:rPr>
          <w:rFonts w:ascii="Arial" w:cs="Arial" w:eastAsia="Arial" w:hAnsi="Arial"/>
          <w:sz w:val="19"/>
          <w:szCs w:val="19"/>
          <w:color w:val="auto"/>
        </w:rPr>
        <w:t>, your option will expire at the close of business at Sempra Energy</w:t>
      </w:r>
      <w:r>
        <w:rPr>
          <w:rFonts w:ascii="Arial" w:cs="Arial" w:eastAsia="Arial" w:hAnsi="Arial"/>
          <w:sz w:val="20"/>
          <w:szCs w:val="20"/>
          <w:color w:val="auto"/>
        </w:rPr>
        <w:t xml:space="preserve"> </w:t>
      </w:r>
      <w:r>
        <w:rPr>
          <w:rFonts w:ascii="Arial" w:cs="Arial" w:eastAsia="Arial" w:hAnsi="Arial"/>
          <w:sz w:val="19"/>
          <w:szCs w:val="19"/>
          <w:color w:val="auto"/>
        </w:rPr>
        <w:t>headquarters on the date 12 months after the date your employment terminated or upon the earlier expiration of the ten-year term of your option. Your option will not continue to vest following your death and will be exercisable only as to the number of shares for which it was exercisable at the date your employment terminated.</w:t>
      </w:r>
    </w:p>
    <w:p>
      <w:pPr>
        <w:spacing w:after="0" w:line="184" w:lineRule="exact"/>
        <w:rPr>
          <w:sz w:val="20"/>
          <w:szCs w:val="20"/>
          <w:color w:val="auto"/>
        </w:rPr>
      </w:pPr>
    </w:p>
    <w:p>
      <w:pPr>
        <w:ind w:right="1239"/>
        <w:spacing w:after="0" w:line="328" w:lineRule="auto"/>
        <w:rPr>
          <w:sz w:val="20"/>
          <w:szCs w:val="20"/>
          <w:color w:val="auto"/>
        </w:rPr>
      </w:pPr>
      <w:r>
        <w:rPr>
          <w:rFonts w:ascii="Arial" w:cs="Arial" w:eastAsia="Arial" w:hAnsi="Arial"/>
          <w:sz w:val="16"/>
          <w:szCs w:val="16"/>
          <w:color w:val="auto"/>
        </w:rPr>
        <w:t>“Total and permanent disability” means that you are unable to engage in any substantial gainful activity by reason of any medically determinable physical or mental impairment which can be expected to result in death or which has lasted, or can be expected to last, for a continuous period of not less than one year.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plan, your employment does not terminate when you go on:</w:t>
      </w:r>
    </w:p>
    <w:p>
      <w:pPr>
        <w:spacing w:after="0" w:line="117" w:lineRule="exact"/>
        <w:rPr>
          <w:sz w:val="20"/>
          <w:szCs w:val="20"/>
          <w:color w:val="auto"/>
        </w:rPr>
      </w:pPr>
    </w:p>
    <w:p>
      <w:pPr>
        <w:ind w:left="700" w:hanging="334"/>
        <w:spacing w:after="0"/>
        <w:tabs>
          <w:tab w:leader="none" w:pos="70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Military leave,</w:t>
      </w:r>
    </w:p>
    <w:p>
      <w:pPr>
        <w:spacing w:after="0" w:line="94" w:lineRule="exact"/>
        <w:rPr>
          <w:rFonts w:ascii="Arial" w:cs="Arial" w:eastAsia="Arial" w:hAnsi="Arial"/>
          <w:sz w:val="20"/>
          <w:szCs w:val="20"/>
          <w:color w:val="auto"/>
        </w:rPr>
      </w:pPr>
    </w:p>
    <w:p>
      <w:pPr>
        <w:ind w:left="700" w:hanging="334"/>
        <w:spacing w:after="0"/>
        <w:tabs>
          <w:tab w:leader="none" w:pos="70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Sick leave that is approved in writing by the Company, or</w:t>
      </w:r>
    </w:p>
    <w:p>
      <w:pPr>
        <w:spacing w:after="0" w:line="94" w:lineRule="exact"/>
        <w:rPr>
          <w:rFonts w:ascii="Arial" w:cs="Arial" w:eastAsia="Arial" w:hAnsi="Arial"/>
          <w:sz w:val="20"/>
          <w:szCs w:val="20"/>
          <w:color w:val="auto"/>
        </w:rPr>
      </w:pPr>
    </w:p>
    <w:p>
      <w:pPr>
        <w:ind w:left="700" w:right="1619" w:hanging="334"/>
        <w:spacing w:after="0" w:line="260" w:lineRule="auto"/>
        <w:tabs>
          <w:tab w:leader="none" w:pos="70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 xml:space="preserve">Other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leave of absence that is approved in writing by the Company.</w:t>
      </w:r>
    </w:p>
    <w:p>
      <w:pPr>
        <w:spacing w:after="0" w:line="55" w:lineRule="exact"/>
        <w:rPr>
          <w:sz w:val="20"/>
          <w:szCs w:val="20"/>
          <w:color w:val="auto"/>
        </w:rPr>
      </w:pPr>
    </w:p>
    <w:p>
      <w:pPr>
        <w:ind w:right="1119"/>
        <w:spacing w:after="0" w:line="244" w:lineRule="auto"/>
        <w:rPr>
          <w:sz w:val="20"/>
          <w:szCs w:val="20"/>
          <w:color w:val="auto"/>
        </w:rPr>
      </w:pPr>
      <w:r>
        <w:rPr>
          <w:rFonts w:ascii="Arial" w:cs="Arial" w:eastAsia="Arial" w:hAnsi="Arial"/>
          <w:sz w:val="20"/>
          <w:szCs w:val="20"/>
          <w:color w:val="auto"/>
        </w:rPr>
        <w:t>Your employment will be deemed to have terminated at the end of your approved leave unless (a) you immediately return to active work when your approved leave ends; or (b) your right to return to active work is otherwise guaranteed by law or contract; or (c) for military leaves, you return to active work within the 90-day period prescribed by law.</w:t>
      </w:r>
    </w:p>
    <w:p>
      <w:pPr>
        <w:spacing w:after="0" w:line="208" w:lineRule="exact"/>
        <w:rPr>
          <w:sz w:val="20"/>
          <w:szCs w:val="20"/>
          <w:color w:val="auto"/>
        </w:rPr>
      </w:pPr>
    </w:p>
    <w:p>
      <w:pPr>
        <w:ind w:right="1219"/>
        <w:spacing w:after="0" w:line="250" w:lineRule="auto"/>
        <w:rPr>
          <w:sz w:val="20"/>
          <w:szCs w:val="20"/>
          <w:color w:val="auto"/>
        </w:rPr>
      </w:pPr>
      <w:r>
        <w:rPr>
          <w:rFonts w:ascii="Arial" w:cs="Arial" w:eastAsia="Arial" w:hAnsi="Arial"/>
          <w:sz w:val="20"/>
          <w:szCs w:val="20"/>
          <w:color w:val="auto"/>
        </w:rPr>
        <w:t>You will not be permitted to exercise your option at any time at which Sempra Energy determines that the issuance of shares may violate any law, regulation or Sempra Energy policy.</w:t>
      </w:r>
    </w:p>
    <w:p>
      <w:pPr>
        <w:spacing w:after="0" w:line="197" w:lineRule="exact"/>
        <w:rPr>
          <w:sz w:val="20"/>
          <w:szCs w:val="20"/>
          <w:color w:val="auto"/>
        </w:rPr>
      </w:pPr>
    </w:p>
    <w:p>
      <w:pPr>
        <w:sectPr>
          <w:pgSz w:w="11900" w:h="16838" w:orient="portrait"/>
          <w:cols w:equalWidth="0" w:num="2">
            <w:col w:w="2140" w:space="500"/>
            <w:col w:w="7579"/>
          </w:cols>
          <w:pgMar w:left="240" w:top="128" w:right="1440" w:bottom="0" w:gutter="0" w:footer="0" w:header="0"/>
          <w:type w:val="continuous"/>
        </w:sectPr>
      </w:pPr>
    </w:p>
    <w:p>
      <w:pPr>
        <w:ind w:left="20"/>
        <w:spacing w:after="0"/>
        <w:tabs>
          <w:tab w:leader="none" w:pos="2620" w:val="left"/>
        </w:tabs>
        <w:rPr>
          <w:sz w:val="20"/>
          <w:szCs w:val="20"/>
          <w:color w:val="auto"/>
        </w:rPr>
      </w:pPr>
      <w:r>
        <w:rPr>
          <w:rFonts w:ascii="Arial" w:cs="Arial" w:eastAsia="Arial" w:hAnsi="Arial"/>
          <w:sz w:val="21"/>
          <w:szCs w:val="21"/>
          <w:b w:val="1"/>
          <w:bCs w:val="1"/>
          <w:color w:val="auto"/>
        </w:rPr>
        <w:t>Notice of Exercise</w:t>
      </w:r>
      <w:r>
        <w:rPr>
          <w:sz w:val="20"/>
          <w:szCs w:val="20"/>
          <w:color w:val="auto"/>
        </w:rPr>
        <w:tab/>
      </w:r>
      <w:r>
        <w:rPr>
          <w:rFonts w:ascii="Arial" w:cs="Arial" w:eastAsia="Arial" w:hAnsi="Arial"/>
          <w:sz w:val="18"/>
          <w:szCs w:val="18"/>
          <w:color w:val="auto"/>
        </w:rPr>
        <w:t>When you wish to exercise your option, you must notify Sempra Energy by filing</w:t>
      </w:r>
    </w:p>
    <w:p>
      <w:pPr>
        <w:sectPr>
          <w:pgSz w:w="11900" w:h="16838" w:orient="portrait"/>
          <w:cols w:equalWidth="0" w:num="1">
            <w:col w:w="10219"/>
          </w:cols>
          <w:pgMar w:left="240" w:top="128" w:right="1440" w:bottom="0" w:gutter="0" w:footer="0" w:header="0"/>
          <w:type w:val="continuous"/>
        </w:sectPr>
      </w:pPr>
    </w:p>
    <w:bookmarkStart w:id="99" w:name="page100"/>
    <w:bookmarkEnd w:id="9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80"/>
        <w:spacing w:after="0" w:line="318" w:lineRule="auto"/>
        <w:rPr>
          <w:sz w:val="20"/>
          <w:szCs w:val="20"/>
          <w:color w:val="auto"/>
        </w:rPr>
      </w:pPr>
      <w:r>
        <w:rPr>
          <w:rFonts w:ascii="Arial" w:cs="Arial" w:eastAsia="Arial" w:hAnsi="Arial"/>
          <w:sz w:val="18"/>
          <w:szCs w:val="18"/>
          <w:b w:val="1"/>
          <w:bCs w:val="1"/>
          <w:color w:val="auto"/>
        </w:rPr>
        <w:t>Payment of Option Price and Withholding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Resale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Transfer of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Retention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Shareholder Rights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Adjustments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260"/>
        <w:spacing w:after="0" w:line="270" w:lineRule="auto"/>
        <w:rPr>
          <w:sz w:val="20"/>
          <w:szCs w:val="20"/>
          <w:color w:val="auto"/>
        </w:rPr>
      </w:pPr>
      <w:r>
        <w:rPr>
          <w:rFonts w:ascii="Arial" w:cs="Arial" w:eastAsia="Arial" w:hAnsi="Arial"/>
          <w:sz w:val="21"/>
          <w:szCs w:val="21"/>
          <w:b w:val="1"/>
          <w:bCs w:val="1"/>
          <w:color w:val="auto"/>
        </w:rPr>
        <w:t>Nonqualified Stock Option</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Applicable Law</w:t>
      </w:r>
    </w:p>
    <w:p>
      <w:pPr>
        <w:spacing w:after="0" w:line="200" w:lineRule="exact"/>
        <w:rPr>
          <w:sz w:val="20"/>
          <w:szCs w:val="20"/>
          <w:color w:val="auto"/>
        </w:rPr>
      </w:pPr>
    </w:p>
    <w:p>
      <w:pPr>
        <w:spacing w:after="0" w:line="247" w:lineRule="exact"/>
        <w:rPr>
          <w:sz w:val="20"/>
          <w:szCs w:val="20"/>
          <w:color w:val="auto"/>
        </w:rPr>
      </w:pPr>
    </w:p>
    <w:p>
      <w:pPr>
        <w:ind w:right="200"/>
        <w:spacing w:after="0" w:line="295" w:lineRule="auto"/>
        <w:rPr>
          <w:sz w:val="20"/>
          <w:szCs w:val="20"/>
          <w:color w:val="auto"/>
        </w:rPr>
      </w:pPr>
      <w:r>
        <w:rPr>
          <w:rFonts w:ascii="Arial" w:cs="Arial" w:eastAsia="Arial" w:hAnsi="Arial"/>
          <w:sz w:val="20"/>
          <w:szCs w:val="20"/>
          <w:b w:val="1"/>
          <w:bCs w:val="1"/>
          <w:color w:val="auto"/>
        </w:rPr>
        <w:t>The Plan and Other Agreements</w:t>
      </w:r>
    </w:p>
    <w:p>
      <w:pPr>
        <w:spacing w:after="0" w:line="20" w:lineRule="exact"/>
        <w:rPr>
          <w:sz w:val="20"/>
          <w:szCs w:val="20"/>
          <w:color w:val="auto"/>
        </w:rPr>
      </w:pPr>
      <w:r>
        <w:rPr>
          <w:sz w:val="20"/>
          <w:szCs w:val="20"/>
          <w:color w:val="auto"/>
        </w:rPr>
        <w:br w:type="column"/>
      </w:r>
    </w:p>
    <w:p>
      <w:pPr>
        <w:ind w:right="1339"/>
        <w:spacing w:after="0" w:line="247" w:lineRule="auto"/>
        <w:rPr>
          <w:sz w:val="20"/>
          <w:szCs w:val="20"/>
          <w:color w:val="auto"/>
        </w:rPr>
      </w:pPr>
      <w:r>
        <w:rPr>
          <w:rFonts w:ascii="Arial" w:cs="Arial" w:eastAsia="Arial" w:hAnsi="Arial"/>
          <w:sz w:val="20"/>
          <w:szCs w:val="20"/>
          <w:color w:val="auto"/>
        </w:rPr>
        <w:t>the proper “Notice of Exercise” form at the address given on the form. Your notice must specify how many shares you wish to purchase. Your notice must also specify how your shares should be registered. The notice will be effective when Sempra Energy receives it.</w:t>
      </w:r>
    </w:p>
    <w:p>
      <w:pPr>
        <w:spacing w:after="0" w:line="202" w:lineRule="exact"/>
        <w:rPr>
          <w:sz w:val="20"/>
          <w:szCs w:val="20"/>
          <w:color w:val="auto"/>
        </w:rPr>
      </w:pPr>
    </w:p>
    <w:p>
      <w:pPr>
        <w:ind w:right="1239"/>
        <w:spacing w:after="0" w:line="316" w:lineRule="auto"/>
        <w:rPr>
          <w:sz w:val="20"/>
          <w:szCs w:val="20"/>
          <w:color w:val="auto"/>
        </w:rPr>
      </w:pPr>
      <w:r>
        <w:rPr>
          <w:rFonts w:ascii="Arial" w:cs="Arial" w:eastAsia="Arial" w:hAnsi="Arial"/>
          <w:sz w:val="18"/>
          <w:szCs w:val="18"/>
          <w:color w:val="auto"/>
        </w:rPr>
        <w:t>If someone else wants to exercise your option after your death, that person must prove to Sempra Energy’s satisfaction that he or she is entitled to do so.</w:t>
      </w:r>
    </w:p>
    <w:p>
      <w:pPr>
        <w:spacing w:after="0" w:line="144" w:lineRule="exact"/>
        <w:rPr>
          <w:sz w:val="20"/>
          <w:szCs w:val="20"/>
          <w:color w:val="auto"/>
        </w:rPr>
      </w:pPr>
    </w:p>
    <w:p>
      <w:pPr>
        <w:jc w:val="both"/>
        <w:ind w:right="1279"/>
        <w:spacing w:after="0" w:line="291" w:lineRule="auto"/>
        <w:rPr>
          <w:sz w:val="20"/>
          <w:szCs w:val="20"/>
          <w:color w:val="auto"/>
        </w:rPr>
      </w:pPr>
      <w:r>
        <w:rPr>
          <w:rFonts w:ascii="Arial" w:cs="Arial" w:eastAsia="Arial" w:hAnsi="Arial"/>
          <w:sz w:val="18"/>
          <w:szCs w:val="18"/>
          <w:color w:val="auto"/>
        </w:rPr>
        <w:t>When you submit your notice of exercise, you must pay the option price for the shares you are purchasing and any related withholding taxes. Payment may be made by one (or a combination of two or more) of the following methods:</w:t>
      </w:r>
    </w:p>
    <w:p>
      <w:pPr>
        <w:spacing w:after="0" w:line="206" w:lineRule="exact"/>
        <w:rPr>
          <w:sz w:val="20"/>
          <w:szCs w:val="20"/>
          <w:color w:val="auto"/>
        </w:rPr>
      </w:pPr>
    </w:p>
    <w:p>
      <w:pPr>
        <w:ind w:left="640" w:hanging="638"/>
        <w:spacing w:after="0"/>
        <w:tabs>
          <w:tab w:leader="none" w:pos="64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Personal check, cashier’s check or money order.</w:t>
      </w:r>
    </w:p>
    <w:p>
      <w:pPr>
        <w:spacing w:after="0" w:line="215" w:lineRule="exact"/>
        <w:rPr>
          <w:rFonts w:ascii="Arial" w:cs="Arial" w:eastAsia="Arial" w:hAnsi="Arial"/>
          <w:sz w:val="20"/>
          <w:szCs w:val="20"/>
          <w:color w:val="auto"/>
        </w:rPr>
      </w:pPr>
    </w:p>
    <w:p>
      <w:pPr>
        <w:ind w:right="1179" w:firstLine="2"/>
        <w:spacing w:after="0" w:line="243" w:lineRule="auto"/>
        <w:tabs>
          <w:tab w:leader="none" w:pos="648" w:val="left"/>
        </w:tabs>
        <w:numPr>
          <w:ilvl w:val="0"/>
          <w:numId w:val="103"/>
        </w:numPr>
        <w:rPr>
          <w:rFonts w:ascii="Arial" w:cs="Arial" w:eastAsia="Arial" w:hAnsi="Arial"/>
          <w:sz w:val="20"/>
          <w:szCs w:val="20"/>
          <w:color w:val="auto"/>
        </w:rPr>
      </w:pPr>
      <w:r>
        <w:rPr>
          <w:rFonts w:ascii="Arial" w:cs="Arial" w:eastAsia="Arial" w:hAnsi="Arial"/>
          <w:sz w:val="20"/>
          <w:szCs w:val="20"/>
          <w:color w:val="auto"/>
        </w:rPr>
        <w:t>Effecting a net share exercise by instructing Sempra Energy to retain a number of the shares as to which you are exercising your option that, taken at their fair market value, is sufficient to pay the option price and any related withholding taxes. In that event, the number of shares that will be issued to you will have a fair market value (at the date your option is exercised) that equals the spread or “in the money value” of the shares as to which you are exercising your option.</w:t>
      </w:r>
    </w:p>
    <w:p>
      <w:pPr>
        <w:spacing w:after="0" w:line="193" w:lineRule="exact"/>
        <w:rPr>
          <w:rFonts w:ascii="Arial" w:cs="Arial" w:eastAsia="Arial" w:hAnsi="Arial"/>
          <w:sz w:val="20"/>
          <w:szCs w:val="20"/>
          <w:color w:val="auto"/>
        </w:rPr>
      </w:pPr>
    </w:p>
    <w:p>
      <w:pPr>
        <w:ind w:right="1339" w:firstLine="2"/>
        <w:spacing w:after="0" w:line="246" w:lineRule="auto"/>
        <w:tabs>
          <w:tab w:leader="none" w:pos="648"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To the extent permitted by law, making arrangements for a “cashless exercise” directing a securities broker approved by Sempra Energy to sell your option shares and to deliver sufficient sale proceeds to Sempra Energy in payment.</w:t>
      </w:r>
    </w:p>
    <w:p>
      <w:pPr>
        <w:spacing w:after="0" w:line="192" w:lineRule="exact"/>
        <w:rPr>
          <w:sz w:val="20"/>
          <w:szCs w:val="20"/>
          <w:color w:val="auto"/>
        </w:rPr>
      </w:pPr>
    </w:p>
    <w:p>
      <w:pPr>
        <w:ind w:right="1979"/>
        <w:spacing w:after="0" w:line="287" w:lineRule="auto"/>
        <w:rPr>
          <w:sz w:val="20"/>
          <w:szCs w:val="20"/>
          <w:color w:val="auto"/>
        </w:rPr>
      </w:pPr>
      <w:r>
        <w:rPr>
          <w:rFonts w:ascii="Arial" w:cs="Arial" w:eastAsia="Arial" w:hAnsi="Arial"/>
          <w:sz w:val="19"/>
          <w:szCs w:val="19"/>
          <w:color w:val="auto"/>
        </w:rPr>
        <w:t>You agree not to sell any option shares at a time when applicable laws, regulations or Sempra Energy policies prohibit a sale.</w:t>
      </w:r>
    </w:p>
    <w:p>
      <w:pPr>
        <w:spacing w:after="0" w:line="166" w:lineRule="exact"/>
        <w:rPr>
          <w:sz w:val="20"/>
          <w:szCs w:val="20"/>
          <w:color w:val="auto"/>
        </w:rPr>
      </w:pPr>
    </w:p>
    <w:p>
      <w:pPr>
        <w:ind w:right="1199"/>
        <w:spacing w:after="0" w:line="273" w:lineRule="auto"/>
        <w:rPr>
          <w:sz w:val="20"/>
          <w:szCs w:val="20"/>
          <w:color w:val="auto"/>
        </w:rPr>
      </w:pPr>
      <w:r>
        <w:rPr>
          <w:rFonts w:ascii="Arial" w:cs="Arial" w:eastAsia="Arial" w:hAnsi="Arial"/>
          <w:sz w:val="18"/>
          <w:szCs w:val="18"/>
          <w:color w:val="auto"/>
        </w:rPr>
        <w:t>Prior to your death, only you or the trustee of a revocable living trust established by you may exercise this option. You cannot otherwise transfer or assign this option. For example, you may not sell this option or use it as security for a loan. If you attempt to do any of these things, your option will immediately become invalid. You may, however, dispose of your option in your will, and your option may be transferred pursuant to a “qualified domestic relations order” as defined in the Internal Revenue Code of 1986, as amended, or Title I of the Employee Retirement Income Security Act of 1974, as amended.</w:t>
      </w:r>
    </w:p>
    <w:p>
      <w:pPr>
        <w:spacing w:after="0" w:line="183" w:lineRule="exact"/>
        <w:rPr>
          <w:sz w:val="20"/>
          <w:szCs w:val="20"/>
          <w:color w:val="auto"/>
        </w:rPr>
      </w:pPr>
    </w:p>
    <w:p>
      <w:pPr>
        <w:ind w:right="1239"/>
        <w:spacing w:after="0" w:line="278" w:lineRule="auto"/>
        <w:rPr>
          <w:sz w:val="20"/>
          <w:szCs w:val="20"/>
          <w:color w:val="auto"/>
        </w:rPr>
      </w:pPr>
      <w:r>
        <w:rPr>
          <w:rFonts w:ascii="Arial" w:cs="Arial" w:eastAsia="Arial" w:hAnsi="Arial"/>
          <w:sz w:val="18"/>
          <w:szCs w:val="18"/>
          <w:color w:val="auto"/>
        </w:rPr>
        <w:t>Neither your option nor this Agreement gives you the right to be retained by the Company in any capacity. The Company reserves the right to terminate your employment at any time, with or without cause. The value of the shares subject to your option will not be included as compensation or earnings for purposes of any other benefit plan offered by the Company or any of its subsidiaries.</w:t>
      </w:r>
    </w:p>
    <w:p>
      <w:pPr>
        <w:spacing w:after="0" w:line="179" w:lineRule="exact"/>
        <w:rPr>
          <w:sz w:val="20"/>
          <w:szCs w:val="20"/>
          <w:color w:val="auto"/>
        </w:rPr>
      </w:pPr>
    </w:p>
    <w:p>
      <w:pPr>
        <w:jc w:val="both"/>
        <w:ind w:right="1359"/>
        <w:spacing w:after="0" w:line="342" w:lineRule="auto"/>
        <w:rPr>
          <w:sz w:val="20"/>
          <w:szCs w:val="20"/>
          <w:color w:val="auto"/>
        </w:rPr>
      </w:pPr>
      <w:r>
        <w:rPr>
          <w:rFonts w:ascii="Arial" w:cs="Arial" w:eastAsia="Arial" w:hAnsi="Arial"/>
          <w:sz w:val="16"/>
          <w:szCs w:val="16"/>
          <w:color w:val="auto"/>
        </w:rPr>
        <w:t>You have no rights as a shareholder of Sempra Energy until your option shares have been issued. No adjustments are made for dividends or other rights if the applicable record date occurs before your option shares are issued.</w:t>
      </w:r>
    </w:p>
    <w:p>
      <w:pPr>
        <w:spacing w:after="0" w:line="132" w:lineRule="exact"/>
        <w:rPr>
          <w:sz w:val="20"/>
          <w:szCs w:val="20"/>
          <w:color w:val="auto"/>
        </w:rPr>
      </w:pPr>
    </w:p>
    <w:p>
      <w:pPr>
        <w:jc w:val="both"/>
        <w:ind w:right="1619"/>
        <w:spacing w:after="0" w:line="342" w:lineRule="auto"/>
        <w:rPr>
          <w:sz w:val="20"/>
          <w:szCs w:val="20"/>
          <w:color w:val="auto"/>
        </w:rPr>
      </w:pPr>
      <w:r>
        <w:rPr>
          <w:rFonts w:ascii="Arial" w:cs="Arial" w:eastAsia="Arial" w:hAnsi="Arial"/>
          <w:sz w:val="16"/>
          <w:szCs w:val="16"/>
          <w:color w:val="auto"/>
        </w:rPr>
        <w:t>In the event of a stock split, a stock dividend or a similar change in Sempra Energy common stock the number of shares covered by this option and the exercise price per share may be adjusted pursuant to the Plan.</w:t>
      </w:r>
    </w:p>
    <w:p>
      <w:pPr>
        <w:spacing w:after="0" w:line="132" w:lineRule="exact"/>
        <w:rPr>
          <w:sz w:val="20"/>
          <w:szCs w:val="20"/>
          <w:color w:val="auto"/>
        </w:rPr>
      </w:pPr>
    </w:p>
    <w:p>
      <w:pPr>
        <w:ind w:right="1659"/>
        <w:spacing w:after="0" w:line="244" w:lineRule="auto"/>
        <w:rPr>
          <w:sz w:val="20"/>
          <w:szCs w:val="20"/>
          <w:color w:val="auto"/>
        </w:rPr>
      </w:pPr>
      <w:r>
        <w:rPr>
          <w:rFonts w:ascii="Arial" w:cs="Arial" w:eastAsia="Arial" w:hAnsi="Arial"/>
          <w:sz w:val="20"/>
          <w:szCs w:val="20"/>
          <w:color w:val="auto"/>
        </w:rPr>
        <w:t>Subject to certain limitations set forth in the Plan, in the event of a Change in Control (as defined in the Plan) of Sempra Energy, your option will automatically become fully vested and exercisable as of the date of the Change in Control, and may, in the discretion of Sempra Energy’s compensation committee, be cashed-out.</w:t>
      </w:r>
    </w:p>
    <w:p>
      <w:pPr>
        <w:spacing w:after="0" w:line="208" w:lineRule="exact"/>
        <w:rPr>
          <w:sz w:val="20"/>
          <w:szCs w:val="20"/>
          <w:color w:val="auto"/>
        </w:rPr>
      </w:pPr>
    </w:p>
    <w:p>
      <w:pPr>
        <w:ind w:right="1319"/>
        <w:spacing w:after="0" w:line="260" w:lineRule="auto"/>
        <w:rPr>
          <w:sz w:val="20"/>
          <w:szCs w:val="20"/>
          <w:color w:val="auto"/>
        </w:rPr>
      </w:pPr>
      <w:r>
        <w:rPr>
          <w:rFonts w:ascii="Arial" w:cs="Arial" w:eastAsia="Arial" w:hAnsi="Arial"/>
          <w:sz w:val="20"/>
          <w:szCs w:val="20"/>
          <w:color w:val="auto"/>
        </w:rPr>
        <w:t>This option is not intended to be an incentive stock option under section 422 of the Internal Revenue Code.</w:t>
      </w:r>
    </w:p>
    <w:p>
      <w:pPr>
        <w:spacing w:after="0" w:line="217" w:lineRule="exact"/>
        <w:rPr>
          <w:sz w:val="20"/>
          <w:szCs w:val="20"/>
          <w:color w:val="auto"/>
        </w:rPr>
      </w:pPr>
    </w:p>
    <w:p>
      <w:pPr>
        <w:ind w:right="2019"/>
        <w:spacing w:after="0" w:line="260" w:lineRule="auto"/>
        <w:rPr>
          <w:sz w:val="20"/>
          <w:szCs w:val="20"/>
          <w:color w:val="auto"/>
        </w:rPr>
      </w:pPr>
      <w:r>
        <w:rPr>
          <w:rFonts w:ascii="Arial" w:cs="Arial" w:eastAsia="Arial" w:hAnsi="Arial"/>
          <w:sz w:val="20"/>
          <w:szCs w:val="20"/>
          <w:color w:val="auto"/>
        </w:rPr>
        <w:t>This Agreement will be interpreted and enforced under the laws of the State of California.</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The text of the Plan is incorporated in this Agreement by reference.</w:t>
      </w:r>
    </w:p>
    <w:p>
      <w:pPr>
        <w:spacing w:after="0" w:line="94" w:lineRule="exact"/>
        <w:rPr>
          <w:sz w:val="20"/>
          <w:szCs w:val="20"/>
          <w:color w:val="auto"/>
        </w:rPr>
      </w:pPr>
    </w:p>
    <w:p>
      <w:pPr>
        <w:jc w:val="both"/>
        <w:ind w:right="1139"/>
        <w:spacing w:after="0" w:line="291" w:lineRule="auto"/>
        <w:rPr>
          <w:sz w:val="20"/>
          <w:szCs w:val="20"/>
          <w:color w:val="auto"/>
        </w:rPr>
      </w:pPr>
      <w:r>
        <w:rPr>
          <w:rFonts w:ascii="Arial" w:cs="Arial" w:eastAsia="Arial" w:hAnsi="Arial"/>
          <w:sz w:val="18"/>
          <w:szCs w:val="18"/>
          <w:color w:val="auto"/>
        </w:rPr>
        <w:t>In the event of any conflict between the terms of this Agreement and any written employment, severance or other employment-related agreement between you and Sempra Energy, the terms of such other agreement shall prevail.</w:t>
      </w:r>
    </w:p>
    <w:p>
      <w:pPr>
        <w:sectPr>
          <w:pgSz w:w="11900" w:h="16838" w:orient="portrait"/>
          <w:cols w:equalWidth="0" w:num="2">
            <w:col w:w="1960" w:space="660"/>
            <w:col w:w="7579"/>
          </w:cols>
          <w:pgMar w:left="260" w:top="122" w:right="1440" w:bottom="123" w:gutter="0" w:footer="0" w:header="0"/>
        </w:sectPr>
      </w:pPr>
    </w:p>
    <w:bookmarkStart w:id="100" w:name="page101"/>
    <w:bookmarkEnd w:id="100"/>
    <w:p>
      <w:pPr>
        <w:ind w:left="1340" w:right="1319" w:firstLine="243"/>
        <w:spacing w:after="0" w:line="365" w:lineRule="auto"/>
        <w:rPr>
          <w:sz w:val="20"/>
          <w:szCs w:val="20"/>
          <w:color w:val="auto"/>
        </w:rPr>
      </w:pPr>
      <w:r>
        <w:rPr>
          <w:rFonts w:ascii="Arial" w:cs="Arial" w:eastAsia="Arial" w:hAnsi="Arial"/>
          <w:sz w:val="20"/>
          <w:szCs w:val="20"/>
          <w:b w:val="1"/>
          <w:bCs w:val="1"/>
          <w:i w:val="1"/>
          <w:iCs w:val="1"/>
          <w:color w:val="auto"/>
        </w:rPr>
        <w:t>By signing the cover sheet of this Agreement, you agree to all of the terms and conditions described above and in the Plan.</w:t>
      </w:r>
    </w:p>
    <w:p>
      <w:pPr>
        <w:sectPr>
          <w:pgSz w:w="11900" w:h="16838" w:orient="portrait"/>
          <w:cols w:equalWidth="0" w:num="1">
            <w:col w:w="9019"/>
          </w:cols>
          <w:pgMar w:left="1440" w:top="118" w:right="1440" w:bottom="1440" w:gutter="0" w:footer="0" w:header="0"/>
        </w:sectPr>
      </w:pPr>
    </w:p>
    <w:bookmarkStart w:id="101" w:name="page102"/>
    <w:bookmarkEnd w:id="101"/>
    <w:p>
      <w:pPr>
        <w:jc w:val="right"/>
        <w:spacing w:after="0"/>
        <w:rPr>
          <w:sz w:val="20"/>
          <w:szCs w:val="20"/>
          <w:color w:val="auto"/>
        </w:rPr>
      </w:pPr>
      <w:r>
        <w:rPr>
          <w:rFonts w:ascii="Arial" w:cs="Arial" w:eastAsia="Arial" w:hAnsi="Arial"/>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22"/>
          <w:szCs w:val="22"/>
          <w:b w:val="1"/>
          <w:bCs w:val="1"/>
          <w:color w:val="auto"/>
        </w:rPr>
        <w:t>INDEMNITY AGREEMENT</w:t>
      </w:r>
    </w:p>
    <w:p>
      <w:pPr>
        <w:spacing w:after="0" w:line="200" w:lineRule="exact"/>
        <w:rPr>
          <w:sz w:val="20"/>
          <w:szCs w:val="20"/>
          <w:color w:val="auto"/>
        </w:rPr>
      </w:pPr>
    </w:p>
    <w:p>
      <w:pPr>
        <w:spacing w:after="0" w:line="252" w:lineRule="exact"/>
        <w:rPr>
          <w:sz w:val="20"/>
          <w:szCs w:val="20"/>
          <w:color w:val="auto"/>
        </w:rPr>
      </w:pPr>
    </w:p>
    <w:p>
      <w:pPr>
        <w:ind w:right="20" w:firstLine="1297"/>
        <w:spacing w:after="0" w:line="251" w:lineRule="auto"/>
        <w:rPr>
          <w:sz w:val="20"/>
          <w:szCs w:val="20"/>
          <w:color w:val="auto"/>
        </w:rPr>
      </w:pPr>
      <w:r>
        <w:rPr>
          <w:rFonts w:ascii="Arial" w:cs="Arial" w:eastAsia="Arial" w:hAnsi="Arial"/>
          <w:sz w:val="21"/>
          <w:szCs w:val="21"/>
          <w:b w:val="1"/>
          <w:bCs w:val="1"/>
          <w:color w:val="auto"/>
        </w:rPr>
        <w:t>FIRST AMENDMENT TO INDEMNITY AGREEMENT</w:t>
      </w:r>
      <w:r>
        <w:rPr>
          <w:rFonts w:ascii="Arial" w:cs="Arial" w:eastAsia="Arial" w:hAnsi="Arial"/>
          <w:sz w:val="21"/>
          <w:szCs w:val="21"/>
          <w:color w:val="auto"/>
        </w:rPr>
        <w:t>, dated as of March 30, 2009 (“</w:t>
      </w:r>
      <w:r>
        <w:rPr>
          <w:rFonts w:ascii="Arial" w:cs="Arial" w:eastAsia="Arial" w:hAnsi="Arial"/>
          <w:sz w:val="21"/>
          <w:szCs w:val="21"/>
          <w:b w:val="1"/>
          <w:bCs w:val="1"/>
          <w:color w:val="auto"/>
        </w:rPr>
        <w:t>First Amendment</w:t>
      </w:r>
      <w:r>
        <w:rPr>
          <w:rFonts w:ascii="Arial" w:cs="Arial" w:eastAsia="Arial" w:hAnsi="Arial"/>
          <w:sz w:val="21"/>
          <w:szCs w:val="21"/>
          <w:color w:val="auto"/>
        </w:rPr>
        <w:t>”) by</w:t>
      </w:r>
      <w:r>
        <w:rPr>
          <w:rFonts w:ascii="Arial" w:cs="Arial" w:eastAsia="Arial" w:hAnsi="Arial"/>
          <w:sz w:val="21"/>
          <w:szCs w:val="21"/>
          <w:b w:val="1"/>
          <w:bCs w:val="1"/>
          <w:color w:val="auto"/>
        </w:rPr>
        <w:t xml:space="preserve"> </w:t>
      </w:r>
      <w:r>
        <w:rPr>
          <w:rFonts w:ascii="Arial" w:cs="Arial" w:eastAsia="Arial" w:hAnsi="Arial"/>
          <w:sz w:val="21"/>
          <w:szCs w:val="21"/>
          <w:color w:val="auto"/>
        </w:rPr>
        <w:t>and among Sempra Energy, a California corporation, Pacific Enterprises, a California corporation, Enova Corporation, a California corporation (collectively with Sempra Energy and Pacific Enterprises, the “</w:t>
      </w:r>
      <w:r>
        <w:rPr>
          <w:rFonts w:ascii="Arial" w:cs="Arial" w:eastAsia="Arial" w:hAnsi="Arial"/>
          <w:sz w:val="21"/>
          <w:szCs w:val="21"/>
          <w:b w:val="1"/>
          <w:bCs w:val="1"/>
          <w:color w:val="auto"/>
        </w:rPr>
        <w:t>Sempra Indemnitees</w:t>
      </w:r>
      <w:r>
        <w:rPr>
          <w:rFonts w:ascii="Arial" w:cs="Arial" w:eastAsia="Arial" w:hAnsi="Arial"/>
          <w:sz w:val="21"/>
          <w:szCs w:val="21"/>
          <w:color w:val="auto"/>
        </w:rPr>
        <w:t>”), and The Royal Bank of Scotland plc, a Scottish company limited by shares (the “</w:t>
      </w:r>
      <w:r>
        <w:rPr>
          <w:rFonts w:ascii="Arial" w:cs="Arial" w:eastAsia="Arial" w:hAnsi="Arial"/>
          <w:sz w:val="21"/>
          <w:szCs w:val="21"/>
          <w:b w:val="1"/>
          <w:bCs w:val="1"/>
          <w:color w:val="auto"/>
        </w:rPr>
        <w:t>Indemnitor</w:t>
      </w:r>
      <w:r>
        <w:rPr>
          <w:rFonts w:ascii="Arial" w:cs="Arial" w:eastAsia="Arial" w:hAnsi="Arial"/>
          <w:sz w:val="21"/>
          <w:szCs w:val="21"/>
          <w:color w:val="auto"/>
        </w:rPr>
        <w:t>”). Capitalized terms used herein without definition have the meanings provided in the Indemnity Agreement (as defined below).</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RECITALS</w:t>
      </w:r>
      <w:r>
        <w:rPr>
          <w:rFonts w:ascii="Arial" w:cs="Arial" w:eastAsia="Arial" w:hAnsi="Arial"/>
          <w:sz w:val="22"/>
          <w:szCs w:val="22"/>
          <w:color w:val="auto"/>
        </w:rPr>
        <w:t>:</w:t>
      </w:r>
    </w:p>
    <w:p>
      <w:pPr>
        <w:spacing w:after="0" w:line="212" w:lineRule="exact"/>
        <w:rPr>
          <w:sz w:val="20"/>
          <w:szCs w:val="20"/>
          <w:color w:val="auto"/>
        </w:rPr>
      </w:pPr>
    </w:p>
    <w:p>
      <w:pPr>
        <w:ind w:right="420" w:firstLine="1297"/>
        <w:spacing w:after="0" w:line="251" w:lineRule="auto"/>
        <w:rPr>
          <w:sz w:val="20"/>
          <w:szCs w:val="20"/>
          <w:color w:val="auto"/>
        </w:rPr>
      </w:pPr>
      <w:r>
        <w:rPr>
          <w:rFonts w:ascii="Arial" w:cs="Arial" w:eastAsia="Arial" w:hAnsi="Arial"/>
          <w:sz w:val="22"/>
          <w:szCs w:val="22"/>
          <w:color w:val="auto"/>
        </w:rPr>
        <w:t>WHEREAS, the Sempra Indemnitees and the Indemnitor have entered into an Indemnity Agreement dated as of April 1, 2008 (the “</w:t>
      </w:r>
      <w:r>
        <w:rPr>
          <w:rFonts w:ascii="Arial" w:cs="Arial" w:eastAsia="Arial" w:hAnsi="Arial"/>
          <w:sz w:val="22"/>
          <w:szCs w:val="22"/>
          <w:b w:val="1"/>
          <w:bCs w:val="1"/>
          <w:color w:val="auto"/>
        </w:rPr>
        <w:t>Indemnity Agreement</w:t>
      </w:r>
      <w:r>
        <w:rPr>
          <w:rFonts w:ascii="Arial" w:cs="Arial" w:eastAsia="Arial" w:hAnsi="Arial"/>
          <w:sz w:val="22"/>
          <w:szCs w:val="22"/>
          <w:color w:val="auto"/>
        </w:rPr>
        <w:t>”);</w:t>
      </w:r>
    </w:p>
    <w:p>
      <w:pPr>
        <w:spacing w:after="0" w:line="173" w:lineRule="exact"/>
        <w:rPr>
          <w:sz w:val="20"/>
          <w:szCs w:val="20"/>
          <w:color w:val="auto"/>
        </w:rPr>
      </w:pPr>
    </w:p>
    <w:p>
      <w:pPr>
        <w:ind w:right="100" w:firstLine="1297"/>
        <w:spacing w:after="0"/>
        <w:rPr>
          <w:sz w:val="20"/>
          <w:szCs w:val="20"/>
          <w:color w:val="auto"/>
        </w:rPr>
      </w:pPr>
      <w:r>
        <w:rPr>
          <w:rFonts w:ascii="Arial" w:cs="Arial" w:eastAsia="Arial" w:hAnsi="Arial"/>
          <w:sz w:val="22"/>
          <w:szCs w:val="22"/>
          <w:color w:val="auto"/>
        </w:rPr>
        <w:t>WHEREAS, pursuant to Section 7.12(b)(iii) of the Formation Agreement, the parties thereto have committed to use their commercially reasonable efforts to cause the novation (substituting the Indemnitor for the relevant Indemnified Party) or termination, to the greatest extent possible, of the outstanding Financial Assurances;</w:t>
      </w:r>
    </w:p>
    <w:p>
      <w:pPr>
        <w:spacing w:after="0" w:line="186" w:lineRule="exact"/>
        <w:rPr>
          <w:sz w:val="20"/>
          <w:szCs w:val="20"/>
          <w:color w:val="auto"/>
        </w:rPr>
      </w:pPr>
    </w:p>
    <w:p>
      <w:pPr>
        <w:jc w:val="both"/>
        <w:ind w:right="480" w:firstLine="1297"/>
        <w:spacing w:after="0"/>
        <w:rPr>
          <w:sz w:val="20"/>
          <w:szCs w:val="20"/>
          <w:color w:val="auto"/>
        </w:rPr>
      </w:pPr>
      <w:r>
        <w:rPr>
          <w:rFonts w:ascii="Arial" w:cs="Arial" w:eastAsia="Arial" w:hAnsi="Arial"/>
          <w:sz w:val="22"/>
          <w:szCs w:val="22"/>
          <w:color w:val="auto"/>
        </w:rPr>
        <w:t>WHEREAS, as a result of certain delays in the novation process, the parties acknowledge that certain Financial Assurances, including certain of the Post-Closing Financial Assurances, continue to be outstanding as of the date of this First Amendment; and</w:t>
      </w:r>
    </w:p>
    <w:p>
      <w:pPr>
        <w:spacing w:after="0" w:line="186" w:lineRule="exact"/>
        <w:rPr>
          <w:sz w:val="20"/>
          <w:szCs w:val="20"/>
          <w:color w:val="auto"/>
        </w:rPr>
      </w:pPr>
    </w:p>
    <w:p>
      <w:pPr>
        <w:ind w:right="180" w:firstLine="1297"/>
        <w:spacing w:after="0" w:line="251" w:lineRule="auto"/>
        <w:rPr>
          <w:sz w:val="20"/>
          <w:szCs w:val="20"/>
          <w:color w:val="auto"/>
        </w:rPr>
      </w:pPr>
      <w:r>
        <w:rPr>
          <w:rFonts w:ascii="Arial" w:cs="Arial" w:eastAsia="Arial" w:hAnsi="Arial"/>
          <w:sz w:val="22"/>
          <w:szCs w:val="22"/>
          <w:color w:val="auto"/>
        </w:rPr>
        <w:t>WHEREAS, the Indemnitor has requested, and the Sempra Indemnitees have agreed, subject to the terms hereof to extend the Novation Deadline set forth in section 2.03 of the Indemnity Agreement;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NOW THEREFORE, the parties hereby agree as follows:</w:t>
      </w:r>
    </w:p>
    <w:p>
      <w:pPr>
        <w:spacing w:after="0" w:line="206" w:lineRule="exact"/>
        <w:rPr>
          <w:sz w:val="20"/>
          <w:szCs w:val="20"/>
          <w:color w:val="auto"/>
        </w:rPr>
      </w:pPr>
    </w:p>
    <w:p>
      <w:pPr>
        <w:ind w:firstLine="1305"/>
        <w:spacing w:after="0" w:line="238" w:lineRule="auto"/>
        <w:tabs>
          <w:tab w:leader="none" w:pos="1563"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first sentence of Section 2.03 of the Indemnity Agreement shall be amended by deleting the following words: “Until the later of (a) one year following the Closing Date and (b) 18 months following the date of the Formation Agreement (such date, the “</w:t>
      </w:r>
      <w:r>
        <w:rPr>
          <w:rFonts w:ascii="Arial" w:cs="Arial" w:eastAsia="Arial" w:hAnsi="Arial"/>
          <w:sz w:val="22"/>
          <w:szCs w:val="22"/>
          <w:b w:val="1"/>
          <w:bCs w:val="1"/>
          <w:color w:val="auto"/>
        </w:rPr>
        <w:t>Novation Deadline</w:t>
      </w:r>
      <w:r>
        <w:rPr>
          <w:rFonts w:ascii="Arial" w:cs="Arial" w:eastAsia="Arial" w:hAnsi="Arial"/>
          <w:sz w:val="22"/>
          <w:szCs w:val="22"/>
          <w:color w:val="auto"/>
        </w:rPr>
        <w:t>”)” and replacing them with the following: “Until June 30, 2009 (such date, the “</w:t>
      </w:r>
      <w:r>
        <w:rPr>
          <w:rFonts w:ascii="Arial" w:cs="Arial" w:eastAsia="Arial" w:hAnsi="Arial"/>
          <w:sz w:val="22"/>
          <w:szCs w:val="22"/>
          <w:b w:val="1"/>
          <w:bCs w:val="1"/>
          <w:color w:val="auto"/>
        </w:rPr>
        <w:t>Novation</w:t>
      </w:r>
      <w:r>
        <w:rPr>
          <w:rFonts w:ascii="Arial" w:cs="Arial" w:eastAsia="Arial" w:hAnsi="Arial"/>
          <w:sz w:val="22"/>
          <w:szCs w:val="22"/>
          <w:color w:val="auto"/>
        </w:rPr>
        <w:t xml:space="preserve"> </w:t>
      </w:r>
      <w:r>
        <w:rPr>
          <w:rFonts w:ascii="Arial" w:cs="Arial" w:eastAsia="Arial" w:hAnsi="Arial"/>
          <w:sz w:val="22"/>
          <w:szCs w:val="22"/>
          <w:b w:val="1"/>
          <w:bCs w:val="1"/>
          <w:color w:val="auto"/>
        </w:rPr>
        <w:t>Deadline</w:t>
      </w:r>
      <w:r>
        <w:rPr>
          <w:rFonts w:ascii="Arial" w:cs="Arial" w:eastAsia="Arial" w:hAnsi="Arial"/>
          <w:sz w:val="22"/>
          <w:szCs w:val="22"/>
          <w:color w:val="auto"/>
        </w:rPr>
        <w:t>”)” .</w:t>
      </w:r>
    </w:p>
    <w:p>
      <w:pPr>
        <w:spacing w:after="0" w:line="185" w:lineRule="exact"/>
        <w:rPr>
          <w:rFonts w:ascii="Arial" w:cs="Arial" w:eastAsia="Arial" w:hAnsi="Arial"/>
          <w:sz w:val="22"/>
          <w:szCs w:val="22"/>
          <w:color w:val="auto"/>
        </w:rPr>
      </w:pPr>
    </w:p>
    <w:p>
      <w:pPr>
        <w:ind w:right="40" w:firstLine="1305"/>
        <w:spacing w:after="0" w:line="273" w:lineRule="auto"/>
        <w:tabs>
          <w:tab w:leader="none" w:pos="1567" w:val="left"/>
        </w:tabs>
        <w:numPr>
          <w:ilvl w:val="0"/>
          <w:numId w:val="104"/>
        </w:numPr>
        <w:rPr>
          <w:rFonts w:ascii="Arial" w:cs="Arial" w:eastAsia="Arial" w:hAnsi="Arial"/>
          <w:sz w:val="19"/>
          <w:szCs w:val="19"/>
          <w:color w:val="auto"/>
        </w:rPr>
      </w:pPr>
      <w:r>
        <w:rPr>
          <w:rFonts w:ascii="Arial" w:cs="Arial" w:eastAsia="Arial" w:hAnsi="Arial"/>
          <w:sz w:val="19"/>
          <w:szCs w:val="19"/>
          <w:color w:val="auto"/>
        </w:rPr>
        <w:t>Except as expressly modified herein, the terms and provisions of the Indemnity Agreement shall remain in full force and effect and be enforceable against the parties thereto. Nothing expressed or referred to in this First Amendment will be construed to give any person other than the Sempra Indemnitees and the Indemnitor any legal or equitable right, remedy or claim under or with respect to this First Amendment except such rights as shall inure to a successor or permitted assignee pursuant to the Indemnity Agreement. The Sempra Indemnitees reserve all of their respective rights under the Financial Assurances and do not, by executing and delivering this First Amendment, waive, impair or limit any of their respective rights or remedies, or the rights or remedies of any other Indemnified Parties, under the Financial Assurances. This First Amendment may be executed in any number of counterp arts, each of which, when so executed, shall be deemed to be an original and all of which, taken together, shall constitute one and the same agreement. Delivery of an executed counterpart of a signature page to this First Amendment by fax or email shall be as effective as delivery of an original executed counterpart of this First Amendment. This First Amendment shall be governed by, and construed in accordance with, the laws of the State of New York.</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[remainder of page intentionally left blank]</w:t>
      </w:r>
    </w:p>
    <w:p>
      <w:pPr>
        <w:sectPr>
          <w:pgSz w:w="11900" w:h="16838" w:orient="portrait"/>
          <w:cols w:equalWidth="0" w:num="1">
            <w:col w:w="11420"/>
          </w:cols>
          <w:pgMar w:left="240" w:top="112" w:right="239" w:bottom="1440" w:gutter="0" w:footer="0" w:header="0"/>
        </w:sectPr>
      </w:pPr>
    </w:p>
    <w:bookmarkStart w:id="102" w:name="page103"/>
    <w:bookmarkEnd w:id="102"/>
    <w:p>
      <w:pPr>
        <w:ind w:firstLine="648"/>
        <w:spacing w:after="0" w:line="251" w:lineRule="auto"/>
        <w:rPr>
          <w:sz w:val="20"/>
          <w:szCs w:val="20"/>
          <w:color w:val="auto"/>
        </w:rPr>
      </w:pPr>
      <w:r>
        <w:rPr>
          <w:rFonts w:ascii="Arial" w:cs="Arial" w:eastAsia="Arial" w:hAnsi="Arial"/>
          <w:sz w:val="22"/>
          <w:szCs w:val="22"/>
          <w:color w:val="auto"/>
        </w:rPr>
        <w:t>IN WITNESS WHEREOF, the parties have caused this First Amendment to be executed as of the day and year first above written.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SEMPRA ENERGY</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w:t>
      </w:r>
    </w:p>
    <w:p>
      <w:pPr>
        <w:ind w:left="440"/>
        <w:spacing w:after="0" w:line="238" w:lineRule="auto"/>
        <w:rPr>
          <w:sz w:val="20"/>
          <w:szCs w:val="20"/>
          <w:color w:val="auto"/>
        </w:rPr>
      </w:pPr>
      <w:r>
        <w:rPr>
          <w:rFonts w:ascii="Arial" w:cs="Arial" w:eastAsia="Arial" w:hAnsi="Arial"/>
          <w:sz w:val="22"/>
          <w:szCs w:val="22"/>
          <w:color w:val="auto"/>
        </w:rPr>
        <w:t>Joseph A. Householder</w:t>
      </w:r>
    </w:p>
    <w:p>
      <w:pPr>
        <w:ind w:left="440"/>
        <w:spacing w:after="0"/>
        <w:rPr>
          <w:sz w:val="20"/>
          <w:szCs w:val="20"/>
          <w:color w:val="auto"/>
        </w:rPr>
      </w:pPr>
      <w:r>
        <w:rPr>
          <w:rFonts w:ascii="Arial" w:cs="Arial" w:eastAsia="Arial" w:hAnsi="Arial"/>
          <w:sz w:val="22"/>
          <w:szCs w:val="22"/>
          <w:color w:val="auto"/>
        </w:rPr>
        <w:t>Senior Vice President, Chief Accounting Officer and Controller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PACIFIC ENTERPRISES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w:t>
      </w:r>
    </w:p>
    <w:p>
      <w:pPr>
        <w:ind w:left="380"/>
        <w:spacing w:after="0" w:line="238" w:lineRule="auto"/>
        <w:rPr>
          <w:sz w:val="20"/>
          <w:szCs w:val="20"/>
          <w:color w:val="auto"/>
        </w:rPr>
      </w:pPr>
      <w:r>
        <w:rPr>
          <w:rFonts w:ascii="Arial" w:cs="Arial" w:eastAsia="Arial" w:hAnsi="Arial"/>
          <w:sz w:val="22"/>
          <w:szCs w:val="22"/>
          <w:color w:val="auto"/>
        </w:rPr>
        <w:t>Randall Clark</w:t>
      </w:r>
    </w:p>
    <w:p>
      <w:pPr>
        <w:ind w:left="380"/>
        <w:spacing w:after="0"/>
        <w:rPr>
          <w:sz w:val="20"/>
          <w:szCs w:val="20"/>
          <w:color w:val="auto"/>
        </w:rPr>
      </w:pPr>
      <w:r>
        <w:rPr>
          <w:rFonts w:ascii="Arial" w:cs="Arial" w:eastAsia="Arial" w:hAnsi="Arial"/>
          <w:sz w:val="22"/>
          <w:szCs w:val="22"/>
          <w:color w:val="auto"/>
        </w:rPr>
        <w:t>Assistant Secretary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ENOVA CORPORATION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w:t>
      </w:r>
    </w:p>
    <w:p>
      <w:pPr>
        <w:ind w:left="380"/>
        <w:spacing w:after="0" w:line="238" w:lineRule="auto"/>
        <w:rPr>
          <w:sz w:val="20"/>
          <w:szCs w:val="20"/>
          <w:color w:val="auto"/>
        </w:rPr>
      </w:pPr>
      <w:r>
        <w:rPr>
          <w:rFonts w:ascii="Arial" w:cs="Arial" w:eastAsia="Arial" w:hAnsi="Arial"/>
          <w:sz w:val="22"/>
          <w:szCs w:val="22"/>
          <w:color w:val="auto"/>
        </w:rPr>
        <w:t>Randall Clark</w:t>
      </w:r>
    </w:p>
    <w:p>
      <w:pPr>
        <w:ind w:left="380"/>
        <w:spacing w:after="0"/>
        <w:rPr>
          <w:sz w:val="20"/>
          <w:szCs w:val="20"/>
          <w:color w:val="auto"/>
        </w:rPr>
      </w:pPr>
      <w:r>
        <w:rPr>
          <w:rFonts w:ascii="Arial" w:cs="Arial" w:eastAsia="Arial" w:hAnsi="Arial"/>
          <w:sz w:val="22"/>
          <w:szCs w:val="22"/>
          <w:color w:val="auto"/>
        </w:rPr>
        <w:t>Assistant Secretary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THE ROYAL BANK OF SCOTLAND PLC</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w:t>
      </w:r>
    </w:p>
    <w:p>
      <w:pPr>
        <w:spacing w:after="0" w:line="238" w:lineRule="auto"/>
        <w:rPr>
          <w:sz w:val="20"/>
          <w:szCs w:val="20"/>
          <w:color w:val="auto"/>
        </w:rPr>
      </w:pPr>
      <w:r>
        <w:rPr>
          <w:rFonts w:ascii="Arial" w:cs="Arial" w:eastAsia="Arial" w:hAnsi="Arial"/>
          <w:sz w:val="22"/>
          <w:szCs w:val="22"/>
          <w:color w:val="auto"/>
        </w:rPr>
        <w:t>Name:</w:t>
      </w:r>
    </w:p>
    <w:p>
      <w:pPr>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1220"/>
          </w:cols>
          <w:pgMar w:left="240" w:top="1063" w:right="439" w:bottom="1440" w:gutter="0" w:footer="0" w:header="0"/>
        </w:sectPr>
      </w:pPr>
    </w:p>
    <w:bookmarkStart w:id="103" w:name="page104"/>
    <w:bookmarkEnd w:id="103"/>
    <w:p>
      <w:pPr>
        <w:jc w:val="right"/>
        <w:spacing w:after="0"/>
        <w:rPr>
          <w:sz w:val="20"/>
          <w:szCs w:val="20"/>
          <w:color w:val="auto"/>
        </w:rPr>
      </w:pPr>
      <w:r>
        <w:rPr>
          <w:rFonts w:ascii="Arial" w:cs="Arial" w:eastAsia="Arial" w:hAnsi="Arial"/>
          <w:sz w:val="22"/>
          <w:szCs w:val="22"/>
          <w:b w:val="1"/>
          <w:bCs w:val="1"/>
          <w:color w:val="auto"/>
        </w:rPr>
        <w:t>Exhibit 10.4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w:t>
      </w:r>
    </w:p>
    <w:p>
      <w:pPr>
        <w:jc w:val="center"/>
        <w:spacing w:after="0" w:line="230" w:lineRule="auto"/>
        <w:rPr>
          <w:sz w:val="20"/>
          <w:szCs w:val="20"/>
          <w:color w:val="auto"/>
        </w:rPr>
      </w:pPr>
      <w:r>
        <w:rPr>
          <w:rFonts w:ascii="Arial" w:cs="Arial" w:eastAsia="Arial" w:hAnsi="Arial"/>
          <w:sz w:val="22"/>
          <w:szCs w:val="22"/>
          <w:b w:val="1"/>
          <w:bCs w:val="1"/>
          <w:color w:val="auto"/>
        </w:rPr>
        <w:t>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LIMITED LIABILITY PARTNERSHIP AGREEMENT</w:t>
      </w:r>
    </w:p>
    <w:p>
      <w:pPr>
        <w:spacing w:after="0" w:line="200" w:lineRule="exact"/>
        <w:rPr>
          <w:sz w:val="20"/>
          <w:szCs w:val="20"/>
          <w:color w:val="auto"/>
        </w:rPr>
      </w:pPr>
    </w:p>
    <w:p>
      <w:pPr>
        <w:spacing w:after="0" w:line="252" w:lineRule="exact"/>
        <w:rPr>
          <w:sz w:val="20"/>
          <w:szCs w:val="20"/>
          <w:color w:val="auto"/>
        </w:rPr>
      </w:pPr>
    </w:p>
    <w:p>
      <w:pPr>
        <w:ind w:right="40" w:firstLine="648"/>
        <w:spacing w:after="0" w:line="235" w:lineRule="auto"/>
        <w:rPr>
          <w:sz w:val="20"/>
          <w:szCs w:val="20"/>
          <w:color w:val="auto"/>
        </w:rPr>
      </w:pPr>
      <w:r>
        <w:rPr>
          <w:rFonts w:ascii="Arial" w:cs="Arial" w:eastAsia="Arial" w:hAnsi="Arial"/>
          <w:sz w:val="22"/>
          <w:szCs w:val="22"/>
          <w:b w:val="1"/>
          <w:bCs w:val="1"/>
          <w:color w:val="auto"/>
        </w:rPr>
        <w:t>FIRST AMENDMENT TO LIMITED LIABILITY PARTNERSHIP AGREEMENT</w:t>
      </w:r>
      <w:r>
        <w:rPr>
          <w:rFonts w:ascii="Arial" w:cs="Arial" w:eastAsia="Arial" w:hAnsi="Arial"/>
          <w:sz w:val="22"/>
          <w:szCs w:val="22"/>
          <w:color w:val="auto"/>
        </w:rPr>
        <w:t>, dated 6 April, 2009, effective as</w:t>
      </w:r>
      <w:r>
        <w:rPr>
          <w:rFonts w:ascii="Arial" w:cs="Arial" w:eastAsia="Arial" w:hAnsi="Arial"/>
          <w:sz w:val="22"/>
          <w:szCs w:val="22"/>
          <w:b w:val="1"/>
          <w:bCs w:val="1"/>
          <w:color w:val="auto"/>
        </w:rPr>
        <w:t xml:space="preserve"> </w:t>
      </w:r>
      <w:r>
        <w:rPr>
          <w:rFonts w:ascii="Arial" w:cs="Arial" w:eastAsia="Arial" w:hAnsi="Arial"/>
          <w:sz w:val="22"/>
          <w:szCs w:val="22"/>
          <w:color w:val="auto"/>
        </w:rPr>
        <w:t>of 14 November, 2008 (“</w:t>
      </w:r>
      <w:r>
        <w:rPr>
          <w:rFonts w:ascii="Arial" w:cs="Arial" w:eastAsia="Arial" w:hAnsi="Arial"/>
          <w:sz w:val="22"/>
          <w:szCs w:val="22"/>
          <w:u w:val="single" w:color="auto"/>
          <w:color w:val="auto"/>
        </w:rPr>
        <w:t>First Amendment</w:t>
      </w:r>
      <w:r>
        <w:rPr>
          <w:rFonts w:ascii="Arial" w:cs="Arial" w:eastAsia="Arial" w:hAnsi="Arial"/>
          <w:sz w:val="22"/>
          <w:szCs w:val="22"/>
          <w:color w:val="auto"/>
        </w:rPr>
        <w:t>”), by and among The Royal Bank of Scotland plc, a public limited company incorporated in Scotland (“</w:t>
      </w:r>
      <w:r>
        <w:rPr>
          <w:rFonts w:ascii="Arial" w:cs="Arial" w:eastAsia="Arial" w:hAnsi="Arial"/>
          <w:sz w:val="22"/>
          <w:szCs w:val="22"/>
          <w:u w:val="single" w:color="auto"/>
          <w:color w:val="auto"/>
        </w:rPr>
        <w:t>RBS</w:t>
      </w:r>
      <w:r>
        <w:rPr>
          <w:rFonts w:ascii="Arial" w:cs="Arial" w:eastAsia="Arial" w:hAnsi="Arial"/>
          <w:sz w:val="22"/>
          <w:szCs w:val="22"/>
          <w:color w:val="auto"/>
        </w:rPr>
        <w:t>”), Sempra Commodities, Inc, a Delaware corporation (“</w:t>
      </w:r>
      <w:r>
        <w:rPr>
          <w:rFonts w:ascii="Arial" w:cs="Arial" w:eastAsia="Arial" w:hAnsi="Arial"/>
          <w:sz w:val="22"/>
          <w:szCs w:val="22"/>
          <w:u w:val="single" w:color="auto"/>
          <w:color w:val="auto"/>
        </w:rPr>
        <w:t>SC</w:t>
      </w:r>
      <w:r>
        <w:rPr>
          <w:rFonts w:ascii="Arial" w:cs="Arial" w:eastAsia="Arial" w:hAnsi="Arial"/>
          <w:sz w:val="22"/>
          <w:szCs w:val="22"/>
          <w:color w:val="auto"/>
        </w:rPr>
        <w:t>”), Sempra Energy Holdings VII B.V., a company formed under the laws of the Netherlands (“</w:t>
      </w:r>
      <w:r>
        <w:rPr>
          <w:rFonts w:ascii="Arial" w:cs="Arial" w:eastAsia="Arial" w:hAnsi="Arial"/>
          <w:sz w:val="22"/>
          <w:szCs w:val="22"/>
          <w:u w:val="single" w:color="auto"/>
          <w:color w:val="auto"/>
        </w:rPr>
        <w:t>SEH VII</w:t>
      </w:r>
      <w:r>
        <w:rPr>
          <w:rFonts w:ascii="Arial" w:cs="Arial" w:eastAsia="Arial" w:hAnsi="Arial"/>
          <w:sz w:val="22"/>
          <w:szCs w:val="22"/>
          <w:color w:val="auto"/>
        </w:rPr>
        <w:t xml:space="preserve"> ”), Sempra Energy, a California corporation (“</w:t>
      </w:r>
      <w:r>
        <w:rPr>
          <w:rFonts w:ascii="Arial" w:cs="Arial" w:eastAsia="Arial" w:hAnsi="Arial"/>
          <w:sz w:val="22"/>
          <w:szCs w:val="22"/>
          <w:u w:val="single" w:color="auto"/>
          <w:color w:val="auto"/>
        </w:rPr>
        <w:t>Sempra Energy</w:t>
      </w:r>
      <w:r>
        <w:rPr>
          <w:rFonts w:ascii="Arial" w:cs="Arial" w:eastAsia="Arial" w:hAnsi="Arial"/>
          <w:sz w:val="22"/>
          <w:szCs w:val="22"/>
          <w:color w:val="auto"/>
        </w:rPr>
        <w:t>”) and RBS Sempra Commodities LLP, a limited liability partnership formed under the United Kingdom Limited Liability Partnership Act 2000 (the “</w:t>
      </w:r>
      <w:r>
        <w:rPr>
          <w:rFonts w:ascii="Arial" w:cs="Arial" w:eastAsia="Arial" w:hAnsi="Arial"/>
          <w:sz w:val="22"/>
          <w:szCs w:val="22"/>
          <w:u w:val="single" w:color="auto"/>
          <w:color w:val="auto"/>
        </w:rPr>
        <w:t>Partnership</w:t>
      </w:r>
      <w:r>
        <w:rPr>
          <w:rFonts w:ascii="Arial" w:cs="Arial" w:eastAsia="Arial" w:hAnsi="Arial"/>
          <w:sz w:val="22"/>
          <w:szCs w:val="22"/>
          <w:color w:val="auto"/>
        </w:rPr>
        <w:t>”). RBS, SC, SEH VII, Sempra Energy and the Partnership may be referred to individually as a “</w:t>
      </w:r>
      <w:r>
        <w:rPr>
          <w:rFonts w:ascii="Arial" w:cs="Arial" w:eastAsia="Arial" w:hAnsi="Arial"/>
          <w:sz w:val="22"/>
          <w:szCs w:val="22"/>
          <w:u w:val="single" w:color="auto"/>
          <w:color w:val="auto"/>
        </w:rPr>
        <w:t>Party</w:t>
      </w:r>
      <w:r>
        <w:rPr>
          <w:rFonts w:ascii="Arial" w:cs="Arial" w:eastAsia="Arial" w:hAnsi="Arial"/>
          <w:sz w:val="22"/>
          <w:szCs w:val="22"/>
          <w:color w:val="auto"/>
        </w:rPr>
        <w:t>” and collectively as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33" w:lineRule="exact"/>
        <w:rPr>
          <w:sz w:val="20"/>
          <w:szCs w:val="20"/>
          <w:color w:val="auto"/>
        </w:rPr>
      </w:pPr>
    </w:p>
    <w:p>
      <w:pPr>
        <w:ind w:right="60" w:firstLine="648"/>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have entered into a Limited Liability Partnership Agreement, dated 1 April 2008, (the “</w:t>
      </w:r>
      <w:r>
        <w:rPr>
          <w:rFonts w:ascii="Arial" w:cs="Arial" w:eastAsia="Arial" w:hAnsi="Arial"/>
          <w:sz w:val="22"/>
          <w:szCs w:val="22"/>
          <w:u w:val="single" w:color="auto"/>
          <w:color w:val="auto"/>
        </w:rPr>
        <w:t>Partnership</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providing, among other things, for the governance of the Partnership and the mutual rights and duties of its Members; and</w:t>
      </w:r>
    </w:p>
    <w:p>
      <w:pPr>
        <w:spacing w:after="0" w:line="204" w:lineRule="exact"/>
        <w:rPr>
          <w:sz w:val="20"/>
          <w:szCs w:val="20"/>
          <w:color w:val="auto"/>
        </w:rPr>
      </w:pPr>
    </w:p>
    <w:p>
      <w:pPr>
        <w:ind w:right="820" w:firstLine="648"/>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each of the Parties desires to amend and supplement the Partnership Agreement in certain respects as</w:t>
      </w:r>
      <w:r>
        <w:rPr>
          <w:rFonts w:ascii="Arial" w:cs="Arial" w:eastAsia="Arial" w:hAnsi="Arial"/>
          <w:sz w:val="22"/>
          <w:szCs w:val="22"/>
          <w:b w:val="1"/>
          <w:bCs w:val="1"/>
          <w:color w:val="auto"/>
        </w:rPr>
        <w:t xml:space="preserve"> </w:t>
      </w:r>
      <w:r>
        <w:rPr>
          <w:rFonts w:ascii="Arial" w:cs="Arial" w:eastAsia="Arial" w:hAnsi="Arial"/>
          <w:sz w:val="22"/>
          <w:szCs w:val="22"/>
          <w:color w:val="auto"/>
        </w:rPr>
        <w:t>described in this First Amendment.</w:t>
      </w:r>
    </w:p>
    <w:p>
      <w:pPr>
        <w:spacing w:after="0" w:line="190" w:lineRule="exact"/>
        <w:rPr>
          <w:sz w:val="20"/>
          <w:szCs w:val="20"/>
          <w:color w:val="auto"/>
        </w:rPr>
      </w:pPr>
    </w:p>
    <w:p>
      <w:pPr>
        <w:ind w:right="1140" w:firstLine="648"/>
        <w:spacing w:after="0" w:line="280" w:lineRule="auto"/>
        <w:rPr>
          <w:sz w:val="20"/>
          <w:szCs w:val="20"/>
          <w:color w:val="auto"/>
        </w:rPr>
      </w:pPr>
      <w:r>
        <w:rPr>
          <w:rFonts w:ascii="Arial" w:cs="Arial" w:eastAsia="Arial" w:hAnsi="Arial"/>
          <w:sz w:val="21"/>
          <w:szCs w:val="21"/>
          <w:b w:val="1"/>
          <w:bCs w:val="1"/>
          <w:color w:val="auto"/>
        </w:rPr>
        <w:t xml:space="preserve">NOW, THEREFORE, </w:t>
      </w:r>
      <w:r>
        <w:rPr>
          <w:rFonts w:ascii="Arial" w:cs="Arial" w:eastAsia="Arial" w:hAnsi="Arial"/>
          <w:sz w:val="21"/>
          <w:szCs w:val="21"/>
          <w:color w:val="auto"/>
        </w:rPr>
        <w:t>in consideration of the premises and mutual agreements hereinafter set out and of other</w:t>
      </w:r>
      <w:r>
        <w:rPr>
          <w:rFonts w:ascii="Arial" w:cs="Arial" w:eastAsia="Arial" w:hAnsi="Arial"/>
          <w:sz w:val="21"/>
          <w:szCs w:val="21"/>
          <w:b w:val="1"/>
          <w:bCs w:val="1"/>
          <w:color w:val="auto"/>
        </w:rPr>
        <w:t xml:space="preserve"> </w:t>
      </w:r>
      <w:r>
        <w:rPr>
          <w:rFonts w:ascii="Arial" w:cs="Arial" w:eastAsia="Arial" w:hAnsi="Arial"/>
          <w:sz w:val="21"/>
          <w:szCs w:val="21"/>
          <w:color w:val="auto"/>
        </w:rPr>
        <w:t>consideration (the receipt and sufficiency of which are acknowledged), the Parties agree as follows:</w:t>
      </w:r>
    </w:p>
    <w:p>
      <w:pPr>
        <w:spacing w:after="0" w:line="158" w:lineRule="exact"/>
        <w:rPr>
          <w:sz w:val="20"/>
          <w:szCs w:val="20"/>
          <w:color w:val="auto"/>
        </w:rPr>
      </w:pPr>
    </w:p>
    <w:p>
      <w:pPr>
        <w:ind w:right="680" w:firstLine="656"/>
        <w:spacing w:after="0" w:line="251" w:lineRule="auto"/>
        <w:tabs>
          <w:tab w:leader="none" w:pos="1297"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Amendment of Schedule 3</w:t>
      </w:r>
      <w:r>
        <w:rPr>
          <w:rFonts w:ascii="Arial" w:cs="Arial" w:eastAsia="Arial" w:hAnsi="Arial"/>
          <w:sz w:val="22"/>
          <w:szCs w:val="22"/>
          <w:color w:val="auto"/>
        </w:rPr>
        <w:t>. Schedule 3 of the Partnership Agreement is hereby amended, supplemented and restated in its entirety to read as set forth on Exhibit A hereto.</w:t>
      </w:r>
    </w:p>
    <w:p>
      <w:pPr>
        <w:spacing w:after="0" w:line="200" w:lineRule="exact"/>
        <w:rPr>
          <w:rFonts w:ascii="Arial" w:cs="Arial" w:eastAsia="Arial" w:hAnsi="Arial"/>
          <w:sz w:val="22"/>
          <w:szCs w:val="22"/>
          <w:color w:val="auto"/>
        </w:rPr>
      </w:pPr>
    </w:p>
    <w:p>
      <w:pPr>
        <w:ind w:right="100" w:firstLine="656"/>
        <w:spacing w:after="0" w:line="251" w:lineRule="auto"/>
        <w:tabs>
          <w:tab w:leader="none" w:pos="1297"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Amendment of Clause 12.2.1</w:t>
      </w:r>
      <w:r>
        <w:rPr>
          <w:rFonts w:ascii="Arial" w:cs="Arial" w:eastAsia="Arial" w:hAnsi="Arial"/>
          <w:sz w:val="22"/>
          <w:szCs w:val="22"/>
          <w:color w:val="auto"/>
        </w:rPr>
        <w:t>. Clause 12.2.1 of the Partnership Agreement is hereby amended by the addition of the following sentence at the end of Clause 12.2.1:</w:t>
      </w:r>
    </w:p>
    <w:p>
      <w:pPr>
        <w:spacing w:after="0" w:line="200" w:lineRule="exact"/>
        <w:rPr>
          <w:sz w:val="20"/>
          <w:szCs w:val="20"/>
          <w:color w:val="auto"/>
        </w:rPr>
      </w:pPr>
    </w:p>
    <w:p>
      <w:pPr>
        <w:ind w:right="280"/>
        <w:spacing w:after="0" w:line="328" w:lineRule="auto"/>
        <w:rPr>
          <w:sz w:val="20"/>
          <w:szCs w:val="20"/>
          <w:color w:val="auto"/>
        </w:rPr>
      </w:pPr>
      <w:r>
        <w:rPr>
          <w:rFonts w:ascii="Arial" w:cs="Arial" w:eastAsia="Arial" w:hAnsi="Arial"/>
          <w:sz w:val="19"/>
          <w:szCs w:val="19"/>
          <w:color w:val="auto"/>
        </w:rPr>
        <w:t xml:space="preserve">"The provisions of Clause 12.1.7 relating to resolutions in writing and participation in meetings by means of any communication equipment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to any committees of the Board established pursuant to this Clause 12.2.1."</w:t>
      </w:r>
    </w:p>
    <w:p>
      <w:pPr>
        <w:spacing w:after="0" w:line="119" w:lineRule="exact"/>
        <w:rPr>
          <w:sz w:val="20"/>
          <w:szCs w:val="20"/>
          <w:color w:val="auto"/>
        </w:rPr>
      </w:pPr>
    </w:p>
    <w:p>
      <w:pPr>
        <w:ind w:left="1300" w:hanging="644"/>
        <w:spacing w:after="0"/>
        <w:tabs>
          <w:tab w:leader="none" w:pos="1300"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620" w:right="240" w:hanging="315"/>
        <w:spacing w:after="0" w:line="247" w:lineRule="auto"/>
        <w:tabs>
          <w:tab w:leader="none" w:pos="1620" w:val="left"/>
        </w:tabs>
        <w:numPr>
          <w:ilvl w:val="1"/>
          <w:numId w:val="106"/>
        </w:numPr>
        <w:rPr>
          <w:rFonts w:ascii="Arial" w:cs="Arial" w:eastAsia="Arial" w:hAnsi="Arial"/>
          <w:sz w:val="21"/>
          <w:szCs w:val="21"/>
          <w:color w:val="auto"/>
        </w:rPr>
      </w:pPr>
      <w:r>
        <w:rPr>
          <w:rFonts w:ascii="Arial" w:cs="Arial" w:eastAsia="Arial" w:hAnsi="Arial"/>
          <w:sz w:val="21"/>
          <w:szCs w:val="21"/>
          <w:color w:val="auto"/>
        </w:rPr>
        <w:t>Except as expressly modified hereby, the Partnership Agreement remains in full force and effect. Upon the execution and delivery hereof, the Partnership Agreement shall thereupon be deemed to be amended and supplemented as hereinabove set forth as fully and with the same effect as if the amendments and supplements made hereby were originally set forth in the Partnership Agreement, and this First Amendment and the Partnership Agreement shall henceforth be read, taken and construed as one and the same instrument, but such amendments and supplements shall not operate so as to render invalid or improper any action heretofore taken under the Partnership Agreement.</w:t>
      </w:r>
    </w:p>
    <w:p>
      <w:pPr>
        <w:spacing w:after="0" w:line="205" w:lineRule="exact"/>
        <w:rPr>
          <w:rFonts w:ascii="Arial" w:cs="Arial" w:eastAsia="Arial" w:hAnsi="Arial"/>
          <w:sz w:val="21"/>
          <w:szCs w:val="21"/>
          <w:color w:val="auto"/>
        </w:rPr>
      </w:pPr>
    </w:p>
    <w:p>
      <w:pPr>
        <w:ind w:left="1620" w:right="160" w:hanging="315"/>
        <w:spacing w:after="0" w:line="279" w:lineRule="auto"/>
        <w:tabs>
          <w:tab w:leader="none" w:pos="1620" w:val="left"/>
        </w:tabs>
        <w:numPr>
          <w:ilvl w:val="1"/>
          <w:numId w:val="106"/>
        </w:numPr>
        <w:rPr>
          <w:rFonts w:ascii="Arial" w:cs="Arial" w:eastAsia="Arial" w:hAnsi="Arial"/>
          <w:sz w:val="19"/>
          <w:szCs w:val="19"/>
          <w:color w:val="auto"/>
        </w:rPr>
      </w:pPr>
      <w:r>
        <w:rPr>
          <w:rFonts w:ascii="Arial" w:cs="Arial" w:eastAsia="Arial" w:hAnsi="Arial"/>
          <w:sz w:val="19"/>
          <w:szCs w:val="19"/>
          <w:color w:val="auto"/>
        </w:rPr>
        <w:t>This First Amendment may be executed in one or more counterparts, each of which will be deemed to be an original copy of this First Amendment and all of which, when taken together, will be deemed to constitute one and the same agreement. The exchange of copies of this First Amendment and of signature pages by facsimile or email transmission shall constitute effective execution and delivery of this First Amendment as to the Parties and may be used in lieu of the original First Amendment for all purposes. Signatures of the Parties transmitted by facsimile or email shall be deemed to be their original signatures for all purposes.</w:t>
      </w:r>
    </w:p>
    <w:p>
      <w:pPr>
        <w:spacing w:after="0" w:line="164" w:lineRule="exact"/>
        <w:rPr>
          <w:rFonts w:ascii="Arial" w:cs="Arial" w:eastAsia="Arial" w:hAnsi="Arial"/>
          <w:sz w:val="19"/>
          <w:szCs w:val="19"/>
          <w:color w:val="auto"/>
        </w:rPr>
      </w:pPr>
    </w:p>
    <w:p>
      <w:pPr>
        <w:ind w:left="1620" w:hanging="315"/>
        <w:spacing w:after="0"/>
        <w:tabs>
          <w:tab w:leader="none" w:pos="1620" w:val="left"/>
        </w:tabs>
        <w:numPr>
          <w:ilvl w:val="1"/>
          <w:numId w:val="106"/>
        </w:numPr>
        <w:rPr>
          <w:rFonts w:ascii="Arial" w:cs="Arial" w:eastAsia="Arial" w:hAnsi="Arial"/>
          <w:sz w:val="22"/>
          <w:szCs w:val="22"/>
          <w:color w:val="auto"/>
        </w:rPr>
      </w:pPr>
      <w:r>
        <w:rPr>
          <w:rFonts w:ascii="Arial" w:cs="Arial" w:eastAsia="Arial" w:hAnsi="Arial"/>
          <w:sz w:val="22"/>
          <w:szCs w:val="22"/>
          <w:color w:val="auto"/>
        </w:rPr>
        <w:t>This First Amendment shall be governed by, and construed in accordance with, the laws of England.</w:t>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[Remainder of page left blank intentionally]</w:t>
      </w:r>
    </w:p>
    <w:p>
      <w:pPr>
        <w:sectPr>
          <w:pgSz w:w="11900" w:h="16838" w:orient="portrait"/>
          <w:cols w:equalWidth="0" w:num="1">
            <w:col w:w="11420"/>
          </w:cols>
          <w:pgMar w:left="240" w:top="111" w:right="2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9"/>
          <w:szCs w:val="19"/>
          <w:b w:val="1"/>
          <w:bCs w:val="1"/>
          <w:color w:val="auto"/>
        </w:rPr>
        <w:t xml:space="preserve">In witness </w:t>
      </w:r>
      <w:r>
        <w:rPr>
          <w:rFonts w:ascii="Arial" w:cs="Arial" w:eastAsia="Arial" w:hAnsi="Arial"/>
          <w:sz w:val="19"/>
          <w:szCs w:val="19"/>
          <w:color w:val="auto"/>
        </w:rPr>
        <w:t>whereof this First Amendment has been duly executed.</w:t>
      </w:r>
    </w:p>
    <w:p>
      <w:pPr>
        <w:sectPr>
          <w:pgSz w:w="11900" w:h="16838" w:orient="portrait"/>
          <w:cols w:equalWidth="0" w:num="1">
            <w:col w:w="10219"/>
          </w:cols>
          <w:pgMar w:left="240" w:top="1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right="300"/>
        <w:spacing w:after="0" w:line="313" w:lineRule="auto"/>
        <w:rPr>
          <w:sz w:val="20"/>
          <w:szCs w:val="20"/>
          <w:color w:val="auto"/>
        </w:rPr>
      </w:pPr>
      <w:r>
        <w:rPr>
          <w:rFonts w:ascii="Arial" w:cs="Arial" w:eastAsia="Arial" w:hAnsi="Arial"/>
          <w:sz w:val="17"/>
          <w:szCs w:val="17"/>
          <w:color w:val="auto"/>
        </w:rPr>
        <w:t xml:space="preserve">SIGNED BY </w:t>
      </w:r>
      <w:r>
        <w:rPr>
          <w:rFonts w:ascii="Arial" w:cs="Arial" w:eastAsia="Arial" w:hAnsi="Arial"/>
          <w:sz w:val="17"/>
          <w:szCs w:val="17"/>
          <w:b w:val="1"/>
          <w:bCs w:val="1"/>
          <w:color w:val="auto"/>
        </w:rPr>
        <w:t>THE ROYAL BANK OF</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SCOTLAND PLC </w:t>
      </w:r>
      <w:r>
        <w:rPr>
          <w:rFonts w:ascii="Arial" w:cs="Arial" w:eastAsia="Arial" w:hAnsi="Arial"/>
          <w:sz w:val="17"/>
          <w:szCs w:val="17"/>
          <w:color w:val="auto"/>
        </w:rPr>
        <w:t>in the presence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line="282" w:lineRule="auto"/>
        <w:rPr>
          <w:sz w:val="20"/>
          <w:szCs w:val="20"/>
          <w:color w:val="auto"/>
        </w:rPr>
      </w:pPr>
      <w:r>
        <w:rPr>
          <w:rFonts w:ascii="Arial" w:cs="Arial" w:eastAsia="Arial" w:hAnsi="Arial"/>
          <w:sz w:val="18"/>
          <w:szCs w:val="18"/>
          <w:color w:val="auto"/>
        </w:rPr>
        <w:t xml:space="preserve">SIGNED BY </w:t>
      </w:r>
      <w:r>
        <w:rPr>
          <w:rFonts w:ascii="Arial" w:cs="Arial" w:eastAsia="Arial" w:hAnsi="Arial"/>
          <w:sz w:val="18"/>
          <w:szCs w:val="18"/>
          <w:b w:val="1"/>
          <w:bCs w:val="1"/>
          <w:color w:val="auto"/>
        </w:rPr>
        <w:t>SEMPRA COMMODITIES,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INC. </w:t>
      </w:r>
      <w:r>
        <w:rPr>
          <w:rFonts w:ascii="Arial" w:cs="Arial" w:eastAsia="Arial" w:hAnsi="Arial"/>
          <w:sz w:val="18"/>
          <w:szCs w:val="18"/>
          <w:color w:val="auto"/>
        </w:rPr>
        <w:t>in the presence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right="200"/>
        <w:spacing w:after="0" w:line="313" w:lineRule="auto"/>
        <w:rPr>
          <w:sz w:val="20"/>
          <w:szCs w:val="20"/>
          <w:color w:val="auto"/>
        </w:rPr>
      </w:pPr>
      <w:r>
        <w:rPr>
          <w:rFonts w:ascii="Arial" w:cs="Arial" w:eastAsia="Arial" w:hAnsi="Arial"/>
          <w:sz w:val="17"/>
          <w:szCs w:val="17"/>
          <w:color w:val="auto"/>
        </w:rPr>
        <w:t xml:space="preserve">SIGNED BY </w:t>
      </w:r>
      <w:r>
        <w:rPr>
          <w:rFonts w:ascii="Arial" w:cs="Arial" w:eastAsia="Arial" w:hAnsi="Arial"/>
          <w:sz w:val="17"/>
          <w:szCs w:val="17"/>
          <w:b w:val="1"/>
          <w:bCs w:val="1"/>
          <w:color w:val="auto"/>
        </w:rPr>
        <w:t>SEMPRA ENERGY</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HOLDINGS VII B.V. </w:t>
      </w:r>
      <w:r>
        <w:rPr>
          <w:rFonts w:ascii="Arial" w:cs="Arial" w:eastAsia="Arial" w:hAnsi="Arial"/>
          <w:sz w:val="17"/>
          <w:szCs w:val="17"/>
          <w:color w:val="auto"/>
        </w:rPr>
        <w:t>in the presence of:</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90"/>
          <w:szCs w:val="90"/>
          <w:color w:val="auto"/>
        </w:rPr>
        <w:t>}</w:t>
      </w:r>
    </w:p>
    <w:p>
      <w:pPr>
        <w:spacing w:after="0" w:line="356" w:lineRule="exact"/>
        <w:rPr>
          <w:sz w:val="20"/>
          <w:szCs w:val="20"/>
          <w:color w:val="auto"/>
        </w:rPr>
      </w:pPr>
    </w:p>
    <w:p>
      <w:pPr>
        <w:ind w:left="460" w:right="5019" w:hanging="459"/>
        <w:spacing w:after="0" w:line="180" w:lineRule="auto"/>
        <w:rPr>
          <w:sz w:val="20"/>
          <w:szCs w:val="20"/>
          <w:color w:val="auto"/>
        </w:rPr>
      </w:pPr>
      <w:r>
        <w:rPr>
          <w:rFonts w:ascii="Arial" w:cs="Arial" w:eastAsia="Arial" w:hAnsi="Arial"/>
          <w:sz w:val="69"/>
          <w:szCs w:val="69"/>
          <w:color w:val="auto"/>
        </w:rPr>
        <w:t>}</w:t>
      </w:r>
      <w:r>
        <w:rPr>
          <w:rFonts w:ascii="Arial" w:cs="Arial" w:eastAsia="Arial" w:hAnsi="Arial"/>
          <w:sz w:val="17"/>
          <w:szCs w:val="17"/>
          <w:color w:val="auto"/>
        </w:rPr>
        <w:t>Mark A. Snell,</w:t>
      </w:r>
      <w:r>
        <w:rPr>
          <w:rFonts w:ascii="Arial" w:cs="Arial" w:eastAsia="Arial" w:hAnsi="Arial"/>
          <w:sz w:val="69"/>
          <w:szCs w:val="69"/>
          <w:color w:val="auto"/>
        </w:rPr>
        <w:t xml:space="preserve"> </w:t>
      </w:r>
      <w:r>
        <w:rPr>
          <w:rFonts w:ascii="Arial" w:cs="Arial" w:eastAsia="Arial" w:hAnsi="Arial"/>
          <w:sz w:val="17"/>
          <w:szCs w:val="17"/>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80"/>
          <w:szCs w:val="80"/>
          <w:color w:val="auto"/>
        </w:rPr>
        <w:t>}</w:t>
      </w:r>
      <w:r>
        <w:rPr>
          <w:rFonts w:ascii="Arial" w:cs="Arial" w:eastAsia="Arial" w:hAnsi="Arial"/>
          <w:sz w:val="17"/>
          <w:szCs w:val="17"/>
          <w:color w:val="auto"/>
        </w:rPr>
        <w:t>Joseph A. Householder, Managing Director A</w:t>
      </w:r>
    </w:p>
    <w:p>
      <w:pPr>
        <w:spacing w:after="0" w:line="316" w:lineRule="exact"/>
        <w:rPr>
          <w:sz w:val="20"/>
          <w:szCs w:val="20"/>
          <w:color w:val="auto"/>
        </w:rPr>
      </w:pPr>
    </w:p>
    <w:p>
      <w:pPr>
        <w:sectPr>
          <w:pgSz w:w="11900" w:h="16838" w:orient="portrait"/>
          <w:cols w:equalWidth="0" w:num="2">
            <w:col w:w="3240" w:space="420"/>
            <w:col w:w="6559"/>
          </w:cols>
          <w:pgMar w:left="240" w:top="111" w:right="1440" w:bottom="1440" w:gutter="0" w:footer="0" w:header="0"/>
          <w:type w:val="continuous"/>
        </w:sectPr>
      </w:pPr>
    </w:p>
    <w:p>
      <w:pPr>
        <w:spacing w:after="0" w:line="158"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Dirk Peter Stolp, Managing Director B</w:t>
      </w:r>
    </w:p>
    <w:p>
      <w:pPr>
        <w:sectPr>
          <w:pgSz w:w="11900" w:h="16838" w:orient="portrait"/>
          <w:cols w:equalWidth="0" w:num="1">
            <w:col w:w="10219"/>
          </w:cols>
          <w:pgMar w:left="240" w:top="11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right="320"/>
        <w:spacing w:after="0" w:line="313" w:lineRule="auto"/>
        <w:rPr>
          <w:sz w:val="20"/>
          <w:szCs w:val="20"/>
          <w:color w:val="auto"/>
        </w:rPr>
      </w:pPr>
      <w:r>
        <w:rPr>
          <w:rFonts w:ascii="Arial" w:cs="Arial" w:eastAsia="Arial" w:hAnsi="Arial"/>
          <w:sz w:val="17"/>
          <w:szCs w:val="17"/>
          <w:color w:val="auto"/>
        </w:rPr>
        <w:t xml:space="preserve">SIGNED BY </w:t>
      </w:r>
      <w:r>
        <w:rPr>
          <w:rFonts w:ascii="Arial" w:cs="Arial" w:eastAsia="Arial" w:hAnsi="Arial"/>
          <w:sz w:val="17"/>
          <w:szCs w:val="17"/>
          <w:b w:val="1"/>
          <w:bCs w:val="1"/>
          <w:color w:val="auto"/>
        </w:rPr>
        <w:t>RBS Sempra</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COMMODITIES LLP </w:t>
      </w:r>
      <w:r>
        <w:rPr>
          <w:rFonts w:ascii="Arial" w:cs="Arial" w:eastAsia="Arial" w:hAnsi="Arial"/>
          <w:sz w:val="17"/>
          <w:szCs w:val="17"/>
          <w:color w:val="auto"/>
        </w:rPr>
        <w:t>in the presence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SIGNED BY </w:t>
      </w:r>
      <w:r>
        <w:rPr>
          <w:rFonts w:ascii="Arial" w:cs="Arial" w:eastAsia="Arial" w:hAnsi="Arial"/>
          <w:sz w:val="18"/>
          <w:szCs w:val="18"/>
          <w:b w:val="1"/>
          <w:bCs w:val="1"/>
          <w:color w:val="auto"/>
        </w:rPr>
        <w:t>SEMPRA ENERGY</w:t>
      </w:r>
      <w:r>
        <w:rPr>
          <w:rFonts w:ascii="Arial" w:cs="Arial" w:eastAsia="Arial" w:hAnsi="Arial"/>
          <w:sz w:val="18"/>
          <w:szCs w:val="18"/>
          <w:color w:val="auto"/>
        </w:rPr>
        <w:t xml:space="preserve"> (solely</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 the purposes of Clauses 13.1, 15.1, 15.2, 17,</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18.5 and 19.2) in the presence of:</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90"/>
          <w:szCs w:val="90"/>
          <w:color w:val="auto"/>
        </w:rPr>
        <w:t>}</w:t>
      </w:r>
    </w:p>
    <w:p>
      <w:pPr>
        <w:spacing w:after="0" w:line="300" w:lineRule="exact"/>
        <w:rPr>
          <w:sz w:val="20"/>
          <w:szCs w:val="20"/>
          <w:color w:val="auto"/>
        </w:rPr>
      </w:pPr>
    </w:p>
    <w:p>
      <w:pPr>
        <w:spacing w:after="0"/>
        <w:rPr>
          <w:sz w:val="20"/>
          <w:szCs w:val="20"/>
          <w:color w:val="auto"/>
        </w:rPr>
      </w:pPr>
      <w:r>
        <w:rPr>
          <w:rFonts w:ascii="Arial" w:cs="Arial" w:eastAsia="Arial" w:hAnsi="Arial"/>
          <w:sz w:val="90"/>
          <w:szCs w:val="90"/>
          <w:color w:val="auto"/>
        </w:rPr>
        <w:t>}</w:t>
      </w:r>
      <w:r>
        <w:rPr>
          <w:rFonts w:ascii="Arial" w:cs="Arial" w:eastAsia="Arial" w:hAnsi="Arial"/>
          <w:sz w:val="18"/>
          <w:szCs w:val="18"/>
          <w:color w:val="auto"/>
        </w:rPr>
        <w:t>Mark A. Snell,</w:t>
      </w:r>
    </w:p>
    <w:p>
      <w:pPr>
        <w:ind w:left="460" w:right="3979"/>
        <w:spacing w:after="0" w:line="288" w:lineRule="auto"/>
        <w:rPr>
          <w:sz w:val="20"/>
          <w:szCs w:val="20"/>
          <w:color w:val="auto"/>
        </w:rPr>
      </w:pPr>
      <w:r>
        <w:rPr>
          <w:rFonts w:ascii="Arial" w:cs="Arial" w:eastAsia="Arial" w:hAnsi="Arial"/>
          <w:sz w:val="17"/>
          <w:szCs w:val="17"/>
          <w:color w:val="auto"/>
        </w:rPr>
        <w:t>Executive Vice President and Chief Financial Officer</w:t>
      </w:r>
    </w:p>
    <w:p>
      <w:pPr>
        <w:sectPr>
          <w:pgSz w:w="11900" w:h="16838" w:orient="portrait"/>
          <w:cols w:equalWidth="0" w:num="2">
            <w:col w:w="3460" w:space="200"/>
            <w:col w:w="6559"/>
          </w:cols>
          <w:pgMar w:left="240" w:top="111" w:right="1440" w:bottom="1440" w:gutter="0" w:footer="0" w:header="0"/>
          <w:type w:val="continuous"/>
        </w:sectPr>
      </w:pPr>
    </w:p>
    <w:bookmarkStart w:id="105" w:name="page106"/>
    <w:bookmarkEnd w:id="105"/>
    <w:p>
      <w:pPr>
        <w:jc w:val="center"/>
        <w:ind w:right="1200"/>
        <w:spacing w:after="0"/>
        <w:rPr>
          <w:sz w:val="20"/>
          <w:szCs w:val="20"/>
          <w:color w:val="auto"/>
        </w:rPr>
      </w:pPr>
      <w:r>
        <w:rPr>
          <w:rFonts w:ascii="Arial" w:cs="Arial" w:eastAsia="Arial" w:hAnsi="Arial"/>
          <w:sz w:val="22"/>
          <w:szCs w:val="22"/>
          <w:b w:val="1"/>
          <w:bCs w:val="1"/>
          <w:u w:val="single" w:color="auto"/>
          <w:color w:val="auto"/>
        </w:rPr>
        <w:t>EXHIBIT A</w:t>
      </w:r>
    </w:p>
    <w:p>
      <w:pPr>
        <w:spacing w:after="0" w:line="240"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Schedule 3</w:t>
      </w:r>
    </w:p>
    <w:p>
      <w:pPr>
        <w:spacing w:after="0" w:line="233"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Sempra Utilities</w:t>
      </w:r>
    </w:p>
    <w:p>
      <w:pPr>
        <w:spacing w:after="0" w:line="200" w:lineRule="exact"/>
        <w:rPr>
          <w:sz w:val="20"/>
          <w:szCs w:val="20"/>
          <w:color w:val="auto"/>
        </w:rPr>
      </w:pPr>
    </w:p>
    <w:p>
      <w:pPr>
        <w:spacing w:after="0" w:line="27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Southern California Gas Company</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San Diego Gas &amp; Electric Company</w:t>
      </w:r>
    </w:p>
    <w:p>
      <w:pPr>
        <w:spacing w:after="0" w:line="233" w:lineRule="exact"/>
        <w:rPr>
          <w:sz w:val="20"/>
          <w:szCs w:val="20"/>
          <w:color w:val="auto"/>
        </w:rPr>
      </w:pPr>
    </w:p>
    <w:p>
      <w:pPr>
        <w:ind w:left="100"/>
        <w:spacing w:after="0" w:line="297" w:lineRule="auto"/>
        <w:rPr>
          <w:sz w:val="20"/>
          <w:szCs w:val="20"/>
          <w:color w:val="auto"/>
        </w:rPr>
      </w:pPr>
      <w:r>
        <w:rPr>
          <w:rFonts w:ascii="Arial" w:cs="Arial" w:eastAsia="Arial" w:hAnsi="Arial"/>
          <w:sz w:val="19"/>
          <w:szCs w:val="19"/>
          <w:color w:val="auto"/>
        </w:rPr>
        <w:t>Sempra Pipelines &amp; Storage Corp. (and other Sempra Group subsidiaries, which although not subsidiaries of Sempra Pipelines &amp; Storage Corp., are included within the Sempra Pipelines &amp; Storage Corp. reportable segment for accounting purposes and are related to the natural gas storage or natural gas pipeline business.)</w:t>
      </w:r>
    </w:p>
    <w:p>
      <w:pPr>
        <w:spacing w:after="0" w:line="16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Ecogas Mexico S. de R.L. de C.V.</w:t>
      </w:r>
    </w:p>
    <w:p>
      <w:pPr>
        <w:sectPr>
          <w:pgSz w:w="11900" w:h="16838" w:orient="portrait"/>
          <w:cols w:equalWidth="0" w:num="1">
            <w:col w:w="10220"/>
          </w:cols>
          <w:pgMar w:left="1440" w:top="111" w:right="239" w:bottom="1440" w:gutter="0" w:footer="0" w:header="0"/>
        </w:sectPr>
      </w:pPr>
    </w:p>
    <w:bookmarkStart w:id="106" w:name="page107"/>
    <w:bookmarkEnd w:id="106"/>
    <w:p>
      <w:pPr>
        <w:jc w:val="center"/>
        <w:ind w:right="20"/>
        <w:spacing w:after="0"/>
        <w:rPr>
          <w:sz w:val="20"/>
          <w:szCs w:val="20"/>
          <w:color w:val="auto"/>
        </w:rPr>
      </w:pPr>
      <w:r>
        <w:rPr>
          <w:rFonts w:ascii="Arial" w:cs="Arial" w:eastAsia="Arial" w:hAnsi="Arial"/>
          <w:sz w:val="18"/>
          <w:szCs w:val="18"/>
          <w:b w:val="1"/>
          <w:bCs w:val="1"/>
          <w:color w:val="auto"/>
        </w:rPr>
        <w:t>EXHIBIT 12.1</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SEMPRA ENERGY</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COMPUTATION OF RATIO OF EARNINGS TO COMBINED FIXED CHARGES</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PREFERRED STOCK DIVIDENDS</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18"/>
                <w:szCs w:val="18"/>
                <w:color w:val="auto"/>
              </w:rPr>
            </w:pPr>
          </w:p>
        </w:tc>
        <w:tc>
          <w:tcPr>
            <w:tcW w:w="17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March 31, 2009</w:t>
            </w:r>
          </w:p>
        </w:tc>
        <w:tc>
          <w:tcPr>
            <w:tcW w:w="0" w:type="dxa"/>
            <w:vAlign w:val="bottom"/>
          </w:tcPr>
          <w:p>
            <w:pPr>
              <w:spacing w:after="0"/>
              <w:rPr>
                <w:sz w:val="1"/>
                <w:szCs w:val="1"/>
                <w:color w:val="auto"/>
              </w:rPr>
            </w:pPr>
          </w:p>
        </w:tc>
      </w:tr>
      <w:tr>
        <w:trPr>
          <w:trHeight w:val="209"/>
        </w:trPr>
        <w:tc>
          <w:tcPr>
            <w:tcW w:w="2280" w:type="dxa"/>
            <w:vAlign w:val="bottom"/>
          </w:tcPr>
          <w:p>
            <w:pPr>
              <w:spacing w:after="0"/>
              <w:rPr>
                <w:sz w:val="20"/>
                <w:szCs w:val="20"/>
                <w:color w:val="auto"/>
              </w:rPr>
            </w:pPr>
            <w:r>
              <w:rPr>
                <w:rFonts w:ascii="Arial" w:cs="Arial" w:eastAsia="Arial" w:hAnsi="Arial"/>
                <w:sz w:val="18"/>
                <w:szCs w:val="18"/>
                <w:color w:val="auto"/>
              </w:rPr>
              <w:t>Fixed charges and</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80" w:type="dxa"/>
            <w:vAlign w:val="bottom"/>
          </w:tcPr>
          <w:p>
            <w:pPr>
              <w:ind w:left="260"/>
              <w:spacing w:after="0" w:line="202" w:lineRule="exact"/>
              <w:rPr>
                <w:sz w:val="20"/>
                <w:szCs w:val="20"/>
                <w:color w:val="auto"/>
              </w:rPr>
            </w:pPr>
            <w:r>
              <w:rPr>
                <w:rFonts w:ascii="Arial" w:cs="Arial" w:eastAsia="Arial" w:hAnsi="Arial"/>
                <w:sz w:val="18"/>
                <w:szCs w:val="18"/>
                <w:color w:val="auto"/>
              </w:rPr>
              <w:t>preferred stock</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280" w:type="dxa"/>
            <w:vAlign w:val="bottom"/>
          </w:tcPr>
          <w:p>
            <w:pPr>
              <w:ind w:left="260"/>
              <w:spacing w:after="0"/>
              <w:rPr>
                <w:sz w:val="20"/>
                <w:szCs w:val="20"/>
                <w:color w:val="auto"/>
              </w:rPr>
            </w:pPr>
            <w:r>
              <w:rPr>
                <w:rFonts w:ascii="Arial" w:cs="Arial" w:eastAsia="Arial" w:hAnsi="Arial"/>
                <w:sz w:val="18"/>
                <w:szCs w:val="18"/>
                <w:color w:val="auto"/>
              </w:rPr>
              <w:t>dividends:</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2280" w:type="dxa"/>
            <w:vAlign w:val="bottom"/>
          </w:tcPr>
          <w:p>
            <w:pPr>
              <w:spacing w:after="0"/>
              <w:rPr>
                <w:sz w:val="20"/>
                <w:szCs w:val="20"/>
                <w:color w:val="auto"/>
              </w:rPr>
            </w:pPr>
            <w:r>
              <w:rPr>
                <w:rFonts w:ascii="Arial" w:cs="Arial" w:eastAsia="Arial" w:hAnsi="Arial"/>
                <w:sz w:val="18"/>
                <w:szCs w:val="18"/>
                <w:color w:val="auto"/>
              </w:rPr>
              <w:t>Interest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332</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342</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413</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379</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353</w:t>
            </w:r>
          </w:p>
        </w:tc>
        <w:tc>
          <w:tcPr>
            <w:tcW w:w="96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458"/>
        </w:trPr>
        <w:tc>
          <w:tcPr>
            <w:tcW w:w="2280" w:type="dxa"/>
            <w:vAlign w:val="bottom"/>
          </w:tcPr>
          <w:p>
            <w:pPr>
              <w:spacing w:after="0"/>
              <w:rPr>
                <w:sz w:val="20"/>
                <w:szCs w:val="20"/>
                <w:color w:val="auto"/>
              </w:rPr>
            </w:pPr>
            <w:r>
              <w:rPr>
                <w:rFonts w:ascii="Arial" w:cs="Arial" w:eastAsia="Arial" w:hAnsi="Arial"/>
                <w:sz w:val="18"/>
                <w:szCs w:val="18"/>
                <w:color w:val="auto"/>
              </w:rPr>
              <w:t>Interest portion of annual</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280" w:type="dxa"/>
            <w:vAlign w:val="bottom"/>
          </w:tcPr>
          <w:p>
            <w:pPr>
              <w:ind w:left="260"/>
              <w:spacing w:after="0"/>
              <w:rPr>
                <w:sz w:val="20"/>
                <w:szCs w:val="20"/>
                <w:color w:val="auto"/>
              </w:rPr>
            </w:pPr>
            <w:r>
              <w:rPr>
                <w:rFonts w:ascii="Arial" w:cs="Arial" w:eastAsia="Arial" w:hAnsi="Arial"/>
                <w:sz w:val="18"/>
                <w:szCs w:val="18"/>
                <w:color w:val="auto"/>
              </w:rPr>
              <w:t>rentals</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8"/>
        </w:trPr>
        <w:tc>
          <w:tcPr>
            <w:tcW w:w="2280" w:type="dxa"/>
            <w:vAlign w:val="bottom"/>
          </w:tcPr>
          <w:p>
            <w:pPr>
              <w:spacing w:after="0"/>
              <w:rPr>
                <w:sz w:val="20"/>
                <w:szCs w:val="20"/>
                <w:color w:val="auto"/>
              </w:rPr>
            </w:pPr>
            <w:r>
              <w:rPr>
                <w:rFonts w:ascii="Arial" w:cs="Arial" w:eastAsia="Arial" w:hAnsi="Arial"/>
                <w:sz w:val="18"/>
                <w:szCs w:val="18"/>
                <w:color w:val="auto"/>
              </w:rPr>
              <w:t>Preferred dividends of</w:t>
            </w:r>
          </w:p>
        </w:tc>
        <w:tc>
          <w:tcPr>
            <w:tcW w:w="36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2280" w:type="dxa"/>
            <w:vAlign w:val="bottom"/>
          </w:tcPr>
          <w:p>
            <w:pPr>
              <w:ind w:left="260"/>
              <w:spacing w:after="0" w:line="203" w:lineRule="exact"/>
              <w:rPr>
                <w:sz w:val="20"/>
                <w:szCs w:val="20"/>
                <w:color w:val="auto"/>
              </w:rPr>
            </w:pPr>
            <w:r>
              <w:rPr>
                <w:rFonts w:ascii="Arial" w:cs="Arial" w:eastAsia="Arial" w:hAnsi="Arial"/>
                <w:sz w:val="18"/>
                <w:szCs w:val="18"/>
                <w:color w:val="auto"/>
              </w:rPr>
              <w:t>subsidiaries (1)</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2280" w:type="dxa"/>
            <w:vAlign w:val="bottom"/>
          </w:tcPr>
          <w:p>
            <w:pPr>
              <w:ind w:left="240"/>
              <w:spacing w:after="0"/>
              <w:rPr>
                <w:sz w:val="20"/>
                <w:szCs w:val="20"/>
                <w:color w:val="auto"/>
              </w:rPr>
            </w:pPr>
            <w:r>
              <w:rPr>
                <w:rFonts w:ascii="Arial" w:cs="Arial" w:eastAsia="Arial" w:hAnsi="Arial"/>
                <w:sz w:val="18"/>
                <w:szCs w:val="18"/>
                <w:color w:val="auto"/>
              </w:rPr>
              <w:t>Total fixed charges</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399</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458"/>
        </w:trPr>
        <w:tc>
          <w:tcPr>
            <w:tcW w:w="2280" w:type="dxa"/>
            <w:vAlign w:val="bottom"/>
          </w:tcPr>
          <w:p>
            <w:pPr>
              <w:spacing w:after="0"/>
              <w:rPr>
                <w:sz w:val="20"/>
                <w:szCs w:val="20"/>
                <w:color w:val="auto"/>
              </w:rPr>
            </w:pPr>
            <w:r>
              <w:rPr>
                <w:rFonts w:ascii="Arial" w:cs="Arial" w:eastAsia="Arial" w:hAnsi="Arial"/>
                <w:sz w:val="18"/>
                <w:szCs w:val="18"/>
                <w:color w:val="auto"/>
              </w:rPr>
              <w:t>Preferred dividends for</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280" w:type="dxa"/>
            <w:vAlign w:val="bottom"/>
          </w:tcPr>
          <w:p>
            <w:pPr>
              <w:ind w:left="260"/>
              <w:spacing w:after="0"/>
              <w:rPr>
                <w:sz w:val="20"/>
                <w:szCs w:val="20"/>
                <w:color w:val="auto"/>
              </w:rPr>
            </w:pPr>
            <w:r>
              <w:rPr>
                <w:rFonts w:ascii="Arial" w:cs="Arial" w:eastAsia="Arial" w:hAnsi="Arial"/>
                <w:sz w:val="18"/>
                <w:szCs w:val="18"/>
                <w:color w:val="auto"/>
              </w:rPr>
              <w:t>purpose of ratio</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280" w:type="dxa"/>
            <w:vAlign w:val="bottom"/>
            <w:vMerge w:val="restart"/>
          </w:tcPr>
          <w:p>
            <w:pPr>
              <w:spacing w:after="0"/>
              <w:rPr>
                <w:sz w:val="20"/>
                <w:szCs w:val="20"/>
                <w:color w:val="auto"/>
              </w:rPr>
            </w:pPr>
            <w:r>
              <w:rPr>
                <w:rFonts w:ascii="Arial" w:cs="Arial" w:eastAsia="Arial" w:hAnsi="Arial"/>
                <w:sz w:val="18"/>
                <w:szCs w:val="18"/>
                <w:color w:val="auto"/>
              </w:rPr>
              <w:t>Total fixed charges and</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ind w:left="260"/>
              <w:spacing w:after="0" w:line="202" w:lineRule="exact"/>
              <w:rPr>
                <w:sz w:val="20"/>
                <w:szCs w:val="20"/>
                <w:color w:val="auto"/>
              </w:rPr>
            </w:pPr>
            <w:r>
              <w:rPr>
                <w:rFonts w:ascii="Arial" w:cs="Arial" w:eastAsia="Arial" w:hAnsi="Arial"/>
                <w:sz w:val="18"/>
                <w:szCs w:val="18"/>
                <w:color w:val="auto"/>
              </w:rPr>
              <w:t>preferred dividends</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280" w:type="dxa"/>
            <w:vAlign w:val="bottom"/>
          </w:tcPr>
          <w:p>
            <w:pPr>
              <w:ind w:left="260"/>
              <w:spacing w:after="0"/>
              <w:rPr>
                <w:sz w:val="20"/>
                <w:szCs w:val="20"/>
                <w:color w:val="auto"/>
              </w:rPr>
            </w:pPr>
            <w:r>
              <w:rPr>
                <w:rFonts w:ascii="Arial" w:cs="Arial" w:eastAsia="Arial" w:hAnsi="Arial"/>
                <w:sz w:val="18"/>
                <w:szCs w:val="18"/>
                <w:color w:val="auto"/>
              </w:rPr>
              <w:t>for purpose of ratio</w:t>
            </w:r>
          </w:p>
        </w:tc>
        <w:tc>
          <w:tcPr>
            <w:tcW w:w="3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348</w:t>
            </w: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357</w:t>
            </w:r>
          </w:p>
        </w:tc>
        <w:tc>
          <w:tcPr>
            <w:tcW w:w="4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434</w:t>
            </w:r>
          </w:p>
        </w:tc>
        <w:tc>
          <w:tcPr>
            <w:tcW w:w="4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399</w:t>
            </w: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369</w:t>
            </w:r>
          </w:p>
        </w:tc>
        <w:tc>
          <w:tcPr>
            <w:tcW w:w="960" w:type="dxa"/>
            <w:vAlign w:val="bottom"/>
            <w:gridSpan w:val="2"/>
            <w:vMerge w:val="restart"/>
          </w:tcPr>
          <w:p>
            <w:pPr>
              <w:jc w:val="right"/>
              <w:ind w:right="47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8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2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2280" w:type="dxa"/>
            <w:vAlign w:val="bottom"/>
          </w:tcPr>
          <w:p>
            <w:pPr>
              <w:spacing w:after="0"/>
              <w:rPr>
                <w:sz w:val="20"/>
                <w:szCs w:val="20"/>
                <w:color w:val="auto"/>
              </w:rPr>
            </w:pPr>
            <w:r>
              <w:rPr>
                <w:rFonts w:ascii="Arial" w:cs="Arial" w:eastAsia="Arial" w:hAnsi="Arial"/>
                <w:sz w:val="18"/>
                <w:szCs w:val="18"/>
                <w:color w:val="auto"/>
              </w:rPr>
              <w:t>Pretax income from</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280" w:type="dxa"/>
            <w:vAlign w:val="bottom"/>
          </w:tcPr>
          <w:p>
            <w:pPr>
              <w:ind w:left="260"/>
              <w:spacing w:after="0" w:line="202" w:lineRule="exact"/>
              <w:rPr>
                <w:sz w:val="20"/>
                <w:szCs w:val="20"/>
                <w:color w:val="auto"/>
              </w:rPr>
            </w:pPr>
            <w:r>
              <w:rPr>
                <w:rFonts w:ascii="Arial" w:cs="Arial" w:eastAsia="Arial" w:hAnsi="Arial"/>
                <w:sz w:val="18"/>
                <w:szCs w:val="18"/>
                <w:color w:val="auto"/>
              </w:rPr>
              <w:t>continuing operations</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ind w:left="260"/>
              <w:spacing w:after="0" w:line="202" w:lineRule="exact"/>
              <w:rPr>
                <w:sz w:val="20"/>
                <w:szCs w:val="20"/>
                <w:color w:val="auto"/>
              </w:rPr>
            </w:pPr>
            <w:r>
              <w:rPr>
                <w:rFonts w:ascii="Arial" w:cs="Arial" w:eastAsia="Arial" w:hAnsi="Arial"/>
                <w:sz w:val="18"/>
                <w:szCs w:val="18"/>
                <w:color w:val="auto"/>
              </w:rPr>
              <w:t>before adjustment for</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ind w:left="260"/>
              <w:spacing w:after="0" w:line="202" w:lineRule="exact"/>
              <w:rPr>
                <w:sz w:val="20"/>
                <w:szCs w:val="20"/>
                <w:color w:val="auto"/>
              </w:rPr>
            </w:pPr>
            <w:r>
              <w:rPr>
                <w:rFonts w:ascii="Arial" w:cs="Arial" w:eastAsia="Arial" w:hAnsi="Arial"/>
                <w:sz w:val="18"/>
                <w:szCs w:val="18"/>
                <w:color w:val="auto"/>
              </w:rPr>
              <w:t>income or loss from</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280" w:type="dxa"/>
            <w:vAlign w:val="bottom"/>
          </w:tcPr>
          <w:p>
            <w:pPr>
              <w:ind w:left="260"/>
              <w:spacing w:after="0"/>
              <w:rPr>
                <w:sz w:val="20"/>
                <w:szCs w:val="20"/>
                <w:color w:val="auto"/>
              </w:rPr>
            </w:pPr>
            <w:r>
              <w:rPr>
                <w:rFonts w:ascii="Arial" w:cs="Arial" w:eastAsia="Arial" w:hAnsi="Arial"/>
                <w:sz w:val="18"/>
                <w:szCs w:val="18"/>
                <w:color w:val="auto"/>
              </w:rPr>
              <w:t>equity investees</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1,079</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891</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1,579</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1,538</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1,009</w:t>
            </w:r>
          </w:p>
        </w:tc>
        <w:tc>
          <w:tcPr>
            <w:tcW w:w="96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486"/>
        </w:trPr>
        <w:tc>
          <w:tcPr>
            <w:tcW w:w="2280" w:type="dxa"/>
            <w:vAlign w:val="bottom"/>
          </w:tcPr>
          <w:p>
            <w:pPr>
              <w:spacing w:after="0"/>
              <w:rPr>
                <w:sz w:val="20"/>
                <w:szCs w:val="20"/>
                <w:color w:val="auto"/>
              </w:rPr>
            </w:pPr>
            <w:r>
              <w:rPr>
                <w:rFonts w:ascii="Arial" w:cs="Arial" w:eastAsia="Arial" w:hAnsi="Arial"/>
                <w:sz w:val="18"/>
                <w:szCs w:val="18"/>
                <w:color w:val="auto"/>
              </w:rPr>
              <w:t>Add:</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80" w:type="dxa"/>
            <w:vAlign w:val="bottom"/>
          </w:tcPr>
          <w:p>
            <w:pPr>
              <w:ind w:left="100"/>
              <w:spacing w:after="0"/>
              <w:rPr>
                <w:sz w:val="20"/>
                <w:szCs w:val="20"/>
                <w:color w:val="auto"/>
              </w:rPr>
            </w:pPr>
            <w:r>
              <w:rPr>
                <w:rFonts w:ascii="Arial" w:cs="Arial" w:eastAsia="Arial" w:hAnsi="Arial"/>
                <w:sz w:val="18"/>
                <w:szCs w:val="18"/>
                <w:color w:val="auto"/>
              </w:rPr>
              <w:t>Total fixed charges</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280" w:type="dxa"/>
            <w:vAlign w:val="bottom"/>
          </w:tcPr>
          <w:p>
            <w:pPr>
              <w:ind w:left="260"/>
              <w:spacing w:after="0"/>
              <w:rPr>
                <w:sz w:val="20"/>
                <w:szCs w:val="20"/>
                <w:color w:val="auto"/>
              </w:rPr>
            </w:pPr>
            <w:r>
              <w:rPr>
                <w:rFonts w:ascii="Arial" w:cs="Arial" w:eastAsia="Arial" w:hAnsi="Arial"/>
                <w:sz w:val="18"/>
                <w:szCs w:val="18"/>
                <w:color w:val="auto"/>
              </w:rPr>
              <w:t>(from above)</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458"/>
        </w:trPr>
        <w:tc>
          <w:tcPr>
            <w:tcW w:w="2280" w:type="dxa"/>
            <w:vAlign w:val="bottom"/>
          </w:tcPr>
          <w:p>
            <w:pPr>
              <w:ind w:left="100"/>
              <w:spacing w:after="0"/>
              <w:rPr>
                <w:sz w:val="20"/>
                <w:szCs w:val="20"/>
                <w:color w:val="auto"/>
              </w:rPr>
            </w:pPr>
            <w:r>
              <w:rPr>
                <w:rFonts w:ascii="Arial" w:cs="Arial" w:eastAsia="Arial" w:hAnsi="Arial"/>
                <w:sz w:val="18"/>
                <w:szCs w:val="18"/>
                <w:color w:val="auto"/>
              </w:rPr>
              <w:t>Distributed income of</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280" w:type="dxa"/>
            <w:vAlign w:val="bottom"/>
          </w:tcPr>
          <w:p>
            <w:pPr>
              <w:ind w:left="260"/>
              <w:spacing w:after="0"/>
              <w:rPr>
                <w:sz w:val="20"/>
                <w:szCs w:val="20"/>
                <w:color w:val="auto"/>
              </w:rPr>
            </w:pPr>
            <w:r>
              <w:rPr>
                <w:rFonts w:ascii="Arial" w:cs="Arial" w:eastAsia="Arial" w:hAnsi="Arial"/>
                <w:sz w:val="18"/>
                <w:szCs w:val="18"/>
                <w:color w:val="auto"/>
              </w:rPr>
              <w:t>equity investees</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Less:</w:t>
      </w:r>
    </w:p>
    <w:p>
      <w:pPr>
        <w:sectPr>
          <w:pgSz w:w="11900" w:h="16838" w:orient="portrait"/>
          <w:cols w:equalWidth="0" w:num="1">
            <w:col w:w="11160"/>
          </w:cols>
          <w:pgMar w:left="260" w:top="900" w:right="479" w:bottom="355" w:gutter="0" w:footer="0" w:header="0"/>
        </w:sectPr>
      </w:pPr>
    </w:p>
    <w:p>
      <w:pPr>
        <w:spacing w:after="0" w:line="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Interest capitalized</w:t>
      </w:r>
    </w:p>
    <w:p>
      <w:pPr>
        <w:spacing w:after="0" w:line="266" w:lineRule="exact"/>
        <w:rPr>
          <w:sz w:val="20"/>
          <w:szCs w:val="20"/>
          <w:color w:val="auto"/>
        </w:rPr>
      </w:pPr>
    </w:p>
    <w:p>
      <w:pPr>
        <w:ind w:left="260" w:right="180" w:hanging="158"/>
        <w:spacing w:after="0" w:line="246" w:lineRule="auto"/>
        <w:rPr>
          <w:sz w:val="20"/>
          <w:szCs w:val="20"/>
          <w:color w:val="auto"/>
        </w:rPr>
      </w:pPr>
      <w:r>
        <w:rPr>
          <w:rFonts w:ascii="Arial" w:cs="Arial" w:eastAsia="Arial" w:hAnsi="Arial"/>
          <w:sz w:val="18"/>
          <w:szCs w:val="18"/>
          <w:color w:val="auto"/>
        </w:rPr>
        <w:t>Preferred dividends of subsidiaries (1)</w:t>
      </w:r>
    </w:p>
    <w:p>
      <w:pPr>
        <w:spacing w:after="0" w:line="251" w:lineRule="exact"/>
        <w:rPr>
          <w:sz w:val="20"/>
          <w:szCs w:val="20"/>
          <w:color w:val="auto"/>
        </w:rPr>
      </w:pPr>
    </w:p>
    <w:p>
      <w:pPr>
        <w:ind w:left="260" w:right="520" w:hanging="258"/>
        <w:spacing w:after="0" w:line="246" w:lineRule="auto"/>
        <w:rPr>
          <w:sz w:val="20"/>
          <w:szCs w:val="20"/>
          <w:color w:val="auto"/>
        </w:rPr>
      </w:pPr>
      <w:r>
        <w:rPr>
          <w:rFonts w:ascii="Arial" w:cs="Arial" w:eastAsia="Arial" w:hAnsi="Arial"/>
          <w:sz w:val="18"/>
          <w:szCs w:val="18"/>
          <w:color w:val="auto"/>
        </w:rPr>
        <w:t>Total earnings for purpose of ratio</w:t>
      </w:r>
    </w:p>
    <w:p>
      <w:pPr>
        <w:spacing w:after="0" w:line="251" w:lineRule="exact"/>
        <w:rPr>
          <w:sz w:val="20"/>
          <w:szCs w:val="20"/>
          <w:color w:val="auto"/>
        </w:rPr>
      </w:pPr>
    </w:p>
    <w:p>
      <w:pPr>
        <w:ind w:left="260" w:hanging="258"/>
        <w:spacing w:after="0" w:line="239" w:lineRule="auto"/>
        <w:rPr>
          <w:sz w:val="20"/>
          <w:szCs w:val="20"/>
          <w:color w:val="auto"/>
        </w:rPr>
      </w:pPr>
      <w:r>
        <w:rPr>
          <w:rFonts w:ascii="Arial" w:cs="Arial" w:eastAsia="Arial" w:hAnsi="Arial"/>
          <w:sz w:val="18"/>
          <w:szCs w:val="18"/>
          <w:color w:val="auto"/>
        </w:rPr>
        <w:t>Ratio of earnings to combined fixed charges and preferred stock dividends</w:t>
      </w:r>
    </w:p>
    <w:p>
      <w:pPr>
        <w:spacing w:after="0" w:line="256" w:lineRule="exact"/>
        <w:rPr>
          <w:sz w:val="20"/>
          <w:szCs w:val="20"/>
          <w:color w:val="auto"/>
        </w:rPr>
      </w:pPr>
    </w:p>
    <w:p>
      <w:pPr>
        <w:ind w:left="260" w:right="40" w:hanging="258"/>
        <w:spacing w:after="0" w:line="246" w:lineRule="auto"/>
        <w:rPr>
          <w:sz w:val="20"/>
          <w:szCs w:val="20"/>
          <w:color w:val="auto"/>
        </w:rPr>
      </w:pPr>
      <w:r>
        <w:rPr>
          <w:rFonts w:ascii="Arial" w:cs="Arial" w:eastAsia="Arial" w:hAnsi="Arial"/>
          <w:sz w:val="18"/>
          <w:szCs w:val="18"/>
          <w:color w:val="auto"/>
        </w:rPr>
        <w:t>Ratio of earnings to fixed charges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662"/>
        </w:trPr>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628"/>
        </w:trPr>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1,468</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1,283</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2,376</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1,846</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1,401</w:t>
            </w: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661</w:t>
            </w:r>
          </w:p>
        </w:tc>
      </w:tr>
      <w:tr>
        <w:trPr>
          <w:trHeight w:val="20"/>
        </w:trPr>
        <w:tc>
          <w:tcPr>
            <w:tcW w:w="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320" w:type="dxa"/>
            <w:vAlign w:val="bottom"/>
          </w:tcPr>
          <w:p>
            <w:pPr>
              <w:jc w:val="right"/>
              <w:spacing w:after="0"/>
              <w:rPr>
                <w:sz w:val="20"/>
                <w:szCs w:val="20"/>
                <w:color w:val="auto"/>
              </w:rPr>
            </w:pPr>
            <w:r>
              <w:rPr>
                <w:rFonts w:ascii="Arial" w:cs="Arial" w:eastAsia="Arial" w:hAnsi="Arial"/>
                <w:sz w:val="18"/>
                <w:szCs w:val="18"/>
                <w:color w:val="auto"/>
              </w:rPr>
              <w:t>4.22</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3.59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5.47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4.63</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3.80</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5.95</w:t>
            </w:r>
          </w:p>
        </w:tc>
      </w:tr>
      <w:tr>
        <w:trPr>
          <w:trHeight w:val="20"/>
        </w:trPr>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r>
        <w:trPr>
          <w:trHeight w:val="615"/>
        </w:trPr>
        <w:tc>
          <w:tcPr>
            <w:tcW w:w="1320" w:type="dxa"/>
            <w:vAlign w:val="bottom"/>
          </w:tcPr>
          <w:p>
            <w:pPr>
              <w:jc w:val="right"/>
              <w:spacing w:after="0"/>
              <w:rPr>
                <w:sz w:val="20"/>
                <w:szCs w:val="20"/>
                <w:color w:val="auto"/>
              </w:rPr>
            </w:pPr>
            <w:r>
              <w:rPr>
                <w:rFonts w:ascii="Arial" w:cs="Arial" w:eastAsia="Arial" w:hAnsi="Arial"/>
                <w:sz w:val="18"/>
                <w:szCs w:val="18"/>
                <w:color w:val="auto"/>
              </w:rPr>
              <w:t>4.22</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3.59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5.47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4.63</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3.80</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5.95</w:t>
            </w:r>
          </w:p>
        </w:tc>
      </w:tr>
      <w:tr>
        <w:trPr>
          <w:trHeight w:val="20"/>
        </w:trPr>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ectPr>
          <w:pgSz w:w="11900" w:h="16838" w:orient="portrait"/>
          <w:cols w:equalWidth="0" w:num="2">
            <w:col w:w="2040" w:space="240"/>
            <w:col w:w="8880"/>
          </w:cols>
          <w:pgMar w:left="260" w:top="900" w:right="479" w:bottom="355" w:gutter="0" w:footer="0" w:header="0"/>
          <w:type w:val="continuous"/>
        </w:sectPr>
      </w:pPr>
    </w:p>
    <w:p>
      <w:pPr>
        <w:spacing w:after="0" w:line="51" w:lineRule="exact"/>
        <w:rPr>
          <w:sz w:val="20"/>
          <w:szCs w:val="20"/>
          <w:color w:val="auto"/>
        </w:rPr>
      </w:pPr>
    </w:p>
    <w:p>
      <w:pPr>
        <w:ind w:right="600" w:firstLine="2"/>
        <w:spacing w:after="0" w:line="246" w:lineRule="auto"/>
        <w:tabs>
          <w:tab w:leader="none" w:pos="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computing this ratio, “Preferred dividends of subsidiaries” represents the before-tax earnings necessary to pay such dividends, computed at the effective tax rates for the applicable periods.</w:t>
      </w:r>
    </w:p>
    <w:p>
      <w:pPr>
        <w:sectPr>
          <w:pgSz w:w="11900" w:h="16838" w:orient="portrait"/>
          <w:cols w:equalWidth="0" w:num="1">
            <w:col w:w="11160"/>
          </w:cols>
          <w:pgMar w:left="260" w:top="900" w:right="479" w:bottom="355" w:gutter="0" w:footer="0" w:header="0"/>
          <w:type w:val="continuous"/>
        </w:sectPr>
      </w:pPr>
    </w:p>
    <w:bookmarkStart w:id="107" w:name="page108"/>
    <w:bookmarkEnd w:id="107"/>
    <w:p>
      <w:pPr>
        <w:spacing w:after="0" w:line="246" w:lineRule="auto"/>
        <w:tabs>
          <w:tab w:leader="none" w:pos="320" w:val="left"/>
        </w:tabs>
        <w:rPr>
          <w:sz w:val="20"/>
          <w:szCs w:val="20"/>
          <w:color w:val="auto"/>
        </w:rPr>
      </w:pPr>
    </w:p>
    <w:p>
      <w:pPr>
        <w:sectPr>
          <w:pgSz w:w="11900" w:h="16838" w:orient="portrait"/>
          <w:cols w:equalWidth="1" w:num="1" w:space="0"/>
          <w:pgMar w:left="1440" w:top="1440" w:right="1440" w:bottom="875" w:gutter="0" w:footer="0" w:header="0"/>
        </w:sectPr>
      </w:pPr>
    </w:p>
    <w:bookmarkStart w:id="108" w:name="page109"/>
    <w:bookmarkEnd w:id="108"/>
    <w:p>
      <w:pPr>
        <w:jc w:val="center"/>
        <w:ind w:right="20"/>
        <w:spacing w:after="0"/>
        <w:rPr>
          <w:sz w:val="20"/>
          <w:szCs w:val="20"/>
          <w:color w:val="auto"/>
        </w:rPr>
      </w:pPr>
      <w:r>
        <w:rPr>
          <w:rFonts w:ascii="Arial" w:cs="Arial" w:eastAsia="Arial" w:hAnsi="Arial"/>
          <w:sz w:val="18"/>
          <w:szCs w:val="18"/>
          <w:b w:val="1"/>
          <w:bCs w:val="1"/>
          <w:color w:val="auto"/>
        </w:rPr>
        <w:t>EXHIBIT 12.2</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SAN DIEGO GAS &amp; ELECTRIC COMPANY</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COMPUTATION OF RATIO OF EARNINGS TO COMBINED FIXED CHARGES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PREFERRED STOCK DIVIDENDS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2004</w:t>
            </w:r>
          </w:p>
        </w:tc>
        <w:tc>
          <w:tcPr>
            <w:tcW w:w="4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2005</w:t>
            </w:r>
          </w:p>
        </w:tc>
        <w:tc>
          <w:tcPr>
            <w:tcW w:w="3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2006</w:t>
            </w:r>
          </w:p>
        </w:tc>
        <w:tc>
          <w:tcPr>
            <w:tcW w:w="4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2007</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color w:val="auto"/>
              </w:rPr>
              <w:t>2008</w:t>
            </w:r>
          </w:p>
        </w:tc>
        <w:tc>
          <w:tcPr>
            <w:tcW w:w="180" w:type="dxa"/>
            <w:vAlign w:val="bottom"/>
          </w:tcPr>
          <w:p>
            <w:pPr>
              <w:spacing w:after="0"/>
              <w:rPr>
                <w:sz w:val="18"/>
                <w:szCs w:val="18"/>
                <w:color w:val="auto"/>
              </w:rPr>
            </w:pPr>
          </w:p>
        </w:tc>
        <w:tc>
          <w:tcPr>
            <w:tcW w:w="1580" w:type="dxa"/>
            <w:vAlign w:val="bottom"/>
            <w:gridSpan w:val="2"/>
          </w:tcPr>
          <w:p>
            <w:pPr>
              <w:jc w:val="right"/>
              <w:ind w:right="70"/>
              <w:spacing w:after="0"/>
              <w:rPr>
                <w:sz w:val="20"/>
                <w:szCs w:val="20"/>
                <w:color w:val="auto"/>
              </w:rPr>
            </w:pPr>
            <w:r>
              <w:rPr>
                <w:rFonts w:ascii="Arial" w:cs="Arial" w:eastAsia="Arial" w:hAnsi="Arial"/>
                <w:sz w:val="18"/>
                <w:szCs w:val="18"/>
                <w:color w:val="auto"/>
              </w:rPr>
              <w:t>March 31, 2009</w:t>
            </w:r>
          </w:p>
        </w:tc>
        <w:tc>
          <w:tcPr>
            <w:tcW w:w="0" w:type="dxa"/>
            <w:vAlign w:val="bottom"/>
          </w:tcPr>
          <w:p>
            <w:pPr>
              <w:spacing w:after="0"/>
              <w:rPr>
                <w:sz w:val="1"/>
                <w:szCs w:val="1"/>
                <w:color w:val="auto"/>
              </w:rPr>
            </w:pPr>
          </w:p>
        </w:tc>
      </w:tr>
      <w:tr>
        <w:trPr>
          <w:trHeight w:val="452"/>
        </w:trPr>
        <w:tc>
          <w:tcPr>
            <w:tcW w:w="2640" w:type="dxa"/>
            <w:vAlign w:val="bottom"/>
          </w:tcPr>
          <w:p>
            <w:pPr>
              <w:spacing w:after="0"/>
              <w:rPr>
                <w:sz w:val="20"/>
                <w:szCs w:val="20"/>
                <w:color w:val="auto"/>
              </w:rPr>
            </w:pPr>
            <w:r>
              <w:rPr>
                <w:rFonts w:ascii="Arial" w:cs="Arial" w:eastAsia="Arial" w:hAnsi="Arial"/>
                <w:sz w:val="18"/>
                <w:szCs w:val="18"/>
                <w:color w:val="auto"/>
              </w:rPr>
              <w:t>Fixed Charges and Preferred</w:t>
            </w:r>
          </w:p>
        </w:tc>
        <w:tc>
          <w:tcPr>
            <w:tcW w:w="9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640" w:type="dxa"/>
            <w:vAlign w:val="bottom"/>
          </w:tcPr>
          <w:p>
            <w:pPr>
              <w:ind w:left="260"/>
              <w:spacing w:after="0"/>
              <w:rPr>
                <w:sz w:val="20"/>
                <w:szCs w:val="20"/>
                <w:color w:val="auto"/>
              </w:rPr>
            </w:pPr>
            <w:r>
              <w:rPr>
                <w:rFonts w:ascii="Arial" w:cs="Arial" w:eastAsia="Arial" w:hAnsi="Arial"/>
                <w:sz w:val="18"/>
                <w:szCs w:val="18"/>
                <w:color w:val="auto"/>
              </w:rPr>
              <w:t>Stock Dividends:</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2640" w:type="dxa"/>
            <w:vAlign w:val="bottom"/>
          </w:tcPr>
          <w:p>
            <w:pPr>
              <w:spacing w:after="0"/>
              <w:rPr>
                <w:sz w:val="20"/>
                <w:szCs w:val="20"/>
                <w:color w:val="auto"/>
              </w:rPr>
            </w:pPr>
            <w:r>
              <w:rPr>
                <w:rFonts w:ascii="Arial" w:cs="Arial" w:eastAsia="Arial" w:hAnsi="Arial"/>
                <w:sz w:val="18"/>
                <w:szCs w:val="18"/>
                <w:color w:val="auto"/>
              </w:rPr>
              <w:t>Interest</w:t>
            </w:r>
          </w:p>
        </w:tc>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71</w:t>
            </w: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77</w:t>
            </w: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102</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105</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107</w:t>
            </w:r>
          </w:p>
        </w:tc>
        <w:tc>
          <w:tcPr>
            <w:tcW w:w="9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58"/>
        </w:trPr>
        <w:tc>
          <w:tcPr>
            <w:tcW w:w="2640" w:type="dxa"/>
            <w:vAlign w:val="bottom"/>
          </w:tcPr>
          <w:p>
            <w:pPr>
              <w:spacing w:after="0"/>
              <w:rPr>
                <w:sz w:val="20"/>
                <w:szCs w:val="20"/>
                <w:color w:val="auto"/>
              </w:rPr>
            </w:pPr>
            <w:r>
              <w:rPr>
                <w:rFonts w:ascii="Arial" w:cs="Arial" w:eastAsia="Arial" w:hAnsi="Arial"/>
                <w:sz w:val="18"/>
                <w:szCs w:val="18"/>
                <w:color w:val="auto"/>
              </w:rPr>
              <w:t>Interest portion of annual</w:t>
            </w:r>
          </w:p>
        </w:tc>
        <w:tc>
          <w:tcPr>
            <w:tcW w:w="90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640" w:type="dxa"/>
            <w:vAlign w:val="bottom"/>
          </w:tcPr>
          <w:p>
            <w:pPr>
              <w:ind w:left="260"/>
              <w:spacing w:after="0" w:line="203" w:lineRule="exact"/>
              <w:rPr>
                <w:sz w:val="20"/>
                <w:szCs w:val="20"/>
                <w:color w:val="auto"/>
              </w:rPr>
            </w:pPr>
            <w:r>
              <w:rPr>
                <w:rFonts w:ascii="Arial" w:cs="Arial" w:eastAsia="Arial" w:hAnsi="Arial"/>
                <w:sz w:val="18"/>
                <w:szCs w:val="18"/>
                <w:color w:val="auto"/>
              </w:rPr>
              <w:t>rentals</w:t>
            </w:r>
          </w:p>
        </w:tc>
        <w:tc>
          <w:tcPr>
            <w:tcW w:w="9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2640" w:type="dxa"/>
            <w:vAlign w:val="bottom"/>
          </w:tcPr>
          <w:p>
            <w:pPr>
              <w:spacing w:after="0"/>
              <w:rPr>
                <w:sz w:val="20"/>
                <w:szCs w:val="20"/>
                <w:color w:val="auto"/>
              </w:rPr>
            </w:pPr>
            <w:r>
              <w:rPr>
                <w:rFonts w:ascii="Arial" w:cs="Arial" w:eastAsia="Arial" w:hAnsi="Arial"/>
                <w:sz w:val="18"/>
                <w:szCs w:val="18"/>
                <w:color w:val="auto"/>
              </w:rPr>
              <w:t>Total fixed charges</w:t>
            </w:r>
          </w:p>
        </w:tc>
        <w:tc>
          <w:tcPr>
            <w:tcW w:w="9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73"/>
        </w:trPr>
        <w:tc>
          <w:tcPr>
            <w:tcW w:w="2640" w:type="dxa"/>
            <w:vAlign w:val="bottom"/>
          </w:tcPr>
          <w:p>
            <w:pPr>
              <w:spacing w:after="0"/>
              <w:rPr>
                <w:sz w:val="20"/>
                <w:szCs w:val="20"/>
                <w:color w:val="auto"/>
              </w:rPr>
            </w:pPr>
            <w:r>
              <w:rPr>
                <w:rFonts w:ascii="Arial" w:cs="Arial" w:eastAsia="Arial" w:hAnsi="Arial"/>
                <w:sz w:val="18"/>
                <w:szCs w:val="18"/>
                <w:color w:val="auto"/>
              </w:rPr>
              <w:t>Preferred stock dividends (1)</w:t>
            </w:r>
          </w:p>
        </w:tc>
        <w:tc>
          <w:tcPr>
            <w:tcW w:w="9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52"/>
        </w:trPr>
        <w:tc>
          <w:tcPr>
            <w:tcW w:w="2640" w:type="dxa"/>
            <w:vAlign w:val="bottom"/>
          </w:tcPr>
          <w:p>
            <w:pPr>
              <w:spacing w:after="0"/>
              <w:rPr>
                <w:sz w:val="20"/>
                <w:szCs w:val="20"/>
                <w:color w:val="auto"/>
              </w:rPr>
            </w:pPr>
            <w:r>
              <w:rPr>
                <w:rFonts w:ascii="Arial" w:cs="Arial" w:eastAsia="Arial" w:hAnsi="Arial"/>
                <w:sz w:val="18"/>
                <w:szCs w:val="18"/>
                <w:color w:val="auto"/>
              </w:rPr>
              <w:t>Combined fixed charges and</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260"/>
              <w:spacing w:after="0" w:line="202" w:lineRule="exact"/>
              <w:rPr>
                <w:sz w:val="20"/>
                <w:szCs w:val="20"/>
                <w:color w:val="auto"/>
              </w:rPr>
            </w:pPr>
            <w:r>
              <w:rPr>
                <w:rFonts w:ascii="Arial" w:cs="Arial" w:eastAsia="Arial" w:hAnsi="Arial"/>
                <w:sz w:val="18"/>
                <w:szCs w:val="18"/>
                <w:color w:val="auto"/>
              </w:rPr>
              <w:t>preferred stock dividends</w:t>
            </w:r>
          </w:p>
        </w:tc>
        <w:tc>
          <w:tcPr>
            <w:tcW w:w="90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81</w:t>
            </w:r>
          </w:p>
        </w:tc>
        <w:tc>
          <w:tcPr>
            <w:tcW w:w="1020" w:type="dxa"/>
            <w:vAlign w:val="bottom"/>
            <w:gridSpan w:val="2"/>
            <w:vMerge w:val="restart"/>
          </w:tcPr>
          <w:p>
            <w:pPr>
              <w:jc w:val="right"/>
              <w:ind w:right="580"/>
              <w:spacing w:after="0"/>
              <w:rPr>
                <w:sz w:val="20"/>
                <w:szCs w:val="20"/>
                <w:color w:val="auto"/>
              </w:rPr>
            </w:pPr>
            <w:r>
              <w:rPr>
                <w:rFonts w:ascii="Arial" w:cs="Arial" w:eastAsia="Arial" w:hAnsi="Arial"/>
                <w:sz w:val="18"/>
                <w:szCs w:val="18"/>
                <w:color w:val="auto"/>
              </w:rPr>
              <w:t>$</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86</w:t>
            </w:r>
          </w:p>
        </w:tc>
        <w:tc>
          <w:tcPr>
            <w:tcW w:w="1040" w:type="dxa"/>
            <w:vAlign w:val="bottom"/>
            <w:gridSpan w:val="2"/>
            <w:vMerge w:val="restart"/>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113</w:t>
            </w:r>
          </w:p>
        </w:tc>
        <w:tc>
          <w:tcPr>
            <w:tcW w:w="1040" w:type="dxa"/>
            <w:vAlign w:val="bottom"/>
            <w:gridSpan w:val="2"/>
            <w:vMerge w:val="restart"/>
          </w:tcPr>
          <w:p>
            <w:pPr>
              <w:jc w:val="right"/>
              <w:ind w:right="580"/>
              <w:spacing w:after="0"/>
              <w:rPr>
                <w:sz w:val="20"/>
                <w:szCs w:val="20"/>
                <w:color w:val="auto"/>
              </w:rPr>
            </w:pPr>
            <w:r>
              <w:rPr>
                <w:rFonts w:ascii="Arial" w:cs="Arial" w:eastAsia="Arial" w:hAnsi="Arial"/>
                <w:sz w:val="18"/>
                <w:szCs w:val="18"/>
                <w:color w:val="auto"/>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5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940" w:type="dxa"/>
            <w:vAlign w:val="bottom"/>
            <w:gridSpan w:val="2"/>
            <w:vMerge w:val="restart"/>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76"/>
        </w:trPr>
        <w:tc>
          <w:tcPr>
            <w:tcW w:w="2640" w:type="dxa"/>
            <w:vAlign w:val="bottom"/>
          </w:tcPr>
          <w:p>
            <w:pPr>
              <w:ind w:left="260"/>
              <w:spacing w:after="0" w:line="176" w:lineRule="exact"/>
              <w:rPr>
                <w:sz w:val="20"/>
                <w:szCs w:val="20"/>
                <w:color w:val="auto"/>
              </w:rPr>
            </w:pPr>
            <w:r>
              <w:rPr>
                <w:rFonts w:ascii="Arial" w:cs="Arial" w:eastAsia="Arial" w:hAnsi="Arial"/>
                <w:sz w:val="18"/>
                <w:szCs w:val="18"/>
                <w:color w:val="auto"/>
              </w:rPr>
              <w:t>for purpose of ratio</w:t>
            </w:r>
          </w:p>
        </w:tc>
        <w:tc>
          <w:tcPr>
            <w:tcW w:w="9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6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2640" w:type="dxa"/>
            <w:vAlign w:val="bottom"/>
          </w:tcPr>
          <w:p>
            <w:pPr>
              <w:spacing w:after="0"/>
              <w:rPr>
                <w:sz w:val="20"/>
                <w:szCs w:val="20"/>
                <w:color w:val="auto"/>
              </w:rPr>
            </w:pPr>
            <w:r>
              <w:rPr>
                <w:rFonts w:ascii="Arial" w:cs="Arial" w:eastAsia="Arial" w:hAnsi="Arial"/>
                <w:sz w:val="18"/>
                <w:szCs w:val="18"/>
                <w:color w:val="auto"/>
              </w:rPr>
              <w:t>Pretax income from</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640" w:type="dxa"/>
            <w:vAlign w:val="bottom"/>
          </w:tcPr>
          <w:p>
            <w:pPr>
              <w:ind w:left="260"/>
              <w:spacing w:after="0"/>
              <w:rPr>
                <w:sz w:val="20"/>
                <w:szCs w:val="20"/>
                <w:color w:val="auto"/>
              </w:rPr>
            </w:pPr>
            <w:r>
              <w:rPr>
                <w:rFonts w:ascii="Arial" w:cs="Arial" w:eastAsia="Arial" w:hAnsi="Arial"/>
                <w:sz w:val="18"/>
                <w:szCs w:val="18"/>
                <w:color w:val="auto"/>
              </w:rPr>
              <w:t>continuing operations</w:t>
            </w:r>
          </w:p>
        </w:tc>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361</w:t>
            </w: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356</w:t>
            </w: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394</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406</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451</w:t>
            </w:r>
          </w:p>
        </w:tc>
        <w:tc>
          <w:tcPr>
            <w:tcW w:w="9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458"/>
        </w:trPr>
        <w:tc>
          <w:tcPr>
            <w:tcW w:w="2640" w:type="dxa"/>
            <w:vAlign w:val="bottom"/>
          </w:tcPr>
          <w:p>
            <w:pPr>
              <w:spacing w:after="0"/>
              <w:rPr>
                <w:sz w:val="20"/>
                <w:szCs w:val="20"/>
                <w:color w:val="auto"/>
              </w:rPr>
            </w:pPr>
            <w:r>
              <w:rPr>
                <w:rFonts w:ascii="Arial" w:cs="Arial" w:eastAsia="Arial" w:hAnsi="Arial"/>
                <w:sz w:val="18"/>
                <w:szCs w:val="18"/>
                <w:color w:val="auto"/>
              </w:rPr>
              <w:t>Total fixed charges (from</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640" w:type="dxa"/>
            <w:vAlign w:val="bottom"/>
          </w:tcPr>
          <w:p>
            <w:pPr>
              <w:ind w:left="260"/>
              <w:spacing w:after="0"/>
              <w:rPr>
                <w:sz w:val="20"/>
                <w:szCs w:val="20"/>
                <w:color w:val="auto"/>
              </w:rPr>
            </w:pPr>
            <w:r>
              <w:rPr>
                <w:rFonts w:ascii="Arial" w:cs="Arial" w:eastAsia="Arial" w:hAnsi="Arial"/>
                <w:sz w:val="18"/>
                <w:szCs w:val="18"/>
                <w:color w:val="auto"/>
              </w:rPr>
              <w:t>above)</w:t>
            </w: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73"/>
        </w:trPr>
        <w:tc>
          <w:tcPr>
            <w:tcW w:w="2640" w:type="dxa"/>
            <w:vAlign w:val="bottom"/>
          </w:tcPr>
          <w:p>
            <w:pPr>
              <w:spacing w:after="0"/>
              <w:rPr>
                <w:sz w:val="20"/>
                <w:szCs w:val="20"/>
                <w:color w:val="auto"/>
              </w:rPr>
            </w:pPr>
            <w:r>
              <w:rPr>
                <w:rFonts w:ascii="Arial" w:cs="Arial" w:eastAsia="Arial" w:hAnsi="Arial"/>
                <w:sz w:val="18"/>
                <w:szCs w:val="18"/>
                <w:color w:val="auto"/>
              </w:rPr>
              <w:t>Less: Interest capitalized</w:t>
            </w:r>
          </w:p>
        </w:tc>
        <w:tc>
          <w:tcPr>
            <w:tcW w:w="9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2"/>
        </w:trPr>
        <w:tc>
          <w:tcPr>
            <w:tcW w:w="2640" w:type="dxa"/>
            <w:vAlign w:val="bottom"/>
          </w:tcPr>
          <w:p>
            <w:pPr>
              <w:spacing w:after="0"/>
              <w:rPr>
                <w:sz w:val="20"/>
                <w:szCs w:val="20"/>
                <w:color w:val="auto"/>
              </w:rPr>
            </w:pPr>
            <w:r>
              <w:rPr>
                <w:rFonts w:ascii="Arial" w:cs="Arial" w:eastAsia="Arial" w:hAnsi="Arial"/>
                <w:sz w:val="18"/>
                <w:szCs w:val="18"/>
                <w:color w:val="auto"/>
              </w:rPr>
              <w:t>Total earnings for purpose of</w:t>
            </w:r>
          </w:p>
        </w:tc>
        <w:tc>
          <w:tcPr>
            <w:tcW w:w="90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433</w:t>
            </w:r>
          </w:p>
        </w:tc>
        <w:tc>
          <w:tcPr>
            <w:tcW w:w="1020" w:type="dxa"/>
            <w:vAlign w:val="bottom"/>
            <w:gridSpan w:val="2"/>
            <w:vMerge w:val="restart"/>
          </w:tcPr>
          <w:p>
            <w:pPr>
              <w:jc w:val="right"/>
              <w:ind w:right="580"/>
              <w:spacing w:after="0"/>
              <w:rPr>
                <w:sz w:val="20"/>
                <w:szCs w:val="20"/>
                <w:color w:val="auto"/>
              </w:rPr>
            </w:pPr>
            <w:r>
              <w:rPr>
                <w:rFonts w:ascii="Arial" w:cs="Arial" w:eastAsia="Arial" w:hAnsi="Arial"/>
                <w:sz w:val="18"/>
                <w:szCs w:val="18"/>
                <w:color w:val="auto"/>
              </w:rPr>
              <w:t>$</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435</w:t>
            </w:r>
          </w:p>
        </w:tc>
        <w:tc>
          <w:tcPr>
            <w:tcW w:w="1040" w:type="dxa"/>
            <w:vAlign w:val="bottom"/>
            <w:gridSpan w:val="2"/>
            <w:vMerge w:val="restart"/>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498</w:t>
            </w:r>
          </w:p>
        </w:tc>
        <w:tc>
          <w:tcPr>
            <w:tcW w:w="1040" w:type="dxa"/>
            <w:vAlign w:val="bottom"/>
            <w:gridSpan w:val="2"/>
            <w:vMerge w:val="restart"/>
          </w:tcPr>
          <w:p>
            <w:pPr>
              <w:jc w:val="right"/>
              <w:ind w:right="580"/>
              <w:spacing w:after="0"/>
              <w:rPr>
                <w:sz w:val="20"/>
                <w:szCs w:val="20"/>
                <w:color w:val="auto"/>
              </w:rPr>
            </w:pPr>
            <w:r>
              <w:rPr>
                <w:rFonts w:ascii="Arial" w:cs="Arial" w:eastAsia="Arial" w:hAnsi="Arial"/>
                <w:sz w:val="18"/>
                <w:szCs w:val="18"/>
                <w:color w:val="auto"/>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511</w:t>
            </w:r>
          </w:p>
        </w:tc>
        <w:tc>
          <w:tcPr>
            <w:tcW w:w="5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546</w:t>
            </w:r>
          </w:p>
        </w:tc>
        <w:tc>
          <w:tcPr>
            <w:tcW w:w="940" w:type="dxa"/>
            <w:vAlign w:val="bottom"/>
            <w:gridSpan w:val="2"/>
            <w:vMerge w:val="restart"/>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176"/>
        </w:trPr>
        <w:tc>
          <w:tcPr>
            <w:tcW w:w="2640" w:type="dxa"/>
            <w:vAlign w:val="bottom"/>
          </w:tcPr>
          <w:p>
            <w:pPr>
              <w:ind w:left="260"/>
              <w:spacing w:after="0" w:line="176" w:lineRule="exact"/>
              <w:rPr>
                <w:sz w:val="20"/>
                <w:szCs w:val="20"/>
                <w:color w:val="auto"/>
              </w:rPr>
            </w:pPr>
            <w:r>
              <w:rPr>
                <w:rFonts w:ascii="Arial" w:cs="Arial" w:eastAsia="Arial" w:hAnsi="Arial"/>
                <w:sz w:val="18"/>
                <w:szCs w:val="18"/>
                <w:color w:val="auto"/>
              </w:rPr>
              <w:t>ratio</w:t>
            </w:r>
          </w:p>
        </w:tc>
        <w:tc>
          <w:tcPr>
            <w:tcW w:w="9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Arial" w:cs="Arial" w:eastAsia="Arial" w:hAnsi="Arial"/>
                <w:sz w:val="18"/>
                <w:szCs w:val="18"/>
                <w:color w:val="auto"/>
              </w:rPr>
              <w:t>Ratio of earnings to</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6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260"/>
              <w:spacing w:after="0" w:line="202" w:lineRule="exact"/>
              <w:rPr>
                <w:sz w:val="20"/>
                <w:szCs w:val="20"/>
                <w:color w:val="auto"/>
              </w:rPr>
            </w:pPr>
            <w:r>
              <w:rPr>
                <w:rFonts w:ascii="Arial" w:cs="Arial" w:eastAsia="Arial" w:hAnsi="Arial"/>
                <w:sz w:val="18"/>
                <w:szCs w:val="18"/>
                <w:color w:val="auto"/>
              </w:rPr>
              <w:t>combined fixed charges</w:t>
            </w: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260"/>
              <w:spacing w:after="0" w:line="202" w:lineRule="exact"/>
              <w:rPr>
                <w:sz w:val="20"/>
                <w:szCs w:val="20"/>
                <w:color w:val="auto"/>
              </w:rPr>
            </w:pPr>
            <w:r>
              <w:rPr>
                <w:rFonts w:ascii="Arial" w:cs="Arial" w:eastAsia="Arial" w:hAnsi="Arial"/>
                <w:sz w:val="18"/>
                <w:szCs w:val="18"/>
                <w:color w:val="auto"/>
              </w:rPr>
              <w:t>and preferred stock</w:t>
            </w:r>
          </w:p>
        </w:tc>
        <w:tc>
          <w:tcPr>
            <w:tcW w:w="900" w:type="dxa"/>
            <w:vAlign w:val="bottom"/>
          </w:tcPr>
          <w:p>
            <w:pPr>
              <w:spacing w:after="0"/>
              <w:rPr>
                <w:sz w:val="17"/>
                <w:szCs w:val="17"/>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5.35</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5.06</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4.41</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4.44</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4.75</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176"/>
        </w:trPr>
        <w:tc>
          <w:tcPr>
            <w:tcW w:w="2640" w:type="dxa"/>
            <w:vAlign w:val="bottom"/>
          </w:tcPr>
          <w:p>
            <w:pPr>
              <w:ind w:left="260"/>
              <w:spacing w:after="0" w:line="176" w:lineRule="exact"/>
              <w:rPr>
                <w:sz w:val="20"/>
                <w:szCs w:val="20"/>
                <w:color w:val="auto"/>
              </w:rPr>
            </w:pPr>
            <w:r>
              <w:rPr>
                <w:rFonts w:ascii="Arial" w:cs="Arial" w:eastAsia="Arial" w:hAnsi="Arial"/>
                <w:sz w:val="18"/>
                <w:szCs w:val="18"/>
                <w:color w:val="auto"/>
              </w:rPr>
              <w:t>dividends</w:t>
            </w:r>
          </w:p>
        </w:tc>
        <w:tc>
          <w:tcPr>
            <w:tcW w:w="9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Arial" w:cs="Arial" w:eastAsia="Arial" w:hAnsi="Arial"/>
                <w:sz w:val="18"/>
                <w:szCs w:val="18"/>
                <w:color w:val="auto"/>
              </w:rPr>
              <w:t>Ratio of earnings to fixed</w:t>
            </w: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6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5.93</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5.44</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4.74</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4.73</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5.06</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176"/>
        </w:trPr>
        <w:tc>
          <w:tcPr>
            <w:tcW w:w="2640" w:type="dxa"/>
            <w:vAlign w:val="bottom"/>
          </w:tcPr>
          <w:p>
            <w:pPr>
              <w:ind w:left="260"/>
              <w:spacing w:after="0" w:line="176" w:lineRule="exact"/>
              <w:rPr>
                <w:sz w:val="20"/>
                <w:szCs w:val="20"/>
                <w:color w:val="auto"/>
              </w:rPr>
            </w:pPr>
            <w:r>
              <w:rPr>
                <w:rFonts w:ascii="Arial" w:cs="Arial" w:eastAsia="Arial" w:hAnsi="Arial"/>
                <w:sz w:val="18"/>
                <w:szCs w:val="18"/>
                <w:color w:val="auto"/>
              </w:rPr>
              <w:t>charges</w:t>
            </w:r>
          </w:p>
        </w:tc>
        <w:tc>
          <w:tcPr>
            <w:tcW w:w="9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220" w:firstLine="2"/>
        <w:spacing w:after="0" w:line="246" w:lineRule="auto"/>
        <w:tabs>
          <w:tab w:leader="none" w:pos="3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1400"/>
          </w:cols>
          <w:pgMar w:left="260" w:top="886" w:right="239" w:bottom="1440" w:gutter="0" w:footer="0" w:header="0"/>
        </w:sectPr>
      </w:pPr>
    </w:p>
    <w:bookmarkStart w:id="109" w:name="page110"/>
    <w:bookmarkEnd w:id="109"/>
    <w:p>
      <w:pPr>
        <w:jc w:val="center"/>
        <w:ind w:right="20"/>
        <w:spacing w:after="0"/>
        <w:rPr>
          <w:sz w:val="20"/>
          <w:szCs w:val="20"/>
          <w:color w:val="auto"/>
        </w:rPr>
      </w:pPr>
      <w:r>
        <w:rPr>
          <w:rFonts w:ascii="Arial" w:cs="Arial" w:eastAsia="Arial" w:hAnsi="Arial"/>
          <w:sz w:val="18"/>
          <w:szCs w:val="18"/>
          <w:b w:val="1"/>
          <w:bCs w:val="1"/>
          <w:color w:val="auto"/>
        </w:rPr>
        <w:t>EXHIBIT 12.3</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PACIFIC ENTERPRISES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COMPUTATION OF RATIO OF EARNINGS TO COMBINED FIXED CHARGES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PREFERRED STOCK DIVIDENDS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8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2004</w:t>
            </w:r>
          </w:p>
        </w:tc>
        <w:tc>
          <w:tcPr>
            <w:tcW w:w="4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2005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2006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ind w:right="530"/>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18"/>
                <w:szCs w:val="18"/>
                <w:color w:val="auto"/>
              </w:rPr>
            </w:pPr>
          </w:p>
        </w:tc>
        <w:tc>
          <w:tcPr>
            <w:tcW w:w="1640" w:type="dxa"/>
            <w:vAlign w:val="bottom"/>
            <w:gridSpan w:val="2"/>
          </w:tcPr>
          <w:p>
            <w:pPr>
              <w:ind w:left="200"/>
              <w:spacing w:after="0"/>
              <w:rPr>
                <w:sz w:val="20"/>
                <w:szCs w:val="20"/>
                <w:color w:val="auto"/>
              </w:rPr>
            </w:pPr>
            <w:r>
              <w:rPr>
                <w:rFonts w:ascii="Arial" w:cs="Arial" w:eastAsia="Arial" w:hAnsi="Arial"/>
                <w:sz w:val="18"/>
                <w:szCs w:val="18"/>
                <w:color w:val="auto"/>
              </w:rPr>
              <w:t>March 31, 2009</w:t>
            </w:r>
          </w:p>
        </w:tc>
        <w:tc>
          <w:tcPr>
            <w:tcW w:w="0" w:type="dxa"/>
            <w:vAlign w:val="bottom"/>
          </w:tcPr>
          <w:p>
            <w:pPr>
              <w:spacing w:after="0"/>
              <w:rPr>
                <w:sz w:val="1"/>
                <w:szCs w:val="1"/>
                <w:color w:val="auto"/>
              </w:rPr>
            </w:pPr>
          </w:p>
        </w:tc>
      </w:tr>
      <w:tr>
        <w:trPr>
          <w:trHeight w:val="237"/>
        </w:trPr>
        <w:tc>
          <w:tcPr>
            <w:tcW w:w="1800" w:type="dxa"/>
            <w:vAlign w:val="bottom"/>
          </w:tcPr>
          <w:p>
            <w:pPr>
              <w:spacing w:after="0"/>
              <w:rPr>
                <w:sz w:val="20"/>
                <w:szCs w:val="20"/>
                <w:color w:val="auto"/>
              </w:rPr>
            </w:pPr>
            <w:r>
              <w:rPr>
                <w:rFonts w:ascii="Arial" w:cs="Arial" w:eastAsia="Arial" w:hAnsi="Arial"/>
                <w:sz w:val="18"/>
                <w:szCs w:val="18"/>
                <w:color w:val="auto"/>
              </w:rPr>
              <w:t>Fixed Charges:</w:t>
            </w:r>
          </w:p>
        </w:tc>
        <w:tc>
          <w:tcPr>
            <w:tcW w:w="10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800" w:type="dxa"/>
            <w:vAlign w:val="bottom"/>
          </w:tcPr>
          <w:p>
            <w:pPr>
              <w:spacing w:after="0"/>
              <w:rPr>
                <w:sz w:val="20"/>
                <w:szCs w:val="20"/>
                <w:color w:val="auto"/>
              </w:rPr>
            </w:pPr>
            <w:r>
              <w:rPr>
                <w:rFonts w:ascii="Arial" w:cs="Arial" w:eastAsia="Arial" w:hAnsi="Arial"/>
                <w:sz w:val="18"/>
                <w:szCs w:val="18"/>
                <w:color w:val="auto"/>
              </w:rPr>
              <w:t>Interest</w:t>
            </w:r>
          </w:p>
        </w:tc>
        <w:tc>
          <w:tcPr>
            <w:tcW w:w="102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47</w:t>
            </w:r>
          </w:p>
        </w:tc>
        <w:tc>
          <w:tcPr>
            <w:tcW w:w="11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78</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78</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w:t>
            </w: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58"/>
        </w:trPr>
        <w:tc>
          <w:tcPr>
            <w:tcW w:w="1800" w:type="dxa"/>
            <w:vAlign w:val="bottom"/>
          </w:tcPr>
          <w:p>
            <w:pPr>
              <w:spacing w:after="0"/>
              <w:rPr>
                <w:sz w:val="20"/>
                <w:szCs w:val="20"/>
                <w:color w:val="auto"/>
              </w:rPr>
            </w:pPr>
            <w:r>
              <w:rPr>
                <w:rFonts w:ascii="Arial" w:cs="Arial" w:eastAsia="Arial" w:hAnsi="Arial"/>
                <w:sz w:val="18"/>
                <w:szCs w:val="18"/>
                <w:color w:val="auto"/>
              </w:rPr>
              <w:t>Interest portion of</w:t>
            </w: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800" w:type="dxa"/>
            <w:vAlign w:val="bottom"/>
          </w:tcPr>
          <w:p>
            <w:pPr>
              <w:ind w:left="260"/>
              <w:spacing w:after="0"/>
              <w:rPr>
                <w:sz w:val="20"/>
                <w:szCs w:val="20"/>
                <w:color w:val="auto"/>
              </w:rPr>
            </w:pPr>
            <w:r>
              <w:rPr>
                <w:rFonts w:ascii="Arial" w:cs="Arial" w:eastAsia="Arial" w:hAnsi="Arial"/>
                <w:sz w:val="18"/>
                <w:szCs w:val="18"/>
                <w:color w:val="auto"/>
              </w:rPr>
              <w:t>annual rentals</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8"/>
        </w:trPr>
        <w:tc>
          <w:tcPr>
            <w:tcW w:w="1800" w:type="dxa"/>
            <w:vAlign w:val="bottom"/>
          </w:tcPr>
          <w:p>
            <w:pPr>
              <w:spacing w:after="0"/>
              <w:rPr>
                <w:sz w:val="20"/>
                <w:szCs w:val="20"/>
                <w:color w:val="auto"/>
              </w:rPr>
            </w:pPr>
            <w:r>
              <w:rPr>
                <w:rFonts w:ascii="Arial" w:cs="Arial" w:eastAsia="Arial" w:hAnsi="Arial"/>
                <w:sz w:val="18"/>
                <w:szCs w:val="18"/>
                <w:color w:val="auto"/>
              </w:rPr>
              <w:t>Preferred dividends</w:t>
            </w:r>
          </w:p>
        </w:tc>
        <w:tc>
          <w:tcPr>
            <w:tcW w:w="1020" w:type="dxa"/>
            <w:vAlign w:val="bottom"/>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1800" w:type="dxa"/>
            <w:vAlign w:val="bottom"/>
          </w:tcPr>
          <w:p>
            <w:pPr>
              <w:ind w:left="260"/>
              <w:spacing w:after="0" w:line="203" w:lineRule="exact"/>
              <w:rPr>
                <w:sz w:val="20"/>
                <w:szCs w:val="20"/>
                <w:color w:val="auto"/>
              </w:rPr>
            </w:pPr>
            <w:r>
              <w:rPr>
                <w:rFonts w:ascii="Arial" w:cs="Arial" w:eastAsia="Arial" w:hAnsi="Arial"/>
                <w:sz w:val="18"/>
                <w:szCs w:val="18"/>
                <w:color w:val="auto"/>
              </w:rPr>
              <w:t>of subsidiary (1)</w:t>
            </w:r>
          </w:p>
        </w:tc>
        <w:tc>
          <w:tcPr>
            <w:tcW w:w="10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800" w:type="dxa"/>
            <w:vAlign w:val="bottom"/>
          </w:tcPr>
          <w:p>
            <w:pPr>
              <w:spacing w:after="0"/>
              <w:rPr>
                <w:sz w:val="20"/>
                <w:szCs w:val="20"/>
                <w:color w:val="auto"/>
              </w:rPr>
            </w:pPr>
            <w:r>
              <w:rPr>
                <w:rFonts w:ascii="Arial" w:cs="Arial" w:eastAsia="Arial" w:hAnsi="Arial"/>
                <w:sz w:val="18"/>
                <w:szCs w:val="18"/>
                <w:color w:val="auto"/>
              </w:rPr>
              <w:t>Total fixed charges</w:t>
            </w:r>
          </w:p>
        </w:tc>
        <w:tc>
          <w:tcPr>
            <w:tcW w:w="10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58"/>
        </w:trPr>
        <w:tc>
          <w:tcPr>
            <w:tcW w:w="1800" w:type="dxa"/>
            <w:vAlign w:val="bottom"/>
          </w:tcPr>
          <w:p>
            <w:pPr>
              <w:spacing w:after="0"/>
              <w:rPr>
                <w:sz w:val="20"/>
                <w:szCs w:val="20"/>
                <w:color w:val="auto"/>
              </w:rPr>
            </w:pPr>
            <w:r>
              <w:rPr>
                <w:rFonts w:ascii="Arial" w:cs="Arial" w:eastAsia="Arial" w:hAnsi="Arial"/>
                <w:sz w:val="18"/>
                <w:szCs w:val="18"/>
                <w:color w:val="auto"/>
              </w:rPr>
              <w:t>Preferred stock</w:t>
            </w:r>
          </w:p>
        </w:tc>
        <w:tc>
          <w:tcPr>
            <w:tcW w:w="1020" w:type="dxa"/>
            <w:vAlign w:val="bottom"/>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1800" w:type="dxa"/>
            <w:vAlign w:val="bottom"/>
          </w:tcPr>
          <w:p>
            <w:pPr>
              <w:ind w:left="260"/>
              <w:spacing w:after="0" w:line="203" w:lineRule="exact"/>
              <w:rPr>
                <w:sz w:val="20"/>
                <w:szCs w:val="20"/>
                <w:color w:val="auto"/>
              </w:rPr>
            </w:pPr>
            <w:r>
              <w:rPr>
                <w:rFonts w:ascii="Arial" w:cs="Arial" w:eastAsia="Arial" w:hAnsi="Arial"/>
                <w:sz w:val="18"/>
                <w:szCs w:val="18"/>
                <w:color w:val="auto"/>
              </w:rPr>
              <w:t>dividends</w:t>
            </w:r>
          </w:p>
        </w:tc>
        <w:tc>
          <w:tcPr>
            <w:tcW w:w="10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95"/>
        </w:trPr>
        <w:tc>
          <w:tcPr>
            <w:tcW w:w="1800" w:type="dxa"/>
            <w:vAlign w:val="bottom"/>
          </w:tcPr>
          <w:p>
            <w:pPr>
              <w:spacing w:after="0"/>
              <w:rPr>
                <w:sz w:val="20"/>
                <w:szCs w:val="20"/>
                <w:color w:val="auto"/>
              </w:rPr>
            </w:pPr>
            <w:r>
              <w:rPr>
                <w:rFonts w:ascii="Arial" w:cs="Arial" w:eastAsia="Arial" w:hAnsi="Arial"/>
                <w:sz w:val="18"/>
                <w:szCs w:val="18"/>
                <w:color w:val="auto"/>
              </w:rPr>
              <w:t>Combined fixed</w:t>
            </w: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00" w:type="dxa"/>
            <w:vAlign w:val="bottom"/>
          </w:tcPr>
          <w:p>
            <w:pPr>
              <w:ind w:left="260"/>
              <w:spacing w:after="0" w:line="202" w:lineRule="exact"/>
              <w:rPr>
                <w:sz w:val="20"/>
                <w:szCs w:val="20"/>
                <w:color w:val="auto"/>
              </w:rPr>
            </w:pPr>
            <w:r>
              <w:rPr>
                <w:rFonts w:ascii="Arial" w:cs="Arial" w:eastAsia="Arial" w:hAnsi="Arial"/>
                <w:sz w:val="18"/>
                <w:szCs w:val="18"/>
                <w:color w:val="auto"/>
              </w:rPr>
              <w:t>charges and</w:t>
            </w: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tcPr>
          <w:p>
            <w:pPr>
              <w:ind w:left="260"/>
              <w:spacing w:after="0" w:line="202" w:lineRule="exact"/>
              <w:rPr>
                <w:sz w:val="20"/>
                <w:szCs w:val="20"/>
                <w:color w:val="auto"/>
              </w:rPr>
            </w:pPr>
            <w:r>
              <w:rPr>
                <w:rFonts w:ascii="Arial" w:cs="Arial" w:eastAsia="Arial" w:hAnsi="Arial"/>
                <w:sz w:val="18"/>
                <w:szCs w:val="18"/>
                <w:color w:val="auto"/>
              </w:rPr>
              <w:t>preferred stock</w:t>
            </w: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tcPr>
          <w:p>
            <w:pPr>
              <w:ind w:left="260"/>
              <w:spacing w:after="0" w:line="202" w:lineRule="exact"/>
              <w:rPr>
                <w:sz w:val="20"/>
                <w:szCs w:val="20"/>
                <w:color w:val="auto"/>
              </w:rPr>
            </w:pPr>
            <w:r>
              <w:rPr>
                <w:rFonts w:ascii="Arial" w:cs="Arial" w:eastAsia="Arial" w:hAnsi="Arial"/>
                <w:sz w:val="18"/>
                <w:szCs w:val="18"/>
                <w:color w:val="auto"/>
              </w:rPr>
              <w:t>dividends for</w:t>
            </w:r>
          </w:p>
        </w:tc>
        <w:tc>
          <w:tcPr>
            <w:tcW w:w="1020" w:type="dxa"/>
            <w:vAlign w:val="bottom"/>
            <w:vMerge w:val="restart"/>
          </w:tcPr>
          <w:p>
            <w:pPr>
              <w:jc w:val="right"/>
              <w:ind w:right="670"/>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1120" w:type="dxa"/>
            <w:vAlign w:val="bottom"/>
            <w:gridSpan w:val="2"/>
            <w:vMerge w:val="restart"/>
          </w:tcPr>
          <w:p>
            <w:pPr>
              <w:jc w:val="right"/>
              <w:ind w:right="740"/>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89</w:t>
            </w: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78</w:t>
            </w:r>
          </w:p>
        </w:tc>
        <w:tc>
          <w:tcPr>
            <w:tcW w:w="90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76"/>
        </w:trPr>
        <w:tc>
          <w:tcPr>
            <w:tcW w:w="1800" w:type="dxa"/>
            <w:vAlign w:val="bottom"/>
          </w:tcPr>
          <w:p>
            <w:pPr>
              <w:ind w:left="260"/>
              <w:spacing w:after="0" w:line="176" w:lineRule="exact"/>
              <w:rPr>
                <w:sz w:val="20"/>
                <w:szCs w:val="20"/>
                <w:color w:val="auto"/>
              </w:rPr>
            </w:pPr>
            <w:r>
              <w:rPr>
                <w:rFonts w:ascii="Arial" w:cs="Arial" w:eastAsia="Arial" w:hAnsi="Arial"/>
                <w:sz w:val="18"/>
                <w:szCs w:val="18"/>
                <w:color w:val="auto"/>
              </w:rPr>
              <w:t>purpose of ratio</w:t>
            </w:r>
          </w:p>
        </w:tc>
        <w:tc>
          <w:tcPr>
            <w:tcW w:w="10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18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1800" w:type="dxa"/>
            <w:vAlign w:val="bottom"/>
          </w:tcPr>
          <w:p>
            <w:pPr>
              <w:spacing w:after="0"/>
              <w:rPr>
                <w:sz w:val="20"/>
                <w:szCs w:val="20"/>
                <w:color w:val="auto"/>
              </w:rPr>
            </w:pPr>
            <w:r>
              <w:rPr>
                <w:rFonts w:ascii="Arial" w:cs="Arial" w:eastAsia="Arial" w:hAnsi="Arial"/>
                <w:sz w:val="18"/>
                <w:szCs w:val="18"/>
                <w:color w:val="auto"/>
              </w:rPr>
              <w:t>Pretax income from</w:t>
            </w: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00" w:type="dxa"/>
            <w:vAlign w:val="bottom"/>
          </w:tcPr>
          <w:p>
            <w:pPr>
              <w:ind w:left="260"/>
              <w:spacing w:after="0" w:line="202" w:lineRule="exact"/>
              <w:rPr>
                <w:sz w:val="20"/>
                <w:szCs w:val="20"/>
                <w:color w:val="auto"/>
              </w:rPr>
            </w:pPr>
            <w:r>
              <w:rPr>
                <w:rFonts w:ascii="Arial" w:cs="Arial" w:eastAsia="Arial" w:hAnsi="Arial"/>
                <w:sz w:val="18"/>
                <w:szCs w:val="18"/>
                <w:color w:val="auto"/>
              </w:rPr>
              <w:t>continuing</w:t>
            </w: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800" w:type="dxa"/>
            <w:vAlign w:val="bottom"/>
          </w:tcPr>
          <w:p>
            <w:pPr>
              <w:ind w:left="260"/>
              <w:spacing w:after="0"/>
              <w:rPr>
                <w:sz w:val="20"/>
                <w:szCs w:val="20"/>
                <w:color w:val="auto"/>
              </w:rPr>
            </w:pPr>
            <w:r>
              <w:rPr>
                <w:rFonts w:ascii="Arial" w:cs="Arial" w:eastAsia="Arial" w:hAnsi="Arial"/>
                <w:sz w:val="18"/>
                <w:szCs w:val="18"/>
                <w:color w:val="auto"/>
              </w:rPr>
              <w:t>operations</w:t>
            </w:r>
          </w:p>
        </w:tc>
        <w:tc>
          <w:tcPr>
            <w:tcW w:w="102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391</w:t>
            </w:r>
          </w:p>
        </w:tc>
        <w:tc>
          <w:tcPr>
            <w:tcW w:w="11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325</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426</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408</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394</w:t>
            </w: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458"/>
        </w:trPr>
        <w:tc>
          <w:tcPr>
            <w:tcW w:w="1800" w:type="dxa"/>
            <w:vAlign w:val="bottom"/>
          </w:tcPr>
          <w:p>
            <w:pPr>
              <w:spacing w:after="0"/>
              <w:rPr>
                <w:sz w:val="20"/>
                <w:szCs w:val="20"/>
                <w:color w:val="auto"/>
              </w:rPr>
            </w:pPr>
            <w:r>
              <w:rPr>
                <w:rFonts w:ascii="Arial" w:cs="Arial" w:eastAsia="Arial" w:hAnsi="Arial"/>
                <w:sz w:val="18"/>
                <w:szCs w:val="18"/>
                <w:color w:val="auto"/>
              </w:rPr>
              <w:t>Total fixed charges</w:t>
            </w: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800" w:type="dxa"/>
            <w:vAlign w:val="bottom"/>
          </w:tcPr>
          <w:p>
            <w:pPr>
              <w:ind w:left="260"/>
              <w:spacing w:after="0"/>
              <w:rPr>
                <w:sz w:val="20"/>
                <w:szCs w:val="20"/>
                <w:color w:val="auto"/>
              </w:rPr>
            </w:pPr>
            <w:r>
              <w:rPr>
                <w:rFonts w:ascii="Arial" w:cs="Arial" w:eastAsia="Arial" w:hAnsi="Arial"/>
                <w:sz w:val="18"/>
                <w:szCs w:val="18"/>
                <w:color w:val="auto"/>
              </w:rPr>
              <w:t>(from above)</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58"/>
        </w:trPr>
        <w:tc>
          <w:tcPr>
            <w:tcW w:w="1800" w:type="dxa"/>
            <w:vAlign w:val="bottom"/>
          </w:tcPr>
          <w:p>
            <w:pPr>
              <w:spacing w:after="0"/>
              <w:rPr>
                <w:sz w:val="20"/>
                <w:szCs w:val="20"/>
                <w:color w:val="auto"/>
              </w:rPr>
            </w:pPr>
            <w:r>
              <w:rPr>
                <w:rFonts w:ascii="Arial" w:cs="Arial" w:eastAsia="Arial" w:hAnsi="Arial"/>
                <w:sz w:val="18"/>
                <w:szCs w:val="18"/>
                <w:color w:val="auto"/>
              </w:rPr>
              <w:t>Less: Interest</w:t>
            </w: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800" w:type="dxa"/>
            <w:vAlign w:val="bottom"/>
          </w:tcPr>
          <w:p>
            <w:pPr>
              <w:ind w:left="260"/>
              <w:spacing w:after="0"/>
              <w:rPr>
                <w:sz w:val="20"/>
                <w:szCs w:val="20"/>
                <w:color w:val="auto"/>
              </w:rPr>
            </w:pPr>
            <w:r>
              <w:rPr>
                <w:rFonts w:ascii="Arial" w:cs="Arial" w:eastAsia="Arial" w:hAnsi="Arial"/>
                <w:sz w:val="18"/>
                <w:szCs w:val="18"/>
                <w:color w:val="auto"/>
              </w:rPr>
              <w:t>capitalized</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8"/>
        </w:trPr>
        <w:tc>
          <w:tcPr>
            <w:tcW w:w="1800" w:type="dxa"/>
            <w:vAlign w:val="bottom"/>
          </w:tcPr>
          <w:p>
            <w:pPr>
              <w:spacing w:after="0"/>
              <w:rPr>
                <w:sz w:val="20"/>
                <w:szCs w:val="20"/>
                <w:color w:val="auto"/>
              </w:rPr>
            </w:pPr>
            <w:r>
              <w:rPr>
                <w:rFonts w:ascii="Arial" w:cs="Arial" w:eastAsia="Arial" w:hAnsi="Arial"/>
                <w:sz w:val="18"/>
                <w:szCs w:val="18"/>
                <w:color w:val="auto"/>
              </w:rPr>
              <w:t>Less: Preferred</w:t>
            </w: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line="202" w:lineRule="exact"/>
              <w:rPr>
                <w:sz w:val="20"/>
                <w:szCs w:val="20"/>
                <w:color w:val="auto"/>
              </w:rPr>
            </w:pPr>
            <w:r>
              <w:rPr>
                <w:rFonts w:ascii="Arial" w:cs="Arial" w:eastAsia="Arial" w:hAnsi="Arial"/>
                <w:sz w:val="18"/>
                <w:szCs w:val="18"/>
                <w:color w:val="auto"/>
              </w:rPr>
              <w:t>dividends of</w:t>
            </w:r>
          </w:p>
        </w:tc>
        <w:tc>
          <w:tcPr>
            <w:tcW w:w="1020" w:type="dxa"/>
            <w:vAlign w:val="bottom"/>
          </w:tcPr>
          <w:p>
            <w:pPr>
              <w:spacing w:after="0"/>
              <w:rPr>
                <w:sz w:val="17"/>
                <w:szCs w:val="17"/>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1800" w:type="dxa"/>
            <w:vAlign w:val="bottom"/>
          </w:tcPr>
          <w:p>
            <w:pPr>
              <w:spacing w:after="0" w:line="203" w:lineRule="exact"/>
              <w:rPr>
                <w:sz w:val="20"/>
                <w:szCs w:val="20"/>
                <w:color w:val="auto"/>
              </w:rPr>
            </w:pPr>
            <w:r>
              <w:rPr>
                <w:rFonts w:ascii="Arial" w:cs="Arial" w:eastAsia="Arial" w:hAnsi="Arial"/>
                <w:sz w:val="18"/>
                <w:szCs w:val="18"/>
                <w:color w:val="auto"/>
              </w:rPr>
              <w:t>subsidiary (1)</w:t>
            </w:r>
          </w:p>
        </w:tc>
        <w:tc>
          <w:tcPr>
            <w:tcW w:w="10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1800" w:type="dxa"/>
            <w:vAlign w:val="bottom"/>
          </w:tcPr>
          <w:p>
            <w:pPr>
              <w:spacing w:after="0"/>
              <w:rPr>
                <w:sz w:val="20"/>
                <w:szCs w:val="20"/>
                <w:color w:val="auto"/>
              </w:rPr>
            </w:pPr>
            <w:r>
              <w:rPr>
                <w:rFonts w:ascii="Arial" w:cs="Arial" w:eastAsia="Arial" w:hAnsi="Arial"/>
                <w:sz w:val="18"/>
                <w:szCs w:val="18"/>
                <w:color w:val="auto"/>
              </w:rPr>
              <w:t>Total earnings for</w:t>
            </w:r>
          </w:p>
        </w:tc>
        <w:tc>
          <w:tcPr>
            <w:tcW w:w="1020" w:type="dxa"/>
            <w:vAlign w:val="bottom"/>
            <w:vMerge w:val="restart"/>
          </w:tcPr>
          <w:p>
            <w:pPr>
              <w:jc w:val="right"/>
              <w:ind w:right="670"/>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441</w:t>
            </w:r>
          </w:p>
        </w:tc>
        <w:tc>
          <w:tcPr>
            <w:tcW w:w="1120" w:type="dxa"/>
            <w:vAlign w:val="bottom"/>
            <w:gridSpan w:val="2"/>
            <w:vMerge w:val="restart"/>
          </w:tcPr>
          <w:p>
            <w:pPr>
              <w:jc w:val="right"/>
              <w:ind w:right="740"/>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384</w:t>
            </w: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508</w:t>
            </w: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489</w:t>
            </w: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465</w:t>
            </w:r>
          </w:p>
        </w:tc>
        <w:tc>
          <w:tcPr>
            <w:tcW w:w="90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76"/>
        </w:trPr>
        <w:tc>
          <w:tcPr>
            <w:tcW w:w="1800" w:type="dxa"/>
            <w:vAlign w:val="bottom"/>
          </w:tcPr>
          <w:p>
            <w:pPr>
              <w:ind w:left="260"/>
              <w:spacing w:after="0" w:line="176" w:lineRule="exact"/>
              <w:rPr>
                <w:sz w:val="20"/>
                <w:szCs w:val="20"/>
                <w:color w:val="auto"/>
              </w:rPr>
            </w:pPr>
            <w:r>
              <w:rPr>
                <w:rFonts w:ascii="Arial" w:cs="Arial" w:eastAsia="Arial" w:hAnsi="Arial"/>
                <w:sz w:val="18"/>
                <w:szCs w:val="18"/>
                <w:color w:val="auto"/>
              </w:rPr>
              <w:t>purpose of ratio</w:t>
            </w:r>
          </w:p>
        </w:tc>
        <w:tc>
          <w:tcPr>
            <w:tcW w:w="10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0" w:type="dxa"/>
            <w:vAlign w:val="bottom"/>
            <w:vMerge w:val="restart"/>
          </w:tcPr>
          <w:p>
            <w:pPr>
              <w:spacing w:after="0"/>
              <w:rPr>
                <w:sz w:val="20"/>
                <w:szCs w:val="20"/>
                <w:color w:val="auto"/>
              </w:rPr>
            </w:pPr>
            <w:r>
              <w:rPr>
                <w:rFonts w:ascii="Arial" w:cs="Arial" w:eastAsia="Arial" w:hAnsi="Arial"/>
                <w:sz w:val="18"/>
                <w:szCs w:val="18"/>
                <w:color w:val="auto"/>
              </w:rPr>
              <w:t>Ratio of earnings to</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18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00" w:type="dxa"/>
            <w:vAlign w:val="bottom"/>
          </w:tcPr>
          <w:p>
            <w:pPr>
              <w:ind w:left="260"/>
              <w:spacing w:after="0" w:line="202" w:lineRule="exact"/>
              <w:rPr>
                <w:sz w:val="20"/>
                <w:szCs w:val="20"/>
                <w:color w:val="auto"/>
              </w:rPr>
            </w:pPr>
            <w:r>
              <w:rPr>
                <w:rFonts w:ascii="Arial" w:cs="Arial" w:eastAsia="Arial" w:hAnsi="Arial"/>
                <w:sz w:val="18"/>
                <w:szCs w:val="18"/>
                <w:color w:val="auto"/>
              </w:rPr>
              <w:t>combined fixed</w:t>
            </w: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tcPr>
          <w:p>
            <w:pPr>
              <w:ind w:left="260"/>
              <w:spacing w:after="0" w:line="202" w:lineRule="exact"/>
              <w:rPr>
                <w:sz w:val="20"/>
                <w:szCs w:val="20"/>
                <w:color w:val="auto"/>
              </w:rPr>
            </w:pPr>
            <w:r>
              <w:rPr>
                <w:rFonts w:ascii="Arial" w:cs="Arial" w:eastAsia="Arial" w:hAnsi="Arial"/>
                <w:sz w:val="18"/>
                <w:szCs w:val="18"/>
                <w:color w:val="auto"/>
              </w:rPr>
              <w:t>charges and</w:t>
            </w: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tcPr>
          <w:p>
            <w:pPr>
              <w:ind w:left="260"/>
              <w:spacing w:after="0" w:line="202" w:lineRule="exact"/>
              <w:rPr>
                <w:sz w:val="20"/>
                <w:szCs w:val="20"/>
                <w:color w:val="auto"/>
              </w:rPr>
            </w:pPr>
            <w:r>
              <w:rPr>
                <w:rFonts w:ascii="Arial" w:cs="Arial" w:eastAsia="Arial" w:hAnsi="Arial"/>
                <w:sz w:val="18"/>
                <w:szCs w:val="18"/>
                <w:color w:val="auto"/>
              </w:rPr>
              <w:t>preferred stock</w:t>
            </w:r>
          </w:p>
        </w:tc>
        <w:tc>
          <w:tcPr>
            <w:tcW w:w="1020" w:type="dxa"/>
            <w:vAlign w:val="bottom"/>
          </w:tcPr>
          <w:p>
            <w:pPr>
              <w:spacing w:after="0"/>
              <w:rPr>
                <w:sz w:val="17"/>
                <w:szCs w:val="17"/>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7.60</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5.82</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5.64</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5.49</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176"/>
        </w:trPr>
        <w:tc>
          <w:tcPr>
            <w:tcW w:w="1800" w:type="dxa"/>
            <w:vAlign w:val="bottom"/>
          </w:tcPr>
          <w:p>
            <w:pPr>
              <w:ind w:left="260"/>
              <w:spacing w:after="0" w:line="176" w:lineRule="exact"/>
              <w:rPr>
                <w:sz w:val="20"/>
                <w:szCs w:val="20"/>
                <w:color w:val="auto"/>
              </w:rPr>
            </w:pPr>
            <w:r>
              <w:rPr>
                <w:rFonts w:ascii="Arial" w:cs="Arial" w:eastAsia="Arial" w:hAnsi="Arial"/>
                <w:sz w:val="18"/>
                <w:szCs w:val="18"/>
                <w:color w:val="auto"/>
              </w:rPr>
              <w:t>dividends</w:t>
            </w:r>
          </w:p>
        </w:tc>
        <w:tc>
          <w:tcPr>
            <w:tcW w:w="10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0" w:type="dxa"/>
            <w:vAlign w:val="bottom"/>
            <w:vMerge w:val="restart"/>
          </w:tcPr>
          <w:p>
            <w:pPr>
              <w:spacing w:after="0"/>
              <w:rPr>
                <w:sz w:val="20"/>
                <w:szCs w:val="20"/>
                <w:color w:val="auto"/>
              </w:rPr>
            </w:pPr>
            <w:r>
              <w:rPr>
                <w:rFonts w:ascii="Arial" w:cs="Arial" w:eastAsia="Arial" w:hAnsi="Arial"/>
                <w:sz w:val="18"/>
                <w:szCs w:val="18"/>
                <w:color w:val="auto"/>
              </w:rPr>
              <w:t>Ratio of earnings to</w:t>
            </w: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8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8.65</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6.40</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6.05</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5.89</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176"/>
        </w:trPr>
        <w:tc>
          <w:tcPr>
            <w:tcW w:w="1800" w:type="dxa"/>
            <w:vAlign w:val="bottom"/>
          </w:tcPr>
          <w:p>
            <w:pPr>
              <w:ind w:left="260"/>
              <w:spacing w:after="0" w:line="176" w:lineRule="exact"/>
              <w:rPr>
                <w:sz w:val="20"/>
                <w:szCs w:val="20"/>
                <w:color w:val="auto"/>
              </w:rPr>
            </w:pPr>
            <w:r>
              <w:rPr>
                <w:rFonts w:ascii="Arial" w:cs="Arial" w:eastAsia="Arial" w:hAnsi="Arial"/>
                <w:sz w:val="18"/>
                <w:szCs w:val="18"/>
                <w:color w:val="auto"/>
              </w:rPr>
              <w:t>fixed charges</w:t>
            </w:r>
          </w:p>
        </w:tc>
        <w:tc>
          <w:tcPr>
            <w:tcW w:w="10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80" w:firstLine="2"/>
        <w:spacing w:after="0" w:line="246" w:lineRule="auto"/>
        <w:tabs>
          <w:tab w:leader="none" w:pos="27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computing this ratio, “Preferred dividends of subsidiary” represents the before-tax earnings necessary to pay such dividends, computed at the effective tax rates for the applicable periods.</w:t>
      </w:r>
    </w:p>
    <w:p>
      <w:pPr>
        <w:sectPr>
          <w:pgSz w:w="11900" w:h="16838" w:orient="portrait"/>
          <w:cols w:equalWidth="0" w:num="1">
            <w:col w:w="11400"/>
          </w:cols>
          <w:pgMar w:left="260" w:top="886" w:right="239" w:bottom="369" w:gutter="0" w:footer="0" w:header="0"/>
        </w:sectPr>
      </w:pPr>
    </w:p>
    <w:bookmarkStart w:id="110" w:name="page111"/>
    <w:bookmarkEnd w:id="110"/>
    <w:p>
      <w:pPr>
        <w:jc w:val="center"/>
        <w:ind w:right="20"/>
        <w:spacing w:after="0"/>
        <w:rPr>
          <w:sz w:val="20"/>
          <w:szCs w:val="20"/>
          <w:color w:val="auto"/>
        </w:rPr>
      </w:pPr>
      <w:r>
        <w:rPr>
          <w:rFonts w:ascii="Arial" w:cs="Arial" w:eastAsia="Arial" w:hAnsi="Arial"/>
          <w:sz w:val="20"/>
          <w:szCs w:val="20"/>
          <w:b w:val="1"/>
          <w:bCs w:val="1"/>
          <w:color w:val="auto"/>
        </w:rPr>
        <w:t>EXHIBIT 12.4</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SOUTHERN CALIFORNIA GAS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COMPUTATION OF RATIO OF EARNINGS TO COMBINED FIXED CHARGES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AND PREFERRED STOCK DIVIDENDS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4"/>
              </w:rPr>
              <w:t>2004</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2005</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2006</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2008</w:t>
            </w:r>
          </w:p>
        </w:tc>
        <w:tc>
          <w:tcPr>
            <w:tcW w:w="180" w:type="dxa"/>
            <w:vAlign w:val="bottom"/>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March 31, 2009</w:t>
            </w:r>
          </w:p>
        </w:tc>
        <w:tc>
          <w:tcPr>
            <w:tcW w:w="0" w:type="dxa"/>
            <w:vAlign w:val="bottom"/>
          </w:tcPr>
          <w:p>
            <w:pPr>
              <w:spacing w:after="0"/>
              <w:rPr>
                <w:sz w:val="1"/>
                <w:szCs w:val="1"/>
                <w:color w:val="auto"/>
              </w:rPr>
            </w:pPr>
          </w:p>
        </w:tc>
      </w:tr>
      <w:tr>
        <w:trPr>
          <w:trHeight w:val="237"/>
        </w:trPr>
        <w:tc>
          <w:tcPr>
            <w:tcW w:w="3060" w:type="dxa"/>
            <w:vAlign w:val="bottom"/>
          </w:tcPr>
          <w:p>
            <w:pPr>
              <w:spacing w:after="0"/>
              <w:rPr>
                <w:sz w:val="20"/>
                <w:szCs w:val="20"/>
                <w:color w:val="auto"/>
              </w:rPr>
            </w:pPr>
            <w:r>
              <w:rPr>
                <w:rFonts w:ascii="Arial" w:cs="Arial" w:eastAsia="Arial" w:hAnsi="Arial"/>
                <w:sz w:val="18"/>
                <w:szCs w:val="18"/>
                <w:color w:val="auto"/>
              </w:rPr>
              <w:t>Fixed Charges:</w:t>
            </w: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060" w:type="dxa"/>
            <w:vAlign w:val="bottom"/>
          </w:tcPr>
          <w:p>
            <w:pPr>
              <w:spacing w:after="0"/>
              <w:rPr>
                <w:sz w:val="20"/>
                <w:szCs w:val="20"/>
                <w:color w:val="auto"/>
              </w:rPr>
            </w:pPr>
            <w:r>
              <w:rPr>
                <w:rFonts w:ascii="Arial" w:cs="Arial" w:eastAsia="Arial" w:hAnsi="Arial"/>
                <w:sz w:val="18"/>
                <w:szCs w:val="18"/>
                <w:color w:val="auto"/>
              </w:rPr>
              <w:t>Interest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w:t>
            </w:r>
          </w:p>
        </w:tc>
        <w:tc>
          <w:tcPr>
            <w:tcW w:w="8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73"/>
        </w:trPr>
        <w:tc>
          <w:tcPr>
            <w:tcW w:w="3060" w:type="dxa"/>
            <w:vAlign w:val="bottom"/>
          </w:tcPr>
          <w:p>
            <w:pPr>
              <w:spacing w:after="0"/>
              <w:rPr>
                <w:sz w:val="20"/>
                <w:szCs w:val="20"/>
                <w:color w:val="auto"/>
              </w:rPr>
            </w:pPr>
            <w:r>
              <w:rPr>
                <w:rFonts w:ascii="Arial" w:cs="Arial" w:eastAsia="Arial" w:hAnsi="Arial"/>
                <w:sz w:val="18"/>
                <w:szCs w:val="18"/>
                <w:color w:val="auto"/>
              </w:rPr>
              <w:t>Interest portion of annual rentals</w:t>
            </w: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0"/>
        </w:trPr>
        <w:tc>
          <w:tcPr>
            <w:tcW w:w="3060" w:type="dxa"/>
            <w:vAlign w:val="bottom"/>
          </w:tcPr>
          <w:p>
            <w:pPr>
              <w:spacing w:after="0"/>
              <w:rPr>
                <w:sz w:val="20"/>
                <w:szCs w:val="20"/>
                <w:color w:val="auto"/>
              </w:rPr>
            </w:pPr>
            <w:r>
              <w:rPr>
                <w:rFonts w:ascii="Arial" w:cs="Arial" w:eastAsia="Arial" w:hAnsi="Arial"/>
                <w:sz w:val="18"/>
                <w:szCs w:val="18"/>
                <w:color w:val="auto"/>
              </w:rPr>
              <w:t>Total fixed charges</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73"/>
        </w:trPr>
        <w:tc>
          <w:tcPr>
            <w:tcW w:w="3060" w:type="dxa"/>
            <w:vAlign w:val="bottom"/>
          </w:tcPr>
          <w:p>
            <w:pPr>
              <w:spacing w:after="0"/>
              <w:rPr>
                <w:sz w:val="20"/>
                <w:szCs w:val="20"/>
                <w:color w:val="auto"/>
              </w:rPr>
            </w:pPr>
            <w:r>
              <w:rPr>
                <w:rFonts w:ascii="Arial" w:cs="Arial" w:eastAsia="Arial" w:hAnsi="Arial"/>
                <w:sz w:val="18"/>
                <w:szCs w:val="18"/>
                <w:color w:val="auto"/>
              </w:rPr>
              <w:t>Preferred stock dividends (1)</w:t>
            </w: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52"/>
        </w:trPr>
        <w:tc>
          <w:tcPr>
            <w:tcW w:w="3060" w:type="dxa"/>
            <w:vAlign w:val="bottom"/>
          </w:tcPr>
          <w:p>
            <w:pPr>
              <w:spacing w:after="0"/>
              <w:rPr>
                <w:sz w:val="20"/>
                <w:szCs w:val="20"/>
                <w:color w:val="auto"/>
              </w:rPr>
            </w:pPr>
            <w:r>
              <w:rPr>
                <w:rFonts w:ascii="Arial" w:cs="Arial" w:eastAsia="Arial" w:hAnsi="Arial"/>
                <w:sz w:val="18"/>
                <w:szCs w:val="18"/>
                <w:color w:val="auto"/>
              </w:rPr>
              <w:t>Combined fixed charges and</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260"/>
              <w:spacing w:after="0" w:line="202" w:lineRule="exact"/>
              <w:rPr>
                <w:sz w:val="20"/>
                <w:szCs w:val="20"/>
                <w:color w:val="auto"/>
              </w:rPr>
            </w:pPr>
            <w:r>
              <w:rPr>
                <w:rFonts w:ascii="Arial" w:cs="Arial" w:eastAsia="Arial" w:hAnsi="Arial"/>
                <w:sz w:val="18"/>
                <w:szCs w:val="18"/>
                <w:color w:val="auto"/>
              </w:rPr>
              <w:t>preferred stock dividends for</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78</w:t>
            </w: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77</w:t>
            </w: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860" w:type="dxa"/>
            <w:vAlign w:val="bottom"/>
            <w:gridSpan w:val="2"/>
            <w:vMerge w:val="restart"/>
          </w:tcPr>
          <w:p>
            <w:pPr>
              <w:jc w:val="right"/>
              <w:ind w:right="25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76"/>
        </w:trPr>
        <w:tc>
          <w:tcPr>
            <w:tcW w:w="3060" w:type="dxa"/>
            <w:vAlign w:val="bottom"/>
          </w:tcPr>
          <w:p>
            <w:pPr>
              <w:ind w:left="260"/>
              <w:spacing w:after="0" w:line="176" w:lineRule="exact"/>
              <w:rPr>
                <w:sz w:val="20"/>
                <w:szCs w:val="20"/>
                <w:color w:val="auto"/>
              </w:rPr>
            </w:pPr>
            <w:r>
              <w:rPr>
                <w:rFonts w:ascii="Arial" w:cs="Arial" w:eastAsia="Arial" w:hAnsi="Arial"/>
                <w:sz w:val="18"/>
                <w:szCs w:val="18"/>
                <w:color w:val="auto"/>
              </w:rPr>
              <w:t>purpose of ratio</w:t>
            </w:r>
          </w:p>
        </w:tc>
        <w:tc>
          <w:tcPr>
            <w:tcW w:w="3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0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3060" w:type="dxa"/>
            <w:vAlign w:val="bottom"/>
          </w:tcPr>
          <w:p>
            <w:pPr>
              <w:spacing w:after="0"/>
              <w:rPr>
                <w:sz w:val="20"/>
                <w:szCs w:val="20"/>
                <w:color w:val="auto"/>
              </w:rPr>
            </w:pPr>
            <w:r>
              <w:rPr>
                <w:rFonts w:ascii="Arial" w:cs="Arial" w:eastAsia="Arial" w:hAnsi="Arial"/>
                <w:sz w:val="18"/>
                <w:szCs w:val="18"/>
                <w:color w:val="auto"/>
              </w:rPr>
              <w:t>Pretax income from continuing</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060" w:type="dxa"/>
            <w:vAlign w:val="bottom"/>
          </w:tcPr>
          <w:p>
            <w:pPr>
              <w:ind w:left="260"/>
              <w:spacing w:after="0"/>
              <w:rPr>
                <w:sz w:val="20"/>
                <w:szCs w:val="20"/>
                <w:color w:val="auto"/>
              </w:rPr>
            </w:pPr>
            <w:r>
              <w:rPr>
                <w:rFonts w:ascii="Arial" w:cs="Arial" w:eastAsia="Arial" w:hAnsi="Arial"/>
                <w:sz w:val="18"/>
                <w:szCs w:val="18"/>
                <w:color w:val="auto"/>
              </w:rPr>
              <w:t>operations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387</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309</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397</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391</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385</w:t>
            </w:r>
          </w:p>
        </w:tc>
        <w:tc>
          <w:tcPr>
            <w:tcW w:w="8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458"/>
        </w:trPr>
        <w:tc>
          <w:tcPr>
            <w:tcW w:w="3060" w:type="dxa"/>
            <w:vAlign w:val="bottom"/>
          </w:tcPr>
          <w:p>
            <w:pPr>
              <w:spacing w:after="0"/>
              <w:rPr>
                <w:sz w:val="20"/>
                <w:szCs w:val="20"/>
                <w:color w:val="auto"/>
              </w:rPr>
            </w:pPr>
            <w:r>
              <w:rPr>
                <w:rFonts w:ascii="Arial" w:cs="Arial" w:eastAsia="Arial" w:hAnsi="Arial"/>
                <w:sz w:val="18"/>
                <w:szCs w:val="18"/>
                <w:color w:val="auto"/>
              </w:rPr>
              <w:t>Add: Total fixed charges (from</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060" w:type="dxa"/>
            <w:vAlign w:val="bottom"/>
          </w:tcPr>
          <w:p>
            <w:pPr>
              <w:ind w:left="260"/>
              <w:spacing w:after="0"/>
              <w:rPr>
                <w:sz w:val="20"/>
                <w:szCs w:val="20"/>
                <w:color w:val="auto"/>
              </w:rPr>
            </w:pPr>
            <w:r>
              <w:rPr>
                <w:rFonts w:ascii="Arial" w:cs="Arial" w:eastAsia="Arial" w:hAnsi="Arial"/>
                <w:sz w:val="18"/>
                <w:szCs w:val="18"/>
                <w:color w:val="auto"/>
              </w:rPr>
              <w:t>above)</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73"/>
        </w:trPr>
        <w:tc>
          <w:tcPr>
            <w:tcW w:w="3060" w:type="dxa"/>
            <w:vAlign w:val="bottom"/>
          </w:tcPr>
          <w:p>
            <w:pPr>
              <w:spacing w:after="0"/>
              <w:rPr>
                <w:sz w:val="20"/>
                <w:szCs w:val="20"/>
                <w:color w:val="auto"/>
              </w:rPr>
            </w:pPr>
            <w:r>
              <w:rPr>
                <w:rFonts w:ascii="Arial" w:cs="Arial" w:eastAsia="Arial" w:hAnsi="Arial"/>
                <w:sz w:val="18"/>
                <w:szCs w:val="18"/>
                <w:color w:val="auto"/>
              </w:rPr>
              <w:t>Less: Interest capitalized</w:t>
            </w: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66"/>
        </w:trPr>
        <w:tc>
          <w:tcPr>
            <w:tcW w:w="3060" w:type="dxa"/>
            <w:vAlign w:val="bottom"/>
          </w:tcPr>
          <w:p>
            <w:pPr>
              <w:spacing w:after="0"/>
              <w:rPr>
                <w:sz w:val="20"/>
                <w:szCs w:val="20"/>
                <w:color w:val="auto"/>
              </w:rPr>
            </w:pPr>
            <w:r>
              <w:rPr>
                <w:rFonts w:ascii="Arial" w:cs="Arial" w:eastAsia="Arial" w:hAnsi="Arial"/>
                <w:sz w:val="18"/>
                <w:szCs w:val="18"/>
                <w:color w:val="auto"/>
              </w:rPr>
              <w:t>Total earnings for purpose of ratio</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429</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362</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472</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465</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452</w:t>
            </w:r>
          </w:p>
        </w:tc>
        <w:tc>
          <w:tcPr>
            <w:tcW w:w="8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8"/>
                <w:szCs w:val="18"/>
                <w:color w:val="auto"/>
              </w:rPr>
              <w:t>Ratio of earnings to combined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30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260"/>
              <w:spacing w:after="0" w:line="202" w:lineRule="exact"/>
              <w:rPr>
                <w:sz w:val="20"/>
                <w:szCs w:val="20"/>
                <w:color w:val="auto"/>
              </w:rPr>
            </w:pPr>
            <w:r>
              <w:rPr>
                <w:rFonts w:ascii="Arial" w:cs="Arial" w:eastAsia="Arial" w:hAnsi="Arial"/>
                <w:sz w:val="18"/>
                <w:szCs w:val="18"/>
                <w:color w:val="auto"/>
              </w:rPr>
              <w:t>fixed charges and preferred</w:t>
            </w:r>
          </w:p>
        </w:tc>
        <w:tc>
          <w:tcPr>
            <w:tcW w:w="34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9.75</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6.58</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6.05</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6.04</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6.55</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176"/>
        </w:trPr>
        <w:tc>
          <w:tcPr>
            <w:tcW w:w="3060" w:type="dxa"/>
            <w:vAlign w:val="bottom"/>
          </w:tcPr>
          <w:p>
            <w:pPr>
              <w:ind w:left="260"/>
              <w:spacing w:after="0" w:line="176" w:lineRule="exact"/>
              <w:rPr>
                <w:sz w:val="20"/>
                <w:szCs w:val="20"/>
                <w:color w:val="auto"/>
              </w:rPr>
            </w:pPr>
            <w:r>
              <w:rPr>
                <w:rFonts w:ascii="Arial" w:cs="Arial" w:eastAsia="Arial" w:hAnsi="Arial"/>
                <w:sz w:val="18"/>
                <w:szCs w:val="18"/>
                <w:color w:val="auto"/>
              </w:rPr>
              <w:t>stock dividends</w:t>
            </w:r>
          </w:p>
        </w:tc>
        <w:tc>
          <w:tcPr>
            <w:tcW w:w="3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06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18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20" w:firstLine="2"/>
        <w:spacing w:after="0" w:line="246" w:lineRule="auto"/>
        <w:tabs>
          <w:tab w:leader="none" w:pos="3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1400"/>
          </w:cols>
          <w:pgMar w:left="260" w:top="638" w:right="239" w:bottom="1440" w:gutter="0" w:footer="0" w:header="0"/>
        </w:sectPr>
      </w:pPr>
    </w:p>
    <w:bookmarkStart w:id="111" w:name="page112"/>
    <w:bookmarkEnd w:id="111"/>
    <w:p>
      <w:pPr>
        <w:ind w:left="10120"/>
        <w:spacing w:after="0"/>
        <w:rPr>
          <w:sz w:val="20"/>
          <w:szCs w:val="20"/>
          <w:color w:val="auto"/>
        </w:rPr>
      </w:pPr>
      <w:r>
        <w:rPr>
          <w:rFonts w:ascii="Arial" w:cs="Arial" w:eastAsia="Arial" w:hAnsi="Arial"/>
          <w:sz w:val="21"/>
          <w:szCs w:val="21"/>
          <w:color w:val="auto"/>
        </w:rPr>
        <w:t>EXHIBIT 31.1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Donald E. Felsinger, certify that:</w:t>
      </w:r>
    </w:p>
    <w:p>
      <w:pPr>
        <w:spacing w:after="0" w:line="260" w:lineRule="exact"/>
        <w:rPr>
          <w:sz w:val="20"/>
          <w:szCs w:val="20"/>
          <w:color w:val="auto"/>
        </w:rPr>
      </w:pPr>
    </w:p>
    <w:p>
      <w:pPr>
        <w:ind w:left="340" w:hanging="332"/>
        <w:spacing w:after="0"/>
        <w:tabs>
          <w:tab w:leader="none" w:pos="34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I have reviewed this report on Form 10-Q of Sempra Energy;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113"/>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113"/>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113"/>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113"/>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113"/>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113"/>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May 5, 2009</w:t>
      </w:r>
    </w:p>
    <w:p>
      <w:pPr>
        <w:spacing w:after="0" w:line="281" w:lineRule="exact"/>
        <w:rPr>
          <w:sz w:val="20"/>
          <w:szCs w:val="20"/>
          <w:color w:val="auto"/>
        </w:rPr>
      </w:pPr>
    </w:p>
    <w:p>
      <w:pPr>
        <w:ind w:left="9680"/>
        <w:spacing w:after="0"/>
        <w:rPr>
          <w:sz w:val="20"/>
          <w:szCs w:val="20"/>
          <w:color w:val="auto"/>
        </w:rPr>
      </w:pPr>
      <w:r>
        <w:rPr>
          <w:rFonts w:ascii="Arial" w:cs="Arial" w:eastAsia="Arial" w:hAnsi="Arial"/>
          <w:sz w:val="16"/>
          <w:szCs w:val="16"/>
          <w:color w:val="auto"/>
        </w:rPr>
        <w:t>/S/ Donald E. Felsinger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38100</wp:posOffset>
            </wp:positionV>
            <wp:extent cx="255587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3" w:lineRule="exact"/>
        <w:rPr>
          <w:sz w:val="20"/>
          <w:szCs w:val="20"/>
          <w:color w:val="auto"/>
        </w:rPr>
      </w:pPr>
    </w:p>
    <w:p>
      <w:pPr>
        <w:ind w:left="9960"/>
        <w:spacing w:after="0"/>
        <w:rPr>
          <w:sz w:val="20"/>
          <w:szCs w:val="20"/>
          <w:color w:val="auto"/>
        </w:rPr>
      </w:pPr>
      <w:r>
        <w:rPr>
          <w:rFonts w:ascii="Arial" w:cs="Arial" w:eastAsia="Arial" w:hAnsi="Arial"/>
          <w:sz w:val="16"/>
          <w:szCs w:val="16"/>
          <w:color w:val="auto"/>
        </w:rPr>
        <w:t>Donald E. Felsinger</w:t>
      </w:r>
    </w:p>
    <w:p>
      <w:pPr>
        <w:spacing w:after="0" w:line="59"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112" w:name="page113"/>
    <w:bookmarkEnd w:id="112"/>
    <w:p>
      <w:pPr>
        <w:ind w:left="10120"/>
        <w:spacing w:after="0"/>
        <w:rPr>
          <w:sz w:val="20"/>
          <w:szCs w:val="20"/>
          <w:color w:val="auto"/>
        </w:rPr>
      </w:pPr>
      <w:r>
        <w:rPr>
          <w:rFonts w:ascii="Arial" w:cs="Arial" w:eastAsia="Arial" w:hAnsi="Arial"/>
          <w:sz w:val="21"/>
          <w:szCs w:val="21"/>
          <w:color w:val="auto"/>
        </w:rPr>
        <w:t>EXHIBIT 31.2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Mark A. Snell, certify that:</w:t>
      </w:r>
    </w:p>
    <w:p>
      <w:pPr>
        <w:spacing w:after="0" w:line="260" w:lineRule="exact"/>
        <w:rPr>
          <w:sz w:val="20"/>
          <w:szCs w:val="20"/>
          <w:color w:val="auto"/>
        </w:rPr>
      </w:pPr>
    </w:p>
    <w:p>
      <w:pPr>
        <w:ind w:left="340" w:hanging="332"/>
        <w:spacing w:after="0"/>
        <w:tabs>
          <w:tab w:leader="none" w:pos="34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I have reviewed this report on Form 10-Q of Sempra Energy;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114"/>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114"/>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114"/>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114"/>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114"/>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114"/>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May 5, 2009</w:t>
      </w:r>
    </w:p>
    <w:p>
      <w:pPr>
        <w:spacing w:after="0" w:line="281" w:lineRule="exact"/>
        <w:rPr>
          <w:sz w:val="20"/>
          <w:szCs w:val="20"/>
          <w:color w:val="auto"/>
        </w:rPr>
      </w:pPr>
    </w:p>
    <w:p>
      <w:pPr>
        <w:ind w:left="10100"/>
        <w:spacing w:after="0"/>
        <w:rPr>
          <w:sz w:val="20"/>
          <w:szCs w:val="20"/>
          <w:color w:val="auto"/>
        </w:rPr>
      </w:pPr>
      <w:r>
        <w:rPr>
          <w:rFonts w:ascii="Arial" w:cs="Arial" w:eastAsia="Arial" w:hAnsi="Arial"/>
          <w:sz w:val="17"/>
          <w:szCs w:val="17"/>
          <w:color w:val="auto"/>
        </w:rPr>
        <w:t>/S/ Mark A. Snell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4747260</wp:posOffset>
            </wp:positionH>
            <wp:positionV relativeFrom="paragraph">
              <wp:posOffset>30480</wp:posOffset>
            </wp:positionV>
            <wp:extent cx="250444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41"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Mark A. Snell</w:t>
      </w:r>
    </w:p>
    <w:p>
      <w:pPr>
        <w:spacing w:after="0" w:line="48"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113" w:name="page114"/>
    <w:bookmarkEnd w:id="113"/>
    <w:p>
      <w:pPr>
        <w:ind w:left="10120"/>
        <w:spacing w:after="0"/>
        <w:rPr>
          <w:sz w:val="20"/>
          <w:szCs w:val="20"/>
          <w:color w:val="auto"/>
        </w:rPr>
      </w:pPr>
      <w:r>
        <w:rPr>
          <w:rFonts w:ascii="Arial" w:cs="Arial" w:eastAsia="Arial" w:hAnsi="Arial"/>
          <w:sz w:val="21"/>
          <w:szCs w:val="21"/>
          <w:color w:val="auto"/>
        </w:rPr>
        <w:t>EXHIBIT 31.3</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Debra L. Reed, certify that:</w:t>
      </w:r>
    </w:p>
    <w:p>
      <w:pPr>
        <w:spacing w:after="0" w:line="260" w:lineRule="exact"/>
        <w:rPr>
          <w:sz w:val="20"/>
          <w:szCs w:val="20"/>
          <w:color w:val="auto"/>
        </w:rPr>
      </w:pPr>
    </w:p>
    <w:p>
      <w:pPr>
        <w:ind w:left="340" w:hanging="332"/>
        <w:spacing w:after="0"/>
        <w:tabs>
          <w:tab w:leader="none" w:pos="3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I have reviewed this report on Form 10-Q of San Diego Gas &amp; Electric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115"/>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115"/>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115"/>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115"/>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115"/>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115"/>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May 5, 2009</w:t>
      </w:r>
    </w:p>
    <w:p>
      <w:pPr>
        <w:spacing w:after="0" w:line="281" w:lineRule="exact"/>
        <w:rPr>
          <w:sz w:val="20"/>
          <w:szCs w:val="20"/>
          <w:color w:val="auto"/>
        </w:rPr>
      </w:pPr>
    </w:p>
    <w:p>
      <w:pPr>
        <w:ind w:left="10060"/>
        <w:spacing w:after="0"/>
        <w:rPr>
          <w:sz w:val="20"/>
          <w:szCs w:val="20"/>
          <w:color w:val="auto"/>
        </w:rPr>
      </w:pPr>
      <w:r>
        <w:rPr>
          <w:rFonts w:ascii="Arial" w:cs="Arial" w:eastAsia="Arial" w:hAnsi="Arial"/>
          <w:sz w:val="16"/>
          <w:szCs w:val="16"/>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38100</wp:posOffset>
            </wp:positionV>
            <wp:extent cx="260731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3"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Debra L. Reed</w:t>
      </w:r>
    </w:p>
    <w:p>
      <w:pPr>
        <w:spacing w:after="0" w:line="59"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114" w:name="page115"/>
    <w:bookmarkEnd w:id="114"/>
    <w:p>
      <w:pPr>
        <w:ind w:left="10120"/>
        <w:spacing w:after="0"/>
        <w:rPr>
          <w:sz w:val="20"/>
          <w:szCs w:val="20"/>
          <w:color w:val="auto"/>
        </w:rPr>
      </w:pPr>
      <w:r>
        <w:rPr>
          <w:rFonts w:ascii="Arial" w:cs="Arial" w:eastAsia="Arial" w:hAnsi="Arial"/>
          <w:sz w:val="21"/>
          <w:szCs w:val="21"/>
          <w:color w:val="auto"/>
        </w:rPr>
        <w:t>EXHIBIT 31.4</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Robert Schlax, certify that:</w:t>
      </w:r>
    </w:p>
    <w:p>
      <w:pPr>
        <w:spacing w:after="0" w:line="260" w:lineRule="exact"/>
        <w:rPr>
          <w:sz w:val="20"/>
          <w:szCs w:val="20"/>
          <w:color w:val="auto"/>
        </w:rPr>
      </w:pPr>
    </w:p>
    <w:p>
      <w:pPr>
        <w:ind w:left="340" w:hanging="332"/>
        <w:spacing w:after="0"/>
        <w:tabs>
          <w:tab w:leader="none" w:pos="34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I have reviewed this report on Form 10-Q of San Diego Gas &amp; Electric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116"/>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May 5, 2009</w:t>
      </w:r>
    </w:p>
    <w:p>
      <w:pPr>
        <w:spacing w:after="0" w:line="281" w:lineRule="exact"/>
        <w:rPr>
          <w:sz w:val="20"/>
          <w:szCs w:val="20"/>
          <w:color w:val="auto"/>
        </w:rPr>
      </w:pPr>
    </w:p>
    <w:p>
      <w:pPr>
        <w:ind w:left="10140"/>
        <w:spacing w:after="0"/>
        <w:rPr>
          <w:sz w:val="20"/>
          <w:szCs w:val="20"/>
          <w:color w:val="auto"/>
        </w:rPr>
      </w:pPr>
      <w:r>
        <w:rPr>
          <w:rFonts w:ascii="Arial" w:cs="Arial" w:eastAsia="Arial" w:hAnsi="Arial"/>
          <w:sz w:val="16"/>
          <w:szCs w:val="16"/>
          <w:color w:val="auto"/>
        </w:rPr>
        <w:t>/S/ Robert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38100</wp:posOffset>
            </wp:positionV>
            <wp:extent cx="24523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53" w:lineRule="exact"/>
        <w:rPr>
          <w:sz w:val="20"/>
          <w:szCs w:val="20"/>
          <w:color w:val="auto"/>
        </w:rPr>
      </w:pPr>
    </w:p>
    <w:p>
      <w:pPr>
        <w:ind w:left="10380"/>
        <w:spacing w:after="0"/>
        <w:rPr>
          <w:sz w:val="20"/>
          <w:szCs w:val="20"/>
          <w:color w:val="auto"/>
        </w:rPr>
      </w:pPr>
      <w:r>
        <w:rPr>
          <w:rFonts w:ascii="Arial" w:cs="Arial" w:eastAsia="Arial" w:hAnsi="Arial"/>
          <w:sz w:val="16"/>
          <w:szCs w:val="16"/>
          <w:color w:val="auto"/>
        </w:rPr>
        <w:t>Robert Schlax</w:t>
      </w:r>
    </w:p>
    <w:p>
      <w:pPr>
        <w:spacing w:after="0" w:line="59"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115" w:name="page116"/>
    <w:bookmarkEnd w:id="115"/>
    <w:p>
      <w:pPr>
        <w:ind w:left="10120"/>
        <w:spacing w:after="0"/>
        <w:rPr>
          <w:sz w:val="20"/>
          <w:szCs w:val="20"/>
          <w:color w:val="auto"/>
        </w:rPr>
      </w:pPr>
      <w:r>
        <w:rPr>
          <w:rFonts w:ascii="Arial" w:cs="Arial" w:eastAsia="Arial" w:hAnsi="Arial"/>
          <w:sz w:val="21"/>
          <w:szCs w:val="21"/>
          <w:color w:val="auto"/>
        </w:rPr>
        <w:t>EXHIBIT 31.5</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Debra L. Reed, certify that:</w:t>
      </w:r>
    </w:p>
    <w:p>
      <w:pPr>
        <w:spacing w:after="0" w:line="260" w:lineRule="exact"/>
        <w:rPr>
          <w:sz w:val="20"/>
          <w:szCs w:val="20"/>
          <w:color w:val="auto"/>
        </w:rPr>
      </w:pPr>
    </w:p>
    <w:p>
      <w:pPr>
        <w:ind w:left="340" w:hanging="332"/>
        <w:spacing w:after="0"/>
        <w:tabs>
          <w:tab w:leader="none" w:pos="34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I have reviewed this report on Form 10-Q of Pacific Enterprises;</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117"/>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117"/>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117"/>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117"/>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117"/>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117"/>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May 5, 2009</w:t>
      </w:r>
    </w:p>
    <w:p>
      <w:pPr>
        <w:spacing w:after="0" w:line="281" w:lineRule="exact"/>
        <w:rPr>
          <w:sz w:val="20"/>
          <w:szCs w:val="20"/>
          <w:color w:val="auto"/>
        </w:rPr>
      </w:pPr>
    </w:p>
    <w:p>
      <w:pPr>
        <w:ind w:left="10060"/>
        <w:spacing w:after="0"/>
        <w:rPr>
          <w:sz w:val="20"/>
          <w:szCs w:val="20"/>
          <w:color w:val="auto"/>
        </w:rPr>
      </w:pPr>
      <w:r>
        <w:rPr>
          <w:rFonts w:ascii="Arial" w:cs="Arial" w:eastAsia="Arial" w:hAnsi="Arial"/>
          <w:sz w:val="16"/>
          <w:szCs w:val="16"/>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38100</wp:posOffset>
            </wp:positionV>
            <wp:extent cx="214376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3"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Debra L. Reed</w:t>
      </w:r>
    </w:p>
    <w:p>
      <w:pPr>
        <w:spacing w:after="0" w:line="59"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116" w:name="page117"/>
    <w:bookmarkEnd w:id="116"/>
    <w:p>
      <w:pPr>
        <w:ind w:left="10120"/>
        <w:spacing w:after="0"/>
        <w:rPr>
          <w:sz w:val="20"/>
          <w:szCs w:val="20"/>
          <w:color w:val="auto"/>
        </w:rPr>
      </w:pPr>
      <w:r>
        <w:rPr>
          <w:rFonts w:ascii="Arial" w:cs="Arial" w:eastAsia="Arial" w:hAnsi="Arial"/>
          <w:sz w:val="21"/>
          <w:szCs w:val="21"/>
          <w:color w:val="auto"/>
        </w:rPr>
        <w:t>EXHIBIT 31.6</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Robert Schlax, certify that:</w:t>
      </w:r>
    </w:p>
    <w:p>
      <w:pPr>
        <w:spacing w:after="0" w:line="260" w:lineRule="exact"/>
        <w:rPr>
          <w:sz w:val="20"/>
          <w:szCs w:val="20"/>
          <w:color w:val="auto"/>
        </w:rPr>
      </w:pPr>
    </w:p>
    <w:p>
      <w:pPr>
        <w:ind w:left="340" w:hanging="332"/>
        <w:spacing w:after="0"/>
        <w:tabs>
          <w:tab w:leader="none" w:pos="34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I have reviewed this report on Form 10-Q of Pacific Enterprises;</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118"/>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May 5, 2009</w:t>
      </w:r>
    </w:p>
    <w:p>
      <w:pPr>
        <w:spacing w:after="0" w:line="281"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/S/ Robert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38100</wp:posOffset>
            </wp:positionV>
            <wp:extent cx="19380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53" w:lineRule="exact"/>
        <w:rPr>
          <w:sz w:val="20"/>
          <w:szCs w:val="20"/>
          <w:color w:val="auto"/>
        </w:rPr>
      </w:pPr>
    </w:p>
    <w:p>
      <w:pPr>
        <w:ind w:left="10380"/>
        <w:spacing w:after="0"/>
        <w:rPr>
          <w:sz w:val="20"/>
          <w:szCs w:val="20"/>
          <w:color w:val="auto"/>
        </w:rPr>
      </w:pPr>
      <w:r>
        <w:rPr>
          <w:rFonts w:ascii="Arial" w:cs="Arial" w:eastAsia="Arial" w:hAnsi="Arial"/>
          <w:sz w:val="16"/>
          <w:szCs w:val="16"/>
          <w:color w:val="auto"/>
        </w:rPr>
        <w:t>Robert Schlax</w:t>
      </w:r>
    </w:p>
    <w:p>
      <w:pPr>
        <w:spacing w:after="0" w:line="59"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117" w:name="page118"/>
    <w:bookmarkEnd w:id="117"/>
    <w:p>
      <w:pPr>
        <w:ind w:left="10120"/>
        <w:spacing w:after="0"/>
        <w:rPr>
          <w:sz w:val="20"/>
          <w:szCs w:val="20"/>
          <w:color w:val="auto"/>
        </w:rPr>
      </w:pPr>
      <w:r>
        <w:rPr>
          <w:rFonts w:ascii="Arial" w:cs="Arial" w:eastAsia="Arial" w:hAnsi="Arial"/>
          <w:sz w:val="21"/>
          <w:szCs w:val="21"/>
          <w:color w:val="auto"/>
        </w:rPr>
        <w:t>EXHIBIT 31.7</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Debra L. Reed, certify that:</w:t>
      </w:r>
    </w:p>
    <w:p>
      <w:pPr>
        <w:spacing w:after="0" w:line="260" w:lineRule="exact"/>
        <w:rPr>
          <w:sz w:val="20"/>
          <w:szCs w:val="20"/>
          <w:color w:val="auto"/>
        </w:rPr>
      </w:pPr>
    </w:p>
    <w:p>
      <w:pPr>
        <w:ind w:left="340" w:hanging="332"/>
        <w:spacing w:after="0"/>
        <w:tabs>
          <w:tab w:leader="none" w:pos="34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I have reviewed this report on Form 10-Q of Southern California Gas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119"/>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119"/>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119"/>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119"/>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119"/>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119"/>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May 5, 2009</w:t>
      </w:r>
    </w:p>
    <w:p>
      <w:pPr>
        <w:spacing w:after="0" w:line="281" w:lineRule="exact"/>
        <w:rPr>
          <w:sz w:val="20"/>
          <w:szCs w:val="20"/>
          <w:color w:val="auto"/>
        </w:rPr>
      </w:pPr>
    </w:p>
    <w:p>
      <w:pPr>
        <w:ind w:left="10060"/>
        <w:spacing w:after="0"/>
        <w:rPr>
          <w:sz w:val="20"/>
          <w:szCs w:val="20"/>
          <w:color w:val="auto"/>
        </w:rPr>
      </w:pPr>
      <w:r>
        <w:rPr>
          <w:rFonts w:ascii="Arial" w:cs="Arial" w:eastAsia="Arial" w:hAnsi="Arial"/>
          <w:sz w:val="16"/>
          <w:szCs w:val="16"/>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38100</wp:posOffset>
            </wp:positionV>
            <wp:extent cx="24009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3"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Debra L. Reed</w:t>
      </w:r>
    </w:p>
    <w:p>
      <w:pPr>
        <w:spacing w:after="0" w:line="59"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118" w:name="page119"/>
    <w:bookmarkEnd w:id="118"/>
    <w:p>
      <w:pPr>
        <w:ind w:left="10120"/>
        <w:spacing w:after="0"/>
        <w:rPr>
          <w:sz w:val="20"/>
          <w:szCs w:val="20"/>
          <w:color w:val="auto"/>
        </w:rPr>
      </w:pPr>
      <w:r>
        <w:rPr>
          <w:rFonts w:ascii="Arial" w:cs="Arial" w:eastAsia="Arial" w:hAnsi="Arial"/>
          <w:sz w:val="21"/>
          <w:szCs w:val="21"/>
          <w:color w:val="auto"/>
        </w:rPr>
        <w:t>EXHIBIT 31.8</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Robert Schlax, certify that:</w:t>
      </w:r>
    </w:p>
    <w:p>
      <w:pPr>
        <w:spacing w:after="0" w:line="260" w:lineRule="exact"/>
        <w:rPr>
          <w:sz w:val="20"/>
          <w:szCs w:val="20"/>
          <w:color w:val="auto"/>
        </w:rPr>
      </w:pPr>
    </w:p>
    <w:p>
      <w:pPr>
        <w:ind w:left="340" w:hanging="332"/>
        <w:spacing w:after="0"/>
        <w:tabs>
          <w:tab w:leader="none" w:pos="34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I have reviewed this report on Form 10-Q of Southern California Gas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120"/>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120"/>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120"/>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120"/>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120"/>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120"/>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May 5, 2009</w:t>
      </w:r>
    </w:p>
    <w:p>
      <w:pPr>
        <w:spacing w:after="0" w:line="281"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/S/ Robert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38100</wp:posOffset>
            </wp:positionV>
            <wp:extent cx="229806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53" w:lineRule="exact"/>
        <w:rPr>
          <w:sz w:val="20"/>
          <w:szCs w:val="20"/>
          <w:color w:val="auto"/>
        </w:rPr>
      </w:pPr>
    </w:p>
    <w:p>
      <w:pPr>
        <w:ind w:left="10380"/>
        <w:spacing w:after="0"/>
        <w:rPr>
          <w:sz w:val="20"/>
          <w:szCs w:val="20"/>
          <w:color w:val="auto"/>
        </w:rPr>
      </w:pPr>
      <w:r>
        <w:rPr>
          <w:rFonts w:ascii="Arial" w:cs="Arial" w:eastAsia="Arial" w:hAnsi="Arial"/>
          <w:sz w:val="16"/>
          <w:szCs w:val="16"/>
          <w:color w:val="auto"/>
        </w:rPr>
        <w:t>Robert Schlax</w:t>
      </w:r>
    </w:p>
    <w:p>
      <w:pPr>
        <w:spacing w:after="0" w:line="59"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22"/>
          <w:szCs w:val="22"/>
          <w:color w:val="auto"/>
        </w:rPr>
        <w:t>Exhibit 32.1</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Executive Officer</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Executive Officer of Sempra Energy (the "Company") certifies that:</w:t>
      </w:r>
    </w:p>
    <w:p>
      <w:pPr>
        <w:spacing w:after="0" w:line="227" w:lineRule="exact"/>
        <w:rPr>
          <w:sz w:val="20"/>
          <w:szCs w:val="20"/>
          <w:color w:val="auto"/>
        </w:rPr>
      </w:pPr>
    </w:p>
    <w:p>
      <w:pPr>
        <w:jc w:val="both"/>
        <w:ind w:left="1300" w:right="420" w:hanging="644"/>
        <w:spacing w:after="0" w:line="258" w:lineRule="auto"/>
        <w:tabs>
          <w:tab w:leader="none" w:pos="1300" w:val="left"/>
        </w:tabs>
        <w:numPr>
          <w:ilvl w:val="0"/>
          <w:numId w:val="121"/>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March 31, 2009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May 5, 2009</w:t>
      </w:r>
    </w:p>
    <w:p>
      <w:pPr>
        <w:spacing w:after="0" w:line="375" w:lineRule="exact"/>
        <w:rPr>
          <w:sz w:val="20"/>
          <w:szCs w:val="20"/>
          <w:color w:val="auto"/>
        </w:rPr>
      </w:pPr>
    </w:p>
    <w:p>
      <w:pPr>
        <w:ind w:left="9680"/>
        <w:spacing w:after="0"/>
        <w:rPr>
          <w:sz w:val="20"/>
          <w:szCs w:val="20"/>
          <w:color w:val="auto"/>
        </w:rPr>
      </w:pPr>
      <w:r>
        <w:rPr>
          <w:rFonts w:ascii="Arial" w:cs="Arial" w:eastAsia="Arial" w:hAnsi="Arial"/>
          <w:sz w:val="16"/>
          <w:szCs w:val="16"/>
          <w:color w:val="auto"/>
        </w:rPr>
        <w:t>/S/ Donald E. Felsinger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38100</wp:posOffset>
            </wp:positionV>
            <wp:extent cx="224663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53" w:lineRule="exact"/>
        <w:rPr>
          <w:sz w:val="20"/>
          <w:szCs w:val="20"/>
          <w:color w:val="auto"/>
        </w:rPr>
      </w:pPr>
    </w:p>
    <w:p>
      <w:pPr>
        <w:ind w:left="9960"/>
        <w:spacing w:after="0"/>
        <w:rPr>
          <w:sz w:val="20"/>
          <w:szCs w:val="20"/>
          <w:color w:val="auto"/>
        </w:rPr>
      </w:pPr>
      <w:r>
        <w:rPr>
          <w:rFonts w:ascii="Arial" w:cs="Arial" w:eastAsia="Arial" w:hAnsi="Arial"/>
          <w:sz w:val="16"/>
          <w:szCs w:val="16"/>
          <w:color w:val="auto"/>
        </w:rPr>
        <w:t>Donald E. Felsinger</w:t>
      </w:r>
    </w:p>
    <w:p>
      <w:pPr>
        <w:spacing w:after="0" w:line="59"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22"/>
          <w:szCs w:val="22"/>
          <w:color w:val="auto"/>
        </w:rPr>
        <w:t>Exhibit 32.2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Financial Officer</w:t>
      </w:r>
    </w:p>
    <w:p>
      <w:pPr>
        <w:spacing w:after="0" w:line="23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Financial Officer of Sempra Energy (the "Company") certifies that:</w:t>
      </w:r>
    </w:p>
    <w:p>
      <w:pPr>
        <w:spacing w:after="0" w:line="227" w:lineRule="exact"/>
        <w:rPr>
          <w:sz w:val="20"/>
          <w:szCs w:val="20"/>
          <w:color w:val="auto"/>
        </w:rPr>
      </w:pPr>
    </w:p>
    <w:p>
      <w:pPr>
        <w:jc w:val="both"/>
        <w:ind w:left="1300" w:right="420" w:hanging="644"/>
        <w:spacing w:after="0" w:line="258" w:lineRule="auto"/>
        <w:tabs>
          <w:tab w:leader="none" w:pos="1300" w:val="left"/>
        </w:tabs>
        <w:numPr>
          <w:ilvl w:val="0"/>
          <w:numId w:val="122"/>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March 31, 2009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May 5, 2009</w:t>
      </w:r>
    </w:p>
    <w:p>
      <w:pPr>
        <w:spacing w:after="0" w:line="375" w:lineRule="exact"/>
        <w:rPr>
          <w:sz w:val="20"/>
          <w:szCs w:val="20"/>
          <w:color w:val="auto"/>
        </w:rPr>
      </w:pPr>
    </w:p>
    <w:p>
      <w:pPr>
        <w:ind w:left="10100"/>
        <w:spacing w:after="0"/>
        <w:rPr>
          <w:sz w:val="20"/>
          <w:szCs w:val="20"/>
          <w:color w:val="auto"/>
        </w:rPr>
      </w:pPr>
      <w:r>
        <w:rPr>
          <w:rFonts w:ascii="Arial" w:cs="Arial" w:eastAsia="Arial" w:hAnsi="Arial"/>
          <w:sz w:val="17"/>
          <w:szCs w:val="17"/>
          <w:color w:val="auto"/>
        </w:rPr>
        <w:t>/S/ Mark A. Snell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30480</wp:posOffset>
            </wp:positionV>
            <wp:extent cx="2349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41"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Mark A. Snell</w:t>
      </w:r>
    </w:p>
    <w:p>
      <w:pPr>
        <w:spacing w:after="0" w:line="48"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22"/>
          <w:szCs w:val="22"/>
          <w:color w:val="auto"/>
        </w:rPr>
        <w:t>Exhibit 32.3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Executive Officer</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Executive Officer of San Diego Gas &amp; Electric Company (the "Company") certifies that:</w:t>
      </w:r>
    </w:p>
    <w:p>
      <w:pPr>
        <w:spacing w:after="0" w:line="227" w:lineRule="exact"/>
        <w:rPr>
          <w:sz w:val="20"/>
          <w:szCs w:val="20"/>
          <w:color w:val="auto"/>
        </w:rPr>
      </w:pPr>
    </w:p>
    <w:p>
      <w:pPr>
        <w:jc w:val="both"/>
        <w:ind w:left="1300" w:right="420" w:hanging="644"/>
        <w:spacing w:after="0" w:line="258" w:lineRule="auto"/>
        <w:tabs>
          <w:tab w:leader="none" w:pos="1300" w:val="left"/>
        </w:tabs>
        <w:numPr>
          <w:ilvl w:val="0"/>
          <w:numId w:val="123"/>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March 31, 2009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May 5, 2009</w:t>
      </w:r>
    </w:p>
    <w:p>
      <w:pPr>
        <w:spacing w:after="0" w:line="375" w:lineRule="exact"/>
        <w:rPr>
          <w:sz w:val="20"/>
          <w:szCs w:val="20"/>
          <w:color w:val="auto"/>
        </w:rPr>
      </w:pPr>
    </w:p>
    <w:p>
      <w:pPr>
        <w:ind w:left="10060"/>
        <w:spacing w:after="0"/>
        <w:rPr>
          <w:sz w:val="20"/>
          <w:szCs w:val="20"/>
          <w:color w:val="auto"/>
        </w:rPr>
      </w:pPr>
      <w:r>
        <w:rPr>
          <w:rFonts w:ascii="Arial" w:cs="Arial" w:eastAsia="Arial" w:hAnsi="Arial"/>
          <w:sz w:val="16"/>
          <w:szCs w:val="16"/>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38100</wp:posOffset>
            </wp:positionV>
            <wp:extent cx="24009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3"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Debra L. Reed</w:t>
      </w:r>
    </w:p>
    <w:p>
      <w:pPr>
        <w:spacing w:after="0" w:line="59"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22"/>
          <w:szCs w:val="22"/>
          <w:color w:val="auto"/>
        </w:rPr>
        <w:t>Exhibit 32.4</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Financial Officer</w:t>
      </w:r>
    </w:p>
    <w:p>
      <w:pPr>
        <w:spacing w:after="0" w:line="23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Financial Officer of San Diego Gas &amp; Electric Company (the "Company") certifies that:</w:t>
      </w:r>
    </w:p>
    <w:p>
      <w:pPr>
        <w:spacing w:after="0" w:line="227" w:lineRule="exact"/>
        <w:rPr>
          <w:sz w:val="20"/>
          <w:szCs w:val="20"/>
          <w:color w:val="auto"/>
        </w:rPr>
      </w:pPr>
    </w:p>
    <w:p>
      <w:pPr>
        <w:jc w:val="both"/>
        <w:ind w:left="1300" w:right="420" w:hanging="644"/>
        <w:spacing w:after="0" w:line="258" w:lineRule="auto"/>
        <w:tabs>
          <w:tab w:leader="none" w:pos="1300" w:val="left"/>
        </w:tabs>
        <w:numPr>
          <w:ilvl w:val="0"/>
          <w:numId w:val="124"/>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March 31, 2009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May 5, 2009</w:t>
      </w:r>
    </w:p>
    <w:p>
      <w:pPr>
        <w:spacing w:after="0" w:line="375"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/S/ Robert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38100</wp:posOffset>
            </wp:positionV>
            <wp:extent cx="23495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53" w:lineRule="exact"/>
        <w:rPr>
          <w:sz w:val="20"/>
          <w:szCs w:val="20"/>
          <w:color w:val="auto"/>
        </w:rPr>
      </w:pPr>
    </w:p>
    <w:p>
      <w:pPr>
        <w:ind w:left="10380"/>
        <w:spacing w:after="0"/>
        <w:rPr>
          <w:sz w:val="20"/>
          <w:szCs w:val="20"/>
          <w:color w:val="auto"/>
        </w:rPr>
      </w:pPr>
      <w:r>
        <w:rPr>
          <w:rFonts w:ascii="Arial" w:cs="Arial" w:eastAsia="Arial" w:hAnsi="Arial"/>
          <w:sz w:val="16"/>
          <w:szCs w:val="16"/>
          <w:color w:val="auto"/>
        </w:rPr>
        <w:t>Robert Schlax</w:t>
      </w:r>
    </w:p>
    <w:p>
      <w:pPr>
        <w:spacing w:after="0" w:line="59"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2"/>
          <w:szCs w:val="22"/>
          <w:color w:val="auto"/>
        </w:rPr>
        <w:t>Exhibit 32.5</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Executive Officer</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Executive Officer of Pacific Enterprises (the "Company") certifies that:</w:t>
      </w:r>
    </w:p>
    <w:p>
      <w:pPr>
        <w:spacing w:after="0" w:line="227" w:lineRule="exact"/>
        <w:rPr>
          <w:sz w:val="20"/>
          <w:szCs w:val="20"/>
          <w:color w:val="auto"/>
        </w:rPr>
      </w:pPr>
    </w:p>
    <w:p>
      <w:pPr>
        <w:jc w:val="both"/>
        <w:ind w:left="1300" w:right="420" w:hanging="644"/>
        <w:spacing w:after="0" w:line="258" w:lineRule="auto"/>
        <w:tabs>
          <w:tab w:leader="none" w:pos="1300" w:val="left"/>
        </w:tabs>
        <w:numPr>
          <w:ilvl w:val="0"/>
          <w:numId w:val="125"/>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March 31, 2009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May 5, 2009</w:t>
      </w:r>
    </w:p>
    <w:p>
      <w:pPr>
        <w:spacing w:after="0" w:line="375" w:lineRule="exact"/>
        <w:rPr>
          <w:sz w:val="20"/>
          <w:szCs w:val="20"/>
          <w:color w:val="auto"/>
        </w:rPr>
      </w:pPr>
    </w:p>
    <w:p>
      <w:pPr>
        <w:ind w:left="10060"/>
        <w:spacing w:after="0"/>
        <w:rPr>
          <w:sz w:val="20"/>
          <w:szCs w:val="20"/>
          <w:color w:val="auto"/>
        </w:rPr>
      </w:pPr>
      <w:r>
        <w:rPr>
          <w:rFonts w:ascii="Arial" w:cs="Arial" w:eastAsia="Arial" w:hAnsi="Arial"/>
          <w:sz w:val="16"/>
          <w:szCs w:val="16"/>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5262245</wp:posOffset>
            </wp:positionH>
            <wp:positionV relativeFrom="paragraph">
              <wp:posOffset>38100</wp:posOffset>
            </wp:positionV>
            <wp:extent cx="198945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53"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Debra L. Reed</w:t>
      </w:r>
    </w:p>
    <w:p>
      <w:pPr>
        <w:spacing w:after="0" w:line="59"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22"/>
          <w:szCs w:val="22"/>
          <w:color w:val="auto"/>
        </w:rPr>
        <w:t>Exhibit 32.6</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Financial Officer</w:t>
      </w:r>
    </w:p>
    <w:p>
      <w:pPr>
        <w:spacing w:after="0" w:line="23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Financial Officer of Pacific Enterprises (the "Company") certifies that:</w:t>
      </w:r>
    </w:p>
    <w:p>
      <w:pPr>
        <w:spacing w:after="0" w:line="227" w:lineRule="exact"/>
        <w:rPr>
          <w:sz w:val="20"/>
          <w:szCs w:val="20"/>
          <w:color w:val="auto"/>
        </w:rPr>
      </w:pPr>
    </w:p>
    <w:p>
      <w:pPr>
        <w:jc w:val="both"/>
        <w:ind w:left="1300" w:right="420" w:hanging="644"/>
        <w:spacing w:after="0" w:line="258" w:lineRule="auto"/>
        <w:tabs>
          <w:tab w:leader="none" w:pos="1300" w:val="left"/>
        </w:tabs>
        <w:numPr>
          <w:ilvl w:val="0"/>
          <w:numId w:val="126"/>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March 31, 2009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May 5, 2009</w:t>
      </w:r>
    </w:p>
    <w:p>
      <w:pPr>
        <w:spacing w:after="0" w:line="375"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/S/ Robert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38100</wp:posOffset>
            </wp:positionV>
            <wp:extent cx="19380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53" w:lineRule="exact"/>
        <w:rPr>
          <w:sz w:val="20"/>
          <w:szCs w:val="20"/>
          <w:color w:val="auto"/>
        </w:rPr>
      </w:pPr>
    </w:p>
    <w:p>
      <w:pPr>
        <w:ind w:left="10380"/>
        <w:spacing w:after="0"/>
        <w:rPr>
          <w:sz w:val="20"/>
          <w:szCs w:val="20"/>
          <w:color w:val="auto"/>
        </w:rPr>
      </w:pPr>
      <w:r>
        <w:rPr>
          <w:rFonts w:ascii="Arial" w:cs="Arial" w:eastAsia="Arial" w:hAnsi="Arial"/>
          <w:sz w:val="16"/>
          <w:szCs w:val="16"/>
          <w:color w:val="auto"/>
        </w:rPr>
        <w:t>Robert Schlax</w:t>
      </w:r>
    </w:p>
    <w:p>
      <w:pPr>
        <w:spacing w:after="0" w:line="59"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22"/>
          <w:szCs w:val="22"/>
          <w:color w:val="auto"/>
        </w:rPr>
        <w:t>Exhibit 32.7</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Executive Officer</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Executive Officer of Southern California Gas Company (the "Company") certifies that:</w:t>
      </w:r>
    </w:p>
    <w:p>
      <w:pPr>
        <w:spacing w:after="0" w:line="227" w:lineRule="exact"/>
        <w:rPr>
          <w:sz w:val="20"/>
          <w:szCs w:val="20"/>
          <w:color w:val="auto"/>
        </w:rPr>
      </w:pPr>
    </w:p>
    <w:p>
      <w:pPr>
        <w:jc w:val="both"/>
        <w:ind w:left="1300" w:right="420" w:hanging="644"/>
        <w:spacing w:after="0" w:line="258" w:lineRule="auto"/>
        <w:tabs>
          <w:tab w:leader="none" w:pos="130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March 31, 2009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May 5, 2009</w:t>
      </w:r>
    </w:p>
    <w:p>
      <w:pPr>
        <w:spacing w:after="0" w:line="375" w:lineRule="exact"/>
        <w:rPr>
          <w:sz w:val="20"/>
          <w:szCs w:val="20"/>
          <w:color w:val="auto"/>
        </w:rPr>
      </w:pPr>
    </w:p>
    <w:p>
      <w:pPr>
        <w:ind w:left="10060"/>
        <w:spacing w:after="0"/>
        <w:rPr>
          <w:sz w:val="20"/>
          <w:szCs w:val="20"/>
          <w:color w:val="auto"/>
        </w:rPr>
      </w:pPr>
      <w:r>
        <w:rPr>
          <w:rFonts w:ascii="Arial" w:cs="Arial" w:eastAsia="Arial" w:hAnsi="Arial"/>
          <w:sz w:val="16"/>
          <w:szCs w:val="16"/>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38100</wp:posOffset>
            </wp:positionV>
            <wp:extent cx="229806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53"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Debra L. Reed</w:t>
      </w:r>
    </w:p>
    <w:p>
      <w:pPr>
        <w:spacing w:after="0" w:line="59"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22"/>
          <w:szCs w:val="22"/>
          <w:color w:val="auto"/>
        </w:rPr>
        <w:t>Exhibit 32.8</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Financial Officer</w:t>
      </w:r>
    </w:p>
    <w:p>
      <w:pPr>
        <w:spacing w:after="0" w:line="23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Financial Officer of Southern California Gas Company (the "Company") certifies that:</w:t>
      </w:r>
    </w:p>
    <w:p>
      <w:pPr>
        <w:spacing w:after="0" w:line="227" w:lineRule="exact"/>
        <w:rPr>
          <w:sz w:val="20"/>
          <w:szCs w:val="20"/>
          <w:color w:val="auto"/>
        </w:rPr>
      </w:pPr>
    </w:p>
    <w:p>
      <w:pPr>
        <w:jc w:val="both"/>
        <w:ind w:left="1300" w:right="420" w:hanging="644"/>
        <w:spacing w:after="0" w:line="258" w:lineRule="auto"/>
        <w:tabs>
          <w:tab w:leader="none" w:pos="1300" w:val="left"/>
        </w:tabs>
        <w:numPr>
          <w:ilvl w:val="0"/>
          <w:numId w:val="128"/>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March 31, 2009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May 5, 2009</w:t>
      </w:r>
    </w:p>
    <w:p>
      <w:pPr>
        <w:spacing w:after="0" w:line="375"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/S/ Robert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38100</wp:posOffset>
            </wp:positionV>
            <wp:extent cx="229806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53" w:lineRule="exact"/>
        <w:rPr>
          <w:sz w:val="20"/>
          <w:szCs w:val="20"/>
          <w:color w:val="auto"/>
        </w:rPr>
      </w:pPr>
    </w:p>
    <w:p>
      <w:pPr>
        <w:ind w:left="10380"/>
        <w:spacing w:after="0"/>
        <w:rPr>
          <w:sz w:val="20"/>
          <w:szCs w:val="20"/>
          <w:color w:val="auto"/>
        </w:rPr>
      </w:pPr>
      <w:r>
        <w:rPr>
          <w:rFonts w:ascii="Arial" w:cs="Arial" w:eastAsia="Arial" w:hAnsi="Arial"/>
          <w:sz w:val="16"/>
          <w:szCs w:val="16"/>
          <w:color w:val="auto"/>
        </w:rPr>
        <w:t>Robert Schlax</w:t>
      </w:r>
    </w:p>
    <w:p>
      <w:pPr>
        <w:spacing w:after="0" w:line="59"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FF87E05"/>
    <w:multiLevelType w:val="hybridMultilevel"/>
    <w:lvl w:ilvl="0">
      <w:lvlJc w:val="left"/>
      <w:lvlText w:val="[%1]"/>
      <w:numFmt w:val="upperLetter"/>
      <w:start w:val="24"/>
    </w:lvl>
  </w:abstractNum>
  <w:abstractNum w:abstractNumId="1">
    <w:nsid w:val="2F305DEF"/>
    <w:multiLevelType w:val="hybridMultilevel"/>
    <w:lvl w:ilvl="0">
      <w:lvlJc w:val="left"/>
      <w:lvlText w:val="["/>
      <w:numFmt w:val="bullet"/>
      <w:start w:val="1"/>
    </w:lvl>
  </w:abstractNum>
  <w:abstractNum w:abstractNumId="2">
    <w:nsid w:val="25A70BF7"/>
    <w:multiLevelType w:val="hybridMultilevel"/>
    <w:lvl w:ilvl="0">
      <w:lvlJc w:val="left"/>
      <w:lvlText w:val="§"/>
      <w:numFmt w:val="bullet"/>
      <w:start w:val="1"/>
    </w:lvl>
  </w:abstractNum>
  <w:abstractNum w:abstractNumId="3">
    <w:nsid w:val="1DBABF00"/>
    <w:multiLevelType w:val="hybridMultilevel"/>
    <w:lvl w:ilvl="0">
      <w:lvlJc w:val="left"/>
      <w:lvlText w:val="5"/>
      <w:numFmt w:val="bullet"/>
      <w:start w:val="1"/>
    </w:lvl>
  </w:abstractNum>
  <w:abstractNum w:abstractNumId="4">
    <w:nsid w:val="4AD084E9"/>
    <w:multiLevelType w:val="hybridMultilevel"/>
    <w:lvl w:ilvl="0">
      <w:lvlJc w:val="left"/>
      <w:lvlText w:val="(%1)"/>
      <w:numFmt w:val="decimal"/>
      <w:start w:val="12"/>
    </w:lvl>
  </w:abstractNum>
  <w:abstractNum w:abstractNumId="5">
    <w:nsid w:val="1F48EAA1"/>
    <w:multiLevelType w:val="hybridMultilevel"/>
    <w:lvl w:ilvl="0">
      <w:lvlJc w:val="left"/>
      <w:lvlText w:val="7"/>
      <w:numFmt w:val="bullet"/>
      <w:start w:val="1"/>
    </w:lvl>
  </w:abstractNum>
  <w:abstractNum w:abstractNumId="6">
    <w:nsid w:val="1381823A"/>
    <w:multiLevelType w:val="hybridMultilevel"/>
    <w:lvl w:ilvl="0">
      <w:lvlJc w:val="left"/>
      <w:lvlText w:val="(%1)"/>
      <w:numFmt w:val="decimal"/>
      <w:start w:val="16"/>
    </w:lvl>
  </w:abstractNum>
  <w:abstractNum w:abstractNumId="7">
    <w:nsid w:val="5DB70AE5"/>
    <w:multiLevelType w:val="hybridMultilevel"/>
    <w:lvl w:ilvl="0">
      <w:lvlJc w:val="left"/>
      <w:lvlText w:val="(%1)"/>
      <w:numFmt w:val="decimal"/>
      <w:start w:val="229"/>
    </w:lvl>
    <w:lvl w:ilvl="1">
      <w:lvlJc w:val="left"/>
      <w:lvlText w:val="-"/>
      <w:numFmt w:val="bullet"/>
      <w:start w:val="1"/>
    </w:lvl>
  </w:abstractNum>
  <w:abstractNum w:abstractNumId="8">
    <w:nsid w:val="100F8FCA"/>
    <w:multiLevelType w:val="hybridMultilevel"/>
    <w:lvl w:ilvl="0">
      <w:lvlJc w:val="left"/>
      <w:lvlText w:val="(%1)"/>
      <w:numFmt w:val="decimal"/>
      <w:start w:val="43"/>
    </w:lvl>
  </w:abstractNum>
  <w:abstractNum w:abstractNumId="9">
    <w:nsid w:val="6590700B"/>
    <w:multiLevelType w:val="hybridMultilevel"/>
    <w:lvl w:ilvl="0">
      <w:lvlJc w:val="left"/>
      <w:lvlText w:val="%1"/>
      <w:numFmt w:val="decimal"/>
      <w:start w:val="33"/>
    </w:lvl>
    <w:lvl w:ilvl="1">
      <w:lvlJc w:val="left"/>
      <w:lvlText w:val="-"/>
      <w:numFmt w:val="bullet"/>
      <w:start w:val="1"/>
    </w:lvl>
  </w:abstractNum>
  <w:abstractNum w:abstractNumId="10">
    <w:nsid w:val="15014ACB"/>
    <w:multiLevelType w:val="hybridMultilevel"/>
    <w:lvl w:ilvl="0">
      <w:lvlJc w:val="left"/>
      <w:lvlText w:val="(%1)"/>
      <w:numFmt w:val="decimal"/>
      <w:start w:val="197"/>
    </w:lvl>
  </w:abstractNum>
  <w:abstractNum w:abstractNumId="11">
    <w:nsid w:val="5F5E7FD0"/>
    <w:multiLevelType w:val="hybridMultilevel"/>
    <w:lvl w:ilvl="0">
      <w:lvlJc w:val="left"/>
      <w:lvlText w:val="(%1)"/>
      <w:numFmt w:val="decimal"/>
      <w:start w:val="150"/>
    </w:lvl>
  </w:abstractNum>
  <w:abstractNum w:abstractNumId="12">
    <w:nsid w:val="98A3148"/>
    <w:multiLevelType w:val="hybridMultilevel"/>
    <w:lvl w:ilvl="0">
      <w:lvlJc w:val="left"/>
      <w:lvlText w:val="(%1)"/>
      <w:numFmt w:val="decimal"/>
      <w:start w:val="1"/>
    </w:lvl>
    <w:lvl w:ilvl="1">
      <w:lvlJc w:val="left"/>
      <w:lvlText w:val="-"/>
      <w:numFmt w:val="bullet"/>
      <w:start w:val="1"/>
    </w:lvl>
  </w:abstractNum>
  <w:abstractNum w:abstractNumId="13">
    <w:nsid w:val="799D0247"/>
    <w:multiLevelType w:val="hybridMultilevel"/>
    <w:lvl w:ilvl="0">
      <w:lvlJc w:val="left"/>
      <w:lvlText w:val="4"/>
      <w:numFmt w:val="bullet"/>
      <w:start w:val="1"/>
    </w:lvl>
  </w:abstractNum>
  <w:abstractNum w:abstractNumId="14">
    <w:nsid w:val="6B94764"/>
    <w:multiLevelType w:val="hybridMultilevel"/>
    <w:lvl w:ilvl="0">
      <w:lvlJc w:val="left"/>
      <w:lvlText w:val="(%1)"/>
      <w:numFmt w:val="decimal"/>
      <w:start w:val="27"/>
    </w:lvl>
  </w:abstractNum>
  <w:abstractNum w:abstractNumId="15">
    <w:nsid w:val="42C296BD"/>
    <w:multiLevelType w:val="hybridMultilevel"/>
    <w:lvl w:ilvl="0">
      <w:lvlJc w:val="left"/>
      <w:lvlText w:val="*"/>
      <w:numFmt w:val="bullet"/>
      <w:start w:val="1"/>
    </w:lvl>
  </w:abstractNum>
  <w:abstractNum w:abstractNumId="16">
    <w:nsid w:val="168E121F"/>
    <w:multiLevelType w:val="hybridMultilevel"/>
    <w:lvl w:ilvl="0">
      <w:lvlJc w:val="left"/>
      <w:lvlText w:val="6"/>
      <w:numFmt w:val="bullet"/>
      <w:start w:val="1"/>
    </w:lvl>
  </w:abstractNum>
  <w:abstractNum w:abstractNumId="17">
    <w:nsid w:val="1EBA5D23"/>
    <w:multiLevelType w:val="hybridMultilevel"/>
    <w:lvl w:ilvl="0">
      <w:lvlJc w:val="left"/>
      <w:lvlText w:val="2"/>
      <w:numFmt w:val="bullet"/>
      <w:start w:val="1"/>
    </w:lvl>
  </w:abstractNum>
  <w:abstractNum w:abstractNumId="18">
    <w:nsid w:val="661E3F1E"/>
    <w:multiLevelType w:val="hybridMultilevel"/>
    <w:lvl w:ilvl="0">
      <w:lvlJc w:val="left"/>
      <w:lvlText w:val="7"/>
      <w:numFmt w:val="bullet"/>
      <w:start w:val="1"/>
    </w:lvl>
  </w:abstractNum>
  <w:abstractNum w:abstractNumId="19">
    <w:nsid w:val="5DC79EA8"/>
    <w:multiLevelType w:val="hybridMultilevel"/>
    <w:lvl w:ilvl="0">
      <w:lvlJc w:val="left"/>
      <w:lvlText w:val="(%1)"/>
      <w:numFmt w:val="decimal"/>
      <w:start w:val="6"/>
    </w:lvl>
  </w:abstractNum>
  <w:abstractNum w:abstractNumId="20">
    <w:nsid w:val="540A471C"/>
    <w:multiLevelType w:val="hybridMultilevel"/>
    <w:lvl w:ilvl="0">
      <w:lvlJc w:val="left"/>
      <w:lvlText w:val="(%1)"/>
      <w:numFmt w:val="decimal"/>
      <w:start w:val="112"/>
    </w:lvl>
  </w:abstractNum>
  <w:abstractNum w:abstractNumId="21">
    <w:nsid w:val="7BD3EE7B"/>
    <w:multiLevelType w:val="hybridMultilevel"/>
    <w:lvl w:ilvl="0">
      <w:lvlJc w:val="left"/>
      <w:lvlText w:val="3"/>
      <w:numFmt w:val="bullet"/>
      <w:start w:val="1"/>
    </w:lvl>
  </w:abstractNum>
  <w:abstractNum w:abstractNumId="22">
    <w:nsid w:val="51D9C564"/>
    <w:multiLevelType w:val="hybridMultilevel"/>
    <w:lvl w:ilvl="0">
      <w:lvlJc w:val="left"/>
      <w:lvlText w:val="(%1)"/>
      <w:numFmt w:val="decimal"/>
      <w:start w:val="109"/>
    </w:lvl>
  </w:abstractNum>
  <w:abstractNum w:abstractNumId="23">
    <w:nsid w:val="613EFDC5"/>
    <w:multiLevelType w:val="hybridMultilevel"/>
    <w:lvl w:ilvl="0">
      <w:lvlJc w:val="left"/>
      <w:lvlText w:val="-"/>
      <w:numFmt w:val="bullet"/>
      <w:start w:val="1"/>
    </w:lvl>
  </w:abstractNum>
  <w:abstractNum w:abstractNumId="24">
    <w:nsid w:val="BF72B14"/>
    <w:multiLevelType w:val="hybridMultilevel"/>
    <w:lvl w:ilvl="0">
      <w:lvlJc w:val="left"/>
      <w:lvlText w:val="(%1)"/>
      <w:numFmt w:val="decimal"/>
      <w:start w:val="1"/>
    </w:lvl>
  </w:abstractNum>
  <w:abstractNum w:abstractNumId="25">
    <w:nsid w:val="11447B73"/>
    <w:multiLevelType w:val="hybridMultilevel"/>
    <w:lvl w:ilvl="0">
      <w:lvlJc w:val="left"/>
      <w:lvlText w:val="(%1)"/>
      <w:numFmt w:val="decimal"/>
      <w:start w:val="1"/>
    </w:lvl>
  </w:abstractNum>
  <w:abstractNum w:abstractNumId="26">
    <w:nsid w:val="42963E5A"/>
    <w:multiLevelType w:val="hybridMultilevel"/>
    <w:lvl w:ilvl="0">
      <w:lvlJc w:val="left"/>
      <w:lvlText w:val="6"/>
      <w:numFmt w:val="bullet"/>
      <w:start w:val="1"/>
    </w:lvl>
  </w:abstractNum>
  <w:abstractNum w:abstractNumId="27">
    <w:nsid w:val="A0382C5"/>
    <w:multiLevelType w:val="hybridMultilevel"/>
    <w:lvl w:ilvl="0">
      <w:lvlJc w:val="left"/>
      <w:lvlText w:val="2"/>
      <w:numFmt w:val="bullet"/>
      <w:start w:val="1"/>
    </w:lvl>
  </w:abstractNum>
  <w:abstractNum w:abstractNumId="28">
    <w:nsid w:val="8F2B15E"/>
    <w:multiLevelType w:val="hybridMultilevel"/>
    <w:lvl w:ilvl="0">
      <w:lvlJc w:val="left"/>
      <w:lvlText w:val="7"/>
      <w:numFmt w:val="bullet"/>
      <w:start w:val="1"/>
    </w:lvl>
  </w:abstractNum>
  <w:abstractNum w:abstractNumId="29">
    <w:nsid w:val="1A32234B"/>
    <w:multiLevelType w:val="hybridMultilevel"/>
    <w:lvl w:ilvl="0">
      <w:lvlJc w:val="left"/>
      <w:lvlText w:val="(%1)"/>
      <w:numFmt w:val="decimal"/>
      <w:start w:val="4"/>
    </w:lvl>
  </w:abstractNum>
  <w:abstractNum w:abstractNumId="30">
    <w:nsid w:val="3B0FD379"/>
    <w:multiLevelType w:val="hybridMultilevel"/>
    <w:lvl w:ilvl="0">
      <w:lvlJc w:val="left"/>
      <w:lvlText w:val="(%1)"/>
      <w:numFmt w:val="decimal"/>
      <w:start w:val="112"/>
    </w:lvl>
  </w:abstractNum>
  <w:abstractNum w:abstractNumId="31">
    <w:nsid w:val="68EB2F63"/>
    <w:multiLevelType w:val="hybridMultilevel"/>
    <w:lvl w:ilvl="0">
      <w:lvlJc w:val="left"/>
      <w:lvlText w:val="-"/>
      <w:numFmt w:val="bullet"/>
      <w:start w:val="1"/>
    </w:lvl>
  </w:abstractNum>
  <w:abstractNum w:abstractNumId="32">
    <w:nsid w:val="4962813B"/>
    <w:multiLevelType w:val="hybridMultilevel"/>
    <w:lvl w:ilvl="0">
      <w:lvlJc w:val="left"/>
      <w:lvlText w:val="(%1)"/>
      <w:numFmt w:val="decimal"/>
      <w:start w:val="112"/>
    </w:lvl>
  </w:abstractNum>
  <w:abstractNum w:abstractNumId="33">
    <w:nsid w:val="60B6DF70"/>
    <w:multiLevelType w:val="hybridMultilevel"/>
    <w:lvl w:ilvl="0">
      <w:lvlJc w:val="left"/>
      <w:lvlText w:val="§"/>
      <w:numFmt w:val="bullet"/>
      <w:start w:val="1"/>
    </w:lvl>
  </w:abstractNum>
  <w:abstractNum w:abstractNumId="34">
    <w:nsid w:val="6A5EE64"/>
    <w:multiLevelType w:val="hybridMultilevel"/>
    <w:lvl w:ilvl="0">
      <w:lvlJc w:val="left"/>
      <w:lvlText w:val="§"/>
      <w:numFmt w:val="bullet"/>
      <w:start w:val="1"/>
    </w:lvl>
  </w:abstractNum>
  <w:abstractNum w:abstractNumId="35">
    <w:nsid w:val="14330624"/>
    <w:multiLevelType w:val="hybridMultilevel"/>
    <w:lvl w:ilvl="0">
      <w:lvlJc w:val="left"/>
      <w:lvlText w:val="§"/>
      <w:numFmt w:val="bullet"/>
      <w:start w:val="1"/>
    </w:lvl>
  </w:abstractNum>
  <w:abstractNum w:abstractNumId="36">
    <w:nsid w:val="7FFFCA11"/>
    <w:multiLevelType w:val="hybridMultilevel"/>
    <w:lvl w:ilvl="0">
      <w:lvlJc w:val="left"/>
      <w:lvlText w:val="§"/>
      <w:numFmt w:val="bullet"/>
      <w:start w:val="1"/>
    </w:lvl>
  </w:abstractNum>
  <w:abstractNum w:abstractNumId="37">
    <w:nsid w:val="1A27709E"/>
    <w:multiLevelType w:val="hybridMultilevel"/>
    <w:lvl w:ilvl="0">
      <w:lvlJc w:val="left"/>
      <w:lvlText w:val="§"/>
      <w:numFmt w:val="bullet"/>
      <w:start w:val="1"/>
    </w:lvl>
  </w:abstractNum>
  <w:abstractNum w:abstractNumId="38">
    <w:nsid w:val="71EA1109"/>
    <w:multiLevelType w:val="hybridMultilevel"/>
    <w:lvl w:ilvl="0">
      <w:lvlJc w:val="left"/>
      <w:lvlText w:val="*"/>
      <w:numFmt w:val="bullet"/>
      <w:start w:val="1"/>
    </w:lvl>
  </w:abstractNum>
  <w:abstractNum w:abstractNumId="39">
    <w:nsid w:val="100F59DC"/>
    <w:multiLevelType w:val="hybridMultilevel"/>
    <w:lvl w:ilvl="0">
      <w:lvlJc w:val="left"/>
      <w:lvlText w:val="*"/>
      <w:numFmt w:val="bullet"/>
      <w:start w:val="1"/>
    </w:lvl>
  </w:abstractNum>
  <w:abstractNum w:abstractNumId="40">
    <w:nsid w:val="7FB7E0AA"/>
    <w:multiLevelType w:val="hybridMultilevel"/>
    <w:lvl w:ilvl="0">
      <w:lvlJc w:val="left"/>
      <w:lvlText w:val="*"/>
      <w:numFmt w:val="bullet"/>
      <w:start w:val="1"/>
    </w:lvl>
  </w:abstractNum>
  <w:abstractNum w:abstractNumId="41">
    <w:nsid w:val="6EB5BD4"/>
    <w:multiLevelType w:val="hybridMultilevel"/>
    <w:lvl w:ilvl="0">
      <w:lvlJc w:val="left"/>
      <w:lvlText w:val="**"/>
      <w:numFmt w:val="bullet"/>
      <w:start w:val="1"/>
    </w:lvl>
  </w:abstractNum>
  <w:abstractNum w:abstractNumId="42">
    <w:nsid w:val="6F6DD9AC"/>
    <w:multiLevelType w:val="hybridMultilevel"/>
    <w:lvl w:ilvl="0">
      <w:lvlJc w:val="left"/>
      <w:lvlText w:val="§"/>
      <w:numFmt w:val="bullet"/>
      <w:start w:val="1"/>
    </w:lvl>
  </w:abstractNum>
  <w:abstractNum w:abstractNumId="43">
    <w:nsid w:val="94211F2"/>
    <w:multiLevelType w:val="hybridMultilevel"/>
    <w:lvl w:ilvl="0">
      <w:lvlJc w:val="left"/>
      <w:lvlText w:val="§"/>
      <w:numFmt w:val="bullet"/>
      <w:start w:val="1"/>
    </w:lvl>
  </w:abstractNum>
  <w:abstractNum w:abstractNumId="44">
    <w:nsid w:val="885E1B"/>
    <w:multiLevelType w:val="hybridMultilevel"/>
    <w:lvl w:ilvl="0">
      <w:lvlJc w:val="left"/>
      <w:lvlText w:val="§"/>
      <w:numFmt w:val="bullet"/>
      <w:start w:val="1"/>
    </w:lvl>
  </w:abstractNum>
  <w:abstractNum w:abstractNumId="45">
    <w:nsid w:val="76272110"/>
    <w:multiLevelType w:val="hybridMultilevel"/>
    <w:lvl w:ilvl="0">
      <w:lvlJc w:val="left"/>
      <w:lvlText w:val="§"/>
      <w:numFmt w:val="bullet"/>
      <w:start w:val="1"/>
    </w:lvl>
  </w:abstractNum>
  <w:abstractNum w:abstractNumId="46">
    <w:nsid w:val="4C04A8AF"/>
    <w:multiLevelType w:val="hybridMultilevel"/>
    <w:lvl w:ilvl="0">
      <w:lvlJc w:val="left"/>
      <w:lvlText w:val="§"/>
      <w:numFmt w:val="bullet"/>
      <w:start w:val="1"/>
    </w:lvl>
  </w:abstractNum>
  <w:abstractNum w:abstractNumId="47">
    <w:nsid w:val="1716703B"/>
    <w:multiLevelType w:val="hybridMultilevel"/>
    <w:lvl w:ilvl="0">
      <w:lvlJc w:val="left"/>
      <w:lvlText w:val="*"/>
      <w:numFmt w:val="bullet"/>
      <w:start w:val="1"/>
    </w:lvl>
  </w:abstractNum>
  <w:abstractNum w:abstractNumId="48">
    <w:nsid w:val="14E17E33"/>
    <w:multiLevelType w:val="hybridMultilevel"/>
    <w:lvl w:ilvl="0">
      <w:lvlJc w:val="left"/>
      <w:lvlText w:val="*"/>
      <w:numFmt w:val="bullet"/>
      <w:start w:val="1"/>
    </w:lvl>
  </w:abstractNum>
  <w:abstractNum w:abstractNumId="49">
    <w:nsid w:val="3222E7CD"/>
    <w:multiLevelType w:val="hybridMultilevel"/>
    <w:lvl w:ilvl="0">
      <w:lvlJc w:val="left"/>
      <w:lvlText w:val="*"/>
      <w:numFmt w:val="bullet"/>
      <w:start w:val="1"/>
    </w:lvl>
  </w:abstractNum>
  <w:abstractNum w:abstractNumId="50">
    <w:nsid w:val="74DE0EE3"/>
    <w:multiLevelType w:val="hybridMultilevel"/>
    <w:lvl w:ilvl="0">
      <w:lvlJc w:val="left"/>
      <w:lvlText w:val="§"/>
      <w:numFmt w:val="bullet"/>
      <w:start w:val="1"/>
    </w:lvl>
  </w:abstractNum>
  <w:abstractNum w:abstractNumId="51">
    <w:nsid w:val="68EBC550"/>
    <w:multiLevelType w:val="hybridMultilevel"/>
    <w:lvl w:ilvl="0">
      <w:lvlJc w:val="left"/>
      <w:lvlText w:val="§"/>
      <w:numFmt w:val="bullet"/>
      <w:start w:val="1"/>
    </w:lvl>
  </w:abstractNum>
  <w:abstractNum w:abstractNumId="52">
    <w:nsid w:val="2DF6D648"/>
    <w:multiLevelType w:val="hybridMultilevel"/>
    <w:lvl w:ilvl="0">
      <w:lvlJc w:val="left"/>
      <w:lvlText w:val="§"/>
      <w:numFmt w:val="bullet"/>
      <w:start w:val="1"/>
    </w:lvl>
  </w:abstractNum>
  <w:abstractNum w:abstractNumId="53">
    <w:nsid w:val="46B7D447"/>
    <w:multiLevelType w:val="hybridMultilevel"/>
    <w:lvl w:ilvl="0">
      <w:lvlJc w:val="left"/>
      <w:lvlText w:val="%1."/>
      <w:numFmt w:val="decimal"/>
      <w:start w:val="1"/>
    </w:lvl>
  </w:abstractNum>
  <w:abstractNum w:abstractNumId="54">
    <w:nsid w:val="4A2AC315"/>
    <w:multiLevelType w:val="hybridMultilevel"/>
    <w:lvl w:ilvl="0">
      <w:lvlJc w:val="left"/>
      <w:lvlText w:val="§"/>
      <w:numFmt w:val="bullet"/>
      <w:start w:val="1"/>
    </w:lvl>
  </w:abstractNum>
  <w:abstractNum w:abstractNumId="55">
    <w:nsid w:val="39EE015C"/>
    <w:multiLevelType w:val="hybridMultilevel"/>
    <w:lvl w:ilvl="0">
      <w:lvlJc w:val="left"/>
      <w:lvlText w:val="§"/>
      <w:numFmt w:val="bullet"/>
      <w:start w:val="1"/>
    </w:lvl>
  </w:abstractNum>
  <w:abstractNum w:abstractNumId="56">
    <w:nsid w:val="57FC4FBB"/>
    <w:multiLevelType w:val="hybridMultilevel"/>
    <w:lvl w:ilvl="0">
      <w:lvlJc w:val="left"/>
      <w:lvlText w:val="§"/>
      <w:numFmt w:val="bullet"/>
      <w:start w:val="1"/>
    </w:lvl>
  </w:abstractNum>
  <w:abstractNum w:abstractNumId="57">
    <w:nsid w:val="CC1016F"/>
    <w:multiLevelType w:val="hybridMultilevel"/>
    <w:lvl w:ilvl="0">
      <w:lvlJc w:val="left"/>
      <w:lvlText w:val="§"/>
      <w:numFmt w:val="bullet"/>
      <w:start w:val="1"/>
    </w:lvl>
  </w:abstractNum>
  <w:abstractNum w:abstractNumId="58">
    <w:nsid w:val="43F18422"/>
    <w:multiLevelType w:val="hybridMultilevel"/>
    <w:lvl w:ilvl="0">
      <w:lvlJc w:val="left"/>
      <w:lvlText w:val="§"/>
      <w:numFmt w:val="bullet"/>
      <w:start w:val="1"/>
    </w:lvl>
  </w:abstractNum>
  <w:abstractNum w:abstractNumId="59">
    <w:nsid w:val="60EF0119"/>
    <w:multiLevelType w:val="hybridMultilevel"/>
    <w:lvl w:ilvl="0">
      <w:lvlJc w:val="left"/>
      <w:lvlText w:val="§"/>
      <w:numFmt w:val="bullet"/>
      <w:start w:val="1"/>
    </w:lvl>
  </w:abstractNum>
  <w:abstractNum w:abstractNumId="60">
    <w:nsid w:val="26F324BA"/>
    <w:multiLevelType w:val="hybridMultilevel"/>
    <w:lvl w:ilvl="0">
      <w:lvlJc w:val="left"/>
      <w:lvlText w:val="*"/>
      <w:numFmt w:val="bullet"/>
      <w:start w:val="1"/>
    </w:lvl>
  </w:abstractNum>
  <w:abstractNum w:abstractNumId="61">
    <w:nsid w:val="7F01579B"/>
    <w:multiLevelType w:val="hybridMultilevel"/>
    <w:lvl w:ilvl="0">
      <w:lvlJc w:val="left"/>
      <w:lvlText w:val="**"/>
      <w:numFmt w:val="bullet"/>
      <w:start w:val="1"/>
    </w:lvl>
  </w:abstractNum>
  <w:abstractNum w:abstractNumId="62">
    <w:nsid w:val="49DA307D"/>
    <w:multiLevelType w:val="hybridMultilevel"/>
    <w:lvl w:ilvl="0">
      <w:lvlJc w:val="left"/>
      <w:lvlText w:val="***"/>
      <w:numFmt w:val="bullet"/>
      <w:start w:val="1"/>
    </w:lvl>
  </w:abstractNum>
  <w:abstractNum w:abstractNumId="63">
    <w:nsid w:val="7055A5F5"/>
    <w:multiLevelType w:val="hybridMultilevel"/>
    <w:lvl w:ilvl="0">
      <w:lvlJc w:val="left"/>
      <w:lvlText w:val="§"/>
      <w:numFmt w:val="bullet"/>
      <w:start w:val="1"/>
    </w:lvl>
  </w:abstractNum>
  <w:abstractNum w:abstractNumId="64">
    <w:nsid w:val="5FB8370B"/>
    <w:multiLevelType w:val="hybridMultilevel"/>
    <w:lvl w:ilvl="0">
      <w:lvlJc w:val="left"/>
      <w:lvlText w:val="§"/>
      <w:numFmt w:val="bullet"/>
      <w:start w:val="1"/>
    </w:lvl>
  </w:abstractNum>
  <w:abstractNum w:abstractNumId="65">
    <w:nsid w:val="50801EE1"/>
    <w:multiLevelType w:val="hybridMultilevel"/>
    <w:lvl w:ilvl="0">
      <w:lvlJc w:val="left"/>
      <w:lvlText w:val="§"/>
      <w:numFmt w:val="bullet"/>
      <w:start w:val="1"/>
    </w:lvl>
  </w:abstractNum>
  <w:abstractNum w:abstractNumId="66">
    <w:nsid w:val="488AC1A"/>
    <w:multiLevelType w:val="hybridMultilevel"/>
    <w:lvl w:ilvl="0">
      <w:lvlJc w:val="left"/>
      <w:lvlText w:val="§"/>
      <w:numFmt w:val="bullet"/>
      <w:start w:val="1"/>
    </w:lvl>
  </w:abstractNum>
  <w:abstractNum w:abstractNumId="67">
    <w:nsid w:val="5FB8011C"/>
    <w:multiLevelType w:val="hybridMultilevel"/>
    <w:lvl w:ilvl="0">
      <w:lvlJc w:val="left"/>
      <w:lvlText w:val="§"/>
      <w:numFmt w:val="bullet"/>
      <w:start w:val="1"/>
    </w:lvl>
  </w:abstractNum>
  <w:abstractNum w:abstractNumId="68">
    <w:nsid w:val="6AA78F7F"/>
    <w:multiLevelType w:val="hybridMultilevel"/>
    <w:lvl w:ilvl="0">
      <w:lvlJc w:val="left"/>
      <w:lvlText w:val="§"/>
      <w:numFmt w:val="bullet"/>
      <w:start w:val="1"/>
    </w:lvl>
  </w:abstractNum>
  <w:abstractNum w:abstractNumId="69">
    <w:nsid w:val="7672BD23"/>
    <w:multiLevelType w:val="hybridMultilevel"/>
    <w:lvl w:ilvl="0">
      <w:lvlJc w:val="left"/>
      <w:lvlText w:val="§"/>
      <w:numFmt w:val="bullet"/>
      <w:start w:val="1"/>
    </w:lvl>
  </w:abstractNum>
  <w:abstractNum w:abstractNumId="70">
    <w:nsid w:val="6FC75AF8"/>
    <w:multiLevelType w:val="hybridMultilevel"/>
    <w:lvl w:ilvl="0">
      <w:lvlJc w:val="left"/>
      <w:lvlText w:val="§"/>
      <w:numFmt w:val="bullet"/>
      <w:start w:val="1"/>
    </w:lvl>
  </w:abstractNum>
  <w:abstractNum w:abstractNumId="71">
    <w:nsid w:val="6A5F7029"/>
    <w:multiLevelType w:val="hybridMultilevel"/>
    <w:lvl w:ilvl="0">
      <w:lvlJc w:val="left"/>
      <w:lvlText w:val="§"/>
      <w:numFmt w:val="bullet"/>
      <w:start w:val="1"/>
    </w:lvl>
  </w:abstractNum>
  <w:abstractNum w:abstractNumId="72">
    <w:nsid w:val="7D5E18F8"/>
    <w:multiLevelType w:val="hybridMultilevel"/>
    <w:lvl w:ilvl="0">
      <w:lvlJc w:val="left"/>
      <w:lvlText w:val="§"/>
      <w:numFmt w:val="bullet"/>
      <w:start w:val="1"/>
    </w:lvl>
  </w:abstractNum>
  <w:abstractNum w:abstractNumId="73">
    <w:nsid w:val="5F3534A4"/>
    <w:multiLevelType w:val="hybridMultilevel"/>
    <w:lvl w:ilvl="0">
      <w:lvlJc w:val="left"/>
      <w:lvlText w:val="§"/>
      <w:numFmt w:val="bullet"/>
      <w:start w:val="1"/>
    </w:lvl>
  </w:abstractNum>
  <w:abstractNum w:abstractNumId="74">
    <w:nsid w:val="73A1821B"/>
    <w:multiLevelType w:val="hybridMultilevel"/>
    <w:lvl w:ilvl="0">
      <w:lvlJc w:val="left"/>
      <w:lvlText w:val="§"/>
      <w:numFmt w:val="bullet"/>
      <w:start w:val="1"/>
    </w:lvl>
  </w:abstractNum>
  <w:abstractNum w:abstractNumId="75">
    <w:nsid w:val="7DE67713"/>
    <w:multiLevelType w:val="hybridMultilevel"/>
    <w:lvl w:ilvl="0">
      <w:lvlJc w:val="left"/>
      <w:lvlText w:val="%1."/>
      <w:numFmt w:val="decimal"/>
      <w:start w:val="31"/>
    </w:lvl>
  </w:abstractNum>
  <w:abstractNum w:abstractNumId="76">
    <w:nsid w:val="555C55B5"/>
    <w:multiLevelType w:val="hybridMultilevel"/>
    <w:lvl w:ilvl="0">
      <w:lvlJc w:val="left"/>
      <w:lvlText w:val="§"/>
      <w:numFmt w:val="bullet"/>
      <w:start w:val="1"/>
    </w:lvl>
  </w:abstractNum>
  <w:abstractNum w:abstractNumId="77">
    <w:nsid w:val="3FA62ACA"/>
    <w:multiLevelType w:val="hybridMultilevel"/>
    <w:lvl w:ilvl="0">
      <w:lvlJc w:val="left"/>
      <w:lvlText w:val="§"/>
      <w:numFmt w:val="bullet"/>
      <w:start w:val="1"/>
    </w:lvl>
  </w:abstractNum>
  <w:abstractNum w:abstractNumId="78">
    <w:nsid w:val="14FCE74E"/>
    <w:multiLevelType w:val="hybridMultilevel"/>
    <w:lvl w:ilvl="0">
      <w:lvlJc w:val="left"/>
      <w:lvlText w:val="§"/>
      <w:numFmt w:val="bullet"/>
      <w:start w:val="1"/>
    </w:lvl>
  </w:abstractNum>
  <w:abstractNum w:abstractNumId="79">
    <w:nsid w:val="6A3DD3E8"/>
    <w:multiLevelType w:val="hybridMultilevel"/>
    <w:lvl w:ilvl="0">
      <w:lvlJc w:val="left"/>
      <w:lvlText w:val="§"/>
      <w:numFmt w:val="bullet"/>
      <w:start w:val="1"/>
    </w:lvl>
  </w:abstractNum>
  <w:abstractNum w:abstractNumId="80">
    <w:nsid w:val="71C91298"/>
    <w:multiLevelType w:val="hybridMultilevel"/>
    <w:lvl w:ilvl="0">
      <w:lvlJc w:val="left"/>
      <w:lvlText w:val="§"/>
      <w:numFmt w:val="bullet"/>
      <w:start w:val="1"/>
    </w:lvl>
  </w:abstractNum>
  <w:abstractNum w:abstractNumId="81">
    <w:nsid w:val="9DAF632"/>
    <w:multiLevelType w:val="hybridMultilevel"/>
    <w:lvl w:ilvl="0">
      <w:lvlJc w:val="left"/>
      <w:lvlText w:val="*"/>
      <w:numFmt w:val="bullet"/>
      <w:start w:val="1"/>
    </w:lvl>
  </w:abstractNum>
  <w:abstractNum w:abstractNumId="82">
    <w:nsid w:val="53299938"/>
    <w:multiLevelType w:val="hybridMultilevel"/>
    <w:lvl w:ilvl="0">
      <w:lvlJc w:val="left"/>
      <w:lvlText w:val="§"/>
      <w:numFmt w:val="bullet"/>
      <w:start w:val="1"/>
    </w:lvl>
  </w:abstractNum>
  <w:abstractNum w:abstractNumId="83">
    <w:nsid w:val="1FBFE8E0"/>
    <w:multiLevelType w:val="hybridMultilevel"/>
    <w:lvl w:ilvl="0">
      <w:lvlJc w:val="left"/>
      <w:lvlText w:val="§"/>
      <w:numFmt w:val="bullet"/>
      <w:start w:val="1"/>
    </w:lvl>
  </w:abstractNum>
  <w:abstractNum w:abstractNumId="84">
    <w:nsid w:val="5092CA79"/>
    <w:multiLevelType w:val="hybridMultilevel"/>
    <w:lvl w:ilvl="0">
      <w:lvlJc w:val="left"/>
      <w:lvlText w:val="§"/>
      <w:numFmt w:val="bullet"/>
      <w:start w:val="1"/>
    </w:lvl>
  </w:abstractNum>
  <w:abstractNum w:abstractNumId="85">
    <w:nsid w:val="1D545C4D"/>
    <w:multiLevelType w:val="hybridMultilevel"/>
    <w:lvl w:ilvl="0">
      <w:lvlJc w:val="left"/>
      <w:lvlText w:val="§"/>
      <w:numFmt w:val="bullet"/>
      <w:start w:val="1"/>
    </w:lvl>
  </w:abstractNum>
  <w:abstractNum w:abstractNumId="86">
    <w:nsid w:val="59ADEA3D"/>
    <w:multiLevelType w:val="hybridMultilevel"/>
    <w:lvl w:ilvl="0">
      <w:lvlJc w:val="left"/>
      <w:lvlText w:val="§"/>
      <w:numFmt w:val="bullet"/>
      <w:start w:val="1"/>
    </w:lvl>
  </w:abstractNum>
  <w:abstractNum w:abstractNumId="87">
    <w:nsid w:val="288F1A34"/>
    <w:multiLevelType w:val="hybridMultilevel"/>
    <w:lvl w:ilvl="0">
      <w:lvlJc w:val="left"/>
      <w:lvlText w:val="§"/>
      <w:numFmt w:val="bullet"/>
      <w:start w:val="1"/>
    </w:lvl>
  </w:abstractNum>
  <w:abstractNum w:abstractNumId="88">
    <w:nsid w:val="2A155DBC"/>
    <w:multiLevelType w:val="hybridMultilevel"/>
    <w:lvl w:ilvl="0">
      <w:lvlJc w:val="left"/>
      <w:lvlText w:val="§"/>
      <w:numFmt w:val="bullet"/>
      <w:start w:val="1"/>
    </w:lvl>
  </w:abstractNum>
  <w:abstractNum w:abstractNumId="89">
    <w:nsid w:val="1D9F6E5F"/>
    <w:multiLevelType w:val="hybridMultilevel"/>
    <w:lvl w:ilvl="0">
      <w:lvlJc w:val="left"/>
      <w:lvlText w:val="§"/>
      <w:numFmt w:val="bullet"/>
      <w:start w:val="1"/>
    </w:lvl>
  </w:abstractNum>
  <w:abstractNum w:abstractNumId="90">
    <w:nsid w:val="97E1B4E"/>
    <w:multiLevelType w:val="hybridMultilevel"/>
    <w:lvl w:ilvl="0">
      <w:lvlJc w:val="left"/>
      <w:lvlText w:val="§"/>
      <w:numFmt w:val="bullet"/>
      <w:start w:val="1"/>
    </w:lvl>
  </w:abstractNum>
  <w:abstractNum w:abstractNumId="91">
    <w:nsid w:val="51088277"/>
    <w:multiLevelType w:val="hybridMultilevel"/>
    <w:lvl w:ilvl="0">
      <w:lvlJc w:val="left"/>
      <w:lvlText w:val="*"/>
      <w:numFmt w:val="bullet"/>
      <w:start w:val="1"/>
    </w:lvl>
  </w:abstractNum>
  <w:abstractNum w:abstractNumId="92">
    <w:nsid w:val="1CA0C5FA"/>
    <w:multiLevelType w:val="hybridMultilevel"/>
    <w:lvl w:ilvl="0">
      <w:lvlJc w:val="left"/>
      <w:lvlText w:val="*"/>
      <w:numFmt w:val="bullet"/>
      <w:start w:val="1"/>
    </w:lvl>
  </w:abstractNum>
  <w:abstractNum w:abstractNumId="93">
    <w:nsid w:val="53584BCB"/>
    <w:multiLevelType w:val="hybridMultilevel"/>
    <w:lvl w:ilvl="0">
      <w:lvlJc w:val="left"/>
      <w:lvlText w:val="*"/>
      <w:numFmt w:val="bullet"/>
      <w:start w:val="1"/>
    </w:lvl>
  </w:abstractNum>
  <w:abstractNum w:abstractNumId="94">
    <w:nsid w:val="415E286C"/>
    <w:multiLevelType w:val="hybridMultilevel"/>
    <w:lvl w:ilvl="0">
      <w:lvlJc w:val="left"/>
      <w:lvlText w:val="o"/>
      <w:numFmt w:val="bullet"/>
      <w:start w:val="1"/>
    </w:lvl>
  </w:abstractNum>
  <w:abstractNum w:abstractNumId="95">
    <w:nsid w:val="7C58FD05"/>
    <w:multiLevelType w:val="hybridMultilevel"/>
    <w:lvl w:ilvl="0">
      <w:lvlJc w:val="left"/>
      <w:lvlText w:val="·"/>
      <w:numFmt w:val="bullet"/>
      <w:start w:val="1"/>
    </w:lvl>
  </w:abstractNum>
  <w:abstractNum w:abstractNumId="96">
    <w:nsid w:val="23D86AAC"/>
    <w:multiLevelType w:val="hybridMultilevel"/>
    <w:lvl w:ilvl="0">
      <w:lvlJc w:val="left"/>
      <w:lvlText w:val="§"/>
      <w:numFmt w:val="bullet"/>
      <w:start w:val="1"/>
    </w:lvl>
  </w:abstractNum>
  <w:abstractNum w:abstractNumId="97">
    <w:nsid w:val="45E6D486"/>
    <w:multiLevelType w:val="hybridMultilevel"/>
    <w:lvl w:ilvl="0">
      <w:lvlJc w:val="left"/>
      <w:lvlText w:val="§"/>
      <w:numFmt w:val="bullet"/>
      <w:start w:val="1"/>
    </w:lvl>
  </w:abstractNum>
  <w:abstractNum w:abstractNumId="98">
    <w:nsid w:val="5C10FE21"/>
    <w:multiLevelType w:val="hybridMultilevel"/>
    <w:lvl w:ilvl="0">
      <w:lvlJc w:val="left"/>
      <w:lvlText w:val="§"/>
      <w:numFmt w:val="bullet"/>
      <w:start w:val="1"/>
    </w:lvl>
  </w:abstractNum>
  <w:abstractNum w:abstractNumId="99">
    <w:nsid w:val="E7FFA2B"/>
    <w:multiLevelType w:val="hybridMultilevel"/>
    <w:lvl w:ilvl="0">
      <w:lvlJc w:val="left"/>
      <w:lvlText w:val="§"/>
      <w:numFmt w:val="bullet"/>
      <w:start w:val="1"/>
    </w:lvl>
  </w:abstractNum>
  <w:abstractNum w:abstractNumId="100">
    <w:nsid w:val="3C5991AA"/>
    <w:multiLevelType w:val="hybridMultilevel"/>
    <w:lvl w:ilvl="0">
      <w:lvlJc w:val="left"/>
      <w:lvlText w:val="(%1)"/>
      <w:numFmt w:val="lowerLetter"/>
      <w:start w:val="1"/>
    </w:lvl>
  </w:abstractNum>
  <w:abstractNum w:abstractNumId="101">
    <w:nsid w:val="4BD8591A"/>
    <w:multiLevelType w:val="hybridMultilevel"/>
    <w:lvl w:ilvl="0">
      <w:lvlJc w:val="left"/>
      <w:lvlText w:val="·"/>
      <w:numFmt w:val="bullet"/>
      <w:start w:val="1"/>
    </w:lvl>
  </w:abstractNum>
  <w:abstractNum w:abstractNumId="102">
    <w:nsid w:val="78DF6A55"/>
    <w:multiLevelType w:val="hybridMultilevel"/>
    <w:lvl w:ilvl="0">
      <w:lvlJc w:val="left"/>
      <w:lvlText w:val="*"/>
      <w:numFmt w:val="bullet"/>
      <w:start w:val="1"/>
    </w:lvl>
  </w:abstractNum>
  <w:abstractNum w:abstractNumId="103">
    <w:nsid w:val="39B7AAA2"/>
    <w:multiLevelType w:val="hybridMultilevel"/>
    <w:lvl w:ilvl="0">
      <w:lvlJc w:val="left"/>
      <w:lvlText w:val="%1."/>
      <w:numFmt w:val="decimal"/>
      <w:start w:val="1"/>
    </w:lvl>
  </w:abstractNum>
  <w:abstractNum w:abstractNumId="104">
    <w:nsid w:val="2B0D8DBE"/>
    <w:multiLevelType w:val="hybridMultilevel"/>
    <w:lvl w:ilvl="0">
      <w:lvlJc w:val="left"/>
      <w:lvlText w:val="%1."/>
      <w:numFmt w:val="decimal"/>
      <w:start w:val="1"/>
    </w:lvl>
  </w:abstractNum>
  <w:abstractNum w:abstractNumId="105">
    <w:nsid w:val="6C80EC70"/>
    <w:multiLevelType w:val="hybridMultilevel"/>
    <w:lvl w:ilvl="0">
      <w:lvlJc w:val="left"/>
      <w:lvlText w:val="%1."/>
      <w:numFmt w:val="decimal"/>
      <w:start w:val="3"/>
    </w:lvl>
    <w:lvl w:ilvl="1">
      <w:lvlJc w:val="left"/>
      <w:lvlText w:val="%2."/>
      <w:numFmt w:val="lowerLetter"/>
      <w:start w:val="1"/>
    </w:lvl>
  </w:abstractNum>
  <w:abstractNum w:abstractNumId="106">
    <w:nsid w:val="379E21B5"/>
    <w:multiLevelType w:val="hybridMultilevel"/>
    <w:lvl w:ilvl="0">
      <w:lvlJc w:val="left"/>
      <w:lvlText w:val="\}"/>
      <w:numFmt w:val="bullet"/>
      <w:start w:val="1"/>
    </w:lvl>
  </w:abstractNum>
  <w:abstractNum w:abstractNumId="107">
    <w:nsid w:val="69E373"/>
    <w:multiLevelType w:val="hybridMultilevel"/>
    <w:lvl w:ilvl="0">
      <w:lvlJc w:val="left"/>
      <w:lvlText w:val="\}"/>
      <w:numFmt w:val="bullet"/>
      <w:start w:val="1"/>
    </w:lvl>
  </w:abstractNum>
  <w:abstractNum w:abstractNumId="108">
    <w:nsid w:val="2C27173B"/>
    <w:multiLevelType w:val="hybridMultilevel"/>
    <w:lvl w:ilvl="0">
      <w:lvlJc w:val="left"/>
      <w:lvlText w:val="(%1)"/>
      <w:numFmt w:val="decimal"/>
      <w:start w:val="1"/>
    </w:lvl>
  </w:abstractNum>
  <w:abstractNum w:abstractNumId="109">
    <w:nsid w:val="4C9B0904"/>
    <w:multiLevelType w:val="hybridMultilevel"/>
    <w:lvl w:ilvl="0">
      <w:lvlJc w:val="left"/>
      <w:lvlText w:val="(%1)"/>
      <w:numFmt w:val="decimal"/>
      <w:start w:val="1"/>
    </w:lvl>
  </w:abstractNum>
  <w:abstractNum w:abstractNumId="110">
    <w:nsid w:val="6AA7B75C"/>
    <w:multiLevelType w:val="hybridMultilevel"/>
    <w:lvl w:ilvl="0">
      <w:lvlJc w:val="left"/>
      <w:lvlText w:val="(%1)"/>
      <w:numFmt w:val="decimal"/>
      <w:start w:val="1"/>
    </w:lvl>
  </w:abstractNum>
  <w:abstractNum w:abstractNumId="111">
    <w:nsid w:val="1DF029D3"/>
    <w:multiLevelType w:val="hybridMultilevel"/>
    <w:lvl w:ilvl="0">
      <w:lvlJc w:val="left"/>
      <w:lvlText w:val="(%1)"/>
      <w:numFmt w:val="decimal"/>
      <w:start w:val="1"/>
    </w:lvl>
  </w:abstractNum>
  <w:abstractNum w:abstractNumId="112">
    <w:nsid w:val="5675FF36"/>
    <w:multiLevelType w:val="hybridMultilevel"/>
    <w:lvl w:ilvl="0">
      <w:lvlJc w:val="left"/>
      <w:lvlText w:val="%1."/>
      <w:numFmt w:val="decimal"/>
      <w:start w:val="1"/>
    </w:lvl>
    <w:lvl w:ilvl="1">
      <w:lvlJc w:val="left"/>
      <w:lvlText w:val="%2)"/>
      <w:numFmt w:val="lowerLetter"/>
      <w:start w:val="1"/>
    </w:lvl>
  </w:abstractNum>
  <w:abstractNum w:abstractNumId="113">
    <w:nsid w:val="3DD15094"/>
    <w:multiLevelType w:val="hybridMultilevel"/>
    <w:lvl w:ilvl="0">
      <w:lvlJc w:val="left"/>
      <w:lvlText w:val="%1."/>
      <w:numFmt w:val="decimal"/>
      <w:start w:val="1"/>
    </w:lvl>
    <w:lvl w:ilvl="1">
      <w:lvlJc w:val="left"/>
      <w:lvlText w:val="%2)"/>
      <w:numFmt w:val="lowerLetter"/>
      <w:start w:val="1"/>
    </w:lvl>
  </w:abstractNum>
  <w:abstractNum w:abstractNumId="114">
    <w:nsid w:val="3DB012B3"/>
    <w:multiLevelType w:val="hybridMultilevel"/>
    <w:lvl w:ilvl="0">
      <w:lvlJc w:val="left"/>
      <w:lvlText w:val="%1."/>
      <w:numFmt w:val="decimal"/>
      <w:start w:val="1"/>
    </w:lvl>
    <w:lvl w:ilvl="1">
      <w:lvlJc w:val="left"/>
      <w:lvlText w:val="%2)"/>
      <w:numFmt w:val="lowerLetter"/>
      <w:start w:val="1"/>
    </w:lvl>
  </w:abstractNum>
  <w:abstractNum w:abstractNumId="115">
    <w:nsid w:val="2708C9AF"/>
    <w:multiLevelType w:val="hybridMultilevel"/>
    <w:lvl w:ilvl="0">
      <w:lvlJc w:val="left"/>
      <w:lvlText w:val="%1."/>
      <w:numFmt w:val="decimal"/>
      <w:start w:val="1"/>
    </w:lvl>
    <w:lvl w:ilvl="1">
      <w:lvlJc w:val="left"/>
      <w:lvlText w:val="%2)"/>
      <w:numFmt w:val="lowerLetter"/>
      <w:start w:val="1"/>
    </w:lvl>
  </w:abstractNum>
  <w:abstractNum w:abstractNumId="116">
    <w:nsid w:val="5B25ACE2"/>
    <w:multiLevelType w:val="hybridMultilevel"/>
    <w:lvl w:ilvl="0">
      <w:lvlJc w:val="left"/>
      <w:lvlText w:val="%1."/>
      <w:numFmt w:val="decimal"/>
      <w:start w:val="1"/>
    </w:lvl>
    <w:lvl w:ilvl="1">
      <w:lvlJc w:val="left"/>
      <w:lvlText w:val="%2)"/>
      <w:numFmt w:val="lowerLetter"/>
      <w:start w:val="1"/>
    </w:lvl>
  </w:abstractNum>
  <w:abstractNum w:abstractNumId="117">
    <w:nsid w:val="175DFCF0"/>
    <w:multiLevelType w:val="hybridMultilevel"/>
    <w:lvl w:ilvl="0">
      <w:lvlJc w:val="left"/>
      <w:lvlText w:val="%1."/>
      <w:numFmt w:val="decimal"/>
      <w:start w:val="1"/>
    </w:lvl>
    <w:lvl w:ilvl="1">
      <w:lvlJc w:val="left"/>
      <w:lvlText w:val="%2)"/>
      <w:numFmt w:val="lowerLetter"/>
      <w:start w:val="1"/>
    </w:lvl>
  </w:abstractNum>
  <w:abstractNum w:abstractNumId="118">
    <w:nsid w:val="4F97E3E4"/>
    <w:multiLevelType w:val="hybridMultilevel"/>
    <w:lvl w:ilvl="0">
      <w:lvlJc w:val="left"/>
      <w:lvlText w:val="%1."/>
      <w:numFmt w:val="decimal"/>
      <w:start w:val="1"/>
    </w:lvl>
    <w:lvl w:ilvl="1">
      <w:lvlJc w:val="left"/>
      <w:lvlText w:val="%2)"/>
      <w:numFmt w:val="lowerLetter"/>
      <w:start w:val="1"/>
    </w:lvl>
  </w:abstractNum>
  <w:abstractNum w:abstractNumId="119">
    <w:nsid w:val="53B0A9E"/>
    <w:multiLevelType w:val="hybridMultilevel"/>
    <w:lvl w:ilvl="0">
      <w:lvlJc w:val="left"/>
      <w:lvlText w:val="%1."/>
      <w:numFmt w:val="decimal"/>
      <w:start w:val="1"/>
    </w:lvl>
    <w:lvl w:ilvl="1">
      <w:lvlJc w:val="left"/>
      <w:lvlText w:val="%2)"/>
      <w:numFmt w:val="lowerLetter"/>
      <w:start w:val="1"/>
    </w:lvl>
  </w:abstractNum>
  <w:abstractNum w:abstractNumId="120">
    <w:nsid w:val="34FD6B4F"/>
    <w:multiLevelType w:val="hybridMultilevel"/>
    <w:lvl w:ilvl="0">
      <w:lvlJc w:val="left"/>
      <w:lvlText w:val="(%1)"/>
      <w:numFmt w:val="lowerRoman"/>
      <w:start w:val="1"/>
    </w:lvl>
  </w:abstractNum>
  <w:abstractNum w:abstractNumId="121">
    <w:nsid w:val="5915FF32"/>
    <w:multiLevelType w:val="hybridMultilevel"/>
    <w:lvl w:ilvl="0">
      <w:lvlJc w:val="left"/>
      <w:lvlText w:val="(%1)"/>
      <w:numFmt w:val="lowerRoman"/>
      <w:start w:val="1"/>
    </w:lvl>
  </w:abstractNum>
  <w:abstractNum w:abstractNumId="122">
    <w:nsid w:val="56438D15"/>
    <w:multiLevelType w:val="hybridMultilevel"/>
    <w:lvl w:ilvl="0">
      <w:lvlJc w:val="left"/>
      <w:lvlText w:val="(%1)"/>
      <w:numFmt w:val="lowerRoman"/>
      <w:start w:val="1"/>
    </w:lvl>
  </w:abstractNum>
  <w:abstractNum w:abstractNumId="123">
    <w:nsid w:val="519E3149"/>
    <w:multiLevelType w:val="hybridMultilevel"/>
    <w:lvl w:ilvl="0">
      <w:lvlJc w:val="left"/>
      <w:lvlText w:val="(%1)"/>
      <w:numFmt w:val="lowerRoman"/>
      <w:start w:val="1"/>
    </w:lvl>
  </w:abstractNum>
  <w:abstractNum w:abstractNumId="124">
    <w:nsid w:val="2C6E4AFD"/>
    <w:multiLevelType w:val="hybridMultilevel"/>
    <w:lvl w:ilvl="0">
      <w:lvlJc w:val="left"/>
      <w:lvlText w:val="(%1)"/>
      <w:numFmt w:val="lowerRoman"/>
      <w:start w:val="1"/>
    </w:lvl>
  </w:abstractNum>
  <w:abstractNum w:abstractNumId="125">
    <w:nsid w:val="17A1B582"/>
    <w:multiLevelType w:val="hybridMultilevel"/>
    <w:lvl w:ilvl="0">
      <w:lvlJc w:val="left"/>
      <w:lvlText w:val="(%1)"/>
      <w:numFmt w:val="lowerRoman"/>
      <w:start w:val="1"/>
    </w:lvl>
  </w:abstractNum>
  <w:abstractNum w:abstractNumId="126">
    <w:nsid w:val="4DF72E4E"/>
    <w:multiLevelType w:val="hybridMultilevel"/>
    <w:lvl w:ilvl="0">
      <w:lvlJc w:val="left"/>
      <w:lvlText w:val="(%1)"/>
      <w:numFmt w:val="lowerRoman"/>
      <w:start w:val="1"/>
    </w:lvl>
  </w:abstractNum>
  <w:abstractNum w:abstractNumId="127">
    <w:nsid w:val="5046B5A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2019-12-10T15:51:59Z</dcterms:created>
  <dcterms:modified xsi:type="dcterms:W3CDTF">2019-12-10T15:51:59Z</dcterms:modified>
</cp:coreProperties>
</file>